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C273" w14:textId="77777777" w:rsidR="00040C3A" w:rsidRPr="0090270B" w:rsidRDefault="00F61CB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n-US" w:eastAsia="en-US"/>
        </w:rPr>
        <mc:AlternateContent>
          <mc:Choice Requires="wps">
            <w:drawing>
              <wp:anchor distT="0" distB="0" distL="114300" distR="114300" simplePos="0" relativeHeight="251660286" behindDoc="0" locked="0" layoutInCell="1" allowOverlap="1" wp14:anchorId="7D3C6D2C" wp14:editId="123537B5">
                <wp:simplePos x="0" y="0"/>
                <wp:positionH relativeFrom="column">
                  <wp:posOffset>-416257</wp:posOffset>
                </wp:positionH>
                <wp:positionV relativeFrom="paragraph">
                  <wp:posOffset>-436728</wp:posOffset>
                </wp:positionV>
                <wp:extent cx="1504950" cy="8977630"/>
                <wp:effectExtent l="0" t="0" r="0" b="0"/>
                <wp:wrapNone/>
                <wp:docPr id="2" name="Rectangle 2"/>
                <wp:cNvGraphicFramePr/>
                <a:graphic xmlns:a="http://schemas.openxmlformats.org/drawingml/2006/main">
                  <a:graphicData uri="http://schemas.microsoft.com/office/word/2010/wordprocessingShape">
                    <wps:wsp>
                      <wps:cNvSpPr/>
                      <wps:spPr>
                        <a:xfrm>
                          <a:off x="0" y="0"/>
                          <a:ext cx="150495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86ACE" id="Rectangle 2" o:spid="_x0000_s1026" style="position:absolute;margin-left:-32.8pt;margin-top:-34.4pt;width:118.5pt;height:706.9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" fillcolor="#67ae3c" stroked="f" strokeweight="2pt"/>
            </w:pict>
          </mc:Fallback>
        </mc:AlternateContent>
      </w:r>
      <w:r w:rsidR="003E6CA1" w:rsidRPr="0090270B">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EA6E503" wp14:editId="03AC57C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8B513" w14:textId="77777777" w:rsidR="0048538A" w:rsidRDefault="0048538A" w:rsidP="00AE5488">
                            <w:r>
                              <w:rPr>
                                <w:noProof/>
                                <w:lang w:val="en-US" w:eastAsia="en-US"/>
                              </w:rPr>
                              <w:drawing>
                                <wp:inline distT="0" distB="0" distL="0" distR="0" wp14:anchorId="63A9F568" wp14:editId="0A387951">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6E50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318B513" w14:textId="77777777" w:rsidR="0048538A" w:rsidRDefault="0048538A" w:rsidP="00AE5488">
                      <w:r>
                        <w:rPr>
                          <w:noProof/>
                          <w:lang w:val="en-US" w:eastAsia="en-US"/>
                        </w:rPr>
                        <w:drawing>
                          <wp:inline distT="0" distB="0" distL="0" distR="0" wp14:anchorId="63A9F568" wp14:editId="0A387951">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333486ED" w14:textId="77777777" w:rsidR="00040C3A" w:rsidRPr="0090270B" w:rsidRDefault="00040C3A" w:rsidP="00040C3A">
      <w:pPr>
        <w:tabs>
          <w:tab w:val="center" w:pos="5400"/>
        </w:tabs>
        <w:suppressAutoHyphens/>
        <w:jc w:val="both"/>
        <w:rPr>
          <w:rFonts w:asciiTheme="majorHAnsi" w:hAnsiTheme="majorHAnsi"/>
          <w:sz w:val="22"/>
          <w:szCs w:val="22"/>
        </w:rPr>
      </w:pPr>
    </w:p>
    <w:p w14:paraId="01290114" w14:textId="77777777" w:rsidR="00040C3A" w:rsidRPr="0090270B" w:rsidRDefault="00040C3A" w:rsidP="00040C3A">
      <w:pPr>
        <w:tabs>
          <w:tab w:val="center" w:pos="5400"/>
        </w:tabs>
        <w:suppressAutoHyphens/>
        <w:jc w:val="both"/>
        <w:rPr>
          <w:rFonts w:asciiTheme="majorHAnsi" w:hAnsiTheme="majorHAnsi"/>
          <w:sz w:val="22"/>
          <w:szCs w:val="22"/>
        </w:rPr>
      </w:pPr>
    </w:p>
    <w:p w14:paraId="1D1AFA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F0D222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5E4956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D43DD4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F8CDAF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9B9737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A8ED95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533F0C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A837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74F1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61CD3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05B0C6F7" wp14:editId="69CD986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BFD00" w14:textId="77777777" w:rsidR="0048538A" w:rsidRPr="001A4106" w:rsidRDefault="0048538A" w:rsidP="00997BC5">
                            <w:pPr>
                              <w:spacing w:line="276" w:lineRule="auto"/>
                              <w:rPr>
                                <w:rFonts w:asciiTheme="majorHAnsi" w:hAnsiTheme="majorHAnsi" w:cs="Arial"/>
                                <w:b/>
                                <w:bCs/>
                                <w:color w:val="0D0D0D" w:themeColor="text1" w:themeTint="F2"/>
                                <w:sz w:val="36"/>
                                <w:szCs w:val="22"/>
                                <w:lang w:val="en-US"/>
                              </w:rPr>
                            </w:pPr>
                            <w:r w:rsidRPr="001A4106">
                              <w:rPr>
                                <w:rFonts w:asciiTheme="majorHAnsi" w:hAnsiTheme="majorHAnsi" w:cs="Arial"/>
                                <w:b/>
                                <w:bCs/>
                                <w:color w:val="0D0D0D" w:themeColor="text1" w:themeTint="F2"/>
                                <w:sz w:val="36"/>
                                <w:szCs w:val="22"/>
                                <w:lang w:val="en-US"/>
                              </w:rPr>
                              <w:t xml:space="preserve">REPORT </w:t>
                            </w:r>
                            <w:r w:rsidRPr="001A4106">
                              <w:rPr>
                                <w:rFonts w:asciiTheme="majorHAnsi" w:hAnsiTheme="majorHAnsi" w:cs="Arial"/>
                                <w:b/>
                                <w:bCs/>
                                <w:color w:val="0D0D0D" w:themeColor="text1" w:themeTint="F2"/>
                                <w:sz w:val="36"/>
                                <w:szCs w:val="40"/>
                                <w:lang w:val="en-US"/>
                              </w:rPr>
                              <w:t>No.</w:t>
                            </w:r>
                            <w:r w:rsidRPr="001A4106">
                              <w:rPr>
                                <w:rFonts w:asciiTheme="majorHAnsi" w:hAnsiTheme="majorHAnsi" w:cs="Arial"/>
                                <w:b/>
                                <w:bCs/>
                                <w:color w:val="0D0D0D" w:themeColor="text1" w:themeTint="F2"/>
                                <w:sz w:val="36"/>
                                <w:szCs w:val="22"/>
                                <w:lang w:val="en-US"/>
                              </w:rPr>
                              <w:t xml:space="preserve"> </w:t>
                            </w:r>
                            <w:r w:rsidR="00BA41B7">
                              <w:rPr>
                                <w:rFonts w:asciiTheme="majorHAnsi" w:hAnsiTheme="majorHAnsi" w:cs="Arial"/>
                                <w:b/>
                                <w:bCs/>
                                <w:color w:val="0D0D0D" w:themeColor="text1" w:themeTint="F2"/>
                                <w:sz w:val="36"/>
                                <w:szCs w:val="22"/>
                                <w:lang w:val="en-US"/>
                              </w:rPr>
                              <w:t>26/20</w:t>
                            </w:r>
                          </w:p>
                          <w:p w14:paraId="15C5E190" w14:textId="77777777" w:rsidR="0048538A" w:rsidRPr="001A4106" w:rsidRDefault="0048538A" w:rsidP="00997BC5">
                            <w:pPr>
                              <w:spacing w:line="276" w:lineRule="auto"/>
                              <w:rPr>
                                <w:rFonts w:asciiTheme="majorHAnsi" w:hAnsiTheme="majorHAnsi" w:cs="Arial"/>
                                <w:b/>
                                <w:color w:val="0D0D0D" w:themeColor="text1" w:themeTint="F2"/>
                                <w:sz w:val="36"/>
                                <w:szCs w:val="22"/>
                                <w:lang w:val="en-US"/>
                              </w:rPr>
                            </w:pPr>
                            <w:r w:rsidRPr="001A4106">
                              <w:rPr>
                                <w:rFonts w:asciiTheme="majorHAnsi" w:hAnsiTheme="majorHAnsi" w:cs="Arial"/>
                                <w:b/>
                                <w:color w:val="0D0D0D" w:themeColor="text1" w:themeTint="F2"/>
                                <w:sz w:val="36"/>
                                <w:szCs w:val="22"/>
                                <w:lang w:val="en-US"/>
                              </w:rPr>
                              <w:t>CASE 12.545</w:t>
                            </w:r>
                          </w:p>
                          <w:p w14:paraId="636B0EC0" w14:textId="77777777" w:rsidR="0048538A" w:rsidRPr="001A4106" w:rsidRDefault="0048538A" w:rsidP="000158FD">
                            <w:pPr>
                              <w:spacing w:line="276" w:lineRule="auto"/>
                              <w:rPr>
                                <w:rFonts w:asciiTheme="majorHAnsi" w:hAnsiTheme="majorHAnsi" w:cs="Arial"/>
                                <w:color w:val="0D0D0D" w:themeColor="text1" w:themeTint="F2"/>
                                <w:sz w:val="24"/>
                                <w:szCs w:val="24"/>
                                <w:lang w:val="en-US"/>
                              </w:rPr>
                            </w:pPr>
                            <w:r w:rsidRPr="001A4106">
                              <w:rPr>
                                <w:rFonts w:asciiTheme="majorHAnsi" w:hAnsiTheme="majorHAnsi" w:cs="Arial"/>
                                <w:color w:val="0D0D0D" w:themeColor="text1" w:themeTint="F2"/>
                                <w:sz w:val="24"/>
                                <w:szCs w:val="24"/>
                                <w:lang w:val="en-US"/>
                              </w:rPr>
                              <w:t xml:space="preserve">MERITS </w:t>
                            </w:r>
                            <w:r w:rsidRPr="00BA41B7">
                              <w:rPr>
                                <w:rFonts w:asciiTheme="majorHAnsi" w:hAnsiTheme="majorHAnsi" w:cs="Arial"/>
                                <w:color w:val="0D0D0D" w:themeColor="text1" w:themeTint="F2"/>
                                <w:sz w:val="24"/>
                                <w:szCs w:val="24"/>
                                <w:lang w:val="en-US"/>
                              </w:rPr>
                              <w:t>REPORT (PUBLICATION)</w:t>
                            </w:r>
                          </w:p>
                          <w:p w14:paraId="1D21D9DB" w14:textId="77777777" w:rsidR="0048538A" w:rsidRPr="001A4106" w:rsidRDefault="0048538A" w:rsidP="00997BC5">
                            <w:pPr>
                              <w:spacing w:line="276" w:lineRule="auto"/>
                              <w:rPr>
                                <w:rFonts w:asciiTheme="majorHAnsi" w:hAnsiTheme="majorHAnsi" w:cs="Arial"/>
                                <w:color w:val="0D0D0D" w:themeColor="text1" w:themeTint="F2"/>
                                <w:sz w:val="24"/>
                                <w:szCs w:val="24"/>
                                <w:lang w:val="en-US"/>
                              </w:rPr>
                            </w:pPr>
                            <w:bookmarkStart w:id="0" w:name="_ftnref1"/>
                          </w:p>
                          <w:bookmarkEnd w:id="0"/>
                          <w:p w14:paraId="36AF74EF" w14:textId="77777777" w:rsidR="0048538A" w:rsidRPr="001A4106" w:rsidRDefault="0048538A" w:rsidP="001E28D1">
                            <w:pPr>
                              <w:rPr>
                                <w:rFonts w:asciiTheme="majorHAnsi" w:hAnsiTheme="majorHAnsi" w:cs="Arial"/>
                                <w:color w:val="0D0D0D" w:themeColor="text1" w:themeTint="F2"/>
                                <w:sz w:val="24"/>
                                <w:szCs w:val="24"/>
                                <w:lang w:val="en-US"/>
                              </w:rPr>
                            </w:pPr>
                            <w:r w:rsidRPr="001A4106">
                              <w:rPr>
                                <w:rFonts w:asciiTheme="majorHAnsi" w:hAnsiTheme="majorHAnsi" w:cs="Arial"/>
                                <w:color w:val="0D0D0D" w:themeColor="text1" w:themeTint="F2"/>
                                <w:sz w:val="24"/>
                                <w:szCs w:val="24"/>
                                <w:lang w:val="en-US"/>
                              </w:rPr>
                              <w:t>ISAMU CARLOS SHIBAYAMA, KENICHI JAVIER SHIBAYAMA, AND TAKESHI JORGE SHIBAYAMA</w:t>
                            </w:r>
                          </w:p>
                          <w:p w14:paraId="0425CE84" w14:textId="77777777" w:rsidR="0048538A" w:rsidRPr="00E56641" w:rsidRDefault="0048538A" w:rsidP="001E28D1">
                            <w:pPr>
                              <w:rPr>
                                <w:color w:val="0D0D0D" w:themeColor="text1" w:themeTint="F2"/>
                                <w:sz w:val="24"/>
                                <w:szCs w:val="24"/>
                                <w:lang w:val="es-ES_tradnl"/>
                              </w:rPr>
                            </w:pPr>
                            <w:r w:rsidRPr="00E56641">
                              <w:rPr>
                                <w:rFonts w:asciiTheme="majorHAnsi" w:hAnsiTheme="majorHAnsi" w:cs="Arial"/>
                                <w:color w:val="0D0D0D" w:themeColor="text1" w:themeTint="F2"/>
                                <w:sz w:val="24"/>
                                <w:szCs w:val="24"/>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C6F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D1BFD00" w14:textId="77777777" w:rsidR="0048538A" w:rsidRPr="001A4106" w:rsidRDefault="0048538A" w:rsidP="00997BC5">
                      <w:pPr>
                        <w:spacing w:line="276" w:lineRule="auto"/>
                        <w:rPr>
                          <w:rFonts w:asciiTheme="majorHAnsi" w:hAnsiTheme="majorHAnsi" w:cs="Arial"/>
                          <w:b/>
                          <w:bCs/>
                          <w:color w:val="0D0D0D" w:themeColor="text1" w:themeTint="F2"/>
                          <w:sz w:val="36"/>
                          <w:szCs w:val="22"/>
                          <w:lang w:val="en-US"/>
                        </w:rPr>
                      </w:pPr>
                      <w:r w:rsidRPr="001A4106">
                        <w:rPr>
                          <w:rFonts w:asciiTheme="majorHAnsi" w:hAnsiTheme="majorHAnsi" w:cs="Arial"/>
                          <w:b/>
                          <w:bCs/>
                          <w:color w:val="0D0D0D" w:themeColor="text1" w:themeTint="F2"/>
                          <w:sz w:val="36"/>
                          <w:szCs w:val="22"/>
                          <w:lang w:val="en-US"/>
                        </w:rPr>
                        <w:t xml:space="preserve">REPORT </w:t>
                      </w:r>
                      <w:r w:rsidRPr="001A4106">
                        <w:rPr>
                          <w:rFonts w:asciiTheme="majorHAnsi" w:hAnsiTheme="majorHAnsi" w:cs="Arial"/>
                          <w:b/>
                          <w:bCs/>
                          <w:color w:val="0D0D0D" w:themeColor="text1" w:themeTint="F2"/>
                          <w:sz w:val="36"/>
                          <w:szCs w:val="40"/>
                          <w:lang w:val="en-US"/>
                        </w:rPr>
                        <w:t>No.</w:t>
                      </w:r>
                      <w:r w:rsidRPr="001A4106">
                        <w:rPr>
                          <w:rFonts w:asciiTheme="majorHAnsi" w:hAnsiTheme="majorHAnsi" w:cs="Arial"/>
                          <w:b/>
                          <w:bCs/>
                          <w:color w:val="0D0D0D" w:themeColor="text1" w:themeTint="F2"/>
                          <w:sz w:val="36"/>
                          <w:szCs w:val="22"/>
                          <w:lang w:val="en-US"/>
                        </w:rPr>
                        <w:t xml:space="preserve"> </w:t>
                      </w:r>
                      <w:r w:rsidR="00BA41B7">
                        <w:rPr>
                          <w:rFonts w:asciiTheme="majorHAnsi" w:hAnsiTheme="majorHAnsi" w:cs="Arial"/>
                          <w:b/>
                          <w:bCs/>
                          <w:color w:val="0D0D0D" w:themeColor="text1" w:themeTint="F2"/>
                          <w:sz w:val="36"/>
                          <w:szCs w:val="22"/>
                          <w:lang w:val="en-US"/>
                        </w:rPr>
                        <w:t>26/20</w:t>
                      </w:r>
                    </w:p>
                    <w:p w14:paraId="15C5E190" w14:textId="77777777" w:rsidR="0048538A" w:rsidRPr="001A4106" w:rsidRDefault="0048538A" w:rsidP="00997BC5">
                      <w:pPr>
                        <w:spacing w:line="276" w:lineRule="auto"/>
                        <w:rPr>
                          <w:rFonts w:asciiTheme="majorHAnsi" w:hAnsiTheme="majorHAnsi" w:cs="Arial"/>
                          <w:b/>
                          <w:color w:val="0D0D0D" w:themeColor="text1" w:themeTint="F2"/>
                          <w:sz w:val="36"/>
                          <w:szCs w:val="22"/>
                          <w:lang w:val="en-US"/>
                        </w:rPr>
                      </w:pPr>
                      <w:r w:rsidRPr="001A4106">
                        <w:rPr>
                          <w:rFonts w:asciiTheme="majorHAnsi" w:hAnsiTheme="majorHAnsi" w:cs="Arial"/>
                          <w:b/>
                          <w:color w:val="0D0D0D" w:themeColor="text1" w:themeTint="F2"/>
                          <w:sz w:val="36"/>
                          <w:szCs w:val="22"/>
                          <w:lang w:val="en-US"/>
                        </w:rPr>
                        <w:t>CASE 12.545</w:t>
                      </w:r>
                    </w:p>
                    <w:p w14:paraId="636B0EC0" w14:textId="77777777" w:rsidR="0048538A" w:rsidRPr="001A4106" w:rsidRDefault="0048538A" w:rsidP="000158FD">
                      <w:pPr>
                        <w:spacing w:line="276" w:lineRule="auto"/>
                        <w:rPr>
                          <w:rFonts w:asciiTheme="majorHAnsi" w:hAnsiTheme="majorHAnsi" w:cs="Arial"/>
                          <w:color w:val="0D0D0D" w:themeColor="text1" w:themeTint="F2"/>
                          <w:sz w:val="24"/>
                          <w:szCs w:val="24"/>
                          <w:lang w:val="en-US"/>
                        </w:rPr>
                      </w:pPr>
                      <w:r w:rsidRPr="001A4106">
                        <w:rPr>
                          <w:rFonts w:asciiTheme="majorHAnsi" w:hAnsiTheme="majorHAnsi" w:cs="Arial"/>
                          <w:color w:val="0D0D0D" w:themeColor="text1" w:themeTint="F2"/>
                          <w:sz w:val="24"/>
                          <w:szCs w:val="24"/>
                          <w:lang w:val="en-US"/>
                        </w:rPr>
                        <w:t xml:space="preserve">MERITS </w:t>
                      </w:r>
                      <w:r w:rsidRPr="00BA41B7">
                        <w:rPr>
                          <w:rFonts w:asciiTheme="majorHAnsi" w:hAnsiTheme="majorHAnsi" w:cs="Arial"/>
                          <w:color w:val="0D0D0D" w:themeColor="text1" w:themeTint="F2"/>
                          <w:sz w:val="24"/>
                          <w:szCs w:val="24"/>
                          <w:lang w:val="en-US"/>
                        </w:rPr>
                        <w:t>REPORT (PUBLICATION)</w:t>
                      </w:r>
                    </w:p>
                    <w:p w14:paraId="1D21D9DB" w14:textId="77777777" w:rsidR="0048538A" w:rsidRPr="001A4106" w:rsidRDefault="0048538A" w:rsidP="00997BC5">
                      <w:pPr>
                        <w:spacing w:line="276" w:lineRule="auto"/>
                        <w:rPr>
                          <w:rFonts w:asciiTheme="majorHAnsi" w:hAnsiTheme="majorHAnsi" w:cs="Arial"/>
                          <w:color w:val="0D0D0D" w:themeColor="text1" w:themeTint="F2"/>
                          <w:sz w:val="24"/>
                          <w:szCs w:val="24"/>
                          <w:lang w:val="en-US"/>
                        </w:rPr>
                      </w:pPr>
                      <w:bookmarkStart w:id="1" w:name="_ftnref1"/>
                    </w:p>
                    <w:bookmarkEnd w:id="1"/>
                    <w:p w14:paraId="36AF74EF" w14:textId="77777777" w:rsidR="0048538A" w:rsidRPr="001A4106" w:rsidRDefault="0048538A" w:rsidP="001E28D1">
                      <w:pPr>
                        <w:rPr>
                          <w:rFonts w:asciiTheme="majorHAnsi" w:hAnsiTheme="majorHAnsi" w:cs="Arial"/>
                          <w:color w:val="0D0D0D" w:themeColor="text1" w:themeTint="F2"/>
                          <w:sz w:val="24"/>
                          <w:szCs w:val="24"/>
                          <w:lang w:val="en-US"/>
                        </w:rPr>
                      </w:pPr>
                      <w:r w:rsidRPr="001A4106">
                        <w:rPr>
                          <w:rFonts w:asciiTheme="majorHAnsi" w:hAnsiTheme="majorHAnsi" w:cs="Arial"/>
                          <w:color w:val="0D0D0D" w:themeColor="text1" w:themeTint="F2"/>
                          <w:sz w:val="24"/>
                          <w:szCs w:val="24"/>
                          <w:lang w:val="en-US"/>
                        </w:rPr>
                        <w:t>ISAMU CARLOS SHIBAYAMA, KENICHI JAVIER SHIBAYAMA, AND TAKESHI JORGE SHIBAYAMA</w:t>
                      </w:r>
                    </w:p>
                    <w:p w14:paraId="0425CE84" w14:textId="77777777" w:rsidR="0048538A" w:rsidRPr="00E56641" w:rsidRDefault="0048538A" w:rsidP="001E28D1">
                      <w:pPr>
                        <w:rPr>
                          <w:color w:val="0D0D0D" w:themeColor="text1" w:themeTint="F2"/>
                          <w:sz w:val="24"/>
                          <w:szCs w:val="24"/>
                          <w:lang w:val="es-ES_tradnl"/>
                        </w:rPr>
                      </w:pPr>
                      <w:r w:rsidRPr="00E56641">
                        <w:rPr>
                          <w:rFonts w:asciiTheme="majorHAnsi" w:hAnsiTheme="majorHAnsi" w:cs="Arial"/>
                          <w:color w:val="0D0D0D" w:themeColor="text1" w:themeTint="F2"/>
                          <w:sz w:val="24"/>
                          <w:szCs w:val="24"/>
                        </w:rPr>
                        <w:t>UNITED STATES OF AMERICA</w:t>
                      </w:r>
                    </w:p>
                  </w:txbxContent>
                </v:textbox>
              </v:shape>
            </w:pict>
          </mc:Fallback>
        </mc:AlternateContent>
      </w:r>
      <w:r w:rsidR="004E2649" w:rsidRPr="0090270B">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0F5C2A0B" wp14:editId="5DC5A92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07E92" w14:textId="77777777" w:rsidR="0048538A" w:rsidRPr="009C3D6E" w:rsidRDefault="0048538A" w:rsidP="007A5817">
                            <w:pPr>
                              <w:spacing w:line="276" w:lineRule="auto"/>
                              <w:jc w:val="right"/>
                              <w:rPr>
                                <w:rFonts w:asciiTheme="minorHAnsi" w:hAnsiTheme="minorHAnsi"/>
                                <w:color w:val="FFFFFF" w:themeColor="background1"/>
                                <w:sz w:val="22"/>
                                <w:lang w:val="en-US"/>
                              </w:rPr>
                            </w:pPr>
                            <w:r w:rsidRPr="009C3D6E">
                              <w:rPr>
                                <w:rFonts w:asciiTheme="minorHAnsi" w:hAnsiTheme="minorHAnsi"/>
                                <w:color w:val="FFFFFF" w:themeColor="background1"/>
                                <w:sz w:val="22"/>
                                <w:lang w:val="en-US"/>
                              </w:rPr>
                              <w:t>OEA/Ser.L/V/II</w:t>
                            </w:r>
                          </w:p>
                          <w:p w14:paraId="3BE47484" w14:textId="77777777" w:rsidR="0048538A" w:rsidRPr="009C3D6E" w:rsidRDefault="00BA41B7" w:rsidP="007A5817">
                            <w:pPr>
                              <w:spacing w:line="276" w:lineRule="auto"/>
                              <w:jc w:val="right"/>
                              <w:rPr>
                                <w:rFonts w:asciiTheme="minorHAnsi" w:hAnsiTheme="minorHAnsi"/>
                                <w:color w:val="FFFFFF" w:themeColor="background1"/>
                                <w:sz w:val="22"/>
                                <w:lang w:val="en-US"/>
                              </w:rPr>
                            </w:pPr>
                            <w:r w:rsidRPr="009C3D6E">
                              <w:rPr>
                                <w:rFonts w:asciiTheme="minorHAnsi" w:hAnsiTheme="minorHAnsi"/>
                                <w:color w:val="FFFFFF" w:themeColor="background1"/>
                                <w:sz w:val="22"/>
                                <w:lang w:val="en-US"/>
                              </w:rPr>
                              <w:t>Doc. 36</w:t>
                            </w:r>
                          </w:p>
                          <w:p w14:paraId="4656BEC0" w14:textId="77777777" w:rsidR="0048538A" w:rsidRPr="005C241C" w:rsidRDefault="00FF1581"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April 22</w:t>
                            </w:r>
                            <w:r w:rsidR="00BA41B7">
                              <w:rPr>
                                <w:rFonts w:asciiTheme="minorHAnsi" w:hAnsiTheme="minorHAnsi"/>
                                <w:color w:val="FFFFFF" w:themeColor="background1"/>
                                <w:sz w:val="22"/>
                                <w:lang w:val="en-US"/>
                              </w:rPr>
                              <w:t>, 2020</w:t>
                            </w:r>
                          </w:p>
                          <w:p w14:paraId="08E09A94" w14:textId="77777777" w:rsidR="0048538A" w:rsidRPr="001A4106" w:rsidRDefault="0048538A" w:rsidP="007A5817">
                            <w:pPr>
                              <w:spacing w:line="276" w:lineRule="auto"/>
                              <w:jc w:val="right"/>
                              <w:rPr>
                                <w:rFonts w:asciiTheme="minorHAnsi" w:hAnsiTheme="minorHAnsi"/>
                                <w:color w:val="FFFFFF" w:themeColor="background1"/>
                                <w:sz w:val="22"/>
                                <w:lang w:val="en-US"/>
                              </w:rPr>
                            </w:pPr>
                            <w:r w:rsidRPr="001A4106">
                              <w:rPr>
                                <w:rFonts w:asciiTheme="minorHAnsi" w:hAnsiTheme="minorHAnsi"/>
                                <w:color w:val="FFFFFF" w:themeColor="background1"/>
                                <w:sz w:val="22"/>
                                <w:lang w:val="en-US"/>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2A0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7607E92" w14:textId="77777777" w:rsidR="0048538A" w:rsidRPr="009C3D6E" w:rsidRDefault="0048538A" w:rsidP="007A5817">
                      <w:pPr>
                        <w:spacing w:line="276" w:lineRule="auto"/>
                        <w:jc w:val="right"/>
                        <w:rPr>
                          <w:rFonts w:asciiTheme="minorHAnsi" w:hAnsiTheme="minorHAnsi"/>
                          <w:color w:val="FFFFFF" w:themeColor="background1"/>
                          <w:sz w:val="22"/>
                          <w:lang w:val="en-US"/>
                        </w:rPr>
                      </w:pPr>
                      <w:r w:rsidRPr="009C3D6E">
                        <w:rPr>
                          <w:rFonts w:asciiTheme="minorHAnsi" w:hAnsiTheme="minorHAnsi"/>
                          <w:color w:val="FFFFFF" w:themeColor="background1"/>
                          <w:sz w:val="22"/>
                          <w:lang w:val="en-US"/>
                        </w:rPr>
                        <w:t>OEA/Ser.L/V/II</w:t>
                      </w:r>
                    </w:p>
                    <w:p w14:paraId="3BE47484" w14:textId="77777777" w:rsidR="0048538A" w:rsidRPr="009C3D6E" w:rsidRDefault="00BA41B7" w:rsidP="007A5817">
                      <w:pPr>
                        <w:spacing w:line="276" w:lineRule="auto"/>
                        <w:jc w:val="right"/>
                        <w:rPr>
                          <w:rFonts w:asciiTheme="minorHAnsi" w:hAnsiTheme="minorHAnsi"/>
                          <w:color w:val="FFFFFF" w:themeColor="background1"/>
                          <w:sz w:val="22"/>
                          <w:lang w:val="en-US"/>
                        </w:rPr>
                      </w:pPr>
                      <w:r w:rsidRPr="009C3D6E">
                        <w:rPr>
                          <w:rFonts w:asciiTheme="minorHAnsi" w:hAnsiTheme="minorHAnsi"/>
                          <w:color w:val="FFFFFF" w:themeColor="background1"/>
                          <w:sz w:val="22"/>
                          <w:lang w:val="en-US"/>
                        </w:rPr>
                        <w:t>Doc. 36</w:t>
                      </w:r>
                    </w:p>
                    <w:p w14:paraId="4656BEC0" w14:textId="77777777" w:rsidR="0048538A" w:rsidRPr="005C241C" w:rsidRDefault="00FF1581"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April 22</w:t>
                      </w:r>
                      <w:r w:rsidR="00BA41B7">
                        <w:rPr>
                          <w:rFonts w:asciiTheme="minorHAnsi" w:hAnsiTheme="minorHAnsi"/>
                          <w:color w:val="FFFFFF" w:themeColor="background1"/>
                          <w:sz w:val="22"/>
                          <w:lang w:val="en-US"/>
                        </w:rPr>
                        <w:t>, 2020</w:t>
                      </w:r>
                    </w:p>
                    <w:p w14:paraId="08E09A94" w14:textId="77777777" w:rsidR="0048538A" w:rsidRPr="001A4106" w:rsidRDefault="0048538A" w:rsidP="007A5817">
                      <w:pPr>
                        <w:spacing w:line="276" w:lineRule="auto"/>
                        <w:jc w:val="right"/>
                        <w:rPr>
                          <w:rFonts w:asciiTheme="minorHAnsi" w:hAnsiTheme="minorHAnsi"/>
                          <w:color w:val="FFFFFF" w:themeColor="background1"/>
                          <w:sz w:val="22"/>
                          <w:lang w:val="en-US"/>
                        </w:rPr>
                      </w:pPr>
                      <w:r w:rsidRPr="001A4106">
                        <w:rPr>
                          <w:rFonts w:asciiTheme="minorHAnsi" w:hAnsiTheme="minorHAnsi"/>
                          <w:color w:val="FFFFFF" w:themeColor="background1"/>
                          <w:sz w:val="22"/>
                          <w:lang w:val="en-US"/>
                        </w:rPr>
                        <w:t>Original: English</w:t>
                      </w:r>
                    </w:p>
                  </w:txbxContent>
                </v:textbox>
              </v:shape>
            </w:pict>
          </mc:Fallback>
        </mc:AlternateContent>
      </w:r>
    </w:p>
    <w:p w14:paraId="640B5BC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D9B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D7D59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728D4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8012C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05C40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E352F2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5FBD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8EEC2D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47F1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97CE49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75AF82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EFEFC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ACF65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6E7FB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728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675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F614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755C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6F1A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5C9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5F9F2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6954C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E697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C1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4544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664D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BE85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01D9D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02F84AF7" wp14:editId="0A60A5DF">
                <wp:simplePos x="0" y="0"/>
                <wp:positionH relativeFrom="column">
                  <wp:posOffset>1310653</wp:posOffset>
                </wp:positionH>
                <wp:positionV relativeFrom="paragraph">
                  <wp:posOffset>55660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13D81" w14:textId="77777777" w:rsidR="0048538A" w:rsidRPr="00CC205D" w:rsidRDefault="0048538A" w:rsidP="00247403">
                            <w:pPr>
                              <w:tabs>
                                <w:tab w:val="center" w:pos="5400"/>
                              </w:tabs>
                              <w:suppressAutoHyphens/>
                              <w:spacing w:before="60"/>
                              <w:rPr>
                                <w:rFonts w:asciiTheme="majorHAnsi" w:hAnsiTheme="majorHAnsi" w:cs="Univers"/>
                                <w:color w:val="0D0D0D" w:themeColor="text1" w:themeTint="F2"/>
                                <w:sz w:val="18"/>
                                <w:lang w:val="en-US"/>
                              </w:rPr>
                            </w:pPr>
                            <w:r>
                              <w:rPr>
                                <w:rFonts w:asciiTheme="majorHAnsi" w:hAnsiTheme="majorHAnsi"/>
                                <w:color w:val="0D0D0D" w:themeColor="text1" w:themeTint="F2"/>
                                <w:sz w:val="18"/>
                                <w:lang w:val="en-US"/>
                              </w:rPr>
                              <w:t xml:space="preserve">Approved electronically by the Commission on </w:t>
                            </w:r>
                            <w:r w:rsidR="00BA41B7">
                              <w:rPr>
                                <w:rFonts w:asciiTheme="majorHAnsi" w:hAnsiTheme="majorHAnsi"/>
                                <w:color w:val="0D0D0D" w:themeColor="text1" w:themeTint="F2"/>
                                <w:sz w:val="18"/>
                                <w:lang w:val="en-US"/>
                              </w:rPr>
                              <w:t>April 22,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84AF7" id="Text Box 7" o:spid="_x0000_s1029" type="#_x0000_t202" style="position:absolute;left:0;text-align:left;margin-left:103.2pt;margin-top:4.4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" filled="f" stroked="f" strokeweight=".5pt">
                <v:textbox>
                  <w:txbxContent>
                    <w:p w14:paraId="54B13D81" w14:textId="77777777" w:rsidR="0048538A" w:rsidRPr="00CC205D" w:rsidRDefault="0048538A" w:rsidP="00247403">
                      <w:pPr>
                        <w:tabs>
                          <w:tab w:val="center" w:pos="5400"/>
                        </w:tabs>
                        <w:suppressAutoHyphens/>
                        <w:spacing w:before="60"/>
                        <w:rPr>
                          <w:rFonts w:asciiTheme="majorHAnsi" w:hAnsiTheme="majorHAnsi" w:cs="Univers"/>
                          <w:color w:val="0D0D0D" w:themeColor="text1" w:themeTint="F2"/>
                          <w:sz w:val="18"/>
                          <w:lang w:val="en-US"/>
                        </w:rPr>
                      </w:pPr>
                      <w:r>
                        <w:rPr>
                          <w:rFonts w:asciiTheme="majorHAnsi" w:hAnsiTheme="majorHAnsi"/>
                          <w:color w:val="0D0D0D" w:themeColor="text1" w:themeTint="F2"/>
                          <w:sz w:val="18"/>
                          <w:lang w:val="en-US"/>
                        </w:rPr>
                        <w:t xml:space="preserve">Approved electronically by the Commission on </w:t>
                      </w:r>
                      <w:r w:rsidR="00BA41B7">
                        <w:rPr>
                          <w:rFonts w:asciiTheme="majorHAnsi" w:hAnsiTheme="majorHAnsi"/>
                          <w:color w:val="0D0D0D" w:themeColor="text1" w:themeTint="F2"/>
                          <w:sz w:val="18"/>
                          <w:lang w:val="en-US"/>
                        </w:rPr>
                        <w:t>April 22, 2020</w:t>
                      </w:r>
                    </w:p>
                  </w:txbxContent>
                </v:textbox>
              </v:shape>
            </w:pict>
          </mc:Fallback>
        </mc:AlternateContent>
      </w:r>
    </w:p>
    <w:p w14:paraId="14101D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4F2B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3BE37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92073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2B079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38C82213" wp14:editId="70CFF70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F94BC" w14:textId="77777777" w:rsidR="0048538A" w:rsidRPr="0062612B" w:rsidRDefault="0048538A" w:rsidP="00113F73">
                            <w:pPr>
                              <w:spacing w:line="276" w:lineRule="auto"/>
                              <w:rPr>
                                <w:rFonts w:asciiTheme="majorHAnsi" w:hAnsiTheme="majorHAnsi"/>
                                <w:color w:val="595959" w:themeColor="text1" w:themeTint="A6"/>
                                <w:sz w:val="18"/>
                                <w:szCs w:val="18"/>
                                <w:lang w:val="en-US"/>
                              </w:rPr>
                            </w:pPr>
                            <w:r w:rsidRPr="00E56641">
                              <w:rPr>
                                <w:rFonts w:asciiTheme="majorHAnsi" w:hAnsiTheme="majorHAnsi"/>
                                <w:b/>
                                <w:color w:val="595959" w:themeColor="text1" w:themeTint="A6"/>
                                <w:sz w:val="18"/>
                                <w:szCs w:val="18"/>
                                <w:lang w:val="en-US"/>
                              </w:rPr>
                              <w:t>Cite as:</w:t>
                            </w:r>
                            <w:r w:rsidR="002D588D">
                              <w:rPr>
                                <w:rFonts w:asciiTheme="majorHAnsi" w:hAnsiTheme="majorHAnsi"/>
                                <w:color w:val="595959" w:themeColor="text1" w:themeTint="A6"/>
                                <w:sz w:val="18"/>
                                <w:szCs w:val="18"/>
                                <w:lang w:val="en-US"/>
                              </w:rPr>
                              <w:t xml:space="preserve"> IACHR. Report No. 26/20</w:t>
                            </w:r>
                            <w:r w:rsidRPr="00E56641">
                              <w:rPr>
                                <w:rFonts w:asciiTheme="majorHAnsi" w:hAnsiTheme="majorHAnsi"/>
                                <w:color w:val="595959" w:themeColor="text1" w:themeTint="A6"/>
                                <w:sz w:val="18"/>
                                <w:szCs w:val="18"/>
                                <w:lang w:val="en-US"/>
                              </w:rPr>
                              <w:t xml:space="preserve">. </w:t>
                            </w:r>
                            <w:r w:rsidRPr="00090C1E">
                              <w:rPr>
                                <w:rFonts w:asciiTheme="majorHAnsi" w:hAnsiTheme="majorHAnsi"/>
                                <w:color w:val="595959" w:themeColor="text1" w:themeTint="A6"/>
                                <w:sz w:val="18"/>
                                <w:szCs w:val="18"/>
                                <w:lang w:val="en-US"/>
                              </w:rPr>
                              <w:t xml:space="preserve">Case 12.545. </w:t>
                            </w:r>
                            <w:r w:rsidRPr="0092769D">
                              <w:rPr>
                                <w:rFonts w:asciiTheme="majorHAnsi" w:hAnsiTheme="majorHAnsi"/>
                                <w:color w:val="595959" w:themeColor="text1" w:themeTint="A6"/>
                                <w:sz w:val="18"/>
                                <w:szCs w:val="18"/>
                                <w:lang w:val="en-US"/>
                              </w:rPr>
                              <w:t xml:space="preserve">Merits (PUBLICATION). Isamu Carlos Shibayama et al. United States. </w:t>
                            </w:r>
                            <w:r w:rsidR="002D588D" w:rsidRPr="0062612B">
                              <w:rPr>
                                <w:rFonts w:asciiTheme="majorHAnsi" w:hAnsiTheme="majorHAnsi"/>
                                <w:color w:val="595959" w:themeColor="text1" w:themeTint="A6"/>
                                <w:sz w:val="18"/>
                                <w:szCs w:val="18"/>
                                <w:lang w:val="en-US"/>
                              </w:rPr>
                              <w:t>April 22</w:t>
                            </w:r>
                            <w:r>
                              <w:rPr>
                                <w:rFonts w:asciiTheme="majorHAnsi" w:hAnsiTheme="majorHAnsi"/>
                                <w:color w:val="595959" w:themeColor="text1" w:themeTint="A6"/>
                                <w:sz w:val="18"/>
                                <w:szCs w:val="18"/>
                                <w:lang w:val="en-US"/>
                              </w:rPr>
                              <w:t>, 20</w:t>
                            </w:r>
                            <w:r w:rsidR="009C3D6E">
                              <w:rPr>
                                <w:rFonts w:asciiTheme="majorHAnsi" w:hAnsiTheme="majorHAnsi"/>
                                <w:color w:val="595959" w:themeColor="text1" w:themeTint="A6"/>
                                <w:sz w:val="18"/>
                                <w:szCs w:val="18"/>
                                <w:lang w:val="en-US"/>
                              </w:rPr>
                              <w:t>20</w:t>
                            </w:r>
                            <w:r w:rsidRPr="0062612B">
                              <w:rPr>
                                <w:rFonts w:asciiTheme="majorHAnsi" w:hAnsiTheme="majorHAnsi"/>
                                <w:color w:val="595959" w:themeColor="text1" w:themeTint="A6"/>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82213"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A5F94BC" w14:textId="77777777" w:rsidR="0048538A" w:rsidRPr="0062612B" w:rsidRDefault="0048538A" w:rsidP="00113F73">
                      <w:pPr>
                        <w:spacing w:line="276" w:lineRule="auto"/>
                        <w:rPr>
                          <w:rFonts w:asciiTheme="majorHAnsi" w:hAnsiTheme="majorHAnsi"/>
                          <w:color w:val="595959" w:themeColor="text1" w:themeTint="A6"/>
                          <w:sz w:val="18"/>
                          <w:szCs w:val="18"/>
                          <w:lang w:val="en-US"/>
                        </w:rPr>
                      </w:pPr>
                      <w:r w:rsidRPr="00E56641">
                        <w:rPr>
                          <w:rFonts w:asciiTheme="majorHAnsi" w:hAnsiTheme="majorHAnsi"/>
                          <w:b/>
                          <w:color w:val="595959" w:themeColor="text1" w:themeTint="A6"/>
                          <w:sz w:val="18"/>
                          <w:szCs w:val="18"/>
                          <w:lang w:val="en-US"/>
                        </w:rPr>
                        <w:t>Cite as:</w:t>
                      </w:r>
                      <w:r w:rsidR="002D588D">
                        <w:rPr>
                          <w:rFonts w:asciiTheme="majorHAnsi" w:hAnsiTheme="majorHAnsi"/>
                          <w:color w:val="595959" w:themeColor="text1" w:themeTint="A6"/>
                          <w:sz w:val="18"/>
                          <w:szCs w:val="18"/>
                          <w:lang w:val="en-US"/>
                        </w:rPr>
                        <w:t xml:space="preserve"> IACHR. Report No. 26/20</w:t>
                      </w:r>
                      <w:r w:rsidRPr="00E56641">
                        <w:rPr>
                          <w:rFonts w:asciiTheme="majorHAnsi" w:hAnsiTheme="majorHAnsi"/>
                          <w:color w:val="595959" w:themeColor="text1" w:themeTint="A6"/>
                          <w:sz w:val="18"/>
                          <w:szCs w:val="18"/>
                          <w:lang w:val="en-US"/>
                        </w:rPr>
                        <w:t xml:space="preserve">. </w:t>
                      </w:r>
                      <w:r w:rsidRPr="00090C1E">
                        <w:rPr>
                          <w:rFonts w:asciiTheme="majorHAnsi" w:hAnsiTheme="majorHAnsi"/>
                          <w:color w:val="595959" w:themeColor="text1" w:themeTint="A6"/>
                          <w:sz w:val="18"/>
                          <w:szCs w:val="18"/>
                          <w:lang w:val="en-US"/>
                        </w:rPr>
                        <w:t xml:space="preserve">Case 12.545. </w:t>
                      </w:r>
                      <w:r w:rsidRPr="0092769D">
                        <w:rPr>
                          <w:rFonts w:asciiTheme="majorHAnsi" w:hAnsiTheme="majorHAnsi"/>
                          <w:color w:val="595959" w:themeColor="text1" w:themeTint="A6"/>
                          <w:sz w:val="18"/>
                          <w:szCs w:val="18"/>
                          <w:lang w:val="en-US"/>
                        </w:rPr>
                        <w:t xml:space="preserve">Merits (PUBLICATION). Isamu Carlos Shibayama et al. United States. </w:t>
                      </w:r>
                      <w:r w:rsidR="002D588D" w:rsidRPr="0062612B">
                        <w:rPr>
                          <w:rFonts w:asciiTheme="majorHAnsi" w:hAnsiTheme="majorHAnsi"/>
                          <w:color w:val="595959" w:themeColor="text1" w:themeTint="A6"/>
                          <w:sz w:val="18"/>
                          <w:szCs w:val="18"/>
                          <w:lang w:val="en-US"/>
                        </w:rPr>
                        <w:t>April 22</w:t>
                      </w:r>
                      <w:r>
                        <w:rPr>
                          <w:rFonts w:asciiTheme="majorHAnsi" w:hAnsiTheme="majorHAnsi"/>
                          <w:color w:val="595959" w:themeColor="text1" w:themeTint="A6"/>
                          <w:sz w:val="18"/>
                          <w:szCs w:val="18"/>
                          <w:lang w:val="en-US"/>
                        </w:rPr>
                        <w:t>, 20</w:t>
                      </w:r>
                      <w:r w:rsidR="009C3D6E">
                        <w:rPr>
                          <w:rFonts w:asciiTheme="majorHAnsi" w:hAnsiTheme="majorHAnsi"/>
                          <w:color w:val="595959" w:themeColor="text1" w:themeTint="A6"/>
                          <w:sz w:val="18"/>
                          <w:szCs w:val="18"/>
                          <w:lang w:val="en-US"/>
                        </w:rPr>
                        <w:t>20</w:t>
                      </w:r>
                      <w:r w:rsidRPr="0062612B">
                        <w:rPr>
                          <w:rFonts w:asciiTheme="majorHAnsi" w:hAnsiTheme="majorHAnsi"/>
                          <w:color w:val="595959" w:themeColor="text1" w:themeTint="A6"/>
                          <w:sz w:val="18"/>
                          <w:szCs w:val="18"/>
                          <w:lang w:val="en-US"/>
                        </w:rPr>
                        <w:t>.</w:t>
                      </w:r>
                    </w:p>
                  </w:txbxContent>
                </v:textbox>
              </v:shape>
            </w:pict>
          </mc:Fallback>
        </mc:AlternateContent>
      </w:r>
    </w:p>
    <w:p w14:paraId="1BCE300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14402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7543B02F" wp14:editId="40CAFE9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68D49" w14:textId="77777777" w:rsidR="0048538A" w:rsidRPr="00D72DC6" w:rsidRDefault="0048538A" w:rsidP="00F02AD1">
                            <w:pPr>
                              <w:rPr>
                                <w:color w:val="FFFFFF" w:themeColor="background1"/>
                                <w14:textFill>
                                  <w14:noFill/>
                                </w14:textFill>
                              </w:rPr>
                            </w:pPr>
                            <w:r>
                              <w:rPr>
                                <w:noProof/>
                                <w:lang w:val="en-US" w:eastAsia="en-US"/>
                              </w:rPr>
                              <w:drawing>
                                <wp:inline distT="0" distB="0" distL="0" distR="0" wp14:anchorId="3392C66F" wp14:editId="20D35808">
                                  <wp:extent cx="1123950" cy="378416"/>
                                  <wp:effectExtent l="0" t="0" r="0" b="3175"/>
                                  <wp:docPr id="14" name="Picture 1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3B02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ED68D49" w14:textId="77777777" w:rsidR="0048538A" w:rsidRPr="00D72DC6" w:rsidRDefault="0048538A" w:rsidP="00F02AD1">
                      <w:pPr>
                        <w:rPr>
                          <w:color w:val="FFFFFF" w:themeColor="background1"/>
                          <w14:textFill>
                            <w14:noFill/>
                          </w14:textFill>
                        </w:rPr>
                      </w:pPr>
                      <w:r>
                        <w:rPr>
                          <w:noProof/>
                          <w:lang w:val="en-US" w:eastAsia="en-US"/>
                        </w:rPr>
                        <w:drawing>
                          <wp:inline distT="0" distB="0" distL="0" distR="0" wp14:anchorId="3392C66F" wp14:editId="20D35808">
                            <wp:extent cx="1123950" cy="378416"/>
                            <wp:effectExtent l="0" t="0" r="0" b="3175"/>
                            <wp:docPr id="14" name="Picture 1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46951ED9" wp14:editId="61CD55A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15C1B" w14:textId="77777777" w:rsidR="0048538A" w:rsidRPr="004B7EB6" w:rsidRDefault="004853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1ED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C315C1B" w14:textId="77777777" w:rsidR="0048538A" w:rsidRPr="004B7EB6" w:rsidRDefault="004853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3EEBF76"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6933E5C9" w14:textId="77777777" w:rsidR="007C2AA2" w:rsidRPr="00E56641" w:rsidRDefault="007C2AA2" w:rsidP="00722C9F">
      <w:pPr>
        <w:tabs>
          <w:tab w:val="center" w:pos="5400"/>
        </w:tabs>
        <w:suppressAutoHyphens/>
        <w:spacing w:line="276" w:lineRule="auto"/>
        <w:jc w:val="center"/>
        <w:rPr>
          <w:rFonts w:asciiTheme="majorHAnsi" w:hAnsiTheme="majorHAnsi"/>
          <w:sz w:val="18"/>
          <w:lang w:val="en-US"/>
        </w:rPr>
      </w:pPr>
    </w:p>
    <w:p w14:paraId="07033AA5" w14:textId="77777777" w:rsidR="00722C9F" w:rsidRPr="00CD5468" w:rsidRDefault="001E28D1" w:rsidP="00722C9F">
      <w:pPr>
        <w:tabs>
          <w:tab w:val="center" w:pos="5400"/>
        </w:tabs>
        <w:suppressAutoHyphens/>
        <w:spacing w:line="276" w:lineRule="auto"/>
        <w:jc w:val="center"/>
        <w:rPr>
          <w:rFonts w:asciiTheme="majorHAnsi" w:hAnsiTheme="majorHAnsi"/>
          <w:b/>
          <w:sz w:val="20"/>
          <w:lang w:val="en-US"/>
        </w:rPr>
      </w:pPr>
      <w:r w:rsidRPr="00CD5468">
        <w:rPr>
          <w:rFonts w:asciiTheme="majorHAnsi" w:hAnsiTheme="majorHAnsi"/>
          <w:b/>
          <w:sz w:val="20"/>
          <w:lang w:val="en-US"/>
        </w:rPr>
        <w:t>INDEX</w:t>
      </w:r>
    </w:p>
    <w:sdt>
      <w:sdtPr>
        <w:rPr>
          <w:rFonts w:ascii="Cambria" w:eastAsia="Arial Unicode MS" w:hAnsi="Cambria" w:cs="Calibri"/>
          <w:color w:val="000000"/>
          <w:sz w:val="20"/>
          <w:szCs w:val="20"/>
          <w:bdr w:val="nil"/>
          <w:lang w:val="es-ES" w:eastAsia="es-ES"/>
        </w:rPr>
        <w:id w:val="111099602"/>
        <w:docPartObj>
          <w:docPartGallery w:val="Table of Contents"/>
          <w:docPartUnique/>
        </w:docPartObj>
      </w:sdtPr>
      <w:sdtEndPr>
        <w:rPr>
          <w:b/>
          <w:bCs/>
          <w:noProof/>
        </w:rPr>
      </w:sdtEndPr>
      <w:sdtContent>
        <w:p w14:paraId="21ED91A0" w14:textId="77777777" w:rsidR="00C53C19" w:rsidRPr="00DC4B3B" w:rsidRDefault="00C53C19">
          <w:pPr>
            <w:pStyle w:val="TOCHeading"/>
            <w:rPr>
              <w:sz w:val="20"/>
              <w:szCs w:val="20"/>
            </w:rPr>
          </w:pPr>
        </w:p>
        <w:p w14:paraId="31F87E1E" w14:textId="37DB6B03" w:rsidR="00DC4B3B" w:rsidRPr="00BA41B7" w:rsidRDefault="00C53C19">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r w:rsidRPr="00DC4B3B">
            <w:rPr>
              <w:rFonts w:asciiTheme="majorHAnsi" w:hAnsiTheme="majorHAnsi"/>
              <w:b/>
              <w:bCs/>
              <w:noProof/>
              <w:sz w:val="20"/>
            </w:rPr>
            <w:fldChar w:fldCharType="begin"/>
          </w:r>
          <w:r w:rsidRPr="00DC4B3B">
            <w:rPr>
              <w:rFonts w:asciiTheme="majorHAnsi" w:hAnsiTheme="majorHAnsi"/>
              <w:b/>
              <w:bCs/>
              <w:noProof/>
              <w:sz w:val="20"/>
              <w:lang w:val="en-US"/>
            </w:rPr>
            <w:instrText xml:space="preserve"> TOC \o "1-3" \h \z \u </w:instrText>
          </w:r>
          <w:r w:rsidRPr="00DC4B3B">
            <w:rPr>
              <w:rFonts w:asciiTheme="majorHAnsi" w:hAnsiTheme="majorHAnsi"/>
              <w:b/>
              <w:bCs/>
              <w:noProof/>
              <w:sz w:val="20"/>
            </w:rPr>
            <w:fldChar w:fldCharType="separate"/>
          </w:r>
          <w:hyperlink w:anchor="_Toc27059043" w:history="1">
            <w:r w:rsidR="00DC4B3B" w:rsidRPr="00BA41B7">
              <w:rPr>
                <w:rStyle w:val="Hyperlink"/>
                <w:rFonts w:asciiTheme="majorHAnsi" w:hAnsiTheme="majorHAnsi"/>
                <w:noProof/>
                <w:sz w:val="20"/>
              </w:rPr>
              <w:t>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SUMMARY</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_Toc27059043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sidR="004E185A">
              <w:rPr>
                <w:rFonts w:asciiTheme="majorHAnsi" w:hAnsiTheme="majorHAnsi"/>
                <w:noProof/>
                <w:webHidden/>
                <w:sz w:val="20"/>
              </w:rPr>
              <w:t>2</w:t>
            </w:r>
            <w:r w:rsidR="00DC4B3B" w:rsidRPr="00BA41B7">
              <w:rPr>
                <w:rFonts w:asciiTheme="majorHAnsi" w:hAnsiTheme="majorHAnsi"/>
                <w:noProof/>
                <w:webHidden/>
                <w:sz w:val="20"/>
              </w:rPr>
              <w:fldChar w:fldCharType="end"/>
            </w:r>
          </w:hyperlink>
        </w:p>
        <w:p w14:paraId="250B1A52" w14:textId="2093DE45"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44" w:history="1">
            <w:r w:rsidR="00DC4B3B" w:rsidRPr="00BA41B7">
              <w:rPr>
                <w:rStyle w:val="Hyperlink"/>
                <w:rFonts w:asciiTheme="majorHAnsi" w:hAnsiTheme="majorHAnsi"/>
                <w:noProof/>
                <w:sz w:val="20"/>
              </w:rPr>
              <w:t>II.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POSITIONS OF THE PARTIES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_Toc27059044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2</w:t>
            </w:r>
            <w:r w:rsidR="00DC4B3B" w:rsidRPr="00BA41B7">
              <w:rPr>
                <w:rFonts w:asciiTheme="majorHAnsi" w:hAnsiTheme="majorHAnsi"/>
                <w:noProof/>
                <w:webHidden/>
                <w:sz w:val="20"/>
              </w:rPr>
              <w:fldChar w:fldCharType="end"/>
            </w:r>
          </w:hyperlink>
        </w:p>
        <w:p w14:paraId="35FD71F7" w14:textId="43962125"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45" w:history="1">
            <w:r w:rsidR="00DC4B3B" w:rsidRPr="00BA41B7">
              <w:rPr>
                <w:rStyle w:val="Hyperlink"/>
                <w:rFonts w:asciiTheme="majorHAnsi" w:hAnsiTheme="majorHAnsi"/>
                <w:noProof/>
                <w:sz w:val="20"/>
              </w:rPr>
              <w:t>A.</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Petitioners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_Toc27059045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2</w:t>
            </w:r>
            <w:r w:rsidR="00DC4B3B" w:rsidRPr="00BA41B7">
              <w:rPr>
                <w:rFonts w:asciiTheme="majorHAnsi" w:hAnsiTheme="majorHAnsi"/>
                <w:noProof/>
                <w:webHidden/>
                <w:sz w:val="20"/>
              </w:rPr>
              <w:fldChar w:fldCharType="end"/>
            </w:r>
          </w:hyperlink>
        </w:p>
        <w:p w14:paraId="5709D0B8" w14:textId="31B0B973"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46" w:history="1">
            <w:r w:rsidR="00DC4B3B" w:rsidRPr="00BA41B7">
              <w:rPr>
                <w:rStyle w:val="Hyperlink"/>
                <w:rFonts w:asciiTheme="majorHAnsi" w:hAnsiTheme="majorHAnsi"/>
                <w:noProof/>
                <w:sz w:val="20"/>
              </w:rPr>
              <w:t>B.</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State</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_Toc27059046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3</w:t>
            </w:r>
            <w:r w:rsidR="00DC4B3B" w:rsidRPr="00BA41B7">
              <w:rPr>
                <w:rFonts w:asciiTheme="majorHAnsi" w:hAnsiTheme="majorHAnsi"/>
                <w:noProof/>
                <w:webHidden/>
                <w:sz w:val="20"/>
              </w:rPr>
              <w:fldChar w:fldCharType="end"/>
            </w:r>
          </w:hyperlink>
        </w:p>
        <w:p w14:paraId="2E990154" w14:textId="6F866111"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47" w:history="1">
            <w:r w:rsidR="00DC4B3B" w:rsidRPr="00BA41B7">
              <w:rPr>
                <w:rStyle w:val="Hyperlink"/>
                <w:rFonts w:asciiTheme="majorHAnsi" w:hAnsiTheme="majorHAnsi"/>
                <w:noProof/>
                <w:sz w:val="20"/>
              </w:rPr>
              <w:t>III.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PRIOR CONSIDERATION</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_Toc27059047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4</w:t>
            </w:r>
            <w:r w:rsidR="00DC4B3B" w:rsidRPr="00BA41B7">
              <w:rPr>
                <w:rFonts w:asciiTheme="majorHAnsi" w:hAnsiTheme="majorHAnsi"/>
                <w:noProof/>
                <w:webHidden/>
                <w:sz w:val="20"/>
              </w:rPr>
              <w:fldChar w:fldCharType="end"/>
            </w:r>
          </w:hyperlink>
        </w:p>
        <w:p w14:paraId="3ED4CF3A" w14:textId="639720C2"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48" w:history="1">
            <w:r w:rsidR="00DC4B3B" w:rsidRPr="00BA41B7">
              <w:rPr>
                <w:rStyle w:val="Hyperlink"/>
                <w:rFonts w:asciiTheme="majorHAnsi" w:hAnsiTheme="majorHAnsi"/>
                <w:noProof/>
                <w:sz w:val="20"/>
              </w:rPr>
              <w:t>IV.</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FINDINGS OF FACT</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_Toc27059048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4</w:t>
            </w:r>
            <w:r w:rsidR="00DC4B3B" w:rsidRPr="00BA41B7">
              <w:rPr>
                <w:rFonts w:asciiTheme="majorHAnsi" w:hAnsiTheme="majorHAnsi"/>
                <w:noProof/>
                <w:webHidden/>
                <w:sz w:val="20"/>
              </w:rPr>
              <w:fldChar w:fldCharType="end"/>
            </w:r>
          </w:hyperlink>
        </w:p>
        <w:p w14:paraId="051ECA80" w14:textId="5B527B2B"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49" w:history="1">
            <w:r w:rsidR="00DC4B3B" w:rsidRPr="00BA41B7">
              <w:rPr>
                <w:rStyle w:val="Hyperlink"/>
                <w:rFonts w:asciiTheme="majorHAnsi" w:hAnsiTheme="majorHAnsi"/>
                <w:noProof/>
                <w:sz w:val="20"/>
              </w:rPr>
              <w:t>A.</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Background</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_Toc27059049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4</w:t>
            </w:r>
            <w:r w:rsidR="00DC4B3B" w:rsidRPr="00BA41B7">
              <w:rPr>
                <w:rFonts w:asciiTheme="majorHAnsi" w:hAnsiTheme="majorHAnsi"/>
                <w:noProof/>
                <w:webHidden/>
                <w:sz w:val="20"/>
              </w:rPr>
              <w:fldChar w:fldCharType="end"/>
            </w:r>
          </w:hyperlink>
        </w:p>
        <w:p w14:paraId="094B4F98" w14:textId="2CF0E5BD"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0" w:history="1">
            <w:r w:rsidR="00DC4B3B" w:rsidRPr="00BA41B7">
              <w:rPr>
                <w:rStyle w:val="Hyperlink"/>
                <w:rFonts w:asciiTheme="majorHAnsi" w:hAnsiTheme="majorHAnsi"/>
                <w:noProof/>
                <w:sz w:val="20"/>
              </w:rPr>
              <w:t>B.</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The Shibayama brothers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_Toc27059050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6</w:t>
            </w:r>
            <w:r w:rsidR="00DC4B3B" w:rsidRPr="00BA41B7">
              <w:rPr>
                <w:rFonts w:asciiTheme="majorHAnsi" w:hAnsiTheme="majorHAnsi"/>
                <w:noProof/>
                <w:webHidden/>
                <w:sz w:val="20"/>
              </w:rPr>
              <w:fldChar w:fldCharType="end"/>
            </w:r>
          </w:hyperlink>
        </w:p>
        <w:p w14:paraId="29392B73" w14:textId="0F1A53FB"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1" w:history="1">
            <w:r w:rsidR="00DC4B3B" w:rsidRPr="00BA41B7">
              <w:rPr>
                <w:rStyle w:val="Hyperlink"/>
                <w:rFonts w:asciiTheme="majorHAnsi" w:hAnsiTheme="majorHAnsi"/>
                <w:noProof/>
                <w:sz w:val="20"/>
                <w:lang w:val="en-US"/>
              </w:rPr>
              <w:t>C.</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The Shibayama family’s abduction from Peru, internment at Crystal City, Texas, and life upon release from internment</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_Toc27059051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6</w:t>
            </w:r>
            <w:r w:rsidR="00DC4B3B" w:rsidRPr="00BA41B7">
              <w:rPr>
                <w:rFonts w:asciiTheme="majorHAnsi" w:hAnsiTheme="majorHAnsi"/>
                <w:noProof/>
                <w:webHidden/>
                <w:sz w:val="20"/>
              </w:rPr>
              <w:fldChar w:fldCharType="end"/>
            </w:r>
          </w:hyperlink>
        </w:p>
        <w:p w14:paraId="11449B38" w14:textId="2F615BFC"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2" w:history="1">
            <w:r w:rsidR="00DC4B3B" w:rsidRPr="00BA41B7">
              <w:rPr>
                <w:rStyle w:val="Hyperlink"/>
                <w:rFonts w:asciiTheme="majorHAnsi" w:hAnsiTheme="majorHAnsi"/>
                <w:noProof/>
                <w:sz w:val="20"/>
                <w:lang w:val="en-US"/>
              </w:rPr>
              <w:t>D.</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Claims for redress under the Civil Rights Act of 1988 and subsequent legal actions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_Toc27059052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9</w:t>
            </w:r>
            <w:r w:rsidR="00DC4B3B" w:rsidRPr="00BA41B7">
              <w:rPr>
                <w:rFonts w:asciiTheme="majorHAnsi" w:hAnsiTheme="majorHAnsi"/>
                <w:noProof/>
                <w:webHidden/>
                <w:sz w:val="20"/>
              </w:rPr>
              <w:fldChar w:fldCharType="end"/>
            </w:r>
          </w:hyperlink>
        </w:p>
        <w:p w14:paraId="10036EEA" w14:textId="7886101B"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3" w:history="1">
            <w:r w:rsidR="00DC4B3B" w:rsidRPr="00BA41B7">
              <w:rPr>
                <w:rStyle w:val="Hyperlink"/>
                <w:rFonts w:asciiTheme="majorHAnsi" w:hAnsiTheme="majorHAnsi"/>
                <w:noProof/>
                <w:sz w:val="20"/>
                <w:lang w:val="en-US"/>
              </w:rPr>
              <w:t>E.</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Lawsuit before the Court of Federal Claims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_Toc27059053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10</w:t>
            </w:r>
            <w:r w:rsidR="00DC4B3B" w:rsidRPr="00BA41B7">
              <w:rPr>
                <w:rFonts w:asciiTheme="majorHAnsi" w:hAnsiTheme="majorHAnsi"/>
                <w:noProof/>
                <w:webHidden/>
                <w:sz w:val="20"/>
              </w:rPr>
              <w:fldChar w:fldCharType="end"/>
            </w:r>
          </w:hyperlink>
        </w:p>
        <w:p w14:paraId="6EC2C9FE" w14:textId="038F0B77"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54" w:history="1">
            <w:r w:rsidR="00DC4B3B" w:rsidRPr="00BA41B7">
              <w:rPr>
                <w:rStyle w:val="Hyperlink"/>
                <w:rFonts w:asciiTheme="majorHAnsi" w:hAnsiTheme="majorHAnsi"/>
                <w:noProof/>
                <w:sz w:val="20"/>
              </w:rPr>
              <w:t>V.</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ANALYSIS OF LAW</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_Toc27059054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12</w:t>
            </w:r>
            <w:r w:rsidR="00DC4B3B" w:rsidRPr="00BA41B7">
              <w:rPr>
                <w:rFonts w:asciiTheme="majorHAnsi" w:hAnsiTheme="majorHAnsi"/>
                <w:noProof/>
                <w:webHidden/>
                <w:sz w:val="20"/>
              </w:rPr>
              <w:fldChar w:fldCharType="end"/>
            </w:r>
          </w:hyperlink>
        </w:p>
        <w:p w14:paraId="41CBFDF3" w14:textId="1679B7FA"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5" w:history="1">
            <w:r w:rsidR="00DC4B3B" w:rsidRPr="00BA41B7">
              <w:rPr>
                <w:rStyle w:val="Hyperlink"/>
                <w:rFonts w:asciiTheme="majorHAnsi" w:hAnsiTheme="majorHAnsi"/>
                <w:noProof/>
                <w:sz w:val="20"/>
                <w:lang w:val="en-US"/>
              </w:rPr>
              <w:t>A.</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Application of the American Declaration and interpretation in light of developments in international human rights law since its adoption</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_Toc27059055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12</w:t>
            </w:r>
            <w:r w:rsidR="00DC4B3B" w:rsidRPr="00BA41B7">
              <w:rPr>
                <w:rFonts w:asciiTheme="majorHAnsi" w:hAnsiTheme="majorHAnsi"/>
                <w:noProof/>
                <w:webHidden/>
                <w:sz w:val="20"/>
              </w:rPr>
              <w:fldChar w:fldCharType="end"/>
            </w:r>
          </w:hyperlink>
        </w:p>
        <w:p w14:paraId="49DA23AD" w14:textId="78788EF1" w:rsidR="00DC4B3B" w:rsidRPr="00BA41B7" w:rsidRDefault="004E185A">
          <w:pPr>
            <w:pStyle w:val="TOC2"/>
            <w:rPr>
              <w:rFonts w:asciiTheme="majorHAnsi" w:eastAsiaTheme="minorEastAsia" w:hAnsiTheme="majorHAnsi" w:cstheme="minorBidi"/>
              <w:noProof/>
              <w:color w:val="auto"/>
              <w:sz w:val="20"/>
              <w:bdr w:val="none" w:sz="0" w:space="0" w:color="auto"/>
              <w:lang w:val="en-US" w:eastAsia="en-US"/>
            </w:rPr>
          </w:pPr>
          <w:hyperlink w:anchor="_Toc27059056" w:history="1">
            <w:r w:rsidR="00DC4B3B" w:rsidRPr="00BA41B7">
              <w:rPr>
                <w:rStyle w:val="Hyperlink"/>
                <w:rFonts w:asciiTheme="majorHAnsi" w:hAnsiTheme="majorHAnsi"/>
                <w:noProof/>
                <w:sz w:val="20"/>
              </w:rPr>
              <w:t>B.</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 xml:space="preserve">Right to equality before the law (Art. II), in relation to the right to a fair trial and effective remedy (Art. </w:t>
            </w:r>
            <w:r w:rsidR="00DC4B3B" w:rsidRPr="00BA41B7">
              <w:rPr>
                <w:rStyle w:val="Hyperlink"/>
                <w:rFonts w:asciiTheme="majorHAnsi" w:hAnsiTheme="majorHAnsi"/>
                <w:noProof/>
                <w:sz w:val="20"/>
              </w:rPr>
              <w:t>XVIII)</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_Toc27059056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13</w:t>
            </w:r>
            <w:r w:rsidR="00DC4B3B" w:rsidRPr="00BA41B7">
              <w:rPr>
                <w:rFonts w:asciiTheme="majorHAnsi" w:hAnsiTheme="majorHAnsi"/>
                <w:noProof/>
                <w:webHidden/>
                <w:sz w:val="20"/>
              </w:rPr>
              <w:fldChar w:fldCharType="end"/>
            </w:r>
          </w:hyperlink>
        </w:p>
        <w:p w14:paraId="509779DD" w14:textId="50DDD8A6" w:rsidR="00DC4B3B" w:rsidRPr="00BA41B7" w:rsidRDefault="004E185A">
          <w:pPr>
            <w:pStyle w:val="TOC3"/>
            <w:tabs>
              <w:tab w:val="left" w:pos="2160"/>
            </w:tabs>
            <w:rPr>
              <w:rFonts w:asciiTheme="majorHAnsi" w:eastAsiaTheme="minorEastAsia" w:hAnsiTheme="majorHAnsi" w:cstheme="minorBidi"/>
              <w:noProof/>
              <w:color w:val="auto"/>
              <w:sz w:val="20"/>
              <w:bdr w:val="none" w:sz="0" w:space="0" w:color="auto"/>
              <w:lang w:val="en-US" w:eastAsia="en-US"/>
            </w:rPr>
          </w:pPr>
          <w:hyperlink w:anchor="_Toc27059057" w:history="1">
            <w:r w:rsidR="00DC4B3B" w:rsidRPr="00BA41B7">
              <w:rPr>
                <w:rStyle w:val="Hyperlink"/>
                <w:rFonts w:asciiTheme="majorHAnsi" w:hAnsiTheme="majorHAnsi"/>
                <w:noProof/>
                <w:sz w:val="20"/>
              </w:rPr>
              <w:t>1.</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General considerations regarding equality before the law and the right to an effective remedy</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_Toc27059057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13</w:t>
            </w:r>
            <w:r w:rsidR="00DC4B3B" w:rsidRPr="00BA41B7">
              <w:rPr>
                <w:rFonts w:asciiTheme="majorHAnsi" w:hAnsiTheme="majorHAnsi"/>
                <w:noProof/>
                <w:webHidden/>
                <w:sz w:val="20"/>
              </w:rPr>
              <w:fldChar w:fldCharType="end"/>
            </w:r>
          </w:hyperlink>
        </w:p>
        <w:p w14:paraId="5E2B0134" w14:textId="00E11D6B" w:rsidR="00DC4B3B" w:rsidRPr="00BA41B7" w:rsidRDefault="004E185A">
          <w:pPr>
            <w:pStyle w:val="TOC3"/>
            <w:tabs>
              <w:tab w:val="left" w:pos="2160"/>
            </w:tabs>
            <w:rPr>
              <w:rFonts w:asciiTheme="majorHAnsi" w:eastAsiaTheme="minorEastAsia" w:hAnsiTheme="majorHAnsi" w:cstheme="minorBidi"/>
              <w:noProof/>
              <w:color w:val="auto"/>
              <w:sz w:val="20"/>
              <w:bdr w:val="none" w:sz="0" w:space="0" w:color="auto"/>
              <w:lang w:val="en-US" w:eastAsia="en-US"/>
            </w:rPr>
          </w:pPr>
          <w:hyperlink w:anchor="_Toc27059058" w:history="1">
            <w:r w:rsidR="00DC4B3B" w:rsidRPr="00BA41B7">
              <w:rPr>
                <w:rStyle w:val="Hyperlink"/>
                <w:rFonts w:asciiTheme="majorHAnsi" w:hAnsiTheme="majorHAnsi"/>
                <w:noProof/>
                <w:sz w:val="20"/>
              </w:rPr>
              <w:t>2.</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The Shibayama brothers’ exclusion from the CLA</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_Toc27059058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14</w:t>
            </w:r>
            <w:r w:rsidR="00DC4B3B" w:rsidRPr="00BA41B7">
              <w:rPr>
                <w:rFonts w:asciiTheme="majorHAnsi" w:hAnsiTheme="majorHAnsi"/>
                <w:noProof/>
                <w:webHidden/>
                <w:sz w:val="20"/>
              </w:rPr>
              <w:fldChar w:fldCharType="end"/>
            </w:r>
          </w:hyperlink>
        </w:p>
        <w:p w14:paraId="32DA13A3" w14:textId="3E369D88" w:rsidR="00DC4B3B" w:rsidRPr="00BA41B7" w:rsidRDefault="004E185A">
          <w:pPr>
            <w:pStyle w:val="TOC3"/>
            <w:tabs>
              <w:tab w:val="left" w:pos="2160"/>
            </w:tabs>
            <w:rPr>
              <w:rFonts w:asciiTheme="majorHAnsi" w:eastAsiaTheme="minorEastAsia" w:hAnsiTheme="majorHAnsi" w:cstheme="minorBidi"/>
              <w:noProof/>
              <w:color w:val="auto"/>
              <w:sz w:val="20"/>
              <w:bdr w:val="none" w:sz="0" w:space="0" w:color="auto"/>
              <w:lang w:val="en-US" w:eastAsia="en-US"/>
            </w:rPr>
          </w:pPr>
          <w:hyperlink w:anchor="_Toc27059059" w:history="1">
            <w:r w:rsidR="00DC4B3B" w:rsidRPr="00BA41B7">
              <w:rPr>
                <w:rStyle w:val="Hyperlink"/>
                <w:rFonts w:asciiTheme="majorHAnsi" w:hAnsiTheme="majorHAnsi"/>
                <w:noProof/>
                <w:sz w:val="20"/>
              </w:rPr>
              <w:t>3.</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The Shibayama brothers’ remaining claims for reparation</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_Toc27059059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15</w:t>
            </w:r>
            <w:r w:rsidR="00DC4B3B" w:rsidRPr="00BA41B7">
              <w:rPr>
                <w:rFonts w:asciiTheme="majorHAnsi" w:hAnsiTheme="majorHAnsi"/>
                <w:noProof/>
                <w:webHidden/>
                <w:sz w:val="20"/>
              </w:rPr>
              <w:fldChar w:fldCharType="end"/>
            </w:r>
          </w:hyperlink>
        </w:p>
        <w:p w14:paraId="733035B2" w14:textId="32F9F375" w:rsidR="00DC4B3B" w:rsidRPr="00BA41B7" w:rsidRDefault="004E185A">
          <w:pPr>
            <w:pStyle w:val="TOC3"/>
            <w:tabs>
              <w:tab w:val="left" w:pos="2160"/>
            </w:tabs>
            <w:rPr>
              <w:rFonts w:asciiTheme="majorHAnsi" w:eastAsiaTheme="minorEastAsia" w:hAnsiTheme="majorHAnsi" w:cstheme="minorBidi"/>
              <w:noProof/>
              <w:color w:val="auto"/>
              <w:sz w:val="20"/>
              <w:bdr w:val="none" w:sz="0" w:space="0" w:color="auto"/>
              <w:lang w:val="en-US" w:eastAsia="en-US"/>
            </w:rPr>
          </w:pPr>
          <w:hyperlink w:anchor="_Toc27059060" w:history="1">
            <w:r w:rsidR="00DC4B3B" w:rsidRPr="00BA41B7">
              <w:rPr>
                <w:rStyle w:val="Hyperlink"/>
                <w:rFonts w:asciiTheme="majorHAnsi" w:hAnsiTheme="majorHAnsi"/>
                <w:noProof/>
                <w:sz w:val="20"/>
              </w:rPr>
              <w:t>4.</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Conclusions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_Toc27059060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16</w:t>
            </w:r>
            <w:r w:rsidR="00DC4B3B" w:rsidRPr="00BA41B7">
              <w:rPr>
                <w:rFonts w:asciiTheme="majorHAnsi" w:hAnsiTheme="majorHAnsi"/>
                <w:noProof/>
                <w:webHidden/>
                <w:sz w:val="20"/>
              </w:rPr>
              <w:fldChar w:fldCharType="end"/>
            </w:r>
          </w:hyperlink>
        </w:p>
        <w:p w14:paraId="1B88D392" w14:textId="4FF24DB2"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61" w:history="1">
            <w:r w:rsidR="00DC4B3B" w:rsidRPr="00BA41B7">
              <w:rPr>
                <w:rStyle w:val="Hyperlink"/>
                <w:rFonts w:asciiTheme="majorHAnsi" w:hAnsiTheme="majorHAnsi"/>
                <w:noProof/>
                <w:sz w:val="20"/>
                <w:lang w:val="en-US"/>
              </w:rPr>
              <w:t>VI.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ACTIONS SUBSEQUENT TO REPORT No. 154/18</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_Toc27059061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16</w:t>
            </w:r>
            <w:r w:rsidR="00DC4B3B" w:rsidRPr="00BA41B7">
              <w:rPr>
                <w:rFonts w:asciiTheme="majorHAnsi" w:hAnsiTheme="majorHAnsi"/>
                <w:noProof/>
                <w:webHidden/>
                <w:sz w:val="20"/>
              </w:rPr>
              <w:fldChar w:fldCharType="end"/>
            </w:r>
          </w:hyperlink>
        </w:p>
        <w:p w14:paraId="6B293CB6" w14:textId="73EFAD15"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62" w:history="1">
            <w:r w:rsidR="00DC4B3B" w:rsidRPr="00BA41B7">
              <w:rPr>
                <w:rStyle w:val="Hyperlink"/>
                <w:rFonts w:asciiTheme="majorHAnsi" w:hAnsiTheme="majorHAnsi"/>
                <w:noProof/>
                <w:sz w:val="20"/>
                <w:lang w:val="en-US"/>
              </w:rPr>
              <w:t>VII.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lang w:val="en-US"/>
              </w:rPr>
              <w:t>ACTIONS SUBSEQUENT TO REPORT No. 99/19</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_Toc27059062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16</w:t>
            </w:r>
            <w:r w:rsidR="00DC4B3B" w:rsidRPr="00BA41B7">
              <w:rPr>
                <w:rFonts w:asciiTheme="majorHAnsi" w:hAnsiTheme="majorHAnsi"/>
                <w:noProof/>
                <w:webHidden/>
                <w:sz w:val="20"/>
              </w:rPr>
              <w:fldChar w:fldCharType="end"/>
            </w:r>
          </w:hyperlink>
        </w:p>
        <w:p w14:paraId="280B068F" w14:textId="5EBB6DCD" w:rsidR="00DC4B3B" w:rsidRPr="00BA41B7"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63" w:history="1">
            <w:r w:rsidR="00DC4B3B" w:rsidRPr="00BA41B7">
              <w:rPr>
                <w:rStyle w:val="Hyperlink"/>
                <w:rFonts w:asciiTheme="majorHAnsi" w:hAnsiTheme="majorHAnsi"/>
                <w:noProof/>
                <w:sz w:val="20"/>
              </w:rPr>
              <w:t>VIII.</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FINAL CONCLUSIONS AND RECOMMENDATIONS:</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_Toc27059063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16</w:t>
            </w:r>
            <w:r w:rsidR="00DC4B3B" w:rsidRPr="00BA41B7">
              <w:rPr>
                <w:rFonts w:asciiTheme="majorHAnsi" w:hAnsiTheme="majorHAnsi"/>
                <w:noProof/>
                <w:webHidden/>
                <w:sz w:val="20"/>
              </w:rPr>
              <w:fldChar w:fldCharType="end"/>
            </w:r>
          </w:hyperlink>
        </w:p>
        <w:p w14:paraId="4A0759EA" w14:textId="08C9A4BE" w:rsidR="00DC4B3B" w:rsidRPr="00DC4B3B" w:rsidRDefault="004E185A">
          <w:pPr>
            <w:pStyle w:val="TOC1"/>
            <w:tabs>
              <w:tab w:val="left" w:pos="1440"/>
              <w:tab w:val="right" w:leader="dot" w:pos="9350"/>
            </w:tabs>
            <w:rPr>
              <w:rFonts w:asciiTheme="majorHAnsi" w:eastAsiaTheme="minorEastAsia" w:hAnsiTheme="majorHAnsi" w:cstheme="minorBidi"/>
              <w:noProof/>
              <w:color w:val="auto"/>
              <w:sz w:val="20"/>
              <w:bdr w:val="none" w:sz="0" w:space="0" w:color="auto"/>
              <w:lang w:val="en-US" w:eastAsia="en-US"/>
            </w:rPr>
          </w:pPr>
          <w:hyperlink w:anchor="_Toc27059064" w:history="1">
            <w:r w:rsidR="00DC4B3B" w:rsidRPr="00BA41B7">
              <w:rPr>
                <w:rStyle w:val="Hyperlink"/>
                <w:rFonts w:asciiTheme="majorHAnsi" w:hAnsiTheme="majorHAnsi"/>
                <w:noProof/>
                <w:sz w:val="20"/>
              </w:rPr>
              <w:t>IX.</w:t>
            </w:r>
            <w:r w:rsidR="00DC4B3B" w:rsidRPr="00BA41B7">
              <w:rPr>
                <w:rFonts w:asciiTheme="majorHAnsi" w:eastAsiaTheme="minorEastAsia" w:hAnsiTheme="majorHAnsi" w:cstheme="minorBidi"/>
                <w:noProof/>
                <w:color w:val="auto"/>
                <w:sz w:val="20"/>
                <w:bdr w:val="none" w:sz="0" w:space="0" w:color="auto"/>
                <w:lang w:val="en-US" w:eastAsia="en-US"/>
              </w:rPr>
              <w:tab/>
            </w:r>
            <w:r w:rsidR="00DC4B3B" w:rsidRPr="00BA41B7">
              <w:rPr>
                <w:rStyle w:val="Hyperlink"/>
                <w:rFonts w:asciiTheme="majorHAnsi" w:hAnsiTheme="majorHAnsi"/>
                <w:noProof/>
                <w:sz w:val="20"/>
              </w:rPr>
              <w:t>PUBLICATION</w:t>
            </w:r>
            <w:r w:rsidR="00DC4B3B" w:rsidRPr="00BA41B7">
              <w:rPr>
                <w:rFonts w:asciiTheme="majorHAnsi" w:hAnsiTheme="majorHAnsi"/>
                <w:noProof/>
                <w:webHidden/>
                <w:sz w:val="20"/>
              </w:rPr>
              <w:tab/>
            </w:r>
            <w:r w:rsidR="00DC4B3B" w:rsidRPr="00BA41B7">
              <w:rPr>
                <w:rFonts w:asciiTheme="majorHAnsi" w:hAnsiTheme="majorHAnsi"/>
                <w:noProof/>
                <w:webHidden/>
                <w:sz w:val="20"/>
              </w:rPr>
              <w:fldChar w:fldCharType="begin"/>
            </w:r>
            <w:r w:rsidR="00DC4B3B" w:rsidRPr="00BA41B7">
              <w:rPr>
                <w:rFonts w:asciiTheme="majorHAnsi" w:hAnsiTheme="majorHAnsi"/>
                <w:noProof/>
                <w:webHidden/>
                <w:sz w:val="20"/>
              </w:rPr>
              <w:instrText xml:space="preserve"> PAGEREF _Toc27059064 \h </w:instrText>
            </w:r>
            <w:r w:rsidR="00DC4B3B" w:rsidRPr="00BA41B7">
              <w:rPr>
                <w:rFonts w:asciiTheme="majorHAnsi" w:hAnsiTheme="majorHAnsi"/>
                <w:noProof/>
                <w:webHidden/>
                <w:sz w:val="20"/>
              </w:rPr>
            </w:r>
            <w:r w:rsidR="00DC4B3B" w:rsidRPr="00BA41B7">
              <w:rPr>
                <w:rFonts w:asciiTheme="majorHAnsi" w:hAnsiTheme="majorHAnsi"/>
                <w:noProof/>
                <w:webHidden/>
                <w:sz w:val="20"/>
              </w:rPr>
              <w:fldChar w:fldCharType="separate"/>
            </w:r>
            <w:r>
              <w:rPr>
                <w:rFonts w:asciiTheme="majorHAnsi" w:hAnsiTheme="majorHAnsi"/>
                <w:noProof/>
                <w:webHidden/>
                <w:sz w:val="20"/>
              </w:rPr>
              <w:t>17</w:t>
            </w:r>
            <w:r w:rsidR="00DC4B3B" w:rsidRPr="00BA41B7">
              <w:rPr>
                <w:rFonts w:asciiTheme="majorHAnsi" w:hAnsiTheme="majorHAnsi"/>
                <w:noProof/>
                <w:webHidden/>
                <w:sz w:val="20"/>
              </w:rPr>
              <w:fldChar w:fldCharType="end"/>
            </w:r>
          </w:hyperlink>
        </w:p>
        <w:p w14:paraId="1711482B" w14:textId="77777777" w:rsidR="00C53C19" w:rsidRPr="00FA5E63" w:rsidRDefault="00C53C19">
          <w:pPr>
            <w:rPr>
              <w:rFonts w:asciiTheme="majorHAnsi" w:hAnsiTheme="majorHAnsi"/>
              <w:sz w:val="20"/>
            </w:rPr>
          </w:pPr>
          <w:r w:rsidRPr="00DC4B3B">
            <w:rPr>
              <w:rFonts w:asciiTheme="majorHAnsi" w:hAnsiTheme="majorHAnsi"/>
              <w:b/>
              <w:bCs/>
              <w:noProof/>
              <w:sz w:val="20"/>
            </w:rPr>
            <w:fldChar w:fldCharType="end"/>
          </w:r>
        </w:p>
      </w:sdtContent>
    </w:sdt>
    <w:p w14:paraId="0D0A4B27" w14:textId="77777777" w:rsidR="008D768D" w:rsidRPr="00FA5E63" w:rsidRDefault="008D768D" w:rsidP="006125C3">
      <w:pPr>
        <w:tabs>
          <w:tab w:val="center" w:pos="5400"/>
        </w:tabs>
        <w:suppressAutoHyphens/>
        <w:spacing w:line="276" w:lineRule="auto"/>
        <w:rPr>
          <w:rFonts w:asciiTheme="majorHAnsi" w:hAnsiTheme="majorHAnsi"/>
          <w:sz w:val="20"/>
          <w:lang w:val="en-US"/>
        </w:rPr>
      </w:pPr>
    </w:p>
    <w:p w14:paraId="5EF1CD1D" w14:textId="77777777" w:rsidR="00E909AA" w:rsidRPr="00FA5E63" w:rsidRDefault="00E909AA" w:rsidP="00E909AA">
      <w:pPr>
        <w:suppressAutoHyphens/>
        <w:rPr>
          <w:rFonts w:asciiTheme="majorHAnsi" w:hAnsiTheme="majorHAnsi"/>
          <w:b/>
          <w:sz w:val="20"/>
          <w:lang w:val="en-US"/>
        </w:rPr>
      </w:pPr>
    </w:p>
    <w:p w14:paraId="7D56C958" w14:textId="77777777" w:rsidR="00E909AA" w:rsidRPr="00FA5E63"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bdr w:val="none" w:sz="0" w:space="0" w:color="auto"/>
          <w:lang w:val="en-US"/>
        </w:rPr>
      </w:pPr>
      <w:r w:rsidRPr="00FA5E63">
        <w:rPr>
          <w:rFonts w:asciiTheme="majorHAnsi" w:hAnsiTheme="majorHAnsi"/>
          <w:b/>
          <w:sz w:val="20"/>
          <w:lang w:val="es-ES_tradnl"/>
        </w:rPr>
        <w:fldChar w:fldCharType="begin"/>
      </w:r>
      <w:r w:rsidRPr="00FA5E63">
        <w:rPr>
          <w:rFonts w:asciiTheme="majorHAnsi" w:hAnsiTheme="majorHAnsi"/>
          <w:b/>
          <w:sz w:val="20"/>
          <w:lang w:val="en-US"/>
        </w:rPr>
        <w:instrText xml:space="preserve"> TOC \o "1-7" \h \z \u </w:instrText>
      </w:r>
      <w:r w:rsidRPr="00FA5E63">
        <w:rPr>
          <w:rFonts w:asciiTheme="majorHAnsi" w:hAnsiTheme="majorHAnsi"/>
          <w:b/>
          <w:sz w:val="20"/>
          <w:lang w:val="es-ES_tradnl"/>
        </w:rPr>
        <w:fldChar w:fldCharType="separate"/>
      </w:r>
    </w:p>
    <w:p w14:paraId="05771FD2" w14:textId="77777777" w:rsidR="006125C3" w:rsidRPr="00FA5E63"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bdr w:val="none" w:sz="0" w:space="0" w:color="auto"/>
          <w:lang w:val="en-US"/>
        </w:rPr>
      </w:pPr>
    </w:p>
    <w:p w14:paraId="460C6FAA" w14:textId="77777777" w:rsidR="008D768D" w:rsidRPr="00E56641" w:rsidRDefault="006125C3" w:rsidP="006125C3">
      <w:pPr>
        <w:tabs>
          <w:tab w:val="center" w:pos="5400"/>
        </w:tabs>
        <w:suppressAutoHyphens/>
        <w:spacing w:line="276" w:lineRule="auto"/>
        <w:rPr>
          <w:rFonts w:asciiTheme="majorHAnsi" w:hAnsiTheme="majorHAnsi"/>
          <w:sz w:val="20"/>
          <w:lang w:val="en-US"/>
        </w:rPr>
      </w:pPr>
      <w:r w:rsidRPr="00FA5E63">
        <w:rPr>
          <w:rFonts w:asciiTheme="majorHAnsi" w:hAnsiTheme="majorHAnsi"/>
          <w:b/>
          <w:sz w:val="20"/>
          <w:lang w:val="es-ES_tradnl"/>
        </w:rPr>
        <w:fldChar w:fldCharType="end"/>
      </w:r>
    </w:p>
    <w:p w14:paraId="6624A552" w14:textId="77777777" w:rsidR="00722C9F" w:rsidRPr="00E56641" w:rsidRDefault="00722C9F">
      <w:pPr>
        <w:rPr>
          <w:sz w:val="20"/>
          <w:lang w:val="en-US"/>
        </w:rPr>
      </w:pPr>
      <w:r w:rsidRPr="00E56641">
        <w:rPr>
          <w:sz w:val="20"/>
          <w:lang w:val="en-US"/>
        </w:rPr>
        <w:br w:type="page"/>
      </w:r>
    </w:p>
    <w:p w14:paraId="26E72F74" w14:textId="77777777" w:rsidR="00090C1E" w:rsidRPr="00E56641" w:rsidRDefault="00090C1E" w:rsidP="00090C1E">
      <w:pPr>
        <w:tabs>
          <w:tab w:val="center" w:pos="5400"/>
        </w:tabs>
        <w:suppressAutoHyphens/>
        <w:spacing w:line="276" w:lineRule="auto"/>
        <w:jc w:val="center"/>
        <w:rPr>
          <w:rFonts w:asciiTheme="majorHAnsi" w:hAnsiTheme="majorHAnsi"/>
          <w:b/>
          <w:sz w:val="18"/>
          <w:lang w:val="en-US"/>
        </w:rPr>
      </w:pPr>
      <w:r w:rsidRPr="00E56641">
        <w:rPr>
          <w:rFonts w:asciiTheme="majorHAnsi" w:hAnsiTheme="majorHAnsi"/>
          <w:b/>
          <w:sz w:val="18"/>
          <w:lang w:val="en-US"/>
        </w:rPr>
        <w:lastRenderedPageBreak/>
        <w:t xml:space="preserve">REPORT No. </w:t>
      </w:r>
      <w:r w:rsidR="00064413">
        <w:rPr>
          <w:rFonts w:asciiTheme="majorHAnsi" w:hAnsiTheme="majorHAnsi"/>
          <w:b/>
          <w:sz w:val="18"/>
          <w:lang w:val="en-US"/>
        </w:rPr>
        <w:t>26/20</w:t>
      </w:r>
    </w:p>
    <w:p w14:paraId="0E1447DD" w14:textId="77777777" w:rsidR="00090C1E" w:rsidRPr="00E56641" w:rsidRDefault="00090C1E" w:rsidP="00090C1E">
      <w:pPr>
        <w:tabs>
          <w:tab w:val="center" w:pos="5400"/>
        </w:tabs>
        <w:suppressAutoHyphens/>
        <w:spacing w:line="276" w:lineRule="auto"/>
        <w:jc w:val="center"/>
        <w:rPr>
          <w:rFonts w:asciiTheme="majorHAnsi" w:hAnsiTheme="majorHAnsi"/>
          <w:b/>
          <w:sz w:val="18"/>
          <w:lang w:val="en-US"/>
        </w:rPr>
      </w:pPr>
      <w:r w:rsidRPr="00E56641">
        <w:rPr>
          <w:rFonts w:asciiTheme="majorHAnsi" w:hAnsiTheme="majorHAnsi"/>
          <w:b/>
          <w:sz w:val="18"/>
          <w:lang w:val="en-US"/>
        </w:rPr>
        <w:t>CASE 12.545</w:t>
      </w:r>
    </w:p>
    <w:p w14:paraId="3B15B124" w14:textId="77777777" w:rsidR="00090C1E" w:rsidRPr="00E56641" w:rsidRDefault="00DC4B3B" w:rsidP="00090C1E">
      <w:pPr>
        <w:tabs>
          <w:tab w:val="center" w:pos="5400"/>
        </w:tabs>
        <w:suppressAutoHyphens/>
        <w:spacing w:line="276" w:lineRule="auto"/>
        <w:jc w:val="center"/>
        <w:rPr>
          <w:rFonts w:asciiTheme="majorHAnsi" w:hAnsiTheme="majorHAnsi"/>
          <w:sz w:val="18"/>
          <w:lang w:val="en-US"/>
        </w:rPr>
      </w:pPr>
      <w:r>
        <w:rPr>
          <w:rFonts w:asciiTheme="majorHAnsi" w:hAnsiTheme="majorHAnsi"/>
          <w:sz w:val="18"/>
          <w:lang w:val="en-US"/>
        </w:rPr>
        <w:t>MERITS (PUBLICATION</w:t>
      </w:r>
      <w:r w:rsidR="00090C1E" w:rsidRPr="00CD5468">
        <w:rPr>
          <w:rFonts w:asciiTheme="majorHAnsi" w:hAnsiTheme="majorHAnsi"/>
          <w:sz w:val="18"/>
          <w:lang w:val="en-US"/>
        </w:rPr>
        <w:t>)</w:t>
      </w:r>
    </w:p>
    <w:p w14:paraId="4A399356" w14:textId="77777777" w:rsidR="00090C1E" w:rsidRPr="0062612B" w:rsidRDefault="00090C1E" w:rsidP="00090C1E">
      <w:pPr>
        <w:tabs>
          <w:tab w:val="center" w:pos="5400"/>
        </w:tabs>
        <w:suppressAutoHyphens/>
        <w:spacing w:line="276" w:lineRule="auto"/>
        <w:jc w:val="center"/>
        <w:rPr>
          <w:rFonts w:asciiTheme="majorHAnsi" w:hAnsiTheme="majorHAnsi"/>
          <w:sz w:val="18"/>
          <w:lang w:val="es-US"/>
        </w:rPr>
      </w:pPr>
      <w:r w:rsidRPr="0062612B">
        <w:rPr>
          <w:rFonts w:asciiTheme="majorHAnsi" w:hAnsiTheme="majorHAnsi"/>
          <w:sz w:val="18"/>
          <w:lang w:val="es-US"/>
        </w:rPr>
        <w:t>ISAMU CARLOS SHIBAYAMA ET AL.</w:t>
      </w:r>
    </w:p>
    <w:p w14:paraId="1DD61B3E" w14:textId="77777777" w:rsidR="00090C1E" w:rsidRPr="00E56641" w:rsidRDefault="00090C1E" w:rsidP="00090C1E">
      <w:pPr>
        <w:tabs>
          <w:tab w:val="center" w:pos="5400"/>
        </w:tabs>
        <w:suppressAutoHyphens/>
        <w:spacing w:line="276" w:lineRule="auto"/>
        <w:jc w:val="center"/>
        <w:rPr>
          <w:rFonts w:asciiTheme="majorHAnsi" w:hAnsiTheme="majorHAnsi"/>
          <w:sz w:val="18"/>
          <w:lang w:val="en-US"/>
        </w:rPr>
      </w:pPr>
      <w:r w:rsidRPr="00E56641">
        <w:rPr>
          <w:rFonts w:asciiTheme="majorHAnsi" w:hAnsiTheme="majorHAnsi"/>
          <w:sz w:val="18"/>
          <w:lang w:val="en-US"/>
        </w:rPr>
        <w:t>UNITED STATES OF AMERICA</w:t>
      </w:r>
    </w:p>
    <w:p w14:paraId="39DFDA90" w14:textId="77777777" w:rsidR="00090C1E" w:rsidRDefault="00064413" w:rsidP="00090C1E">
      <w:pPr>
        <w:tabs>
          <w:tab w:val="center" w:pos="5400"/>
        </w:tabs>
        <w:suppressAutoHyphens/>
        <w:spacing w:line="276" w:lineRule="auto"/>
        <w:jc w:val="center"/>
        <w:rPr>
          <w:rFonts w:asciiTheme="majorHAnsi" w:hAnsiTheme="majorHAnsi"/>
          <w:sz w:val="18"/>
          <w:lang w:val="en-US"/>
        </w:rPr>
      </w:pPr>
      <w:r>
        <w:rPr>
          <w:rFonts w:asciiTheme="majorHAnsi" w:hAnsiTheme="majorHAnsi"/>
          <w:sz w:val="18"/>
          <w:lang w:val="en-US"/>
        </w:rPr>
        <w:t>April 22</w:t>
      </w:r>
      <w:r w:rsidR="00090C1E">
        <w:rPr>
          <w:rFonts w:asciiTheme="majorHAnsi" w:hAnsiTheme="majorHAnsi"/>
          <w:sz w:val="18"/>
          <w:lang w:val="en-US"/>
        </w:rPr>
        <w:t>, 20</w:t>
      </w:r>
      <w:r w:rsidR="009C3D6E">
        <w:rPr>
          <w:rFonts w:asciiTheme="majorHAnsi" w:hAnsiTheme="majorHAnsi"/>
          <w:sz w:val="18"/>
          <w:lang w:val="en-US"/>
        </w:rPr>
        <w:t>20</w:t>
      </w:r>
    </w:p>
    <w:p w14:paraId="5BD09343" w14:textId="77777777" w:rsidR="00090C1E" w:rsidRDefault="00090C1E" w:rsidP="00090C1E">
      <w:pPr>
        <w:tabs>
          <w:tab w:val="center" w:pos="5400"/>
        </w:tabs>
        <w:suppressAutoHyphens/>
        <w:spacing w:line="276" w:lineRule="auto"/>
        <w:jc w:val="center"/>
        <w:rPr>
          <w:rFonts w:asciiTheme="majorHAnsi" w:hAnsiTheme="majorHAnsi"/>
          <w:sz w:val="18"/>
          <w:lang w:val="en-US"/>
        </w:rPr>
      </w:pPr>
    </w:p>
    <w:p w14:paraId="6BAE6015" w14:textId="77777777" w:rsidR="005937F1" w:rsidRPr="00090C1E" w:rsidRDefault="005937F1" w:rsidP="005937F1">
      <w:pPr>
        <w:pStyle w:val="ListParagraph"/>
        <w:suppressAutoHyphens/>
        <w:ind w:left="1440"/>
        <w:rPr>
          <w:rFonts w:asciiTheme="majorHAnsi" w:hAnsiTheme="majorHAnsi"/>
          <w:b/>
          <w:sz w:val="20"/>
          <w:szCs w:val="20"/>
        </w:rPr>
      </w:pPr>
    </w:p>
    <w:p w14:paraId="1BA8F14E" w14:textId="77777777" w:rsidR="00D12193" w:rsidRPr="00C53C19" w:rsidRDefault="001E28D1" w:rsidP="00C53C19">
      <w:pPr>
        <w:pStyle w:val="Heading1"/>
      </w:pPr>
      <w:bookmarkStart w:id="2" w:name="_Toc27059043"/>
      <w:r w:rsidRPr="00C53C19">
        <w:t>SUMMARY</w:t>
      </w:r>
      <w:bookmarkEnd w:id="2"/>
    </w:p>
    <w:p w14:paraId="3B3DF190" w14:textId="77777777" w:rsidR="005C4CA5" w:rsidRDefault="005C4CA5" w:rsidP="005C4CA5">
      <w:pPr>
        <w:suppressAutoHyphens/>
        <w:ind w:left="360"/>
        <w:rPr>
          <w:rFonts w:asciiTheme="majorHAnsi" w:hAnsiTheme="majorHAnsi"/>
          <w:b/>
          <w:sz w:val="20"/>
          <w:lang w:val="es-ES_tradnl"/>
        </w:rPr>
      </w:pPr>
    </w:p>
    <w:p w14:paraId="5268EBF1" w14:textId="77777777" w:rsidR="00BD7433" w:rsidRPr="00E56641" w:rsidRDefault="00BD7433"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n-US"/>
        </w:rPr>
      </w:pPr>
      <w:r w:rsidRPr="00E56641">
        <w:rPr>
          <w:rFonts w:asciiTheme="majorHAnsi" w:hAnsiTheme="majorHAnsi"/>
          <w:color w:val="auto"/>
          <w:sz w:val="20"/>
          <w:lang w:val="en-US"/>
        </w:rPr>
        <w:t xml:space="preserve">On </w:t>
      </w:r>
      <w:r w:rsidR="00D032B2" w:rsidRPr="00E56641">
        <w:rPr>
          <w:rFonts w:asciiTheme="majorHAnsi" w:hAnsiTheme="majorHAnsi"/>
          <w:color w:val="auto"/>
          <w:sz w:val="20"/>
          <w:lang w:val="en-US"/>
        </w:rPr>
        <w:t>June 11, 2003</w:t>
      </w:r>
      <w:r w:rsidRPr="00E56641">
        <w:rPr>
          <w:rFonts w:asciiTheme="majorHAnsi" w:hAnsiTheme="majorHAnsi"/>
          <w:color w:val="auto"/>
          <w:sz w:val="20"/>
          <w:lang w:val="en-US"/>
        </w:rPr>
        <w:t xml:space="preserve">, the Inter-American Commission on Human Rights (the “Inter-American Commission” or “IACHR”) received a petition presented by </w:t>
      </w:r>
      <w:r w:rsidR="00D032B2" w:rsidRPr="00E56641">
        <w:rPr>
          <w:rFonts w:asciiTheme="majorHAnsi" w:hAnsiTheme="majorHAnsi"/>
          <w:color w:val="auto"/>
          <w:sz w:val="20"/>
          <w:lang w:val="en-US"/>
        </w:rPr>
        <w:t>Karen Parker and the Japanese Peruvian Oral History Project</w:t>
      </w:r>
      <w:r w:rsidRPr="00E56641">
        <w:rPr>
          <w:rFonts w:asciiTheme="majorHAnsi" w:hAnsiTheme="majorHAnsi"/>
          <w:color w:val="auto"/>
          <w:sz w:val="20"/>
          <w:lang w:val="en-US"/>
        </w:rPr>
        <w:t xml:space="preserve"> (the “petitioners”) that alleges the international responsibility of </w:t>
      </w:r>
      <w:r w:rsidR="00D032B2" w:rsidRPr="00E56641">
        <w:rPr>
          <w:rFonts w:asciiTheme="majorHAnsi" w:hAnsiTheme="majorHAnsi"/>
          <w:color w:val="auto"/>
          <w:sz w:val="20"/>
          <w:lang w:val="en-US"/>
        </w:rPr>
        <w:t>the United States of America</w:t>
      </w:r>
      <w:r w:rsidRPr="00E56641">
        <w:rPr>
          <w:rFonts w:asciiTheme="majorHAnsi" w:hAnsiTheme="majorHAnsi"/>
          <w:color w:val="auto"/>
          <w:sz w:val="20"/>
          <w:lang w:val="en-US"/>
        </w:rPr>
        <w:t xml:space="preserve"> (the “State” or “</w:t>
      </w:r>
      <w:r w:rsidR="00D032B2" w:rsidRPr="00E56641">
        <w:rPr>
          <w:rFonts w:asciiTheme="majorHAnsi" w:hAnsiTheme="majorHAnsi"/>
          <w:color w:val="auto"/>
          <w:sz w:val="20"/>
          <w:lang w:val="en-US"/>
        </w:rPr>
        <w:t>U.S.</w:t>
      </w:r>
      <w:r w:rsidRPr="00E56641">
        <w:rPr>
          <w:rFonts w:asciiTheme="majorHAnsi" w:hAnsiTheme="majorHAnsi"/>
          <w:color w:val="auto"/>
          <w:sz w:val="20"/>
          <w:lang w:val="en-US"/>
        </w:rPr>
        <w:t xml:space="preserve">”) for violations of the </w:t>
      </w:r>
      <w:r w:rsidR="004228F5" w:rsidRPr="00E56641">
        <w:rPr>
          <w:rFonts w:asciiTheme="majorHAnsi" w:hAnsiTheme="majorHAnsi"/>
          <w:color w:val="auto"/>
          <w:sz w:val="20"/>
          <w:lang w:val="en-US"/>
        </w:rPr>
        <w:t xml:space="preserve">human </w:t>
      </w:r>
      <w:r w:rsidRPr="00E56641">
        <w:rPr>
          <w:rFonts w:asciiTheme="majorHAnsi" w:hAnsiTheme="majorHAnsi"/>
          <w:color w:val="auto"/>
          <w:sz w:val="20"/>
          <w:lang w:val="en-US"/>
        </w:rPr>
        <w:t xml:space="preserve">rights of </w:t>
      </w:r>
      <w:r w:rsidR="00D032B2" w:rsidRPr="00E56641">
        <w:rPr>
          <w:rFonts w:asciiTheme="majorHAnsi" w:hAnsiTheme="majorHAnsi"/>
          <w:color w:val="auto"/>
          <w:sz w:val="20"/>
          <w:lang w:val="en-US"/>
        </w:rPr>
        <w:t>Isamu Carlos</w:t>
      </w:r>
      <w:r w:rsidR="00E45EFB">
        <w:rPr>
          <w:rFonts w:asciiTheme="majorHAnsi" w:hAnsiTheme="majorHAnsi"/>
          <w:color w:val="auto"/>
          <w:sz w:val="20"/>
          <w:lang w:val="en-US"/>
        </w:rPr>
        <w:t xml:space="preserve"> (“Arthur”)</w:t>
      </w:r>
      <w:r w:rsidR="00D032B2" w:rsidRPr="00E56641">
        <w:rPr>
          <w:rFonts w:asciiTheme="majorHAnsi" w:hAnsiTheme="majorHAnsi"/>
          <w:color w:val="auto"/>
          <w:sz w:val="20"/>
          <w:lang w:val="en-US"/>
        </w:rPr>
        <w:t xml:space="preserve"> Shibayama, Kenichi Javier Shibayama, and Takeshi Jorge Shibayama (the “Shibayama brothers”)</w:t>
      </w:r>
      <w:r w:rsidRPr="00E56641">
        <w:rPr>
          <w:rFonts w:asciiTheme="majorHAnsi" w:hAnsiTheme="majorHAnsi"/>
          <w:color w:val="auto"/>
          <w:sz w:val="20"/>
          <w:lang w:val="en-US"/>
        </w:rPr>
        <w:t xml:space="preserve">. </w:t>
      </w:r>
    </w:p>
    <w:p w14:paraId="1E305318" w14:textId="77777777" w:rsidR="00BD7433" w:rsidRPr="00E56641"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auto"/>
          <w:sz w:val="20"/>
          <w:lang w:val="en-US"/>
        </w:rPr>
      </w:pPr>
    </w:p>
    <w:p w14:paraId="3EF091B1" w14:textId="77777777" w:rsidR="00BD7433" w:rsidRPr="00F87211" w:rsidRDefault="00BD7433"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n-US"/>
        </w:rPr>
      </w:pPr>
      <w:r w:rsidRPr="00E56641">
        <w:rPr>
          <w:rFonts w:asciiTheme="majorHAnsi" w:hAnsiTheme="majorHAnsi"/>
          <w:color w:val="auto"/>
          <w:sz w:val="20"/>
          <w:lang w:val="en-US"/>
        </w:rPr>
        <w:t xml:space="preserve">The Commission approved its </w:t>
      </w:r>
      <w:r w:rsidRPr="00624611">
        <w:rPr>
          <w:rFonts w:asciiTheme="majorHAnsi" w:hAnsiTheme="majorHAnsi"/>
          <w:color w:val="auto"/>
          <w:sz w:val="20"/>
          <w:lang w:val="en-US"/>
        </w:rPr>
        <w:t xml:space="preserve">admissibility report No. </w:t>
      </w:r>
      <w:r w:rsidR="00D032B2" w:rsidRPr="00624611">
        <w:rPr>
          <w:rFonts w:asciiTheme="majorHAnsi" w:hAnsiTheme="majorHAnsi"/>
          <w:color w:val="auto"/>
          <w:sz w:val="20"/>
          <w:lang w:val="en-US"/>
        </w:rPr>
        <w:t>26</w:t>
      </w:r>
      <w:r w:rsidRPr="00624611">
        <w:rPr>
          <w:rFonts w:asciiTheme="majorHAnsi" w:hAnsiTheme="majorHAnsi"/>
          <w:color w:val="auto"/>
          <w:sz w:val="20"/>
          <w:lang w:val="en-US"/>
        </w:rPr>
        <w:t>/</w:t>
      </w:r>
      <w:r w:rsidR="00D032B2" w:rsidRPr="00624611">
        <w:rPr>
          <w:rFonts w:asciiTheme="majorHAnsi" w:hAnsiTheme="majorHAnsi"/>
          <w:color w:val="auto"/>
          <w:sz w:val="20"/>
          <w:lang w:val="en-US"/>
        </w:rPr>
        <w:t>06</w:t>
      </w:r>
      <w:r w:rsidRPr="00624611">
        <w:rPr>
          <w:rFonts w:asciiTheme="majorHAnsi" w:hAnsiTheme="majorHAnsi"/>
          <w:color w:val="auto"/>
          <w:sz w:val="20"/>
          <w:lang w:val="en-US"/>
        </w:rPr>
        <w:t xml:space="preserve"> on </w:t>
      </w:r>
      <w:r w:rsidR="00D032B2" w:rsidRPr="00624611">
        <w:rPr>
          <w:rFonts w:asciiTheme="majorHAnsi" w:hAnsiTheme="majorHAnsi"/>
          <w:color w:val="auto"/>
          <w:sz w:val="20"/>
          <w:lang w:val="en-US"/>
        </w:rPr>
        <w:t>March 16, 2006</w:t>
      </w:r>
      <w:r w:rsidRPr="00624611">
        <w:rPr>
          <w:rFonts w:asciiTheme="majorHAnsi" w:hAnsiTheme="majorHAnsi"/>
          <w:color w:val="auto"/>
          <w:sz w:val="20"/>
          <w:lang w:val="en-US"/>
        </w:rPr>
        <w:t>.</w:t>
      </w:r>
      <w:r w:rsidRPr="00624611">
        <w:rPr>
          <w:rStyle w:val="FootnoteReference"/>
          <w:rFonts w:asciiTheme="majorHAnsi" w:hAnsiTheme="majorHAnsi"/>
          <w:color w:val="auto"/>
          <w:sz w:val="20"/>
          <w:lang w:val="es-ES_tradnl"/>
        </w:rPr>
        <w:footnoteReference w:id="2"/>
      </w:r>
      <w:r w:rsidRPr="00624611">
        <w:rPr>
          <w:rFonts w:asciiTheme="majorHAnsi" w:hAnsiTheme="majorHAnsi"/>
          <w:color w:val="auto"/>
          <w:sz w:val="20"/>
          <w:lang w:val="en-US"/>
        </w:rPr>
        <w:t xml:space="preserve"> On </w:t>
      </w:r>
      <w:r w:rsidR="00624611" w:rsidRPr="00624611">
        <w:rPr>
          <w:rFonts w:asciiTheme="majorHAnsi" w:hAnsiTheme="majorHAnsi"/>
          <w:color w:val="auto"/>
          <w:sz w:val="20"/>
          <w:lang w:val="en-US"/>
        </w:rPr>
        <w:t>March 21, 2006</w:t>
      </w:r>
      <w:r w:rsidRPr="00624611">
        <w:rPr>
          <w:rFonts w:asciiTheme="majorHAnsi" w:hAnsiTheme="majorHAnsi"/>
          <w:color w:val="auto"/>
          <w:sz w:val="20"/>
          <w:lang w:val="en-US"/>
        </w:rPr>
        <w:t xml:space="preserve">, the Commission notified this report to the parties and placed itself at the disposition of the parties to reach a friendly settlement. The parties enjoyed the time periods provided for in the IACHR’s Rules of Procedure to present </w:t>
      </w:r>
      <w:r w:rsidRPr="00F87211">
        <w:rPr>
          <w:rFonts w:asciiTheme="majorHAnsi" w:hAnsiTheme="majorHAnsi"/>
          <w:color w:val="auto"/>
          <w:sz w:val="20"/>
          <w:lang w:val="en-US"/>
        </w:rPr>
        <w:t xml:space="preserve">additional observations on the merits. On </w:t>
      </w:r>
      <w:r w:rsidR="008E3D57" w:rsidRPr="00F87211">
        <w:rPr>
          <w:rFonts w:asciiTheme="majorHAnsi" w:hAnsiTheme="majorHAnsi"/>
          <w:color w:val="auto"/>
          <w:sz w:val="20"/>
          <w:lang w:val="en-US"/>
        </w:rPr>
        <w:t>March 21, 2017</w:t>
      </w:r>
      <w:r w:rsidRPr="00F87211">
        <w:rPr>
          <w:rFonts w:asciiTheme="majorHAnsi" w:hAnsiTheme="majorHAnsi"/>
          <w:color w:val="auto"/>
          <w:sz w:val="20"/>
          <w:lang w:val="en-US"/>
        </w:rPr>
        <w:t>, the Commission held a hearing on the merits of the case</w:t>
      </w:r>
      <w:r w:rsidR="007C27A7" w:rsidRPr="00F87211">
        <w:rPr>
          <w:rFonts w:asciiTheme="majorHAnsi" w:hAnsiTheme="majorHAnsi"/>
          <w:color w:val="auto"/>
          <w:sz w:val="20"/>
          <w:lang w:val="en-US"/>
        </w:rPr>
        <w:t>. The State was not present at this hearing</w:t>
      </w:r>
      <w:r w:rsidRPr="00F87211">
        <w:rPr>
          <w:rFonts w:asciiTheme="majorHAnsi" w:hAnsiTheme="majorHAnsi"/>
          <w:color w:val="auto"/>
          <w:sz w:val="20"/>
          <w:lang w:val="en-US"/>
        </w:rPr>
        <w:t xml:space="preserve">. All the information received by the Commission was duly transmitted to the parties. </w:t>
      </w:r>
    </w:p>
    <w:p w14:paraId="2E120234" w14:textId="77777777" w:rsidR="00BD7433" w:rsidRPr="00F87211"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auto"/>
          <w:sz w:val="20"/>
          <w:lang w:val="en-US"/>
        </w:rPr>
      </w:pPr>
    </w:p>
    <w:p w14:paraId="03EB42A3" w14:textId="77777777" w:rsidR="00BD7433" w:rsidRPr="00C53C19" w:rsidRDefault="005C7F37"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lang w:val="en-US"/>
        </w:rPr>
      </w:pPr>
      <w:r w:rsidRPr="00F87211">
        <w:rPr>
          <w:rFonts w:asciiTheme="majorHAnsi" w:hAnsiTheme="majorHAnsi"/>
          <w:color w:val="auto"/>
          <w:sz w:val="20"/>
          <w:lang w:val="en-US"/>
        </w:rPr>
        <w:t>P</w:t>
      </w:r>
      <w:r w:rsidR="00BD7433" w:rsidRPr="00F87211">
        <w:rPr>
          <w:rFonts w:asciiTheme="majorHAnsi" w:hAnsiTheme="majorHAnsi"/>
          <w:color w:val="auto"/>
          <w:sz w:val="20"/>
          <w:lang w:val="en-US"/>
        </w:rPr>
        <w:t xml:space="preserve">etitioners alleged that </w:t>
      </w:r>
      <w:r w:rsidRPr="00F87211">
        <w:rPr>
          <w:rFonts w:asciiTheme="majorHAnsi" w:hAnsiTheme="majorHAnsi"/>
          <w:color w:val="auto"/>
          <w:sz w:val="20"/>
          <w:lang w:val="en-US"/>
        </w:rPr>
        <w:t>the Shibayama brothers and their family, Peruvians of Japanese ancestry, were kidnapped from Peru by the</w:t>
      </w:r>
      <w:r w:rsidRPr="00624611">
        <w:rPr>
          <w:rFonts w:asciiTheme="majorHAnsi" w:hAnsiTheme="majorHAnsi"/>
          <w:color w:val="auto"/>
          <w:sz w:val="20"/>
          <w:lang w:val="en-US"/>
        </w:rPr>
        <w:t xml:space="preserve"> United </w:t>
      </w:r>
      <w:r w:rsidRPr="00E56641">
        <w:rPr>
          <w:rFonts w:asciiTheme="majorHAnsi" w:hAnsiTheme="majorHAnsi"/>
          <w:color w:val="auto"/>
          <w:sz w:val="20"/>
          <w:lang w:val="en-US"/>
        </w:rPr>
        <w:t>States and held in U.S. internment camps</w:t>
      </w:r>
      <w:r w:rsidR="00C837BB">
        <w:rPr>
          <w:rFonts w:asciiTheme="majorHAnsi" w:hAnsiTheme="majorHAnsi"/>
          <w:color w:val="auto"/>
          <w:sz w:val="20"/>
          <w:lang w:val="en-US"/>
        </w:rPr>
        <w:t xml:space="preserve"> in Texas</w:t>
      </w:r>
      <w:r w:rsidRPr="00E56641">
        <w:rPr>
          <w:rFonts w:asciiTheme="majorHAnsi" w:hAnsiTheme="majorHAnsi"/>
          <w:color w:val="auto"/>
          <w:sz w:val="20"/>
          <w:lang w:val="en-US"/>
        </w:rPr>
        <w:t xml:space="preserve"> </w:t>
      </w:r>
      <w:r w:rsidRPr="00E56641">
        <w:rPr>
          <w:rFonts w:asciiTheme="majorHAnsi" w:hAnsiTheme="majorHAnsi"/>
          <w:sz w:val="20"/>
          <w:lang w:val="en-US"/>
        </w:rPr>
        <w:t>during World War II</w:t>
      </w:r>
      <w:r w:rsidR="00460DEF" w:rsidRPr="00E56641">
        <w:rPr>
          <w:rFonts w:asciiTheme="majorHAnsi" w:hAnsiTheme="majorHAnsi"/>
          <w:sz w:val="20"/>
          <w:lang w:val="en-US"/>
        </w:rPr>
        <w:t xml:space="preserve"> as potential hostages to be exchanged with Japan</w:t>
      </w:r>
      <w:r w:rsidRPr="00E56641">
        <w:rPr>
          <w:rFonts w:asciiTheme="majorHAnsi" w:hAnsiTheme="majorHAnsi"/>
          <w:sz w:val="20"/>
          <w:lang w:val="en-US"/>
        </w:rPr>
        <w:t xml:space="preserve">. Following the end of the war, they were released from detention but </w:t>
      </w:r>
      <w:r w:rsidR="00BD45C8">
        <w:rPr>
          <w:rFonts w:asciiTheme="majorHAnsi" w:hAnsiTheme="majorHAnsi"/>
          <w:sz w:val="20"/>
          <w:lang w:val="en-US"/>
        </w:rPr>
        <w:t>neither</w:t>
      </w:r>
      <w:r w:rsidRPr="00E56641">
        <w:rPr>
          <w:rFonts w:asciiTheme="majorHAnsi" w:hAnsiTheme="majorHAnsi"/>
          <w:sz w:val="20"/>
          <w:lang w:val="en-US"/>
        </w:rPr>
        <w:t xml:space="preserve"> repatriated to Peru </w:t>
      </w:r>
      <w:r w:rsidR="00BD45C8">
        <w:rPr>
          <w:rFonts w:asciiTheme="majorHAnsi" w:hAnsiTheme="majorHAnsi"/>
          <w:sz w:val="20"/>
          <w:lang w:val="en-US"/>
        </w:rPr>
        <w:t>n</w:t>
      </w:r>
      <w:r w:rsidRPr="00E56641">
        <w:rPr>
          <w:rFonts w:asciiTheme="majorHAnsi" w:hAnsiTheme="majorHAnsi"/>
          <w:sz w:val="20"/>
          <w:lang w:val="en-US"/>
        </w:rPr>
        <w:t xml:space="preserve">or granted legal immigration status in the U.S., </w:t>
      </w:r>
      <w:r w:rsidR="002C20EA">
        <w:rPr>
          <w:rFonts w:asciiTheme="majorHAnsi" w:hAnsiTheme="majorHAnsi"/>
          <w:sz w:val="20"/>
          <w:lang w:val="en-US"/>
        </w:rPr>
        <w:t>but rather</w:t>
      </w:r>
      <w:r w:rsidRPr="00E56641">
        <w:rPr>
          <w:rFonts w:asciiTheme="majorHAnsi" w:hAnsiTheme="majorHAnsi"/>
          <w:sz w:val="20"/>
          <w:lang w:val="en-US"/>
        </w:rPr>
        <w:t xml:space="preserve"> labeled “illegal aliens</w:t>
      </w:r>
      <w:r w:rsidR="00BD7433" w:rsidRPr="00E56641">
        <w:rPr>
          <w:rFonts w:asciiTheme="majorHAnsi" w:hAnsiTheme="majorHAnsi"/>
          <w:color w:val="auto"/>
          <w:sz w:val="20"/>
          <w:lang w:val="en-US"/>
        </w:rPr>
        <w:t>.</w:t>
      </w:r>
      <w:r w:rsidRPr="00E56641">
        <w:rPr>
          <w:rFonts w:asciiTheme="majorHAnsi" w:hAnsiTheme="majorHAnsi"/>
          <w:sz w:val="20"/>
          <w:lang w:val="en-US"/>
        </w:rPr>
        <w:t xml:space="preserve">” In 1988, the U.S. passed the Civil Rights Act (CLA), which provided </w:t>
      </w:r>
      <w:r w:rsidR="00063087" w:rsidRPr="00E56641">
        <w:rPr>
          <w:rFonts w:asciiTheme="majorHAnsi" w:hAnsiTheme="majorHAnsi"/>
          <w:sz w:val="20"/>
          <w:lang w:val="en-US"/>
        </w:rPr>
        <w:t xml:space="preserve">some reparation to Japanese Americans who were interned during World War II, but excluded those who were not citizens or permanent residents at the time of their internment, thus excluding </w:t>
      </w:r>
      <w:r w:rsidR="00C53C19">
        <w:rPr>
          <w:rFonts w:asciiTheme="majorHAnsi" w:hAnsiTheme="majorHAnsi"/>
          <w:sz w:val="20"/>
          <w:lang w:val="en-US"/>
        </w:rPr>
        <w:t xml:space="preserve">many </w:t>
      </w:r>
      <w:r w:rsidR="00063087" w:rsidRPr="00E56641">
        <w:rPr>
          <w:rFonts w:asciiTheme="majorHAnsi" w:hAnsiTheme="majorHAnsi"/>
          <w:sz w:val="20"/>
          <w:lang w:val="en-US"/>
        </w:rPr>
        <w:t>Japanese Latin Americans</w:t>
      </w:r>
      <w:r w:rsidR="002C20EA">
        <w:rPr>
          <w:rFonts w:asciiTheme="majorHAnsi" w:hAnsiTheme="majorHAnsi"/>
          <w:sz w:val="20"/>
          <w:lang w:val="en-US"/>
        </w:rPr>
        <w:t>, including the Shibayama brothers,</w:t>
      </w:r>
      <w:r w:rsidR="00C53C19">
        <w:rPr>
          <w:rFonts w:asciiTheme="majorHAnsi" w:hAnsiTheme="majorHAnsi"/>
          <w:sz w:val="20"/>
          <w:lang w:val="en-US"/>
        </w:rPr>
        <w:t xml:space="preserve"> and allegedly violating their rights to due process, to an effective remedy, and to equality before the law</w:t>
      </w:r>
      <w:r w:rsidR="00063087" w:rsidRPr="00E56641">
        <w:rPr>
          <w:rFonts w:asciiTheme="majorHAnsi" w:hAnsiTheme="majorHAnsi"/>
          <w:sz w:val="20"/>
          <w:lang w:val="en-US"/>
        </w:rPr>
        <w:t xml:space="preserve">. </w:t>
      </w:r>
      <w:r w:rsidR="00460DEF" w:rsidRPr="00C53C19">
        <w:rPr>
          <w:rFonts w:asciiTheme="majorHAnsi" w:hAnsiTheme="majorHAnsi"/>
          <w:sz w:val="20"/>
          <w:lang w:val="en-US"/>
        </w:rPr>
        <w:t>The</w:t>
      </w:r>
      <w:r w:rsidR="00C53C19">
        <w:rPr>
          <w:rFonts w:asciiTheme="majorHAnsi" w:hAnsiTheme="majorHAnsi"/>
          <w:sz w:val="20"/>
          <w:lang w:val="en-US"/>
        </w:rPr>
        <w:t xml:space="preserve"> brothers’</w:t>
      </w:r>
      <w:r w:rsidR="00460DEF" w:rsidRPr="00C53C19">
        <w:rPr>
          <w:rFonts w:asciiTheme="majorHAnsi" w:hAnsiTheme="majorHAnsi"/>
          <w:sz w:val="20"/>
          <w:lang w:val="en-US"/>
        </w:rPr>
        <w:t xml:space="preserve"> claims for reparation remain unredressed to this day.</w:t>
      </w:r>
    </w:p>
    <w:p w14:paraId="73680E1A" w14:textId="77777777" w:rsidR="00BD7433" w:rsidRPr="00C53C19" w:rsidRDefault="00BD7433" w:rsidP="00BD74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lang w:val="en-US"/>
        </w:rPr>
      </w:pPr>
    </w:p>
    <w:p w14:paraId="79F1DFB2" w14:textId="77777777" w:rsidR="00BD7433" w:rsidRPr="00E56641" w:rsidRDefault="00BD7433"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sidRPr="00E56641">
        <w:rPr>
          <w:rFonts w:asciiTheme="majorHAnsi" w:hAnsiTheme="majorHAnsi"/>
          <w:color w:val="000000" w:themeColor="text1"/>
          <w:sz w:val="20"/>
          <w:lang w:val="en-US"/>
        </w:rPr>
        <w:t xml:space="preserve">The State </w:t>
      </w:r>
      <w:r w:rsidRPr="00624611">
        <w:rPr>
          <w:rFonts w:asciiTheme="majorHAnsi" w:hAnsiTheme="majorHAnsi"/>
          <w:color w:val="auto"/>
          <w:sz w:val="20"/>
          <w:lang w:val="en-US"/>
        </w:rPr>
        <w:t xml:space="preserve">alleged that </w:t>
      </w:r>
      <w:r w:rsidR="00624611" w:rsidRPr="00624611">
        <w:rPr>
          <w:rFonts w:asciiTheme="majorHAnsi" w:hAnsiTheme="majorHAnsi"/>
          <w:color w:val="auto"/>
          <w:sz w:val="20"/>
          <w:lang w:val="en-US"/>
        </w:rPr>
        <w:t>the exclusion of the Shibayama brothers from redress under the CLA, and their lack of redress to date, does not constitute a violation of equality under the law, as citizenship and legal permanent residency are valid distinctions in the making of laws that require the U.S. government to make payments, and that they have effectively enjoyed their due process</w:t>
      </w:r>
      <w:r w:rsidR="00FD1BB2">
        <w:rPr>
          <w:rFonts w:asciiTheme="majorHAnsi" w:hAnsiTheme="majorHAnsi"/>
          <w:color w:val="auto"/>
          <w:sz w:val="20"/>
          <w:lang w:val="en-US"/>
        </w:rPr>
        <w:t xml:space="preserve"> and fair trial</w:t>
      </w:r>
      <w:r w:rsidR="00624611" w:rsidRPr="00624611">
        <w:rPr>
          <w:rFonts w:asciiTheme="majorHAnsi" w:hAnsiTheme="majorHAnsi"/>
          <w:color w:val="auto"/>
          <w:sz w:val="20"/>
          <w:lang w:val="en-US"/>
        </w:rPr>
        <w:t xml:space="preserve"> rights</w:t>
      </w:r>
      <w:r w:rsidR="002C20EA">
        <w:rPr>
          <w:rFonts w:asciiTheme="majorHAnsi" w:hAnsiTheme="majorHAnsi"/>
          <w:color w:val="auto"/>
          <w:sz w:val="20"/>
          <w:lang w:val="en-US"/>
        </w:rPr>
        <w:t xml:space="preserve"> in all legal proceedings relating to the CLA and other related claims brought before the federal courts</w:t>
      </w:r>
      <w:r w:rsidRPr="00624611">
        <w:rPr>
          <w:rFonts w:asciiTheme="majorHAnsi" w:hAnsiTheme="majorHAnsi"/>
          <w:color w:val="auto"/>
          <w:sz w:val="20"/>
          <w:lang w:val="en-US"/>
        </w:rPr>
        <w:t>.</w:t>
      </w:r>
    </w:p>
    <w:p w14:paraId="4F1FB15D" w14:textId="77777777" w:rsidR="00BD7433" w:rsidRPr="00A507D0" w:rsidRDefault="00BD7433" w:rsidP="00624611">
      <w:pPr>
        <w:pStyle w:val="ListParagraph"/>
        <w:rPr>
          <w:rFonts w:asciiTheme="majorHAnsi" w:hAnsiTheme="majorHAnsi"/>
          <w:color w:val="000000" w:themeColor="text1"/>
          <w:sz w:val="20"/>
          <w:szCs w:val="20"/>
        </w:rPr>
      </w:pPr>
    </w:p>
    <w:p w14:paraId="0DE426D0" w14:textId="77777777" w:rsidR="00BD7433" w:rsidRPr="003A1E02" w:rsidRDefault="00BD7433"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3A1E02">
        <w:rPr>
          <w:rFonts w:asciiTheme="majorHAnsi" w:hAnsiTheme="majorHAnsi"/>
          <w:color w:val="auto"/>
          <w:sz w:val="20"/>
          <w:lang w:val="en-US"/>
        </w:rPr>
        <w:t xml:space="preserve">On the basis of determinations of fact and law, the Inter-American Commission concluded that the State is responsible for the violation of </w:t>
      </w:r>
      <w:r w:rsidR="00F87211" w:rsidRPr="003A1E02">
        <w:rPr>
          <w:rFonts w:asciiTheme="majorHAnsi" w:hAnsiTheme="majorHAnsi"/>
          <w:color w:val="auto"/>
          <w:sz w:val="20"/>
          <w:lang w:val="en-US"/>
        </w:rPr>
        <w:t>articles II (equality before the law)</w:t>
      </w:r>
      <w:r w:rsidR="00F87211">
        <w:rPr>
          <w:rFonts w:asciiTheme="majorHAnsi" w:hAnsiTheme="majorHAnsi"/>
          <w:color w:val="auto"/>
          <w:sz w:val="20"/>
          <w:lang w:val="en-US"/>
        </w:rPr>
        <w:t xml:space="preserve"> and</w:t>
      </w:r>
      <w:r w:rsidR="00F87211" w:rsidRPr="003A1E02">
        <w:rPr>
          <w:rFonts w:asciiTheme="majorHAnsi" w:hAnsiTheme="majorHAnsi"/>
          <w:color w:val="auto"/>
          <w:sz w:val="20"/>
          <w:lang w:val="en-US"/>
        </w:rPr>
        <w:t xml:space="preserve"> XVIII (fair trial and effective remedy)</w:t>
      </w:r>
      <w:r w:rsidR="00F87211">
        <w:rPr>
          <w:rFonts w:asciiTheme="majorHAnsi" w:hAnsiTheme="majorHAnsi"/>
          <w:color w:val="auto"/>
          <w:sz w:val="20"/>
          <w:lang w:val="en-US"/>
        </w:rPr>
        <w:t xml:space="preserve"> </w:t>
      </w:r>
      <w:r w:rsidR="00F87211" w:rsidRPr="003A1E02">
        <w:rPr>
          <w:rFonts w:asciiTheme="majorHAnsi" w:hAnsiTheme="majorHAnsi"/>
          <w:color w:val="auto"/>
          <w:sz w:val="20"/>
          <w:lang w:val="en-US"/>
        </w:rPr>
        <w:t xml:space="preserve">of the </w:t>
      </w:r>
      <w:r w:rsidRPr="003A1E02">
        <w:rPr>
          <w:rFonts w:asciiTheme="majorHAnsi" w:hAnsiTheme="majorHAnsi"/>
          <w:color w:val="auto"/>
          <w:sz w:val="20"/>
          <w:lang w:val="en-US"/>
        </w:rPr>
        <w:t>American Declaration on the Rights and Duties of Man (the “American Declaration”). The Commission formulated the corresponding recommendations to the State.</w:t>
      </w:r>
    </w:p>
    <w:p w14:paraId="04B1ADDE" w14:textId="77777777" w:rsidR="00BD7433" w:rsidRPr="00D032B2" w:rsidRDefault="00BD7433" w:rsidP="00BD7433">
      <w:pPr>
        <w:pStyle w:val="ListParagraph"/>
        <w:rPr>
          <w:color w:val="000000" w:themeColor="text1"/>
          <w:sz w:val="20"/>
          <w:szCs w:val="20"/>
        </w:rPr>
      </w:pPr>
    </w:p>
    <w:p w14:paraId="2F67C8E2" w14:textId="77777777" w:rsidR="00D12193" w:rsidRPr="00E909AA" w:rsidRDefault="001E28D1" w:rsidP="00C53C19">
      <w:pPr>
        <w:pStyle w:val="Heading1"/>
      </w:pPr>
      <w:bookmarkStart w:id="3" w:name="_Toc27059044"/>
      <w:r>
        <w:t>POSITIONS OF THE PARTIES</w:t>
      </w:r>
      <w:bookmarkEnd w:id="3"/>
    </w:p>
    <w:p w14:paraId="3B925886" w14:textId="77777777" w:rsidR="00D83D73" w:rsidRDefault="00D83D73" w:rsidP="00D83D73">
      <w:pPr>
        <w:pStyle w:val="ListParagraph"/>
        <w:suppressAutoHyphens/>
        <w:ind w:left="1440"/>
        <w:rPr>
          <w:rFonts w:asciiTheme="majorHAnsi" w:hAnsiTheme="majorHAnsi"/>
          <w:b/>
          <w:sz w:val="20"/>
          <w:szCs w:val="20"/>
          <w:lang w:val="es-ES_tradnl"/>
        </w:rPr>
      </w:pPr>
    </w:p>
    <w:p w14:paraId="785ADF06" w14:textId="77777777" w:rsidR="00D12193" w:rsidRPr="00C53C19" w:rsidRDefault="00C53C19" w:rsidP="00BC3988">
      <w:pPr>
        <w:pStyle w:val="Heading2"/>
        <w:ind w:left="1440" w:hanging="810"/>
      </w:pPr>
      <w:bookmarkStart w:id="4" w:name="_Toc27059045"/>
      <w:r w:rsidRPr="00C53C19">
        <w:t>Petitioners</w:t>
      </w:r>
      <w:bookmarkEnd w:id="4"/>
    </w:p>
    <w:p w14:paraId="512ADAEC" w14:textId="77777777" w:rsidR="00361415" w:rsidRDefault="00361415" w:rsidP="00361415">
      <w:pPr>
        <w:suppressAutoHyphens/>
        <w:rPr>
          <w:rFonts w:asciiTheme="majorHAnsi" w:hAnsiTheme="majorHAnsi"/>
          <w:sz w:val="20"/>
          <w:lang w:val="es-ES_tradnl"/>
        </w:rPr>
      </w:pPr>
    </w:p>
    <w:p w14:paraId="741D5F61" w14:textId="77777777" w:rsidR="00166189" w:rsidRDefault="005C7F37"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sz w:val="20"/>
          <w:lang w:val="en-US"/>
        </w:rPr>
      </w:pPr>
      <w:r w:rsidRPr="00E56641">
        <w:rPr>
          <w:rFonts w:asciiTheme="majorHAnsi" w:hAnsiTheme="majorHAnsi"/>
          <w:color w:val="000000" w:themeColor="text1"/>
          <w:sz w:val="20"/>
          <w:lang w:val="en-US"/>
        </w:rPr>
        <w:t>Petitioners alleged that</w:t>
      </w:r>
      <w:r w:rsidRPr="00E56641">
        <w:rPr>
          <w:rFonts w:asciiTheme="majorHAnsi" w:hAnsiTheme="majorHAnsi"/>
          <w:color w:val="auto"/>
          <w:sz w:val="20"/>
          <w:lang w:val="en-US"/>
        </w:rPr>
        <w:t xml:space="preserve"> the Shibayama brothers and their family, Peruvian</w:t>
      </w:r>
      <w:r w:rsidR="007A5450">
        <w:rPr>
          <w:rFonts w:asciiTheme="majorHAnsi" w:hAnsiTheme="majorHAnsi"/>
          <w:sz w:val="20"/>
          <w:lang w:val="en-US"/>
        </w:rPr>
        <w:t xml:space="preserve">s </w:t>
      </w:r>
      <w:r w:rsidRPr="00E56641">
        <w:rPr>
          <w:rFonts w:asciiTheme="majorHAnsi" w:hAnsiTheme="majorHAnsi"/>
          <w:color w:val="auto"/>
          <w:sz w:val="20"/>
          <w:lang w:val="en-US"/>
        </w:rPr>
        <w:t>of Japanese ancestry, were kidnapped from Peru by the United States and held in</w:t>
      </w:r>
      <w:r w:rsidR="00C837BB">
        <w:rPr>
          <w:rFonts w:asciiTheme="majorHAnsi" w:hAnsiTheme="majorHAnsi"/>
          <w:color w:val="auto"/>
          <w:sz w:val="20"/>
          <w:lang w:val="en-US"/>
        </w:rPr>
        <w:t xml:space="preserve"> the</w:t>
      </w:r>
      <w:r w:rsidRPr="00E56641">
        <w:rPr>
          <w:rFonts w:asciiTheme="majorHAnsi" w:hAnsiTheme="majorHAnsi"/>
          <w:color w:val="auto"/>
          <w:sz w:val="20"/>
          <w:lang w:val="en-US"/>
        </w:rPr>
        <w:t xml:space="preserve"> U.S. internment camp</w:t>
      </w:r>
      <w:r w:rsidR="00C837BB">
        <w:rPr>
          <w:rFonts w:asciiTheme="majorHAnsi" w:hAnsiTheme="majorHAnsi"/>
          <w:color w:val="auto"/>
          <w:sz w:val="20"/>
          <w:lang w:val="en-US"/>
        </w:rPr>
        <w:t xml:space="preserve"> at Crystal City, Texas</w:t>
      </w:r>
      <w:r w:rsidRPr="00E56641">
        <w:rPr>
          <w:rFonts w:asciiTheme="majorHAnsi" w:hAnsiTheme="majorHAnsi"/>
          <w:color w:val="auto"/>
          <w:sz w:val="20"/>
          <w:lang w:val="en-US"/>
        </w:rPr>
        <w:t xml:space="preserve"> from March 23, 1944 to September 9, 19</w:t>
      </w:r>
      <w:r w:rsidRPr="00E56641">
        <w:rPr>
          <w:rFonts w:asciiTheme="majorHAnsi" w:hAnsiTheme="majorHAnsi"/>
          <w:sz w:val="20"/>
          <w:lang w:val="en-US"/>
        </w:rPr>
        <w:t>46</w:t>
      </w:r>
      <w:r w:rsidR="00361415" w:rsidRPr="005C7F37">
        <w:rPr>
          <w:color w:val="000000" w:themeColor="text1"/>
          <w:sz w:val="20"/>
          <w:lang w:val="en-US"/>
        </w:rPr>
        <w:t>.</w:t>
      </w:r>
      <w:r w:rsidRPr="00E56641">
        <w:rPr>
          <w:color w:val="000000" w:themeColor="text1"/>
          <w:sz w:val="20"/>
          <w:lang w:val="en-US"/>
        </w:rPr>
        <w:t xml:space="preserve"> They alleged that the</w:t>
      </w:r>
      <w:r w:rsidR="00460DEF" w:rsidRPr="00E56641">
        <w:rPr>
          <w:color w:val="000000" w:themeColor="text1"/>
          <w:sz w:val="20"/>
          <w:lang w:val="en-US"/>
        </w:rPr>
        <w:t xml:space="preserve"> Shibayamas</w:t>
      </w:r>
      <w:r w:rsidRPr="00E56641">
        <w:rPr>
          <w:color w:val="000000" w:themeColor="text1"/>
          <w:sz w:val="20"/>
          <w:lang w:val="en-US"/>
        </w:rPr>
        <w:t>, like more than 2</w:t>
      </w:r>
      <w:r w:rsidR="00CC205D">
        <w:rPr>
          <w:color w:val="000000" w:themeColor="text1"/>
          <w:sz w:val="20"/>
          <w:lang w:val="en-US"/>
        </w:rPr>
        <w:t>,</w:t>
      </w:r>
      <w:r w:rsidRPr="00E56641">
        <w:rPr>
          <w:color w:val="000000" w:themeColor="text1"/>
          <w:sz w:val="20"/>
          <w:lang w:val="en-US"/>
        </w:rPr>
        <w:t>200 Latin Americans</w:t>
      </w:r>
      <w:r w:rsidR="006A4B39" w:rsidRPr="005C7F37">
        <w:rPr>
          <w:color w:val="000000" w:themeColor="text1"/>
          <w:sz w:val="20"/>
          <w:lang w:val="en-US"/>
        </w:rPr>
        <w:t xml:space="preserve"> </w:t>
      </w:r>
      <w:r w:rsidRPr="00E56641">
        <w:rPr>
          <w:color w:val="000000" w:themeColor="text1"/>
          <w:sz w:val="20"/>
          <w:lang w:val="en-US"/>
        </w:rPr>
        <w:t xml:space="preserve">of Japanese ancestry from 13 different Latin American countries, were kidnapped and interned by </w:t>
      </w:r>
      <w:r w:rsidRPr="00E56641">
        <w:rPr>
          <w:color w:val="000000" w:themeColor="text1"/>
          <w:sz w:val="20"/>
          <w:lang w:val="en-US"/>
        </w:rPr>
        <w:lastRenderedPageBreak/>
        <w:t>the U.S. for use in hostage exchanges with Japan during this period.</w:t>
      </w:r>
      <w:r w:rsidR="00BF23BD">
        <w:rPr>
          <w:color w:val="000000" w:themeColor="text1"/>
          <w:sz w:val="20"/>
          <w:lang w:val="en-US"/>
        </w:rPr>
        <w:t xml:space="preserve"> They alleged that this scheme constituted an ethnic cleansing scheme “under which whole communities of Latin Americans of Japanese ancestry were arrested under a United States plan, removed from their countries, and held in detention camps in Panama and the United States pending being sent to Japan to exchange for Americans of European ancestry held by Japan” and constitutes “war crimes and crimes against humanity.”</w:t>
      </w:r>
      <w:r w:rsidR="00645EA3">
        <w:rPr>
          <w:color w:val="000000" w:themeColor="text1"/>
          <w:sz w:val="20"/>
          <w:lang w:val="en-US"/>
        </w:rPr>
        <w:t xml:space="preserve"> They further allege</w:t>
      </w:r>
      <w:r w:rsidR="007A5450">
        <w:rPr>
          <w:color w:val="000000" w:themeColor="text1"/>
          <w:sz w:val="20"/>
          <w:lang w:val="en-US"/>
        </w:rPr>
        <w:t>d</w:t>
      </w:r>
      <w:r w:rsidR="00645EA3">
        <w:rPr>
          <w:color w:val="000000" w:themeColor="text1"/>
          <w:sz w:val="20"/>
          <w:lang w:val="en-US"/>
        </w:rPr>
        <w:t xml:space="preserve"> that these </w:t>
      </w:r>
      <w:r w:rsidR="007A5450">
        <w:rPr>
          <w:color w:val="000000" w:themeColor="text1"/>
          <w:sz w:val="20"/>
          <w:lang w:val="en-US"/>
        </w:rPr>
        <w:t>are</w:t>
      </w:r>
      <w:r w:rsidR="00645EA3">
        <w:rPr>
          <w:color w:val="000000" w:themeColor="text1"/>
          <w:sz w:val="20"/>
          <w:lang w:val="en-US"/>
        </w:rPr>
        <w:t xml:space="preserve"> “continuing violations,” insofar as the U.S. maintains a policy of detaining non-U.S. citizens and “programs directed at violating the rights under international law of persons on the basis of their religion and national origin.”</w:t>
      </w:r>
    </w:p>
    <w:p w14:paraId="25E10FAA" w14:textId="77777777" w:rsidR="00BF23BD" w:rsidRDefault="00BF23BD" w:rsidP="00BF23B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000000" w:themeColor="text1"/>
          <w:sz w:val="20"/>
          <w:lang w:val="en-US"/>
        </w:rPr>
      </w:pPr>
    </w:p>
    <w:p w14:paraId="4622B750" w14:textId="77777777" w:rsidR="00C837BB" w:rsidRPr="00C837BB" w:rsidRDefault="00BF23B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rFonts w:asciiTheme="majorHAnsi" w:hAnsiTheme="majorHAnsi"/>
          <w:color w:val="000000" w:themeColor="text1"/>
          <w:sz w:val="20"/>
          <w:lang w:val="en-US"/>
        </w:rPr>
        <w:t xml:space="preserve">Petitioners alleged that after the end of the war, </w:t>
      </w:r>
      <w:r w:rsidR="00C837BB">
        <w:rPr>
          <w:rFonts w:asciiTheme="majorHAnsi" w:hAnsiTheme="majorHAnsi"/>
          <w:color w:val="000000" w:themeColor="text1"/>
          <w:sz w:val="20"/>
          <w:lang w:val="en-US"/>
        </w:rPr>
        <w:t>the Shibayamas</w:t>
      </w:r>
      <w:r>
        <w:rPr>
          <w:rFonts w:asciiTheme="majorHAnsi" w:hAnsiTheme="majorHAnsi"/>
          <w:color w:val="000000" w:themeColor="text1"/>
          <w:sz w:val="20"/>
          <w:lang w:val="en-US"/>
        </w:rPr>
        <w:t xml:space="preserve"> were released into the U</w:t>
      </w:r>
      <w:r w:rsidRPr="00BF23BD">
        <w:rPr>
          <w:color w:val="000000" w:themeColor="text1"/>
          <w:sz w:val="20"/>
          <w:lang w:val="en-US"/>
        </w:rPr>
        <w:t>.</w:t>
      </w:r>
      <w:r>
        <w:rPr>
          <w:color w:val="000000" w:themeColor="text1"/>
          <w:sz w:val="20"/>
          <w:lang w:val="en-US"/>
        </w:rPr>
        <w:t>S., as Peru would not accept their return and their Peruvian identity documents had been confiscated</w:t>
      </w:r>
      <w:r w:rsidR="00BD45C8">
        <w:rPr>
          <w:color w:val="000000" w:themeColor="text1"/>
          <w:sz w:val="20"/>
          <w:lang w:val="en-US"/>
        </w:rPr>
        <w:t xml:space="preserve"> by U.S. personnel</w:t>
      </w:r>
      <w:r>
        <w:rPr>
          <w:color w:val="000000" w:themeColor="text1"/>
          <w:sz w:val="20"/>
          <w:lang w:val="en-US"/>
        </w:rPr>
        <w:t xml:space="preserve">, </w:t>
      </w:r>
      <w:r w:rsidR="00C837BB">
        <w:rPr>
          <w:color w:val="000000" w:themeColor="text1"/>
          <w:sz w:val="20"/>
          <w:lang w:val="en-US"/>
        </w:rPr>
        <w:t xml:space="preserve">but were </w:t>
      </w:r>
      <w:r>
        <w:rPr>
          <w:color w:val="000000" w:themeColor="text1"/>
          <w:sz w:val="20"/>
          <w:lang w:val="en-US"/>
        </w:rPr>
        <w:t>considered “illegal aliens”</w:t>
      </w:r>
      <w:r w:rsidR="00C837BB">
        <w:rPr>
          <w:color w:val="000000" w:themeColor="text1"/>
          <w:sz w:val="20"/>
          <w:lang w:val="en-US"/>
        </w:rPr>
        <w:t xml:space="preserve"> by the U.S.</w:t>
      </w:r>
      <w:r>
        <w:rPr>
          <w:color w:val="000000" w:themeColor="text1"/>
          <w:sz w:val="20"/>
          <w:lang w:val="en-US"/>
        </w:rPr>
        <w:t xml:space="preserve"> They </w:t>
      </w:r>
      <w:r w:rsidR="00432289">
        <w:rPr>
          <w:color w:val="000000" w:themeColor="text1"/>
          <w:sz w:val="20"/>
          <w:lang w:val="en-US"/>
        </w:rPr>
        <w:t>indicated</w:t>
      </w:r>
      <w:r>
        <w:rPr>
          <w:color w:val="000000" w:themeColor="text1"/>
          <w:sz w:val="20"/>
          <w:lang w:val="en-US"/>
        </w:rPr>
        <w:t xml:space="preserve"> that the Shibayama brothers were ultimately able to regularize their immigration status to permanent residence in 1956</w:t>
      </w:r>
      <w:r w:rsidR="00C837BB">
        <w:rPr>
          <w:color w:val="000000" w:themeColor="text1"/>
          <w:sz w:val="20"/>
          <w:lang w:val="en-US"/>
        </w:rPr>
        <w:t xml:space="preserve"> by leaving the country and reentering</w:t>
      </w:r>
      <w:r>
        <w:rPr>
          <w:color w:val="000000" w:themeColor="text1"/>
          <w:sz w:val="20"/>
          <w:lang w:val="en-US"/>
        </w:rPr>
        <w:t xml:space="preserve">. </w:t>
      </w:r>
    </w:p>
    <w:p w14:paraId="3CDF47A3" w14:textId="77777777" w:rsidR="00C837BB" w:rsidRDefault="00C837BB" w:rsidP="00C837BB">
      <w:pPr>
        <w:pStyle w:val="ListParagraph"/>
        <w:rPr>
          <w:color w:val="000000" w:themeColor="text1"/>
          <w:sz w:val="20"/>
        </w:rPr>
      </w:pPr>
    </w:p>
    <w:p w14:paraId="5CCC0E4E" w14:textId="77777777" w:rsidR="00BF23BD" w:rsidRPr="00624611" w:rsidRDefault="00C837BB"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000000" w:themeColor="text1"/>
          <w:sz w:val="20"/>
          <w:lang w:val="en-US"/>
        </w:rPr>
        <w:t>They alleged that w</w:t>
      </w:r>
      <w:r w:rsidR="00BF23BD">
        <w:rPr>
          <w:color w:val="000000" w:themeColor="text1"/>
          <w:sz w:val="20"/>
          <w:lang w:val="en-US"/>
        </w:rPr>
        <w:t xml:space="preserve">hen the Civil Liberties Act of 1988 </w:t>
      </w:r>
      <w:r w:rsidR="00432289">
        <w:rPr>
          <w:color w:val="000000" w:themeColor="text1"/>
          <w:sz w:val="20"/>
          <w:lang w:val="en-US"/>
        </w:rPr>
        <w:t>(CLA)</w:t>
      </w:r>
      <w:r w:rsidR="00BF23BD">
        <w:rPr>
          <w:color w:val="000000" w:themeColor="text1"/>
          <w:sz w:val="20"/>
          <w:lang w:val="en-US"/>
        </w:rPr>
        <w:t xml:space="preserve">, which provided some reparation to persons of Japanese ancestry who were interned during WWII and were </w:t>
      </w:r>
      <w:r>
        <w:rPr>
          <w:color w:val="000000" w:themeColor="text1"/>
          <w:sz w:val="20"/>
          <w:lang w:val="en-US"/>
        </w:rPr>
        <w:t xml:space="preserve">U.S. </w:t>
      </w:r>
      <w:r w:rsidR="00BF23BD">
        <w:rPr>
          <w:color w:val="000000" w:themeColor="text1"/>
          <w:sz w:val="20"/>
          <w:lang w:val="en-US"/>
        </w:rPr>
        <w:t xml:space="preserve">citizens or permanent residents at that time, </w:t>
      </w:r>
      <w:r w:rsidR="00BD45C8">
        <w:rPr>
          <w:color w:val="000000" w:themeColor="text1"/>
          <w:sz w:val="20"/>
          <w:lang w:val="en-US"/>
        </w:rPr>
        <w:t xml:space="preserve">was passed, </w:t>
      </w:r>
      <w:r w:rsidR="00BF23BD">
        <w:rPr>
          <w:color w:val="000000" w:themeColor="text1"/>
          <w:sz w:val="20"/>
          <w:lang w:val="en-US"/>
        </w:rPr>
        <w:t xml:space="preserve">the </w:t>
      </w:r>
      <w:r w:rsidR="00BF23BD" w:rsidRPr="00624611">
        <w:rPr>
          <w:color w:val="auto"/>
          <w:sz w:val="20"/>
          <w:lang w:val="en-US"/>
        </w:rPr>
        <w:t xml:space="preserve">brothers were unable to receive reparation under the Act because of their immigration status at the time of their internment. </w:t>
      </w:r>
      <w:r>
        <w:rPr>
          <w:color w:val="auto"/>
          <w:sz w:val="20"/>
          <w:lang w:val="en-US"/>
        </w:rPr>
        <w:t xml:space="preserve">They alleged that the brothers subsequently </w:t>
      </w:r>
      <w:r w:rsidR="00D62AF9">
        <w:rPr>
          <w:color w:val="auto"/>
          <w:sz w:val="20"/>
          <w:lang w:val="en-US"/>
        </w:rPr>
        <w:t xml:space="preserve">elected to </w:t>
      </w:r>
      <w:r>
        <w:rPr>
          <w:color w:val="auto"/>
          <w:sz w:val="20"/>
          <w:lang w:val="en-US"/>
        </w:rPr>
        <w:t>opt out of the</w:t>
      </w:r>
      <w:r w:rsidR="00D62AF9">
        <w:rPr>
          <w:color w:val="auto"/>
          <w:sz w:val="20"/>
          <w:lang w:val="en-US"/>
        </w:rPr>
        <w:t xml:space="preserve"> 1998</w:t>
      </w:r>
      <w:r>
        <w:rPr>
          <w:color w:val="auto"/>
          <w:sz w:val="20"/>
          <w:lang w:val="en-US"/>
        </w:rPr>
        <w:t xml:space="preserve"> </w:t>
      </w:r>
      <w:r>
        <w:rPr>
          <w:i/>
          <w:color w:val="auto"/>
          <w:sz w:val="20"/>
          <w:lang w:val="en-US"/>
        </w:rPr>
        <w:t>Mochizuki</w:t>
      </w:r>
      <w:r>
        <w:rPr>
          <w:color w:val="auto"/>
          <w:sz w:val="20"/>
          <w:lang w:val="en-US"/>
        </w:rPr>
        <w:t xml:space="preserve"> settlement, which provided a lesser amount of reparation for similarly-situated Japanese Latin Americans who had been excluded from reparation under the CLA, </w:t>
      </w:r>
      <w:r w:rsidR="00D62AF9">
        <w:rPr>
          <w:color w:val="auto"/>
          <w:sz w:val="20"/>
          <w:lang w:val="en-US"/>
        </w:rPr>
        <w:t xml:space="preserve">in order to pursue their </w:t>
      </w:r>
      <w:r w:rsidR="00BD45C8">
        <w:rPr>
          <w:color w:val="auto"/>
          <w:sz w:val="20"/>
          <w:lang w:val="en-US"/>
        </w:rPr>
        <w:t xml:space="preserve">CLA and </w:t>
      </w:r>
      <w:r w:rsidR="00D62AF9">
        <w:rPr>
          <w:color w:val="auto"/>
          <w:sz w:val="20"/>
          <w:lang w:val="en-US"/>
        </w:rPr>
        <w:t xml:space="preserve">remaining constitutional and international humanitarian law claims in federal court. They </w:t>
      </w:r>
      <w:r w:rsidR="00FD1BB2">
        <w:rPr>
          <w:color w:val="auto"/>
          <w:sz w:val="20"/>
          <w:lang w:val="en-US"/>
        </w:rPr>
        <w:t>indicated</w:t>
      </w:r>
      <w:r w:rsidR="00D62AF9">
        <w:rPr>
          <w:color w:val="auto"/>
          <w:sz w:val="20"/>
          <w:lang w:val="en-US"/>
        </w:rPr>
        <w:t xml:space="preserve"> that these claims were dismissed by the Court of Federal Claims in 2003.</w:t>
      </w:r>
    </w:p>
    <w:p w14:paraId="1B4DBB3A" w14:textId="77777777" w:rsidR="000326B5" w:rsidRPr="00624611" w:rsidRDefault="000326B5" w:rsidP="000326B5">
      <w:pPr>
        <w:pStyle w:val="ListParagraph"/>
        <w:rPr>
          <w:color w:val="auto"/>
          <w:sz w:val="20"/>
        </w:rPr>
      </w:pPr>
    </w:p>
    <w:p w14:paraId="10146156" w14:textId="77777777" w:rsidR="000326B5" w:rsidRPr="00F87211" w:rsidRDefault="0043228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In this regard, petitioners alleged violations of their right to </w:t>
      </w:r>
      <w:r w:rsidRPr="00432289">
        <w:rPr>
          <w:b/>
          <w:color w:val="auto"/>
          <w:sz w:val="20"/>
          <w:lang w:val="en-US"/>
        </w:rPr>
        <w:t>equality before the law</w:t>
      </w:r>
      <w:r>
        <w:rPr>
          <w:color w:val="auto"/>
          <w:sz w:val="20"/>
          <w:lang w:val="en-US"/>
        </w:rPr>
        <w:t xml:space="preserve">, because they were excluded from receiving reparations under the CLA due to their </w:t>
      </w:r>
      <w:r w:rsidR="00EB27A2">
        <w:rPr>
          <w:color w:val="auto"/>
          <w:sz w:val="20"/>
          <w:lang w:val="en-US"/>
        </w:rPr>
        <w:t xml:space="preserve">ethnicity, </w:t>
      </w:r>
      <w:r w:rsidR="000918B8">
        <w:rPr>
          <w:color w:val="auto"/>
          <w:sz w:val="20"/>
          <w:lang w:val="en-US"/>
        </w:rPr>
        <w:t xml:space="preserve">nationality and </w:t>
      </w:r>
      <w:r>
        <w:rPr>
          <w:color w:val="auto"/>
          <w:sz w:val="20"/>
          <w:lang w:val="en-US"/>
        </w:rPr>
        <w:t xml:space="preserve">immigration status at their time of internment, notwithstanding that they had suffered the same circumstances as other individuals of Japanese ancestry who were eligible to receive reparation. </w:t>
      </w:r>
      <w:r w:rsidR="000918B8">
        <w:rPr>
          <w:color w:val="auto"/>
          <w:sz w:val="20"/>
          <w:lang w:val="en-US"/>
        </w:rPr>
        <w:t xml:space="preserve">Regarding their right to an </w:t>
      </w:r>
      <w:r w:rsidR="000918B8">
        <w:rPr>
          <w:b/>
          <w:color w:val="auto"/>
          <w:sz w:val="20"/>
          <w:lang w:val="en-US"/>
        </w:rPr>
        <w:t>effective remedy</w:t>
      </w:r>
      <w:r w:rsidR="000918B8">
        <w:rPr>
          <w:color w:val="auto"/>
          <w:sz w:val="20"/>
          <w:lang w:val="en-US"/>
        </w:rPr>
        <w:t xml:space="preserve">, they argued that the procedures to receive reparation for the violations alleged “are neither simple nor brief,” and that litigation of their claims has been prohibitively expensive. In this regard, they alleged that the relatively small sum offered by the CLA required petitioners to search for four years before finding a pro bono attorney willing to represent the cases of Japanese Latin Americans denied redress under the CLA; that the </w:t>
      </w:r>
      <w:r w:rsidR="000918B8">
        <w:rPr>
          <w:i/>
          <w:color w:val="auto"/>
          <w:sz w:val="20"/>
          <w:lang w:val="en-US"/>
        </w:rPr>
        <w:t xml:space="preserve">Mochizuki </w:t>
      </w:r>
      <w:r w:rsidR="000918B8">
        <w:rPr>
          <w:color w:val="auto"/>
          <w:sz w:val="20"/>
          <w:lang w:val="en-US"/>
        </w:rPr>
        <w:t xml:space="preserve">settlement “added to the named Petitioners’ feeling of being humiliated and dishonored” by the State; that the </w:t>
      </w:r>
      <w:r w:rsidR="000918B8">
        <w:rPr>
          <w:i/>
          <w:color w:val="auto"/>
          <w:sz w:val="20"/>
          <w:lang w:val="en-US"/>
        </w:rPr>
        <w:t>Mochizuki</w:t>
      </w:r>
      <w:r w:rsidR="000918B8">
        <w:rPr>
          <w:color w:val="auto"/>
          <w:sz w:val="20"/>
          <w:lang w:val="en-US"/>
        </w:rPr>
        <w:t xml:space="preserve"> settlement prohibited attorneys’ fees, disadvantaging the Shibayamas’ ability to continue litigating their claims </w:t>
      </w:r>
      <w:r w:rsidR="00EB27A2">
        <w:rPr>
          <w:color w:val="auto"/>
          <w:sz w:val="20"/>
          <w:lang w:val="en-US"/>
        </w:rPr>
        <w:t>afterwards; and that the transfer of venue of th</w:t>
      </w:r>
      <w:r w:rsidR="00BD45C8">
        <w:rPr>
          <w:color w:val="auto"/>
          <w:sz w:val="20"/>
          <w:lang w:val="en-US"/>
        </w:rPr>
        <w:t>eir</w:t>
      </w:r>
      <w:r w:rsidR="00EB27A2">
        <w:rPr>
          <w:color w:val="auto"/>
          <w:sz w:val="20"/>
          <w:lang w:val="en-US"/>
        </w:rPr>
        <w:t xml:space="preserve"> case from the district court in California to the Court of </w:t>
      </w:r>
      <w:r w:rsidR="00EB27A2" w:rsidRPr="007C27A7">
        <w:rPr>
          <w:color w:val="000000" w:themeColor="text1"/>
          <w:sz w:val="20"/>
          <w:lang w:val="en-US"/>
        </w:rPr>
        <w:t xml:space="preserve">Federal Claims in Washington, </w:t>
      </w:r>
      <w:r w:rsidR="00EB27A2" w:rsidRPr="00F87211">
        <w:rPr>
          <w:color w:val="000000" w:themeColor="text1"/>
          <w:sz w:val="20"/>
          <w:lang w:val="en-US"/>
        </w:rPr>
        <w:t>DC, created additional litigation costs.</w:t>
      </w:r>
      <w:r w:rsidR="000918B8" w:rsidRPr="00F87211">
        <w:rPr>
          <w:color w:val="000000" w:themeColor="text1"/>
          <w:sz w:val="20"/>
          <w:lang w:val="en-US"/>
        </w:rPr>
        <w:t xml:space="preserve"> </w:t>
      </w:r>
      <w:r w:rsidR="00FC22DD" w:rsidRPr="00F87211">
        <w:rPr>
          <w:color w:val="000000" w:themeColor="text1"/>
          <w:sz w:val="20"/>
          <w:lang w:val="en-US"/>
        </w:rPr>
        <w:t xml:space="preserve">At the merits hearing, petitioners additionally referred to </w:t>
      </w:r>
      <w:r w:rsidR="007C27A7" w:rsidRPr="00F87211">
        <w:rPr>
          <w:color w:val="000000" w:themeColor="text1"/>
          <w:sz w:val="20"/>
          <w:lang w:val="en-US"/>
        </w:rPr>
        <w:t xml:space="preserve">a </w:t>
      </w:r>
      <w:r w:rsidR="00FC22DD" w:rsidRPr="00F87211">
        <w:rPr>
          <w:color w:val="000000" w:themeColor="text1"/>
          <w:sz w:val="20"/>
          <w:lang w:val="en-US"/>
        </w:rPr>
        <w:t xml:space="preserve">lack of full and complete information about the fate of their family </w:t>
      </w:r>
      <w:r w:rsidR="00BD45C8" w:rsidRPr="00F87211">
        <w:rPr>
          <w:color w:val="000000" w:themeColor="text1"/>
          <w:sz w:val="20"/>
          <w:lang w:val="en-US"/>
        </w:rPr>
        <w:t xml:space="preserve">members </w:t>
      </w:r>
      <w:r w:rsidR="00FC22DD" w:rsidRPr="00F87211">
        <w:rPr>
          <w:color w:val="000000" w:themeColor="text1"/>
          <w:sz w:val="20"/>
          <w:lang w:val="en-US"/>
        </w:rPr>
        <w:t xml:space="preserve">and </w:t>
      </w:r>
      <w:r w:rsidR="007C27A7" w:rsidRPr="00F87211">
        <w:rPr>
          <w:color w:val="000000" w:themeColor="text1"/>
          <w:sz w:val="20"/>
          <w:lang w:val="en-US"/>
        </w:rPr>
        <w:t xml:space="preserve">lack of disclosure of </w:t>
      </w:r>
      <w:r w:rsidR="00FC22DD" w:rsidRPr="00F87211">
        <w:rPr>
          <w:color w:val="000000" w:themeColor="text1"/>
          <w:sz w:val="20"/>
          <w:lang w:val="en-US"/>
        </w:rPr>
        <w:t>government records concerning the deportation of</w:t>
      </w:r>
      <w:r w:rsidR="00BD45C8" w:rsidRPr="00F87211">
        <w:rPr>
          <w:color w:val="000000" w:themeColor="text1"/>
          <w:sz w:val="20"/>
          <w:lang w:val="en-US"/>
        </w:rPr>
        <w:t xml:space="preserve"> Japanese Peruvians to the U.S., for which reason they </w:t>
      </w:r>
      <w:r w:rsidR="00FC22DD" w:rsidRPr="00F87211">
        <w:rPr>
          <w:color w:val="000000" w:themeColor="text1"/>
          <w:sz w:val="20"/>
          <w:lang w:val="en-US"/>
        </w:rPr>
        <w:t xml:space="preserve">alleged violations of the </w:t>
      </w:r>
      <w:r w:rsidR="00FC22DD" w:rsidRPr="00F87211">
        <w:rPr>
          <w:b/>
          <w:color w:val="000000" w:themeColor="text1"/>
          <w:sz w:val="20"/>
          <w:lang w:val="en-US"/>
        </w:rPr>
        <w:t>right to the truth</w:t>
      </w:r>
      <w:r w:rsidR="00FC22DD" w:rsidRPr="00F87211">
        <w:rPr>
          <w:color w:val="000000" w:themeColor="text1"/>
          <w:sz w:val="20"/>
          <w:lang w:val="en-US"/>
        </w:rPr>
        <w:t>.</w:t>
      </w:r>
      <w:r w:rsidR="007C27A7" w:rsidRPr="00F87211">
        <w:rPr>
          <w:color w:val="000000" w:themeColor="text1"/>
          <w:sz w:val="20"/>
          <w:lang w:val="en-US"/>
        </w:rPr>
        <w:t xml:space="preserve"> Notwithstanding, petitioners did not indicate that they had pursued any legal or other action to gain access to government-held information.</w:t>
      </w:r>
    </w:p>
    <w:p w14:paraId="78E6DBBB" w14:textId="77777777" w:rsidR="00166189" w:rsidRPr="00F87211"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lang w:val="en-US"/>
        </w:rPr>
      </w:pPr>
    </w:p>
    <w:p w14:paraId="4B889DAD" w14:textId="77777777" w:rsidR="00361415" w:rsidRPr="00624611" w:rsidRDefault="00624611"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F87211">
        <w:rPr>
          <w:color w:val="auto"/>
          <w:sz w:val="20"/>
          <w:lang w:val="en-US"/>
        </w:rPr>
        <w:t xml:space="preserve">Petitioners requested a number of remedies, including a cessation of continuing violations, a full apology </w:t>
      </w:r>
      <w:r w:rsidR="00645EA3" w:rsidRPr="00F87211">
        <w:rPr>
          <w:color w:val="auto"/>
          <w:sz w:val="20"/>
          <w:lang w:val="en-US"/>
        </w:rPr>
        <w:t>“</w:t>
      </w:r>
      <w:r w:rsidRPr="00F87211">
        <w:rPr>
          <w:color w:val="auto"/>
          <w:sz w:val="20"/>
          <w:lang w:val="en-US"/>
        </w:rPr>
        <w:t>including public acknowledgment of the facts and acceptance of responsibility,</w:t>
      </w:r>
      <w:r w:rsidR="00645EA3" w:rsidRPr="00F87211">
        <w:rPr>
          <w:color w:val="auto"/>
          <w:sz w:val="20"/>
          <w:lang w:val="en-US"/>
        </w:rPr>
        <w:t>”</w:t>
      </w:r>
      <w:r w:rsidRPr="00F87211">
        <w:rPr>
          <w:color w:val="auto"/>
          <w:sz w:val="20"/>
          <w:lang w:val="en-US"/>
        </w:rPr>
        <w:t xml:space="preserve"> </w:t>
      </w:r>
      <w:r w:rsidR="00164433" w:rsidRPr="00F87211">
        <w:rPr>
          <w:color w:val="auto"/>
          <w:sz w:val="20"/>
          <w:lang w:val="en-US"/>
        </w:rPr>
        <w:t>commemoration</w:t>
      </w:r>
      <w:r w:rsidRPr="00F87211">
        <w:rPr>
          <w:color w:val="auto"/>
          <w:sz w:val="20"/>
          <w:lang w:val="en-US"/>
        </w:rPr>
        <w:t xml:space="preserve"> and paying tribute to the victims, </w:t>
      </w:r>
      <w:r w:rsidR="00164433" w:rsidRPr="00F87211">
        <w:rPr>
          <w:color w:val="auto"/>
          <w:sz w:val="20"/>
          <w:lang w:val="en-US"/>
        </w:rPr>
        <w:t>inclusion</w:t>
      </w:r>
      <w:r w:rsidRPr="00F87211">
        <w:rPr>
          <w:color w:val="auto"/>
          <w:sz w:val="20"/>
          <w:lang w:val="en-US"/>
        </w:rPr>
        <w:t xml:space="preserve"> of the accurate record of violations in educational materials and curricula, expungement of the label “</w:t>
      </w:r>
      <w:r w:rsidR="00164433" w:rsidRPr="00F87211">
        <w:rPr>
          <w:color w:val="auto"/>
          <w:sz w:val="20"/>
          <w:lang w:val="en-US"/>
        </w:rPr>
        <w:t>illegal</w:t>
      </w:r>
      <w:r w:rsidRPr="00F87211">
        <w:rPr>
          <w:color w:val="auto"/>
          <w:sz w:val="20"/>
          <w:lang w:val="en-US"/>
        </w:rPr>
        <w:t xml:space="preserve"> alien” from the Petitioners’ government files</w:t>
      </w:r>
      <w:r w:rsidR="00645EA3" w:rsidRPr="00F87211">
        <w:rPr>
          <w:color w:val="auto"/>
          <w:sz w:val="20"/>
          <w:lang w:val="en-US"/>
        </w:rPr>
        <w:t>, and disclosure of information about the kidnapping and internment of Japanese Latin</w:t>
      </w:r>
      <w:r w:rsidR="00645EA3">
        <w:rPr>
          <w:color w:val="auto"/>
          <w:sz w:val="20"/>
          <w:lang w:val="en-US"/>
        </w:rPr>
        <w:t xml:space="preserve"> Americans that remains classified by the U.S. government</w:t>
      </w:r>
      <w:r w:rsidRPr="00624611">
        <w:rPr>
          <w:color w:val="auto"/>
          <w:sz w:val="20"/>
          <w:lang w:val="en-US"/>
        </w:rPr>
        <w:t>.</w:t>
      </w:r>
    </w:p>
    <w:p w14:paraId="5315E2B8" w14:textId="77777777" w:rsidR="00090C1E" w:rsidRPr="00624611" w:rsidRDefault="00090C1E" w:rsidP="00361415">
      <w:pPr>
        <w:suppressAutoHyphens/>
        <w:rPr>
          <w:rFonts w:asciiTheme="majorHAnsi" w:hAnsiTheme="majorHAnsi"/>
          <w:color w:val="auto"/>
          <w:sz w:val="20"/>
          <w:lang w:val="en-US"/>
        </w:rPr>
      </w:pPr>
    </w:p>
    <w:p w14:paraId="09A783C4" w14:textId="77777777" w:rsidR="00D12193" w:rsidRPr="00624611" w:rsidRDefault="00C53C19" w:rsidP="00BC3988">
      <w:pPr>
        <w:pStyle w:val="Heading2"/>
        <w:ind w:left="1440" w:hanging="810"/>
        <w:rPr>
          <w:color w:val="auto"/>
        </w:rPr>
      </w:pPr>
      <w:bookmarkStart w:id="5" w:name="_Toc27059046"/>
      <w:r w:rsidRPr="00624611">
        <w:rPr>
          <w:color w:val="auto"/>
        </w:rPr>
        <w:t>State</w:t>
      </w:r>
      <w:bookmarkEnd w:id="5"/>
      <w:r w:rsidRPr="00624611">
        <w:rPr>
          <w:color w:val="auto"/>
        </w:rPr>
        <w:t xml:space="preserve"> </w:t>
      </w:r>
    </w:p>
    <w:p w14:paraId="7A769E49" w14:textId="77777777" w:rsidR="007C756A" w:rsidRDefault="007C756A" w:rsidP="00CC63CF">
      <w:pPr>
        <w:suppressAutoHyphens/>
        <w:rPr>
          <w:rFonts w:asciiTheme="majorHAnsi" w:hAnsiTheme="majorHAnsi"/>
          <w:sz w:val="20"/>
          <w:lang w:val="es-ES_tradnl"/>
        </w:rPr>
      </w:pPr>
    </w:p>
    <w:p w14:paraId="33A35D8B" w14:textId="77777777" w:rsidR="008E3D57" w:rsidRPr="00164433" w:rsidRDefault="008E3D57"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E56641">
        <w:rPr>
          <w:rFonts w:asciiTheme="majorHAnsi" w:hAnsiTheme="majorHAnsi"/>
          <w:color w:val="000000" w:themeColor="text1"/>
          <w:sz w:val="20"/>
          <w:lang w:val="en-US"/>
        </w:rPr>
        <w:t xml:space="preserve">At the merits stage, the State presented arguments relating to the admissibility of the case—concretely, the Commission’s alleged lack of competence to consider the matter—which </w:t>
      </w:r>
      <w:r w:rsidRPr="00164433">
        <w:rPr>
          <w:rFonts w:asciiTheme="majorHAnsi" w:hAnsiTheme="majorHAnsi"/>
          <w:color w:val="auto"/>
          <w:sz w:val="20"/>
          <w:lang w:val="en-US"/>
        </w:rPr>
        <w:t>will not be addressed in this report, as they were previously decided by the Commission in Admissibility Report No. 26/06.</w:t>
      </w:r>
    </w:p>
    <w:p w14:paraId="1D485D43" w14:textId="77777777" w:rsidR="008E3D57" w:rsidRPr="00164433" w:rsidRDefault="008E3D57" w:rsidP="008E3D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7C2E9CEB" w14:textId="77777777" w:rsidR="00CC63CF" w:rsidRPr="008E3D57" w:rsidRDefault="000326B5"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sz w:val="20"/>
          <w:lang w:val="en-US"/>
        </w:rPr>
      </w:pPr>
      <w:r w:rsidRPr="000326B5">
        <w:rPr>
          <w:color w:val="000000" w:themeColor="text1"/>
          <w:sz w:val="20"/>
          <w:lang w:val="en-US"/>
        </w:rPr>
        <w:t xml:space="preserve">The State alleged that the right to </w:t>
      </w:r>
      <w:r w:rsidRPr="000326B5">
        <w:rPr>
          <w:b/>
          <w:color w:val="000000" w:themeColor="text1"/>
          <w:sz w:val="20"/>
          <w:lang w:val="en-US"/>
        </w:rPr>
        <w:t>equality before the law</w:t>
      </w:r>
      <w:r w:rsidRPr="000326B5">
        <w:rPr>
          <w:color w:val="000000" w:themeColor="text1"/>
          <w:sz w:val="20"/>
          <w:lang w:val="en-US"/>
        </w:rPr>
        <w:t xml:space="preserve"> “does not mean that there are no permissible </w:t>
      </w:r>
      <w:r>
        <w:rPr>
          <w:color w:val="000000" w:themeColor="text1"/>
          <w:sz w:val="20"/>
          <w:lang w:val="en-US"/>
        </w:rPr>
        <w:t xml:space="preserve">distinctions that may be made among persons in the law. This is especially true in the drafting of </w:t>
      </w:r>
      <w:r>
        <w:rPr>
          <w:color w:val="000000" w:themeColor="text1"/>
          <w:sz w:val="20"/>
          <w:lang w:val="en-US"/>
        </w:rPr>
        <w:lastRenderedPageBreak/>
        <w:t>laws such as the [CLA] which establish eligibility for government resources and benefits. In such laws, citizenship and legal permanent residency are legitimate factors for States to take into account when determining how to divide their limited resources.”</w:t>
      </w:r>
    </w:p>
    <w:p w14:paraId="2346CB73" w14:textId="77777777" w:rsidR="008E3D57" w:rsidRPr="008E3D57" w:rsidRDefault="008E3D57" w:rsidP="008E3D5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6DF7B9CA" w14:textId="77777777" w:rsidR="008E3D57" w:rsidRDefault="000326B5"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8E3D57">
        <w:rPr>
          <w:color w:val="auto"/>
          <w:sz w:val="20"/>
          <w:lang w:val="en-US"/>
        </w:rPr>
        <w:t xml:space="preserve">The State further denied responsibility for violations of </w:t>
      </w:r>
      <w:r w:rsidR="00164433">
        <w:rPr>
          <w:color w:val="auto"/>
          <w:sz w:val="20"/>
          <w:lang w:val="en-US"/>
        </w:rPr>
        <w:t xml:space="preserve">the right to a </w:t>
      </w:r>
      <w:r w:rsidR="00164433" w:rsidRPr="00164433">
        <w:rPr>
          <w:b/>
          <w:color w:val="auto"/>
          <w:sz w:val="20"/>
          <w:lang w:val="en-US"/>
        </w:rPr>
        <w:t>fair trial</w:t>
      </w:r>
      <w:r w:rsidR="00164433">
        <w:rPr>
          <w:color w:val="auto"/>
          <w:sz w:val="20"/>
          <w:lang w:val="en-US"/>
        </w:rPr>
        <w:t xml:space="preserve"> and </w:t>
      </w:r>
      <w:r w:rsidRPr="008E3D57">
        <w:rPr>
          <w:b/>
          <w:color w:val="auto"/>
          <w:sz w:val="20"/>
          <w:lang w:val="en-US"/>
        </w:rPr>
        <w:t>due process</w:t>
      </w:r>
      <w:r w:rsidRPr="008E3D57">
        <w:rPr>
          <w:color w:val="auto"/>
          <w:sz w:val="20"/>
          <w:lang w:val="en-US"/>
        </w:rPr>
        <w:t xml:space="preserve">, as “at no time have Complainants been denied the ability to raise challenges to the [CLA] in U.S. courts. Petitioners admit that they voluntarily abandoned their [international human rights and humanitarian law claims] at least in part, as a result of the outcomes in other cases.” It further </w:t>
      </w:r>
      <w:r w:rsidR="008E3D57">
        <w:rPr>
          <w:color w:val="auto"/>
          <w:sz w:val="20"/>
          <w:lang w:val="en-US"/>
        </w:rPr>
        <w:t>alleged</w:t>
      </w:r>
      <w:r w:rsidRPr="008E3D57">
        <w:rPr>
          <w:color w:val="auto"/>
          <w:sz w:val="20"/>
          <w:lang w:val="en-US"/>
        </w:rPr>
        <w:t xml:space="preserve"> that Article XXVI (</w:t>
      </w:r>
      <w:r w:rsidRPr="00CC205D">
        <w:rPr>
          <w:b/>
          <w:color w:val="auto"/>
          <w:sz w:val="20"/>
          <w:lang w:val="en-US"/>
        </w:rPr>
        <w:t>due process</w:t>
      </w:r>
      <w:r w:rsidRPr="008E3D57">
        <w:rPr>
          <w:color w:val="auto"/>
          <w:sz w:val="20"/>
          <w:lang w:val="en-US"/>
        </w:rPr>
        <w:t xml:space="preserve">) of the </w:t>
      </w:r>
      <w:r w:rsidR="00CC205D">
        <w:rPr>
          <w:color w:val="auto"/>
          <w:sz w:val="20"/>
          <w:lang w:val="en-US"/>
        </w:rPr>
        <w:t>American Declaration is limited</w:t>
      </w:r>
      <w:r w:rsidRPr="008E3D57">
        <w:rPr>
          <w:color w:val="auto"/>
          <w:sz w:val="20"/>
          <w:lang w:val="en-US"/>
        </w:rPr>
        <w:t xml:space="preserve"> by its terms to persons accused of an offense, for which reason it is inapplicable in the Shibayamas’ case</w:t>
      </w:r>
      <w:r w:rsidR="008E3D57">
        <w:rPr>
          <w:color w:val="auto"/>
          <w:sz w:val="20"/>
          <w:lang w:val="en-US"/>
        </w:rPr>
        <w:t>, and that petitioners’ claims</w:t>
      </w:r>
      <w:r w:rsidR="00CC205D">
        <w:rPr>
          <w:color w:val="auto"/>
          <w:sz w:val="20"/>
          <w:lang w:val="en-US"/>
        </w:rPr>
        <w:t xml:space="preserve"> </w:t>
      </w:r>
      <w:r w:rsidR="008E3D57">
        <w:rPr>
          <w:color w:val="auto"/>
          <w:sz w:val="20"/>
          <w:lang w:val="en-US"/>
        </w:rPr>
        <w:t>related to the CLA are an attempt to use the IACHR as a prohibited “fourth instance” review</w:t>
      </w:r>
      <w:r w:rsidRPr="008E3D57">
        <w:rPr>
          <w:color w:val="auto"/>
          <w:sz w:val="20"/>
          <w:lang w:val="en-US"/>
        </w:rPr>
        <w:t>.</w:t>
      </w:r>
    </w:p>
    <w:p w14:paraId="539F715E" w14:textId="77777777" w:rsidR="00E45EFB" w:rsidRDefault="00E45EFB" w:rsidP="00E45EFB">
      <w:pPr>
        <w:pStyle w:val="ListParagraph"/>
        <w:rPr>
          <w:color w:val="auto"/>
          <w:sz w:val="20"/>
        </w:rPr>
      </w:pPr>
    </w:p>
    <w:p w14:paraId="26CD0E13" w14:textId="77777777" w:rsidR="00E45EFB" w:rsidRPr="008E3D57" w:rsidRDefault="00E45EFB"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The State added, “Please be assured that the United States acknowledges the suffering experienced by the Shibayama family and those similarly situated, which Isamu and Bekki Shibayama bravely and movingly described in their testimony before the Commission [at the merits hearing]. Nevertheless, as a purely legal matter, the petition in this case is both inadmissible and the Commission lacks competence to pronounce on its merits. […]”</w:t>
      </w:r>
    </w:p>
    <w:p w14:paraId="23A1AA19" w14:textId="77777777" w:rsidR="008266A7" w:rsidRPr="008E3D57" w:rsidRDefault="008266A7" w:rsidP="008266A7">
      <w:pPr>
        <w:pStyle w:val="ListParagraph"/>
        <w:rPr>
          <w:color w:val="FF0000"/>
          <w:sz w:val="20"/>
          <w:szCs w:val="20"/>
        </w:rPr>
      </w:pPr>
    </w:p>
    <w:p w14:paraId="0C074798" w14:textId="77777777" w:rsidR="00432289" w:rsidRDefault="00432289" w:rsidP="00C53C19">
      <w:pPr>
        <w:pStyle w:val="Heading1"/>
      </w:pPr>
      <w:bookmarkStart w:id="6" w:name="_Toc27059047"/>
      <w:r>
        <w:t>PRIOR CONSIDERATION</w:t>
      </w:r>
      <w:bookmarkEnd w:id="6"/>
    </w:p>
    <w:p w14:paraId="0E5242C7" w14:textId="77777777" w:rsidR="00432289" w:rsidRDefault="00432289" w:rsidP="00432289">
      <w:pPr>
        <w:rPr>
          <w:lang w:val="es-ES_tradnl"/>
        </w:rPr>
      </w:pPr>
    </w:p>
    <w:p w14:paraId="04D87462" w14:textId="77777777" w:rsidR="00432289" w:rsidRPr="00BB421D" w:rsidRDefault="0043228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rFonts w:asciiTheme="majorHAnsi" w:hAnsiTheme="majorHAnsi"/>
          <w:color w:val="000000" w:themeColor="text1"/>
          <w:sz w:val="20"/>
          <w:lang w:val="en-US"/>
        </w:rPr>
        <w:t>I</w:t>
      </w:r>
      <w:r w:rsidRPr="00164433">
        <w:rPr>
          <w:rFonts w:asciiTheme="majorHAnsi" w:hAnsiTheme="majorHAnsi"/>
          <w:color w:val="auto"/>
          <w:sz w:val="20"/>
          <w:lang w:val="en-US"/>
        </w:rPr>
        <w:t>n</w:t>
      </w:r>
      <w:r>
        <w:rPr>
          <w:rFonts w:asciiTheme="majorHAnsi" w:hAnsiTheme="majorHAnsi"/>
          <w:color w:val="auto"/>
          <w:sz w:val="20"/>
          <w:lang w:val="en-US"/>
        </w:rPr>
        <w:t xml:space="preserve"> </w:t>
      </w:r>
      <w:r w:rsidRPr="00164433">
        <w:rPr>
          <w:rFonts w:asciiTheme="majorHAnsi" w:hAnsiTheme="majorHAnsi"/>
          <w:color w:val="auto"/>
          <w:sz w:val="20"/>
          <w:lang w:val="en-US"/>
        </w:rPr>
        <w:t>Admissibility Report No. 26/06</w:t>
      </w:r>
      <w:r>
        <w:rPr>
          <w:rFonts w:asciiTheme="majorHAnsi" w:hAnsiTheme="majorHAnsi"/>
          <w:color w:val="auto"/>
          <w:sz w:val="20"/>
          <w:lang w:val="en-US"/>
        </w:rPr>
        <w:t xml:space="preserve">, the Commission concluded that it </w:t>
      </w:r>
      <w:r w:rsidR="00CC205D">
        <w:rPr>
          <w:rFonts w:asciiTheme="majorHAnsi" w:hAnsiTheme="majorHAnsi"/>
          <w:color w:val="auto"/>
          <w:sz w:val="20"/>
          <w:lang w:val="en-US"/>
        </w:rPr>
        <w:t>is</w:t>
      </w:r>
      <w:r>
        <w:rPr>
          <w:rFonts w:asciiTheme="majorHAnsi" w:hAnsiTheme="majorHAnsi"/>
          <w:color w:val="auto"/>
          <w:sz w:val="20"/>
          <w:lang w:val="en-US"/>
        </w:rPr>
        <w:t xml:space="preserve"> not competent </w:t>
      </w:r>
      <w:r>
        <w:rPr>
          <w:rFonts w:asciiTheme="majorHAnsi" w:hAnsiTheme="majorHAnsi"/>
          <w:i/>
          <w:color w:val="auto"/>
          <w:sz w:val="20"/>
          <w:lang w:val="en-US"/>
        </w:rPr>
        <w:t>ratione temporis</w:t>
      </w:r>
      <w:r>
        <w:rPr>
          <w:rFonts w:asciiTheme="majorHAnsi" w:hAnsiTheme="majorHAnsi"/>
          <w:color w:val="auto"/>
          <w:sz w:val="20"/>
          <w:lang w:val="en-US"/>
        </w:rPr>
        <w:t xml:space="preserve"> to consider the majority of the </w:t>
      </w:r>
      <w:r w:rsidR="000D60AE">
        <w:rPr>
          <w:rFonts w:asciiTheme="majorHAnsi" w:hAnsiTheme="majorHAnsi"/>
          <w:color w:val="auto"/>
          <w:sz w:val="20"/>
          <w:lang w:val="en-US"/>
        </w:rPr>
        <w:t>legal</w:t>
      </w:r>
      <w:r>
        <w:rPr>
          <w:rFonts w:asciiTheme="majorHAnsi" w:hAnsiTheme="majorHAnsi"/>
          <w:color w:val="auto"/>
          <w:sz w:val="20"/>
          <w:lang w:val="en-US"/>
        </w:rPr>
        <w:t xml:space="preserve"> claims</w:t>
      </w:r>
      <w:r w:rsidR="000D60AE">
        <w:rPr>
          <w:rFonts w:asciiTheme="majorHAnsi" w:hAnsiTheme="majorHAnsi"/>
          <w:color w:val="auto"/>
          <w:sz w:val="20"/>
          <w:lang w:val="en-US"/>
        </w:rPr>
        <w:t xml:space="preserve"> </w:t>
      </w:r>
      <w:r w:rsidR="00FD1BB2">
        <w:rPr>
          <w:rFonts w:asciiTheme="majorHAnsi" w:hAnsiTheme="majorHAnsi"/>
          <w:color w:val="auto"/>
          <w:sz w:val="20"/>
          <w:lang w:val="en-US"/>
        </w:rPr>
        <w:t xml:space="preserve">presented in the initial petition </w:t>
      </w:r>
      <w:r w:rsidR="000D60AE">
        <w:rPr>
          <w:rFonts w:asciiTheme="majorHAnsi" w:hAnsiTheme="majorHAnsi"/>
          <w:color w:val="auto"/>
          <w:sz w:val="20"/>
          <w:lang w:val="en-US"/>
        </w:rPr>
        <w:t>(including arbitrary detention, right to residence and freedom of movement, and education, among others)</w:t>
      </w:r>
      <w:r>
        <w:rPr>
          <w:rFonts w:asciiTheme="majorHAnsi" w:hAnsiTheme="majorHAnsi"/>
          <w:color w:val="auto"/>
          <w:sz w:val="20"/>
          <w:lang w:val="en-US"/>
        </w:rPr>
        <w:t xml:space="preserve">, as they </w:t>
      </w:r>
      <w:r w:rsidR="000D60AE">
        <w:rPr>
          <w:rFonts w:asciiTheme="majorHAnsi" w:hAnsiTheme="majorHAnsi"/>
          <w:color w:val="auto"/>
          <w:sz w:val="20"/>
          <w:lang w:val="en-US"/>
        </w:rPr>
        <w:t xml:space="preserve">relate to facts that </w:t>
      </w:r>
      <w:r>
        <w:rPr>
          <w:rFonts w:asciiTheme="majorHAnsi" w:hAnsiTheme="majorHAnsi"/>
          <w:color w:val="auto"/>
          <w:sz w:val="20"/>
          <w:lang w:val="en-US"/>
        </w:rPr>
        <w:t xml:space="preserve">occurred prior to </w:t>
      </w:r>
      <w:r w:rsidR="000D60AE">
        <w:rPr>
          <w:rFonts w:asciiTheme="majorHAnsi" w:hAnsiTheme="majorHAnsi"/>
          <w:color w:val="auto"/>
          <w:sz w:val="20"/>
          <w:lang w:val="en-US"/>
        </w:rPr>
        <w:t xml:space="preserve">the </w:t>
      </w:r>
      <w:r>
        <w:rPr>
          <w:rFonts w:asciiTheme="majorHAnsi" w:hAnsiTheme="majorHAnsi"/>
          <w:color w:val="auto"/>
          <w:sz w:val="20"/>
          <w:lang w:val="en-US"/>
        </w:rPr>
        <w:t>U.S.’ deposit of its instrument of ratification of the OAS Charter on June 19, 1951, on which date the American Declaration became a source of legal obligation for the U.S.</w:t>
      </w:r>
      <w:r>
        <w:rPr>
          <w:rStyle w:val="FootnoteReference"/>
          <w:rFonts w:asciiTheme="majorHAnsi" w:hAnsiTheme="majorHAnsi"/>
          <w:color w:val="auto"/>
          <w:sz w:val="20"/>
          <w:lang w:val="en-US"/>
        </w:rPr>
        <w:footnoteReference w:id="3"/>
      </w:r>
      <w:r w:rsidR="00A31D71">
        <w:rPr>
          <w:rFonts w:asciiTheme="majorHAnsi" w:hAnsiTheme="majorHAnsi"/>
          <w:color w:val="auto"/>
          <w:sz w:val="20"/>
          <w:lang w:val="en-US"/>
        </w:rPr>
        <w:t xml:space="preserve"> </w:t>
      </w:r>
      <w:r w:rsidR="000D60AE">
        <w:rPr>
          <w:rFonts w:asciiTheme="majorHAnsi" w:hAnsiTheme="majorHAnsi"/>
          <w:color w:val="auto"/>
          <w:sz w:val="20"/>
          <w:lang w:val="en-US"/>
        </w:rPr>
        <w:t>Notwithstanding, the Commission will discuss</w:t>
      </w:r>
      <w:r w:rsidR="00CC205D">
        <w:rPr>
          <w:rFonts w:asciiTheme="majorHAnsi" w:hAnsiTheme="majorHAnsi"/>
          <w:color w:val="auto"/>
          <w:sz w:val="20"/>
          <w:lang w:val="en-US"/>
        </w:rPr>
        <w:t xml:space="preserve"> below</w:t>
      </w:r>
      <w:r w:rsidR="000D60AE">
        <w:rPr>
          <w:rFonts w:asciiTheme="majorHAnsi" w:hAnsiTheme="majorHAnsi"/>
          <w:color w:val="auto"/>
          <w:sz w:val="20"/>
          <w:lang w:val="en-US"/>
        </w:rPr>
        <w:t xml:space="preserve"> the facts relating to the Shibayama brothers’ </w:t>
      </w:r>
      <w:r w:rsidR="00CC205D">
        <w:rPr>
          <w:rFonts w:asciiTheme="majorHAnsi" w:hAnsiTheme="majorHAnsi"/>
          <w:color w:val="auto"/>
          <w:sz w:val="20"/>
          <w:lang w:val="en-US"/>
        </w:rPr>
        <w:t>kidnapping from Peru, internment in the U.S., and subsequent release,</w:t>
      </w:r>
      <w:r w:rsidR="00671312">
        <w:rPr>
          <w:rFonts w:asciiTheme="majorHAnsi" w:hAnsiTheme="majorHAnsi"/>
          <w:color w:val="auto"/>
          <w:sz w:val="20"/>
          <w:lang w:val="en-US"/>
        </w:rPr>
        <w:t xml:space="preserve"> as a matter of relevant background and context and </w:t>
      </w:r>
      <w:r w:rsidR="003A1E02">
        <w:rPr>
          <w:rFonts w:asciiTheme="majorHAnsi" w:hAnsiTheme="majorHAnsi"/>
          <w:color w:val="auto"/>
          <w:sz w:val="20"/>
          <w:lang w:val="en-US"/>
        </w:rPr>
        <w:t>because</w:t>
      </w:r>
      <w:r w:rsidR="00CC205D">
        <w:rPr>
          <w:rFonts w:asciiTheme="majorHAnsi" w:hAnsiTheme="majorHAnsi"/>
          <w:color w:val="auto"/>
          <w:sz w:val="20"/>
          <w:lang w:val="en-US"/>
        </w:rPr>
        <w:t xml:space="preserve"> they are necessary to understand the scope of their claims relating to equality before the law and their right to integral reparation.</w:t>
      </w:r>
    </w:p>
    <w:p w14:paraId="7EF58DE4" w14:textId="77777777" w:rsidR="00BB421D" w:rsidRPr="00BB421D" w:rsidRDefault="00BB421D" w:rsidP="00BB421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2D51702C" w14:textId="77777777" w:rsidR="00BB421D" w:rsidRPr="00164433" w:rsidRDefault="00BB421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Likewise, the Commission observes that </w:t>
      </w:r>
      <w:r w:rsidR="00FA5E63">
        <w:rPr>
          <w:color w:val="auto"/>
          <w:sz w:val="20"/>
          <w:lang w:val="en-US"/>
        </w:rPr>
        <w:t xml:space="preserve">at the merits stage, the petitioners alleged violations of the right to truth; notwithstanding, they did not provide any information </w:t>
      </w:r>
      <w:r w:rsidR="00BC2DC8">
        <w:rPr>
          <w:color w:val="auto"/>
          <w:sz w:val="20"/>
          <w:lang w:val="en-US"/>
        </w:rPr>
        <w:t>indicating the</w:t>
      </w:r>
      <w:r w:rsidR="00FA5E63">
        <w:rPr>
          <w:color w:val="auto"/>
          <w:sz w:val="20"/>
          <w:lang w:val="en-US"/>
        </w:rPr>
        <w:t xml:space="preserve"> exhaustion of domestic remedies for this claim, for which reason the Commission will not consider it in this merits report.</w:t>
      </w:r>
    </w:p>
    <w:p w14:paraId="284903B4" w14:textId="77777777" w:rsidR="00432289" w:rsidRPr="00164433" w:rsidRDefault="00432289" w:rsidP="004322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141FE151" w14:textId="77777777" w:rsidR="00D12193" w:rsidRDefault="001E28D1" w:rsidP="00C53C19">
      <w:pPr>
        <w:pStyle w:val="Heading1"/>
      </w:pPr>
      <w:bookmarkStart w:id="7" w:name="_Toc27059048"/>
      <w:r>
        <w:t>FINDINGS OF FACT</w:t>
      </w:r>
      <w:bookmarkEnd w:id="7"/>
    </w:p>
    <w:p w14:paraId="26139A7F" w14:textId="77777777" w:rsidR="007C756A" w:rsidRDefault="007C756A" w:rsidP="00815021">
      <w:pPr>
        <w:rPr>
          <w:rFonts w:asciiTheme="majorHAnsi" w:hAnsiTheme="majorHAnsi"/>
          <w:b/>
          <w:sz w:val="20"/>
          <w:lang w:val="es-ES_tradnl"/>
        </w:rPr>
      </w:pPr>
    </w:p>
    <w:p w14:paraId="591ACB35" w14:textId="77777777" w:rsidR="00815021" w:rsidRPr="00C53C19" w:rsidRDefault="00BD7433" w:rsidP="009F5EAF">
      <w:pPr>
        <w:pStyle w:val="Heading2"/>
        <w:numPr>
          <w:ilvl w:val="0"/>
          <w:numId w:val="58"/>
        </w:numPr>
        <w:tabs>
          <w:tab w:val="left" w:pos="630"/>
        </w:tabs>
        <w:ind w:left="1440" w:hanging="810"/>
      </w:pPr>
      <w:bookmarkStart w:id="8" w:name="_Toc27059049"/>
      <w:r w:rsidRPr="00C53C19">
        <w:t>Background</w:t>
      </w:r>
      <w:bookmarkEnd w:id="8"/>
    </w:p>
    <w:p w14:paraId="73F29E9F" w14:textId="77777777" w:rsidR="00D83D73" w:rsidRDefault="00D83D73" w:rsidP="00887D37">
      <w:pPr>
        <w:rPr>
          <w:rFonts w:asciiTheme="majorHAnsi" w:hAnsiTheme="majorHAnsi"/>
          <w:b/>
          <w:color w:val="FF0000"/>
          <w:sz w:val="20"/>
          <w:lang w:val="es-ES_tradnl"/>
        </w:rPr>
      </w:pPr>
    </w:p>
    <w:p w14:paraId="3DBC28F5" w14:textId="77777777" w:rsidR="00F6580B" w:rsidRDefault="005D79E6"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sidRPr="00E56641">
        <w:rPr>
          <w:sz w:val="20"/>
          <w:lang w:val="en-US"/>
        </w:rPr>
        <w:t>On February 19, 1942, President Franklin D. Roosevelt issued Executive Order No. 9066, authoriz</w:t>
      </w:r>
      <w:r w:rsidR="00961898">
        <w:rPr>
          <w:sz w:val="20"/>
          <w:lang w:val="en-US"/>
        </w:rPr>
        <w:t>ing</w:t>
      </w:r>
      <w:r w:rsidRPr="00E56641">
        <w:rPr>
          <w:sz w:val="20"/>
          <w:lang w:val="en-US"/>
        </w:rPr>
        <w:t xml:space="preserve"> the creation of wartime internment camps in the United States.</w:t>
      </w:r>
      <w:r>
        <w:rPr>
          <w:rStyle w:val="FootnoteReference"/>
          <w:sz w:val="20"/>
        </w:rPr>
        <w:footnoteReference w:id="4"/>
      </w:r>
      <w:r w:rsidRPr="00E56641">
        <w:rPr>
          <w:sz w:val="20"/>
          <w:lang w:val="en-US"/>
        </w:rPr>
        <w:t xml:space="preserve"> </w:t>
      </w:r>
      <w:r w:rsidR="000B01B7">
        <w:rPr>
          <w:sz w:val="20"/>
          <w:lang w:val="en-US"/>
        </w:rPr>
        <w:t>A</w:t>
      </w:r>
      <w:r w:rsidRPr="00E56641">
        <w:rPr>
          <w:sz w:val="20"/>
          <w:lang w:val="en-US"/>
        </w:rPr>
        <w:t>pproximately 120,000 civilians</w:t>
      </w:r>
      <w:r w:rsidR="00BB4867">
        <w:rPr>
          <w:sz w:val="20"/>
          <w:lang w:val="en-US"/>
        </w:rPr>
        <w:t xml:space="preserve"> of Japanese ancestry</w:t>
      </w:r>
      <w:r w:rsidRPr="00E56641">
        <w:rPr>
          <w:sz w:val="20"/>
          <w:lang w:val="en-US"/>
        </w:rPr>
        <w:t xml:space="preserve"> were relocated and detained in these camps</w:t>
      </w:r>
      <w:r w:rsidR="00F6580B">
        <w:rPr>
          <w:sz w:val="20"/>
          <w:lang w:val="en-US"/>
        </w:rPr>
        <w:t>,</w:t>
      </w:r>
      <w:r>
        <w:rPr>
          <w:rStyle w:val="FootnoteReference"/>
          <w:sz w:val="20"/>
        </w:rPr>
        <w:footnoteReference w:id="5"/>
      </w:r>
      <w:r w:rsidR="00F6580B" w:rsidRPr="00F6580B">
        <w:rPr>
          <w:sz w:val="20"/>
          <w:lang w:val="en-US"/>
        </w:rPr>
        <w:t xml:space="preserve"> </w:t>
      </w:r>
      <w:r w:rsidR="00961898">
        <w:rPr>
          <w:sz w:val="20"/>
          <w:lang w:val="en-US"/>
        </w:rPr>
        <w:t>the majority</w:t>
      </w:r>
      <w:r w:rsidR="00BB4867">
        <w:rPr>
          <w:sz w:val="20"/>
          <w:lang w:val="en-US"/>
        </w:rPr>
        <w:t xml:space="preserve"> of whom were U.S. citizens.</w:t>
      </w:r>
      <w:r w:rsidR="00961898">
        <w:rPr>
          <w:rStyle w:val="FootnoteReference"/>
          <w:sz w:val="20"/>
          <w:lang w:val="en-US"/>
        </w:rPr>
        <w:footnoteReference w:id="6"/>
      </w:r>
      <w:r w:rsidR="00FD1BB2">
        <w:rPr>
          <w:sz w:val="20"/>
          <w:lang w:val="en-US"/>
        </w:rPr>
        <w:t xml:space="preserve"> </w:t>
      </w:r>
      <w:r w:rsidR="00FD1BB2" w:rsidRPr="00E56641">
        <w:rPr>
          <w:sz w:val="20"/>
          <w:lang w:val="en-US"/>
        </w:rPr>
        <w:t xml:space="preserve">In 1980, the U.S. Congress </w:t>
      </w:r>
      <w:r w:rsidR="00FD1BB2">
        <w:rPr>
          <w:sz w:val="20"/>
          <w:lang w:val="en-US"/>
        </w:rPr>
        <w:t>passed a law authorizing the creation of a C</w:t>
      </w:r>
      <w:r w:rsidR="00FD1BB2" w:rsidRPr="00E56641">
        <w:rPr>
          <w:sz w:val="20"/>
          <w:lang w:val="en-US"/>
        </w:rPr>
        <w:t>ommission to examine “the impact of Executive Order No. 9066</w:t>
      </w:r>
      <w:r w:rsidR="00FD1BB2">
        <w:rPr>
          <w:sz w:val="20"/>
          <w:lang w:val="en-US"/>
        </w:rPr>
        <w:t xml:space="preserve"> </w:t>
      </w:r>
      <w:r w:rsidR="00FD1BB2" w:rsidRPr="00E56641">
        <w:rPr>
          <w:sz w:val="20"/>
          <w:lang w:val="en-US"/>
        </w:rPr>
        <w:t xml:space="preserve">on American citizens and permanent resident aliens,” culminating in the 1982 report </w:t>
      </w:r>
      <w:r w:rsidR="00FD1BB2" w:rsidRPr="00E56641">
        <w:rPr>
          <w:i/>
          <w:sz w:val="20"/>
          <w:lang w:val="en-US"/>
        </w:rPr>
        <w:t>Personal Justice Denied: Report of the Commission on Wartime Relocation and Internment of Civilians</w:t>
      </w:r>
      <w:r w:rsidR="00FD1BB2">
        <w:rPr>
          <w:sz w:val="20"/>
          <w:lang w:val="en-US"/>
        </w:rPr>
        <w:t>, which contained an appendix regarding Japanese Latin Americans,</w:t>
      </w:r>
      <w:r w:rsidR="00FD1BB2" w:rsidRPr="00E56641">
        <w:rPr>
          <w:sz w:val="20"/>
          <w:lang w:val="en-US"/>
        </w:rPr>
        <w:t xml:space="preserve"> and the 1983 report </w:t>
      </w:r>
      <w:r w:rsidR="00FD1BB2" w:rsidRPr="00E56641">
        <w:rPr>
          <w:i/>
          <w:sz w:val="20"/>
          <w:lang w:val="en-US"/>
        </w:rPr>
        <w:t>Personal Justice Denied Part 2: Recommendations</w:t>
      </w:r>
      <w:r w:rsidR="00FD1BB2" w:rsidRPr="00E56641">
        <w:rPr>
          <w:sz w:val="20"/>
          <w:lang w:val="en-US"/>
        </w:rPr>
        <w:t>.</w:t>
      </w:r>
      <w:r w:rsidR="00FD1BB2">
        <w:rPr>
          <w:rStyle w:val="FootnoteReference"/>
          <w:sz w:val="20"/>
        </w:rPr>
        <w:footnoteReference w:id="7"/>
      </w:r>
    </w:p>
    <w:p w14:paraId="767C07C2" w14:textId="77777777" w:rsidR="00F6580B" w:rsidRDefault="00F6580B" w:rsidP="00F658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0F4285A1" w14:textId="77777777" w:rsidR="002D588D" w:rsidRDefault="002D588D" w:rsidP="00F658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060D378D" w14:textId="77777777" w:rsidR="002D588D" w:rsidRDefault="002D588D" w:rsidP="00F658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4418C954" w14:textId="77777777" w:rsidR="002D588D" w:rsidRDefault="002D588D" w:rsidP="00F6580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05F082B2" w14:textId="77777777" w:rsidR="0093319D" w:rsidRPr="0093319D" w:rsidRDefault="00FD1BB2"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 xml:space="preserve">The appendix to </w:t>
      </w:r>
      <w:r>
        <w:rPr>
          <w:i/>
          <w:sz w:val="20"/>
          <w:lang w:val="en-US"/>
        </w:rPr>
        <w:t>Personal Justice Denied</w:t>
      </w:r>
      <w:r>
        <w:rPr>
          <w:sz w:val="20"/>
          <w:lang w:val="en-US"/>
        </w:rPr>
        <w:t xml:space="preserve"> on Japanese Latin Americans found that, w</w:t>
      </w:r>
      <w:r w:rsidR="00645EA3">
        <w:rPr>
          <w:sz w:val="20"/>
          <w:lang w:val="en-US"/>
        </w:rPr>
        <w:t xml:space="preserve">hile not conducted pursuant to Executive Order No. 9066, during World War II (WWII), the U.S. “expanded its internment program </w:t>
      </w:r>
      <w:r w:rsidR="00C51260">
        <w:rPr>
          <w:sz w:val="20"/>
          <w:lang w:val="en-US"/>
        </w:rPr>
        <w:t>[…]</w:t>
      </w:r>
      <w:r w:rsidR="00645EA3">
        <w:rPr>
          <w:sz w:val="20"/>
          <w:lang w:val="en-US"/>
        </w:rPr>
        <w:t xml:space="preserve"> to Latin America on the basis of ‘military necessity.’ On the </w:t>
      </w:r>
      <w:r w:rsidR="00C51260">
        <w:rPr>
          <w:sz w:val="20"/>
          <w:lang w:val="en-US"/>
        </w:rPr>
        <w:t>[U.S.’]</w:t>
      </w:r>
      <w:r w:rsidR="00645EA3">
        <w:rPr>
          <w:sz w:val="20"/>
          <w:lang w:val="en-US"/>
        </w:rPr>
        <w:t xml:space="preserve"> invitation, approximately 3,000 residents of Latin America were deported to the United States for internment to secure the Western Hemisphere from internal threats and to supply exchanges for American citizens held by the Axis. Most of these deportees were citizens, or their families, of Japan, Germany and Italy.”</w:t>
      </w:r>
      <w:r w:rsidR="00645EA3">
        <w:rPr>
          <w:rStyle w:val="FootnoteReference"/>
          <w:sz w:val="20"/>
          <w:lang w:val="en-US"/>
        </w:rPr>
        <w:footnoteReference w:id="8"/>
      </w:r>
      <w:r w:rsidR="00F6580B">
        <w:rPr>
          <w:sz w:val="20"/>
          <w:lang w:val="en-US"/>
        </w:rPr>
        <w:t xml:space="preserve"> </w:t>
      </w:r>
      <w:r w:rsidR="00A5703E">
        <w:rPr>
          <w:sz w:val="20"/>
          <w:lang w:val="en-US"/>
        </w:rPr>
        <w:t>While this be</w:t>
      </w:r>
      <w:r w:rsidR="00C51260">
        <w:rPr>
          <w:sz w:val="20"/>
          <w:lang w:val="en-US"/>
        </w:rPr>
        <w:t xml:space="preserve">gan as a </w:t>
      </w:r>
      <w:r w:rsidR="00A5703E">
        <w:rPr>
          <w:sz w:val="20"/>
          <w:lang w:val="en-US"/>
        </w:rPr>
        <w:t xml:space="preserve">program </w:t>
      </w:r>
      <w:r w:rsidR="00C51260">
        <w:rPr>
          <w:sz w:val="20"/>
          <w:lang w:val="en-US"/>
        </w:rPr>
        <w:t>“</w:t>
      </w:r>
      <w:r w:rsidR="00A5703E">
        <w:rPr>
          <w:sz w:val="20"/>
          <w:lang w:val="en-US"/>
        </w:rPr>
        <w:t>to detain potentially dangerous diplomatic and consular officials of Axi</w:t>
      </w:r>
      <w:r w:rsidR="00F81119">
        <w:rPr>
          <w:sz w:val="20"/>
          <w:lang w:val="en-US"/>
        </w:rPr>
        <w:t xml:space="preserve">s nations and Axis businessmen[, </w:t>
      </w:r>
      <w:r w:rsidR="00A5703E">
        <w:rPr>
          <w:sz w:val="20"/>
          <w:lang w:val="en-US"/>
        </w:rPr>
        <w:t>it] grew to include enemy aliens who were teachers, small businessmen, tailors and barbers—mostly people of Japanese ancestry.”</w:t>
      </w:r>
      <w:r w:rsidR="00A5703E">
        <w:rPr>
          <w:rStyle w:val="FootnoteReference"/>
          <w:sz w:val="20"/>
          <w:lang w:val="en-US"/>
        </w:rPr>
        <w:footnoteReference w:id="9"/>
      </w:r>
      <w:r w:rsidR="00A5703E">
        <w:rPr>
          <w:sz w:val="20"/>
          <w:lang w:val="en-US"/>
        </w:rPr>
        <w:t xml:space="preserve"> S</w:t>
      </w:r>
      <w:r w:rsidR="00CC205D" w:rsidRPr="00A5703E">
        <w:rPr>
          <w:color w:val="auto"/>
          <w:sz w:val="20"/>
          <w:lang w:val="en-US"/>
        </w:rPr>
        <w:t xml:space="preserve">ome 2,264 Latin Americans of Japanese ancestry were </w:t>
      </w:r>
      <w:r w:rsidR="00A5703E">
        <w:rPr>
          <w:color w:val="auto"/>
          <w:sz w:val="20"/>
          <w:lang w:val="en-US"/>
        </w:rPr>
        <w:t>deported to</w:t>
      </w:r>
      <w:r w:rsidR="002B2A2E">
        <w:rPr>
          <w:color w:val="auto"/>
          <w:sz w:val="20"/>
          <w:lang w:val="en-US"/>
        </w:rPr>
        <w:t xml:space="preserve"> and</w:t>
      </w:r>
      <w:r w:rsidR="00A5703E">
        <w:rPr>
          <w:color w:val="auto"/>
          <w:sz w:val="20"/>
          <w:lang w:val="en-US"/>
        </w:rPr>
        <w:t xml:space="preserve"> </w:t>
      </w:r>
      <w:r w:rsidR="00CC205D" w:rsidRPr="00A5703E">
        <w:rPr>
          <w:color w:val="auto"/>
          <w:sz w:val="20"/>
          <w:lang w:val="en-US"/>
        </w:rPr>
        <w:t>interned in the U.S. during World War II</w:t>
      </w:r>
      <w:r w:rsidR="00A5703E">
        <w:rPr>
          <w:color w:val="auto"/>
          <w:sz w:val="20"/>
          <w:lang w:val="en-US"/>
        </w:rPr>
        <w:t>, of whom about 8</w:t>
      </w:r>
      <w:r w:rsidR="00CC205D" w:rsidRPr="00A5703E">
        <w:rPr>
          <w:color w:val="auto"/>
          <w:sz w:val="20"/>
          <w:lang w:val="en-US"/>
        </w:rPr>
        <w:t>0 percent were Japanese Peruvians.</w:t>
      </w:r>
      <w:r w:rsidR="00CC205D">
        <w:rPr>
          <w:rStyle w:val="FootnoteReference"/>
          <w:color w:val="auto"/>
          <w:sz w:val="20"/>
          <w:lang w:val="en-US"/>
        </w:rPr>
        <w:footnoteReference w:id="10"/>
      </w:r>
      <w:r w:rsidR="00CC205D" w:rsidRPr="00A5703E">
        <w:rPr>
          <w:color w:val="auto"/>
          <w:sz w:val="20"/>
          <w:lang w:val="en-US"/>
        </w:rPr>
        <w:t xml:space="preserve"> </w:t>
      </w:r>
    </w:p>
    <w:p w14:paraId="76D29EB5" w14:textId="77777777" w:rsidR="0093319D" w:rsidRDefault="0093319D" w:rsidP="0093319D">
      <w:pPr>
        <w:pStyle w:val="ListParagraph"/>
        <w:rPr>
          <w:sz w:val="20"/>
        </w:rPr>
      </w:pPr>
    </w:p>
    <w:p w14:paraId="091F80DD" w14:textId="77777777" w:rsidR="0093319D" w:rsidRPr="0093319D" w:rsidRDefault="0093319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 xml:space="preserve">While internment of Japanese Latin Americans was justified as a security measure, </w:t>
      </w:r>
      <w:r w:rsidR="00B4443E">
        <w:rPr>
          <w:sz w:val="20"/>
          <w:lang w:val="en-US"/>
        </w:rPr>
        <w:t xml:space="preserve">a “curious wartime triangle trade” in internees developed, as </w:t>
      </w:r>
      <w:r>
        <w:rPr>
          <w:sz w:val="20"/>
          <w:lang w:val="en-US"/>
        </w:rPr>
        <w:t>“some Latin American countries, particularly Peru, deported Japanese out of cultural prejudice and antagonism based on economic competition; the United States, in turn, sought Latin American Japanese internees to exchange with Japan for American citizens trapped in territories Japan controlled. The same dynamic often affected Germans and Italians.”</w:t>
      </w:r>
      <w:r>
        <w:rPr>
          <w:rStyle w:val="FootnoteReference"/>
          <w:sz w:val="20"/>
          <w:lang w:val="en-US"/>
        </w:rPr>
        <w:footnoteReference w:id="11"/>
      </w:r>
      <w:r w:rsidR="00B4443E">
        <w:rPr>
          <w:sz w:val="20"/>
          <w:lang w:val="en-US"/>
        </w:rPr>
        <w:t xml:space="preserve"> The U.S. apparently recognized </w:t>
      </w:r>
      <w:r w:rsidR="00F81119">
        <w:rPr>
          <w:sz w:val="20"/>
          <w:lang w:val="en-US"/>
        </w:rPr>
        <w:t xml:space="preserve">at the time </w:t>
      </w:r>
      <w:r w:rsidR="00B4443E">
        <w:rPr>
          <w:sz w:val="20"/>
          <w:lang w:val="en-US"/>
        </w:rPr>
        <w:t>that this deportation and hostage-exchange scheme violated international law; in 1943, the State Department supported a plan to create internment camps in Peru as it was “reluctant to encourage Peru to breach international law by sending all its Peruvian Japanese from a nonbelligerent state directly to a belligerent one,” though this plan never materialized.</w:t>
      </w:r>
      <w:r w:rsidR="00B4443E">
        <w:rPr>
          <w:rStyle w:val="FootnoteReference"/>
          <w:sz w:val="20"/>
          <w:lang w:val="en-US"/>
        </w:rPr>
        <w:footnoteReference w:id="12"/>
      </w:r>
      <w:r w:rsidR="00B4443E">
        <w:rPr>
          <w:sz w:val="20"/>
          <w:lang w:val="en-US"/>
        </w:rPr>
        <w:t xml:space="preserve"> </w:t>
      </w:r>
    </w:p>
    <w:p w14:paraId="189F628C" w14:textId="77777777" w:rsidR="0093319D" w:rsidRDefault="0093319D" w:rsidP="0093319D">
      <w:pPr>
        <w:pStyle w:val="ListParagraph"/>
        <w:rPr>
          <w:color w:val="auto"/>
          <w:sz w:val="20"/>
        </w:rPr>
      </w:pPr>
    </w:p>
    <w:p w14:paraId="35945A8B" w14:textId="77777777" w:rsidR="00CC205D" w:rsidRPr="000B01B7" w:rsidRDefault="00CC205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sidRPr="00A5703E">
        <w:rPr>
          <w:color w:val="auto"/>
          <w:sz w:val="20"/>
          <w:lang w:val="en-US"/>
        </w:rPr>
        <w:t>Of the 2,264 Japanese Latin American</w:t>
      </w:r>
      <w:r w:rsidR="00C51260">
        <w:rPr>
          <w:color w:val="auto"/>
          <w:sz w:val="20"/>
          <w:lang w:val="en-US"/>
        </w:rPr>
        <w:t xml:space="preserve"> internees</w:t>
      </w:r>
      <w:r w:rsidRPr="00A5703E">
        <w:rPr>
          <w:color w:val="auto"/>
          <w:sz w:val="20"/>
          <w:lang w:val="en-US"/>
        </w:rPr>
        <w:t xml:space="preserve">, approximately </w:t>
      </w:r>
      <w:r w:rsidR="00F81119">
        <w:rPr>
          <w:color w:val="auto"/>
          <w:sz w:val="20"/>
          <w:lang w:val="en-US"/>
        </w:rPr>
        <w:t>800</w:t>
      </w:r>
      <w:r w:rsidRPr="00A5703E">
        <w:rPr>
          <w:color w:val="auto"/>
          <w:sz w:val="20"/>
          <w:lang w:val="en-US"/>
        </w:rPr>
        <w:t xml:space="preserve"> were sent to Japan in hostage exchanges;</w:t>
      </w:r>
      <w:r w:rsidR="00FE2982">
        <w:rPr>
          <w:color w:val="auto"/>
          <w:sz w:val="20"/>
          <w:lang w:val="en-US"/>
        </w:rPr>
        <w:t xml:space="preserve"> at least</w:t>
      </w:r>
      <w:r w:rsidRPr="00A5703E">
        <w:rPr>
          <w:color w:val="auto"/>
          <w:sz w:val="20"/>
          <w:lang w:val="en-US"/>
        </w:rPr>
        <w:t xml:space="preserve"> </w:t>
      </w:r>
      <w:r w:rsidR="00FE2982">
        <w:rPr>
          <w:color w:val="auto"/>
          <w:sz w:val="20"/>
          <w:lang w:val="en-US"/>
        </w:rPr>
        <w:t>930</w:t>
      </w:r>
      <w:r w:rsidRPr="00A5703E">
        <w:rPr>
          <w:color w:val="auto"/>
          <w:sz w:val="20"/>
          <w:lang w:val="en-US"/>
        </w:rPr>
        <w:t xml:space="preserve"> were</w:t>
      </w:r>
      <w:r w:rsidR="00FE2982">
        <w:rPr>
          <w:color w:val="auto"/>
          <w:sz w:val="20"/>
          <w:lang w:val="en-US"/>
        </w:rPr>
        <w:t xml:space="preserve"> voluntarily</w:t>
      </w:r>
      <w:r w:rsidRPr="00A5703E">
        <w:rPr>
          <w:color w:val="auto"/>
          <w:sz w:val="20"/>
          <w:lang w:val="en-US"/>
        </w:rPr>
        <w:t xml:space="preserve"> deported to Japan following the war; and</w:t>
      </w:r>
      <w:r w:rsidR="00F81119">
        <w:rPr>
          <w:color w:val="auto"/>
          <w:sz w:val="20"/>
          <w:lang w:val="en-US"/>
        </w:rPr>
        <w:t xml:space="preserve"> as of 1947,</w:t>
      </w:r>
      <w:r w:rsidRPr="00A5703E">
        <w:rPr>
          <w:color w:val="auto"/>
          <w:sz w:val="20"/>
          <w:lang w:val="en-US"/>
        </w:rPr>
        <w:t xml:space="preserve"> only about 300 remained in the U.S., including the Shibayama family.</w:t>
      </w:r>
      <w:r>
        <w:rPr>
          <w:rStyle w:val="FootnoteReference"/>
          <w:color w:val="auto"/>
          <w:sz w:val="20"/>
          <w:lang w:val="en-US"/>
        </w:rPr>
        <w:footnoteReference w:id="13"/>
      </w:r>
      <w:r w:rsidR="00F81119">
        <w:rPr>
          <w:color w:val="auto"/>
          <w:sz w:val="20"/>
          <w:lang w:val="en-US"/>
        </w:rPr>
        <w:t xml:space="preserve"> In preparing this report, the IACHR encountered reference to only about 100 Japanese Peruvians who were able to return to Peru </w:t>
      </w:r>
      <w:r w:rsidR="00C51260">
        <w:rPr>
          <w:color w:val="auto"/>
          <w:sz w:val="20"/>
          <w:lang w:val="en-US"/>
        </w:rPr>
        <w:t>after</w:t>
      </w:r>
      <w:r w:rsidR="00F81119">
        <w:rPr>
          <w:color w:val="auto"/>
          <w:sz w:val="20"/>
          <w:lang w:val="en-US"/>
        </w:rPr>
        <w:t xml:space="preserve"> WWII.</w:t>
      </w:r>
      <w:r w:rsidR="00F81119">
        <w:rPr>
          <w:rStyle w:val="FootnoteReference"/>
          <w:color w:val="auto"/>
          <w:sz w:val="20"/>
          <w:lang w:val="en-US"/>
        </w:rPr>
        <w:footnoteReference w:id="14"/>
      </w:r>
      <w:r w:rsidR="00F81119">
        <w:rPr>
          <w:color w:val="auto"/>
          <w:sz w:val="20"/>
          <w:lang w:val="en-US"/>
        </w:rPr>
        <w:t xml:space="preserve"> </w:t>
      </w:r>
    </w:p>
    <w:p w14:paraId="17625D7E" w14:textId="77777777" w:rsidR="000B01B7" w:rsidRDefault="000B01B7" w:rsidP="000B01B7">
      <w:pPr>
        <w:pStyle w:val="ListParagraph"/>
        <w:rPr>
          <w:sz w:val="20"/>
        </w:rPr>
      </w:pPr>
    </w:p>
    <w:p w14:paraId="33A959D4" w14:textId="77777777" w:rsidR="000B01B7" w:rsidRPr="00A5703E" w:rsidRDefault="000B01B7"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 xml:space="preserve">Although comprehensive research concerning the lives and fates of Japanese Latin Americans deported from Latin America during WWII and </w:t>
      </w:r>
      <w:r w:rsidR="00FD1BB2">
        <w:rPr>
          <w:sz w:val="20"/>
          <w:lang w:val="en-US"/>
        </w:rPr>
        <w:t xml:space="preserve">evaluating </w:t>
      </w:r>
      <w:r>
        <w:rPr>
          <w:sz w:val="20"/>
          <w:lang w:val="en-US"/>
        </w:rPr>
        <w:t>“the need for this extensive</w:t>
      </w:r>
      <w:r w:rsidR="00C51260">
        <w:rPr>
          <w:sz w:val="20"/>
          <w:lang w:val="en-US"/>
        </w:rPr>
        <w:t>,</w:t>
      </w:r>
      <w:r>
        <w:rPr>
          <w:sz w:val="20"/>
          <w:lang w:val="en-US"/>
        </w:rPr>
        <w:t xml:space="preserve"> disruptive program” remains to be </w:t>
      </w:r>
      <w:r w:rsidR="00C51260">
        <w:rPr>
          <w:sz w:val="20"/>
          <w:lang w:val="en-US"/>
        </w:rPr>
        <w:t>carried out</w:t>
      </w:r>
      <w:r>
        <w:rPr>
          <w:sz w:val="20"/>
          <w:lang w:val="en-US"/>
        </w:rPr>
        <w:t xml:space="preserve">—particularly in the archives and government records of the </w:t>
      </w:r>
      <w:r w:rsidR="00FC22DD">
        <w:rPr>
          <w:sz w:val="20"/>
          <w:lang w:val="en-US"/>
        </w:rPr>
        <w:t>involved</w:t>
      </w:r>
      <w:r>
        <w:rPr>
          <w:sz w:val="20"/>
          <w:lang w:val="en-US"/>
        </w:rPr>
        <w:t xml:space="preserve"> countries—</w:t>
      </w:r>
      <w:r w:rsidR="00C51260">
        <w:rPr>
          <w:sz w:val="20"/>
          <w:lang w:val="en-US"/>
        </w:rPr>
        <w:t xml:space="preserve">the U.S.’ report </w:t>
      </w:r>
      <w:r>
        <w:rPr>
          <w:i/>
          <w:sz w:val="20"/>
          <w:lang w:val="en-US"/>
        </w:rPr>
        <w:t>Personal Justice Denied</w:t>
      </w:r>
      <w:r>
        <w:rPr>
          <w:sz w:val="20"/>
          <w:lang w:val="en-US"/>
        </w:rPr>
        <w:t xml:space="preserve"> observed that there appeared to be “no reliable evidence of planned or contemplated acts of sabotage, subversion, or espionage” in Peru during WWII. It concluded, “Whatever justification is offered for this treatment of enemy aliens, many Latin American Japanese never saw their homes again after remaining for many years in a kind of legal no-man’s-land. Their history is one of the strange, unhappy, largely forgotten stories of World War II.”</w:t>
      </w:r>
      <w:r>
        <w:rPr>
          <w:rStyle w:val="FootnoteReference"/>
          <w:sz w:val="20"/>
          <w:lang w:val="en-US"/>
        </w:rPr>
        <w:footnoteReference w:id="15"/>
      </w:r>
    </w:p>
    <w:p w14:paraId="02E7F68E" w14:textId="77777777" w:rsidR="00CC205D" w:rsidRDefault="00CC205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17EA6594" w14:textId="77777777" w:rsidR="002D588D" w:rsidRDefault="002D588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164796E4" w14:textId="77777777" w:rsidR="002D588D" w:rsidRDefault="002D588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5374752E" w14:textId="77777777" w:rsidR="002D588D" w:rsidRDefault="002D588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35C04313" w14:textId="77777777" w:rsidR="002D588D" w:rsidRDefault="002D588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2BD9EFD1" w14:textId="77777777" w:rsidR="002D588D" w:rsidRDefault="002D588D" w:rsidP="00CC205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62D1FC71" w14:textId="77777777" w:rsidR="00D83D73" w:rsidRPr="00C53C19" w:rsidRDefault="00C53C19" w:rsidP="00E93F9E">
      <w:pPr>
        <w:pStyle w:val="Heading2"/>
        <w:ind w:left="1440" w:hanging="810"/>
      </w:pPr>
      <w:bookmarkStart w:id="9" w:name="_Toc27059050"/>
      <w:r w:rsidRPr="00C53C19">
        <w:t>T</w:t>
      </w:r>
      <w:r w:rsidR="007A7DA4" w:rsidRPr="00C53C19">
        <w:t>he Shibayama brothers</w:t>
      </w:r>
      <w:bookmarkEnd w:id="9"/>
    </w:p>
    <w:p w14:paraId="2CCE5AE3" w14:textId="77777777" w:rsidR="007A7DA4" w:rsidRPr="007A7DA4" w:rsidRDefault="007A7DA4" w:rsidP="007A7DA4">
      <w:pPr>
        <w:pStyle w:val="ListParagraph"/>
        <w:rPr>
          <w:rFonts w:asciiTheme="majorHAnsi" w:hAnsiTheme="majorHAnsi"/>
          <w:b/>
          <w:color w:val="FF0000"/>
          <w:sz w:val="20"/>
          <w:szCs w:val="20"/>
          <w:lang w:val="es-ES_tradnl"/>
        </w:rPr>
      </w:pPr>
    </w:p>
    <w:p w14:paraId="03817628" w14:textId="77777777" w:rsidR="007A7DA4" w:rsidRPr="00887D37" w:rsidRDefault="007A7DA4"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F85986">
        <w:rPr>
          <w:sz w:val="20"/>
          <w:lang w:val="en-US"/>
        </w:rPr>
        <w:t xml:space="preserve">Isamu, Kenichi, and Takeshi Shibayama are brothers of Japanese ancestry who were born in </w:t>
      </w:r>
      <w:r w:rsidR="00C51260">
        <w:rPr>
          <w:sz w:val="20"/>
          <w:lang w:val="en-US"/>
        </w:rPr>
        <w:t xml:space="preserve">Lima, </w:t>
      </w:r>
      <w:r w:rsidRPr="00F85986">
        <w:rPr>
          <w:sz w:val="20"/>
          <w:lang w:val="en-US"/>
        </w:rPr>
        <w:t>Peru and whose native language is Spanish.</w:t>
      </w:r>
      <w:r w:rsidR="00E56641">
        <w:rPr>
          <w:rStyle w:val="FootnoteReference"/>
          <w:sz w:val="20"/>
          <w:lang w:val="en-US"/>
        </w:rPr>
        <w:footnoteReference w:id="16"/>
      </w:r>
      <w:r w:rsidRPr="00F85986">
        <w:rPr>
          <w:sz w:val="20"/>
          <w:lang w:val="en-US"/>
        </w:rPr>
        <w:t xml:space="preserve"> Isamu Shibayama was born on June 6, 1930, and died on July 31, 2018</w:t>
      </w:r>
      <w:r w:rsidR="00B57681">
        <w:rPr>
          <w:sz w:val="20"/>
          <w:lang w:val="en-US"/>
        </w:rPr>
        <w:t xml:space="preserve"> in San Jose, California</w:t>
      </w:r>
      <w:r w:rsidRPr="00F85986">
        <w:rPr>
          <w:sz w:val="20"/>
          <w:lang w:val="en-US"/>
        </w:rPr>
        <w:t>.</w:t>
      </w:r>
      <w:r>
        <w:rPr>
          <w:rStyle w:val="FootnoteReference"/>
          <w:sz w:val="20"/>
        </w:rPr>
        <w:footnoteReference w:id="17"/>
      </w:r>
      <w:r w:rsidRPr="00F85986">
        <w:rPr>
          <w:sz w:val="20"/>
          <w:lang w:val="en-US"/>
        </w:rPr>
        <w:t xml:space="preserve"> </w:t>
      </w:r>
      <w:r w:rsidRPr="00344298">
        <w:rPr>
          <w:sz w:val="20"/>
          <w:lang w:val="en-US"/>
        </w:rPr>
        <w:t>Kenichi Shibayama was born on January 5, 1937, and Takeshi Shibayama was born on July 18, 1938.</w:t>
      </w:r>
      <w:r>
        <w:rPr>
          <w:rStyle w:val="FootnoteReference"/>
          <w:sz w:val="20"/>
        </w:rPr>
        <w:footnoteReference w:id="18"/>
      </w:r>
      <w:r w:rsidRPr="00344298">
        <w:rPr>
          <w:sz w:val="20"/>
          <w:lang w:val="en-US"/>
        </w:rPr>
        <w:t xml:space="preserve"> </w:t>
      </w:r>
      <w:r w:rsidR="00344298" w:rsidRPr="00F85986">
        <w:rPr>
          <w:sz w:val="20"/>
          <w:lang w:val="en-US"/>
        </w:rPr>
        <w:t>Their parents were Yuzo</w:t>
      </w:r>
      <w:r w:rsidR="00F85986" w:rsidRPr="00F85986">
        <w:rPr>
          <w:sz w:val="20"/>
          <w:lang w:val="en-US"/>
        </w:rPr>
        <w:t xml:space="preserve"> and Tatsue Shibayama, and their </w:t>
      </w:r>
      <w:r w:rsidR="00C53C19">
        <w:rPr>
          <w:sz w:val="20"/>
          <w:lang w:val="en-US"/>
        </w:rPr>
        <w:t>siblings</w:t>
      </w:r>
      <w:r w:rsidR="00F85986" w:rsidRPr="00F85986">
        <w:rPr>
          <w:sz w:val="20"/>
          <w:lang w:val="en-US"/>
        </w:rPr>
        <w:t xml:space="preserve"> are Fusako Elisa, Kikue Yolanda, and Akiko Rosa</w:t>
      </w:r>
      <w:r w:rsidR="00CA214D">
        <w:rPr>
          <w:sz w:val="20"/>
          <w:lang w:val="en-US"/>
        </w:rPr>
        <w:t>, born in Peru, and George and Kazuko Frances, born in the U.S</w:t>
      </w:r>
      <w:r w:rsidR="00F85986" w:rsidRPr="00F85986">
        <w:rPr>
          <w:sz w:val="20"/>
          <w:lang w:val="en-US"/>
        </w:rPr>
        <w:t>.</w:t>
      </w:r>
      <w:r w:rsidR="00F85986">
        <w:rPr>
          <w:rStyle w:val="FootnoteReference"/>
          <w:sz w:val="20"/>
          <w:lang w:val="en-US"/>
        </w:rPr>
        <w:footnoteReference w:id="19"/>
      </w:r>
      <w:r w:rsidR="00DD629F">
        <w:rPr>
          <w:sz w:val="20"/>
          <w:lang w:val="en-US"/>
        </w:rPr>
        <w:t xml:space="preserve"> In Peru, Yuzo and Tatsue Shibayama had a successful business importing textiles and manufacturing dress shirts, and the Shibayama brothers’ grandparents owned a department store in Callao, Peru.</w:t>
      </w:r>
      <w:r w:rsidR="00DD629F">
        <w:rPr>
          <w:rStyle w:val="FootnoteReference"/>
          <w:sz w:val="20"/>
          <w:lang w:val="en-US"/>
        </w:rPr>
        <w:footnoteReference w:id="20"/>
      </w:r>
    </w:p>
    <w:p w14:paraId="189E9F25" w14:textId="77777777" w:rsidR="007A7DA4" w:rsidRPr="00887D37" w:rsidRDefault="007A7DA4" w:rsidP="007A7DA4">
      <w:pPr>
        <w:pStyle w:val="ListParagraph"/>
        <w:rPr>
          <w:color w:val="auto"/>
          <w:sz w:val="20"/>
          <w:szCs w:val="20"/>
        </w:rPr>
      </w:pPr>
    </w:p>
    <w:p w14:paraId="184C1447" w14:textId="77777777" w:rsidR="00D83D73" w:rsidRPr="00E43913" w:rsidRDefault="00C53C19" w:rsidP="00E93F9E">
      <w:pPr>
        <w:pStyle w:val="Heading2"/>
        <w:ind w:left="1440" w:hanging="810"/>
        <w:rPr>
          <w:lang w:val="en-US"/>
        </w:rPr>
      </w:pPr>
      <w:bookmarkStart w:id="10" w:name="_Toc27059051"/>
      <w:r w:rsidRPr="00E43913">
        <w:rPr>
          <w:lang w:val="en-US"/>
        </w:rPr>
        <w:t>The Shibayama family’s abduction from Peru, internment at Crystal City, Texas, and life upon release from internment</w:t>
      </w:r>
      <w:bookmarkEnd w:id="10"/>
    </w:p>
    <w:p w14:paraId="39B2A65C" w14:textId="77777777" w:rsidR="007A7DA4" w:rsidRPr="00C53C19" w:rsidRDefault="007A7DA4" w:rsidP="00C53C19">
      <w:pPr>
        <w:jc w:val="both"/>
        <w:rPr>
          <w:rFonts w:asciiTheme="majorHAnsi" w:hAnsiTheme="majorHAnsi"/>
          <w:b/>
          <w:color w:val="FF0000"/>
          <w:sz w:val="20"/>
          <w:lang w:val="en-US"/>
        </w:rPr>
      </w:pPr>
    </w:p>
    <w:p w14:paraId="15A4E49A" w14:textId="77777777" w:rsidR="0002553C" w:rsidRDefault="00150351"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The Shibayama brothers’ grandparents, a Peruvian citizen and permanent resident, were among the first Japanese Peruvians to be abducted from Peru by U.S. personnel, sometime in late 1942 or early 1943.</w:t>
      </w:r>
      <w:r>
        <w:rPr>
          <w:rStyle w:val="FootnoteReference"/>
          <w:sz w:val="20"/>
          <w:lang w:val="en-US"/>
        </w:rPr>
        <w:footnoteReference w:id="21"/>
      </w:r>
      <w:r>
        <w:rPr>
          <w:sz w:val="20"/>
          <w:lang w:val="en-US"/>
        </w:rPr>
        <w:t xml:space="preserve"> </w:t>
      </w:r>
      <w:r w:rsidRPr="00150351">
        <w:rPr>
          <w:sz w:val="20"/>
          <w:lang w:val="en-US"/>
        </w:rPr>
        <w:t xml:space="preserve">The grandparents were </w:t>
      </w:r>
      <w:r>
        <w:rPr>
          <w:sz w:val="20"/>
          <w:lang w:val="en-US"/>
        </w:rPr>
        <w:t>“</w:t>
      </w:r>
      <w:r w:rsidRPr="00150351">
        <w:rPr>
          <w:sz w:val="20"/>
          <w:lang w:val="en-US"/>
        </w:rPr>
        <w:t>brought to the United States on a [U.S.] military troop transport ship, interned at Seagoville</w:t>
      </w:r>
      <w:r>
        <w:rPr>
          <w:sz w:val="20"/>
          <w:lang w:val="en-US"/>
        </w:rPr>
        <w:t xml:space="preserve"> [Texas]</w:t>
      </w:r>
      <w:r w:rsidRPr="00150351">
        <w:rPr>
          <w:sz w:val="20"/>
          <w:lang w:val="en-US"/>
        </w:rPr>
        <w:t xml:space="preserve"> and subsequently […] sent to Japan in exchange for [U.S.] citizens of European ancestry.”</w:t>
      </w:r>
      <w:r>
        <w:rPr>
          <w:rStyle w:val="FootnoteReference"/>
          <w:sz w:val="20"/>
          <w:lang w:val="en-US"/>
        </w:rPr>
        <w:footnoteReference w:id="22"/>
      </w:r>
      <w:r w:rsidRPr="00150351">
        <w:rPr>
          <w:sz w:val="20"/>
          <w:lang w:val="en-US"/>
        </w:rPr>
        <w:t xml:space="preserve"> </w:t>
      </w:r>
      <w:r>
        <w:rPr>
          <w:sz w:val="20"/>
          <w:lang w:val="en-US"/>
        </w:rPr>
        <w:t>The Shibayama family never saw them again</w:t>
      </w:r>
      <w:r w:rsidR="00CC205D">
        <w:rPr>
          <w:sz w:val="20"/>
          <w:lang w:val="en-US"/>
        </w:rPr>
        <w:t>, a fact that particularly impacted Isamu Shibayama, who</w:t>
      </w:r>
      <w:r w:rsidR="008F74E3">
        <w:rPr>
          <w:sz w:val="20"/>
          <w:lang w:val="en-US"/>
        </w:rPr>
        <w:t xml:space="preserve"> prior to that time</w:t>
      </w:r>
      <w:r w:rsidR="00CC205D">
        <w:rPr>
          <w:sz w:val="20"/>
          <w:lang w:val="en-US"/>
        </w:rPr>
        <w:t xml:space="preserve"> was largely raised by his grandparents.</w:t>
      </w:r>
      <w:r w:rsidR="00CC205D">
        <w:rPr>
          <w:rStyle w:val="FootnoteReference"/>
          <w:sz w:val="20"/>
          <w:lang w:val="en-US"/>
        </w:rPr>
        <w:footnoteReference w:id="23"/>
      </w:r>
    </w:p>
    <w:p w14:paraId="71E29EDD" w14:textId="77777777" w:rsidR="00150351" w:rsidRDefault="00150351" w:rsidP="001503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1DF589F6" w14:textId="77777777" w:rsidR="007D148E" w:rsidRDefault="00150351"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After the first Japanese Peruvian hostages “were placed on a U.S. Army transport and shipped to an unknown destination, some of the Japanese Peruvian men went into hiding, including [</w:t>
      </w:r>
      <w:r w:rsidR="007D148E">
        <w:rPr>
          <w:sz w:val="20"/>
          <w:lang w:val="en-US"/>
        </w:rPr>
        <w:t>the Shibayamas’</w:t>
      </w:r>
      <w:r>
        <w:rPr>
          <w:sz w:val="20"/>
          <w:lang w:val="en-US"/>
        </w:rPr>
        <w:t>] father, whenever a U.S. transport arrived in the harbor” at Callao, Peru.</w:t>
      </w:r>
      <w:r>
        <w:rPr>
          <w:rStyle w:val="FootnoteReference"/>
          <w:sz w:val="20"/>
          <w:lang w:val="en-US"/>
        </w:rPr>
        <w:footnoteReference w:id="24"/>
      </w:r>
      <w:r>
        <w:rPr>
          <w:sz w:val="20"/>
          <w:lang w:val="en-US"/>
        </w:rPr>
        <w:t xml:space="preserve"> Finally, their mother, Tatsue, was jailed for refusing to disclose the whereabouts of her husband, Yuzo; her oldest daughter, </w:t>
      </w:r>
      <w:r w:rsidR="00BD45C8">
        <w:rPr>
          <w:sz w:val="20"/>
          <w:lang w:val="en-US"/>
        </w:rPr>
        <w:t xml:space="preserve">then </w:t>
      </w:r>
      <w:r>
        <w:rPr>
          <w:sz w:val="20"/>
          <w:lang w:val="en-US"/>
        </w:rPr>
        <w:t>age 11, accompanied her to the jail so that her mother would not be alone.</w:t>
      </w:r>
      <w:r>
        <w:rPr>
          <w:rStyle w:val="FootnoteReference"/>
          <w:sz w:val="20"/>
          <w:lang w:val="en-US"/>
        </w:rPr>
        <w:footnoteReference w:id="25"/>
      </w:r>
      <w:r>
        <w:rPr>
          <w:sz w:val="20"/>
          <w:lang w:val="en-US"/>
        </w:rPr>
        <w:t xml:space="preserve"> </w:t>
      </w:r>
      <w:r w:rsidR="003372D0">
        <w:rPr>
          <w:sz w:val="20"/>
          <w:lang w:val="en-US"/>
        </w:rPr>
        <w:t>W</w:t>
      </w:r>
      <w:r>
        <w:rPr>
          <w:sz w:val="20"/>
          <w:lang w:val="en-US"/>
        </w:rPr>
        <w:t xml:space="preserve">hen Mr. Shibayama </w:t>
      </w:r>
      <w:r w:rsidR="003372D0">
        <w:rPr>
          <w:sz w:val="20"/>
          <w:lang w:val="en-US"/>
        </w:rPr>
        <w:t xml:space="preserve">heard of this, he </w:t>
      </w:r>
      <w:r>
        <w:rPr>
          <w:sz w:val="20"/>
          <w:lang w:val="en-US"/>
        </w:rPr>
        <w:t xml:space="preserve">turned himself in to the authorities, </w:t>
      </w:r>
      <w:r w:rsidR="003372D0">
        <w:rPr>
          <w:sz w:val="20"/>
          <w:lang w:val="en-US"/>
        </w:rPr>
        <w:t xml:space="preserve">and </w:t>
      </w:r>
      <w:r>
        <w:rPr>
          <w:sz w:val="20"/>
          <w:lang w:val="en-US"/>
        </w:rPr>
        <w:t>the parents and their six children were seized by U.S. personnel.</w:t>
      </w:r>
      <w:r>
        <w:rPr>
          <w:rStyle w:val="FootnoteReference"/>
          <w:sz w:val="20"/>
          <w:lang w:val="en-US"/>
        </w:rPr>
        <w:footnoteReference w:id="26"/>
      </w:r>
      <w:r>
        <w:rPr>
          <w:sz w:val="20"/>
          <w:lang w:val="en-US"/>
        </w:rPr>
        <w:t xml:space="preserve"> </w:t>
      </w:r>
      <w:r w:rsidR="007A7DA4" w:rsidRPr="007A7DA4">
        <w:rPr>
          <w:sz w:val="20"/>
          <w:lang w:val="en-US"/>
        </w:rPr>
        <w:t>On March 1, 1944, the Shibayama brothers, their three sisters, and their parents were abducted i</w:t>
      </w:r>
      <w:r w:rsidR="00F449B4">
        <w:rPr>
          <w:sz w:val="20"/>
          <w:lang w:val="en-US"/>
        </w:rPr>
        <w:t>n Peru by the U.S. Armed Forces.</w:t>
      </w:r>
      <w:r w:rsidR="00F449B4">
        <w:rPr>
          <w:rStyle w:val="FootnoteReference"/>
          <w:sz w:val="20"/>
          <w:lang w:val="en-US"/>
        </w:rPr>
        <w:footnoteReference w:id="27"/>
      </w:r>
      <w:r w:rsidR="007A7DA4" w:rsidRPr="007A7DA4">
        <w:rPr>
          <w:sz w:val="20"/>
          <w:lang w:val="en-US"/>
        </w:rPr>
        <w:t xml:space="preserve"> </w:t>
      </w:r>
      <w:r w:rsidR="00F449B4">
        <w:rPr>
          <w:sz w:val="20"/>
          <w:lang w:val="en-US"/>
        </w:rPr>
        <w:t>A</w:t>
      </w:r>
      <w:r w:rsidR="007A7DA4" w:rsidRPr="007A7DA4">
        <w:rPr>
          <w:sz w:val="20"/>
          <w:lang w:val="en-US"/>
        </w:rPr>
        <w:t xml:space="preserve">t that time, their Peruvian </w:t>
      </w:r>
      <w:r w:rsidR="007A7DA4" w:rsidRPr="00E56641">
        <w:rPr>
          <w:sz w:val="20"/>
          <w:lang w:val="en-US"/>
        </w:rPr>
        <w:t>identification</w:t>
      </w:r>
      <w:r w:rsidR="007A7DA4" w:rsidRPr="007A7DA4">
        <w:rPr>
          <w:sz w:val="20"/>
          <w:lang w:val="en-US"/>
        </w:rPr>
        <w:t xml:space="preserve"> documents were seized </w:t>
      </w:r>
      <w:r w:rsidR="00B57681">
        <w:rPr>
          <w:sz w:val="20"/>
          <w:lang w:val="en-US"/>
        </w:rPr>
        <w:t xml:space="preserve">by U.S. personnel </w:t>
      </w:r>
      <w:r w:rsidR="007A7DA4" w:rsidRPr="007A7DA4">
        <w:rPr>
          <w:sz w:val="20"/>
          <w:lang w:val="en-US"/>
        </w:rPr>
        <w:t>and never return</w:t>
      </w:r>
      <w:r w:rsidR="007A7DA4" w:rsidRPr="00E56641">
        <w:rPr>
          <w:sz w:val="20"/>
          <w:lang w:val="en-US"/>
        </w:rPr>
        <w:t>ed.</w:t>
      </w:r>
      <w:r w:rsidR="007A7DA4">
        <w:rPr>
          <w:rStyle w:val="FootnoteReference"/>
          <w:sz w:val="20"/>
        </w:rPr>
        <w:footnoteReference w:id="28"/>
      </w:r>
      <w:r w:rsidR="007A7DA4" w:rsidRPr="00E56641">
        <w:rPr>
          <w:sz w:val="20"/>
          <w:lang w:val="en-US"/>
        </w:rPr>
        <w:t xml:space="preserve"> </w:t>
      </w:r>
    </w:p>
    <w:p w14:paraId="6FBA57A3" w14:textId="77777777" w:rsidR="007D148E" w:rsidRDefault="007D148E" w:rsidP="007D148E">
      <w:pPr>
        <w:pStyle w:val="ListParagraph"/>
        <w:rPr>
          <w:sz w:val="20"/>
        </w:rPr>
      </w:pPr>
    </w:p>
    <w:p w14:paraId="5AC10E09" w14:textId="77777777" w:rsidR="002D588D" w:rsidRDefault="002D588D" w:rsidP="007D148E">
      <w:pPr>
        <w:pStyle w:val="ListParagraph"/>
        <w:rPr>
          <w:sz w:val="20"/>
        </w:rPr>
      </w:pPr>
    </w:p>
    <w:p w14:paraId="3B4458FE" w14:textId="77777777" w:rsidR="002D588D" w:rsidRDefault="002D588D" w:rsidP="007D148E">
      <w:pPr>
        <w:pStyle w:val="ListParagraph"/>
        <w:rPr>
          <w:sz w:val="20"/>
        </w:rPr>
      </w:pPr>
    </w:p>
    <w:p w14:paraId="4816ED6D" w14:textId="77777777" w:rsidR="002D588D" w:rsidRDefault="002D588D" w:rsidP="007D148E">
      <w:pPr>
        <w:pStyle w:val="ListParagraph"/>
        <w:rPr>
          <w:sz w:val="20"/>
        </w:rPr>
      </w:pPr>
    </w:p>
    <w:p w14:paraId="329F50AE" w14:textId="77777777" w:rsidR="002D588D" w:rsidRDefault="002D588D" w:rsidP="007D148E">
      <w:pPr>
        <w:pStyle w:val="ListParagraph"/>
        <w:rPr>
          <w:sz w:val="20"/>
        </w:rPr>
      </w:pPr>
    </w:p>
    <w:p w14:paraId="24E6F423" w14:textId="77777777" w:rsidR="002D588D" w:rsidRDefault="002D588D" w:rsidP="007D148E">
      <w:pPr>
        <w:pStyle w:val="ListParagraph"/>
        <w:rPr>
          <w:sz w:val="20"/>
        </w:rPr>
      </w:pPr>
    </w:p>
    <w:p w14:paraId="4B309CC9" w14:textId="77777777" w:rsidR="002D588D" w:rsidRDefault="002D588D" w:rsidP="007D148E">
      <w:pPr>
        <w:pStyle w:val="ListParagraph"/>
        <w:rPr>
          <w:sz w:val="20"/>
        </w:rPr>
      </w:pPr>
    </w:p>
    <w:p w14:paraId="22FB9C18" w14:textId="77777777" w:rsidR="00F449B4" w:rsidRDefault="00C5126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The Shibayamas were thus among the 700 Japanese and 70 German individuals deporte</w:t>
      </w:r>
      <w:r w:rsidR="007D148E">
        <w:rPr>
          <w:sz w:val="20"/>
          <w:lang w:val="en-US"/>
        </w:rPr>
        <w:t xml:space="preserve">d from Peru to the </w:t>
      </w:r>
      <w:r>
        <w:rPr>
          <w:sz w:val="20"/>
          <w:lang w:val="en-US"/>
        </w:rPr>
        <w:t>U.S. from January to October 1944.</w:t>
      </w:r>
      <w:r>
        <w:rPr>
          <w:rStyle w:val="FootnoteReference"/>
          <w:sz w:val="20"/>
          <w:lang w:val="en-US"/>
        </w:rPr>
        <w:footnoteReference w:id="29"/>
      </w:r>
      <w:r w:rsidR="007D148E">
        <w:rPr>
          <w:sz w:val="20"/>
          <w:lang w:val="en-US"/>
        </w:rPr>
        <w:t xml:space="preserve"> </w:t>
      </w:r>
      <w:r>
        <w:rPr>
          <w:sz w:val="20"/>
          <w:lang w:val="en-US"/>
        </w:rPr>
        <w:t xml:space="preserve">During this </w:t>
      </w:r>
      <w:r w:rsidR="00472031">
        <w:rPr>
          <w:sz w:val="20"/>
          <w:lang w:val="en-US"/>
        </w:rPr>
        <w:t>period</w:t>
      </w:r>
      <w:r>
        <w:rPr>
          <w:sz w:val="20"/>
          <w:lang w:val="en-US"/>
        </w:rPr>
        <w:t xml:space="preserve">, </w:t>
      </w:r>
      <w:r w:rsidR="007D148E">
        <w:rPr>
          <w:sz w:val="20"/>
          <w:lang w:val="en-US"/>
        </w:rPr>
        <w:t xml:space="preserve">Peru </w:t>
      </w:r>
      <w:r>
        <w:rPr>
          <w:sz w:val="20"/>
          <w:lang w:val="en-US"/>
        </w:rPr>
        <w:t>“</w:t>
      </w:r>
      <w:r w:rsidR="007D148E">
        <w:rPr>
          <w:sz w:val="20"/>
          <w:lang w:val="en-US"/>
        </w:rPr>
        <w:t>pushed for additional Japanese deportations, but the United States could not commit the shipping and did not want to augment the hundreds of Japanese internees awaiting repatriation</w:t>
      </w:r>
      <w:r>
        <w:rPr>
          <w:sz w:val="20"/>
          <w:lang w:val="en-US"/>
        </w:rPr>
        <w:t>” in the U.S</w:t>
      </w:r>
      <w:r w:rsidR="00BD45C8">
        <w:rPr>
          <w:sz w:val="20"/>
          <w:lang w:val="en-US"/>
        </w:rPr>
        <w:t>.</w:t>
      </w:r>
      <w:r w:rsidR="007D148E">
        <w:rPr>
          <w:rStyle w:val="FootnoteReference"/>
          <w:sz w:val="20"/>
          <w:lang w:val="en-US"/>
        </w:rPr>
        <w:footnoteReference w:id="30"/>
      </w:r>
    </w:p>
    <w:p w14:paraId="29A00CBA" w14:textId="77777777" w:rsidR="00F449B4" w:rsidRDefault="00F449B4" w:rsidP="00F449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7C150466" w14:textId="77777777" w:rsidR="00305293" w:rsidRDefault="007A7DA4"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sidRPr="00F85986">
        <w:rPr>
          <w:sz w:val="20"/>
          <w:lang w:val="en-US"/>
        </w:rPr>
        <w:t>The</w:t>
      </w:r>
      <w:r w:rsidR="00C51260">
        <w:rPr>
          <w:sz w:val="20"/>
          <w:lang w:val="en-US"/>
        </w:rPr>
        <w:t xml:space="preserve"> Shibayama</w:t>
      </w:r>
      <w:r w:rsidRPr="00F85986">
        <w:rPr>
          <w:sz w:val="20"/>
          <w:lang w:val="en-US"/>
        </w:rPr>
        <w:t xml:space="preserve"> family was placed on the U.S.S. Cuba under armed guard and transported to </w:t>
      </w:r>
      <w:r w:rsidR="00F449B4">
        <w:rPr>
          <w:sz w:val="20"/>
          <w:lang w:val="en-US"/>
        </w:rPr>
        <w:t>the U.S</w:t>
      </w:r>
      <w:r w:rsidR="00B57681">
        <w:rPr>
          <w:sz w:val="20"/>
          <w:lang w:val="en-US"/>
        </w:rPr>
        <w:t>.</w:t>
      </w:r>
      <w:r w:rsidR="00B57681">
        <w:rPr>
          <w:rStyle w:val="FootnoteReference"/>
          <w:sz w:val="20"/>
          <w:lang w:val="en-US"/>
        </w:rPr>
        <w:footnoteReference w:id="31"/>
      </w:r>
      <w:r w:rsidR="00F449B4">
        <w:rPr>
          <w:sz w:val="20"/>
          <w:lang w:val="en-US"/>
        </w:rPr>
        <w:t xml:space="preserve"> </w:t>
      </w:r>
      <w:r w:rsidR="00B57681">
        <w:rPr>
          <w:sz w:val="20"/>
          <w:lang w:val="en-US"/>
        </w:rPr>
        <w:t>Isamu Shibayama, then 13 years old, recalled being kept below deck during the 21-day trip, during which time he was allowed on deck two times a day for 10 minutes each time, under constant armed guard by U.S. military personnel “with guns and whips.”</w:t>
      </w:r>
      <w:r w:rsidR="00B57681">
        <w:rPr>
          <w:rStyle w:val="FootnoteReference"/>
          <w:sz w:val="20"/>
          <w:lang w:val="en-US"/>
        </w:rPr>
        <w:footnoteReference w:id="32"/>
      </w:r>
      <w:r w:rsidR="00B57681">
        <w:rPr>
          <w:sz w:val="20"/>
          <w:lang w:val="en-US"/>
        </w:rPr>
        <w:t xml:space="preserve"> The younger children were held with their mother elsewhere on the ship.</w:t>
      </w:r>
      <w:r w:rsidR="00B57681">
        <w:rPr>
          <w:rStyle w:val="FootnoteReference"/>
          <w:sz w:val="20"/>
          <w:lang w:val="en-US"/>
        </w:rPr>
        <w:footnoteReference w:id="33"/>
      </w:r>
      <w:r w:rsidR="00B57681">
        <w:rPr>
          <w:sz w:val="20"/>
          <w:lang w:val="en-US"/>
        </w:rPr>
        <w:t xml:space="preserve"> </w:t>
      </w:r>
      <w:r w:rsidR="00305293">
        <w:rPr>
          <w:sz w:val="20"/>
          <w:lang w:val="en-US"/>
        </w:rPr>
        <w:t>On reaching the U.S., “the Shibayama family was taken off the U.S.S. Cuba at gunpoint by [U.S. armed forces personnel] and entered involuntarily into the [U.S.]”</w:t>
      </w:r>
      <w:r w:rsidR="00305293">
        <w:rPr>
          <w:rStyle w:val="FootnoteReference"/>
          <w:sz w:val="20"/>
          <w:lang w:val="en-US"/>
        </w:rPr>
        <w:footnoteReference w:id="34"/>
      </w:r>
      <w:r w:rsidR="00305293">
        <w:rPr>
          <w:sz w:val="20"/>
          <w:lang w:val="en-US"/>
        </w:rPr>
        <w:t xml:space="preserve"> </w:t>
      </w:r>
    </w:p>
    <w:p w14:paraId="4D56AC2C" w14:textId="77777777" w:rsidR="00305293" w:rsidRDefault="00305293" w:rsidP="00305293">
      <w:pPr>
        <w:pStyle w:val="ListParagraph"/>
        <w:rPr>
          <w:sz w:val="20"/>
        </w:rPr>
      </w:pPr>
    </w:p>
    <w:p w14:paraId="1117FC36" w14:textId="77777777" w:rsidR="007D148E" w:rsidRDefault="00B57681"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 xml:space="preserve">They </w:t>
      </w:r>
      <w:r w:rsidR="00F449B4">
        <w:rPr>
          <w:sz w:val="20"/>
          <w:lang w:val="en-US"/>
        </w:rPr>
        <w:t>enter</w:t>
      </w:r>
      <w:r>
        <w:rPr>
          <w:sz w:val="20"/>
          <w:lang w:val="en-US"/>
        </w:rPr>
        <w:t>ed</w:t>
      </w:r>
      <w:r w:rsidR="00F449B4">
        <w:rPr>
          <w:sz w:val="20"/>
          <w:lang w:val="en-US"/>
        </w:rPr>
        <w:t xml:space="preserve"> via </w:t>
      </w:r>
      <w:r w:rsidR="007A7DA4" w:rsidRPr="00F85986">
        <w:rPr>
          <w:sz w:val="20"/>
          <w:lang w:val="en-US"/>
        </w:rPr>
        <w:t xml:space="preserve">New Orleans, Louisiana on March 21, 1944, </w:t>
      </w:r>
      <w:r w:rsidR="003372D0">
        <w:rPr>
          <w:sz w:val="20"/>
          <w:lang w:val="en-US"/>
        </w:rPr>
        <w:t>where they were led off the ship, ordered to strip off their clothes</w:t>
      </w:r>
      <w:r w:rsidR="00C51260">
        <w:rPr>
          <w:sz w:val="20"/>
          <w:lang w:val="en-US"/>
        </w:rPr>
        <w:t xml:space="preserve"> </w:t>
      </w:r>
      <w:r w:rsidR="00C51260" w:rsidRPr="00C51260">
        <w:rPr>
          <w:i/>
          <w:sz w:val="20"/>
          <w:lang w:val="en-US"/>
        </w:rPr>
        <w:t>en masse</w:t>
      </w:r>
      <w:r w:rsidR="003372D0">
        <w:rPr>
          <w:sz w:val="20"/>
          <w:lang w:val="en-US"/>
        </w:rPr>
        <w:t>, and sprayed with DDT, an insecticide.</w:t>
      </w:r>
      <w:r w:rsidR="003372D0">
        <w:rPr>
          <w:rStyle w:val="FootnoteReference"/>
          <w:sz w:val="20"/>
          <w:lang w:val="en-US"/>
        </w:rPr>
        <w:footnoteReference w:id="35"/>
      </w:r>
      <w:r w:rsidR="003372D0">
        <w:rPr>
          <w:sz w:val="20"/>
          <w:lang w:val="en-US"/>
        </w:rPr>
        <w:t xml:space="preserve"> </w:t>
      </w:r>
      <w:r w:rsidR="00F0293C">
        <w:rPr>
          <w:sz w:val="20"/>
          <w:lang w:val="en-US"/>
        </w:rPr>
        <w:t>Then, a</w:t>
      </w:r>
      <w:r w:rsidR="00305293">
        <w:rPr>
          <w:sz w:val="20"/>
          <w:lang w:val="en-US"/>
        </w:rPr>
        <w:t xml:space="preserve">fter a two-day train journey, </w:t>
      </w:r>
      <w:r w:rsidR="00F0293C">
        <w:rPr>
          <w:sz w:val="20"/>
          <w:lang w:val="en-US"/>
        </w:rPr>
        <w:t xml:space="preserve">they </w:t>
      </w:r>
      <w:r w:rsidR="00305293">
        <w:rPr>
          <w:sz w:val="20"/>
          <w:lang w:val="en-US"/>
        </w:rPr>
        <w:t>arrived</w:t>
      </w:r>
      <w:r w:rsidR="00F449B4">
        <w:rPr>
          <w:sz w:val="20"/>
          <w:lang w:val="en-US"/>
        </w:rPr>
        <w:t xml:space="preserve"> at</w:t>
      </w:r>
      <w:r w:rsidR="007A7DA4" w:rsidRPr="00F85986">
        <w:rPr>
          <w:sz w:val="20"/>
          <w:lang w:val="en-US"/>
        </w:rPr>
        <w:t xml:space="preserve"> Crystal City Internment Camp, Crystal City, Texas</w:t>
      </w:r>
      <w:r w:rsidR="00F449B4">
        <w:rPr>
          <w:sz w:val="20"/>
          <w:lang w:val="en-US"/>
        </w:rPr>
        <w:t xml:space="preserve"> on or about March 23, 1944</w:t>
      </w:r>
      <w:r w:rsidR="007A7DA4" w:rsidRPr="00F85986">
        <w:rPr>
          <w:sz w:val="20"/>
          <w:lang w:val="en-US"/>
        </w:rPr>
        <w:t>.</w:t>
      </w:r>
      <w:r w:rsidR="007A7DA4">
        <w:rPr>
          <w:rStyle w:val="FootnoteReference"/>
          <w:sz w:val="20"/>
        </w:rPr>
        <w:footnoteReference w:id="36"/>
      </w:r>
      <w:r w:rsidR="00F85986" w:rsidRPr="00F85986">
        <w:rPr>
          <w:sz w:val="20"/>
          <w:lang w:val="en-US"/>
        </w:rPr>
        <w:t xml:space="preserve"> </w:t>
      </w:r>
      <w:r w:rsidR="00A5703E">
        <w:rPr>
          <w:sz w:val="20"/>
          <w:lang w:val="en-US"/>
        </w:rPr>
        <w:t>Once in the U.S., internees were under State Department custody, held in camps operated by the INS (Department of Justice</w:t>
      </w:r>
      <w:r w:rsidR="00040249">
        <w:rPr>
          <w:sz w:val="20"/>
          <w:lang w:val="en-US"/>
        </w:rPr>
        <w:t>, DOJ</w:t>
      </w:r>
      <w:r w:rsidR="00A5703E">
        <w:rPr>
          <w:sz w:val="20"/>
          <w:lang w:val="en-US"/>
        </w:rPr>
        <w:t>).</w:t>
      </w:r>
      <w:r w:rsidR="00A5703E">
        <w:rPr>
          <w:rStyle w:val="FootnoteReference"/>
          <w:sz w:val="20"/>
          <w:lang w:val="en-US"/>
        </w:rPr>
        <w:footnoteReference w:id="37"/>
      </w:r>
      <w:r w:rsidR="00A5703E">
        <w:rPr>
          <w:sz w:val="20"/>
          <w:lang w:val="en-US"/>
        </w:rPr>
        <w:t xml:space="preserve"> </w:t>
      </w:r>
      <w:r w:rsidR="008F74E3">
        <w:rPr>
          <w:sz w:val="20"/>
          <w:lang w:val="en-US"/>
        </w:rPr>
        <w:t>In this regard, “d</w:t>
      </w:r>
      <w:r w:rsidR="008F74E3" w:rsidRPr="008F74E3">
        <w:rPr>
          <w:sz w:val="20"/>
          <w:lang w:val="en-US"/>
        </w:rPr>
        <w:t>espite their involuntary arrival,</w:t>
      </w:r>
      <w:r w:rsidR="00C51260">
        <w:rPr>
          <w:sz w:val="20"/>
          <w:lang w:val="en-US"/>
        </w:rPr>
        <w:t xml:space="preserve"> deportees </w:t>
      </w:r>
      <w:r w:rsidR="007E2D55">
        <w:rPr>
          <w:sz w:val="20"/>
          <w:lang w:val="en-US"/>
        </w:rPr>
        <w:t xml:space="preserve">[from Latin America] </w:t>
      </w:r>
      <w:r w:rsidR="00C51260">
        <w:rPr>
          <w:sz w:val="20"/>
          <w:lang w:val="en-US"/>
        </w:rPr>
        <w:t>were treated by the I</w:t>
      </w:r>
      <w:r w:rsidR="008F74E3" w:rsidRPr="008F74E3">
        <w:rPr>
          <w:sz w:val="20"/>
          <w:lang w:val="en-US"/>
        </w:rPr>
        <w:t xml:space="preserve">NS as having illegally entered </w:t>
      </w:r>
      <w:r w:rsidR="007E2D55">
        <w:rPr>
          <w:sz w:val="20"/>
          <w:lang w:val="en-US"/>
        </w:rPr>
        <w:t>[the U.S.]</w:t>
      </w:r>
      <w:r w:rsidR="008F74E3" w:rsidRPr="008F74E3">
        <w:rPr>
          <w:sz w:val="20"/>
          <w:lang w:val="en-US"/>
        </w:rPr>
        <w:t>. Thus the deportees became illegal aliens in U.S. custody who were subject to deportation proceedings, i.e., repatriation.”</w:t>
      </w:r>
      <w:r w:rsidR="008F74E3">
        <w:rPr>
          <w:rStyle w:val="FootnoteReference"/>
          <w:sz w:val="20"/>
          <w:lang w:val="en-US"/>
        </w:rPr>
        <w:footnoteReference w:id="38"/>
      </w:r>
      <w:r w:rsidR="008F74E3">
        <w:rPr>
          <w:sz w:val="20"/>
          <w:lang w:val="en-US"/>
        </w:rPr>
        <w:t xml:space="preserve"> </w:t>
      </w:r>
      <w:r w:rsidR="007E2D55">
        <w:rPr>
          <w:sz w:val="20"/>
          <w:lang w:val="en-US"/>
        </w:rPr>
        <w:t>Congruent with this legal interpretation, t</w:t>
      </w:r>
      <w:r w:rsidR="00F85986" w:rsidRPr="00F85986">
        <w:rPr>
          <w:sz w:val="20"/>
          <w:lang w:val="en-US"/>
        </w:rPr>
        <w:t xml:space="preserve">he INS later </w:t>
      </w:r>
      <w:r w:rsidR="00305293">
        <w:rPr>
          <w:sz w:val="20"/>
          <w:lang w:val="en-US"/>
        </w:rPr>
        <w:t xml:space="preserve">characterized these facts as </w:t>
      </w:r>
      <w:r w:rsidR="00E24EAD">
        <w:rPr>
          <w:sz w:val="20"/>
          <w:lang w:val="en-US"/>
        </w:rPr>
        <w:t>the Shibayama siblings’</w:t>
      </w:r>
      <w:r w:rsidR="00F85986" w:rsidRPr="00F85986">
        <w:rPr>
          <w:sz w:val="20"/>
          <w:lang w:val="en-US"/>
        </w:rPr>
        <w:t xml:space="preserve"> mother </w:t>
      </w:r>
      <w:r w:rsidR="00305293">
        <w:rPr>
          <w:sz w:val="20"/>
          <w:lang w:val="en-US"/>
        </w:rPr>
        <w:t xml:space="preserve">having </w:t>
      </w:r>
      <w:r w:rsidR="00F85986" w:rsidRPr="00F85986">
        <w:rPr>
          <w:sz w:val="20"/>
          <w:lang w:val="en-US"/>
        </w:rPr>
        <w:t>“brought [them] to the United States” for the purpose of “voluntary internment in this countr</w:t>
      </w:r>
      <w:r w:rsidR="009F323A">
        <w:rPr>
          <w:sz w:val="20"/>
          <w:lang w:val="en-US"/>
        </w:rPr>
        <w:t>y because of the war with Japan.</w:t>
      </w:r>
      <w:r w:rsidR="00F85986" w:rsidRPr="00F85986">
        <w:rPr>
          <w:sz w:val="20"/>
          <w:lang w:val="en-US"/>
        </w:rPr>
        <w:t>”</w:t>
      </w:r>
      <w:r w:rsidR="00F85986">
        <w:rPr>
          <w:rStyle w:val="FootnoteReference"/>
          <w:sz w:val="20"/>
          <w:lang w:val="en-US"/>
        </w:rPr>
        <w:footnoteReference w:id="39"/>
      </w:r>
      <w:r w:rsidR="00305293">
        <w:rPr>
          <w:sz w:val="20"/>
          <w:lang w:val="en-US"/>
        </w:rPr>
        <w:t xml:space="preserve"> </w:t>
      </w:r>
    </w:p>
    <w:p w14:paraId="6033707E" w14:textId="77777777" w:rsidR="007D148E" w:rsidRDefault="007D148E" w:rsidP="007D148E">
      <w:pPr>
        <w:pStyle w:val="ListParagraph"/>
        <w:rPr>
          <w:sz w:val="20"/>
        </w:rPr>
      </w:pPr>
    </w:p>
    <w:p w14:paraId="306F798D" w14:textId="77777777" w:rsidR="007A7DA4" w:rsidRPr="00F85986" w:rsidRDefault="007E2D55"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Pr>
          <w:sz w:val="20"/>
          <w:lang w:val="en-US"/>
        </w:rPr>
        <w:t xml:space="preserve">Later review found </w:t>
      </w:r>
      <w:r w:rsidR="007D148E">
        <w:rPr>
          <w:sz w:val="20"/>
          <w:lang w:val="en-US"/>
        </w:rPr>
        <w:t xml:space="preserve">that </w:t>
      </w:r>
      <w:r>
        <w:rPr>
          <w:sz w:val="20"/>
          <w:lang w:val="en-US"/>
        </w:rPr>
        <w:t>internment’s</w:t>
      </w:r>
      <w:r w:rsidR="007D148E">
        <w:rPr>
          <w:sz w:val="20"/>
          <w:lang w:val="en-US"/>
        </w:rPr>
        <w:t xml:space="preserve"> </w:t>
      </w:r>
      <w:r>
        <w:rPr>
          <w:sz w:val="20"/>
          <w:lang w:val="en-US"/>
        </w:rPr>
        <w:t>“</w:t>
      </w:r>
      <w:r w:rsidR="007D148E">
        <w:rPr>
          <w:sz w:val="20"/>
          <w:lang w:val="en-US"/>
        </w:rPr>
        <w:t>bad effects were evident: lack of privacy, family breakdown, listlessness and uncertainty about the future.”</w:t>
      </w:r>
      <w:r w:rsidR="007D148E">
        <w:rPr>
          <w:rStyle w:val="FootnoteReference"/>
          <w:sz w:val="20"/>
          <w:lang w:val="en-US"/>
        </w:rPr>
        <w:footnoteReference w:id="40"/>
      </w:r>
      <w:r w:rsidR="007D148E">
        <w:rPr>
          <w:sz w:val="20"/>
          <w:lang w:val="en-US"/>
        </w:rPr>
        <w:t xml:space="preserve"> </w:t>
      </w:r>
      <w:r w:rsidR="00305293">
        <w:rPr>
          <w:sz w:val="20"/>
          <w:lang w:val="en-US"/>
        </w:rPr>
        <w:t xml:space="preserve">In the Crystal City internment camp, </w:t>
      </w:r>
      <w:r w:rsidR="00E24EAD">
        <w:rPr>
          <w:sz w:val="20"/>
          <w:lang w:val="en-US"/>
        </w:rPr>
        <w:t>the school-age Shibayama children were taught exclusively in Japanese, though they spoke only Spanish.</w:t>
      </w:r>
      <w:r w:rsidR="00E24EAD">
        <w:rPr>
          <w:rStyle w:val="FootnoteReference"/>
          <w:sz w:val="20"/>
          <w:lang w:val="en-US"/>
        </w:rPr>
        <w:footnoteReference w:id="41"/>
      </w:r>
    </w:p>
    <w:p w14:paraId="3F96DFA7" w14:textId="77777777" w:rsidR="007A7DA4" w:rsidRPr="00F85986" w:rsidRDefault="007A7DA4" w:rsidP="007A7D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n-US"/>
        </w:rPr>
      </w:pPr>
    </w:p>
    <w:p w14:paraId="1A0EE3CF" w14:textId="77777777" w:rsidR="007A7DA4" w:rsidRPr="00E56641" w:rsidRDefault="007A7DA4"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sidRPr="00E56641">
        <w:rPr>
          <w:sz w:val="20"/>
          <w:lang w:val="en-US"/>
        </w:rPr>
        <w:t>On March 30, 1946, the U.S. served arrest warrants on the Shibayama family, charging them with not possessing passports or immigration visas.</w:t>
      </w:r>
      <w:r w:rsidR="0073444D">
        <w:rPr>
          <w:rStyle w:val="FootnoteReference"/>
          <w:sz w:val="20"/>
        </w:rPr>
        <w:footnoteReference w:id="42"/>
      </w:r>
      <w:r w:rsidRPr="00E56641">
        <w:rPr>
          <w:sz w:val="20"/>
          <w:lang w:val="en-US"/>
        </w:rPr>
        <w:t xml:space="preserve"> </w:t>
      </w:r>
      <w:r w:rsidR="007E2D55">
        <w:rPr>
          <w:sz w:val="20"/>
          <w:lang w:val="en-US"/>
        </w:rPr>
        <w:t>As Peru largely refused to accept its Japanese deportees back after the war, o</w:t>
      </w:r>
      <w:r w:rsidRPr="00E56641">
        <w:rPr>
          <w:sz w:val="20"/>
          <w:lang w:val="en-US"/>
        </w:rPr>
        <w:t xml:space="preserve">n September 9, 1946, the Shibayama family was </w:t>
      </w:r>
      <w:r w:rsidR="00F0293C">
        <w:rPr>
          <w:sz w:val="20"/>
          <w:lang w:val="en-US"/>
        </w:rPr>
        <w:t>paroled</w:t>
      </w:r>
      <w:r w:rsidRPr="00E56641">
        <w:rPr>
          <w:sz w:val="20"/>
          <w:lang w:val="en-US"/>
        </w:rPr>
        <w:t xml:space="preserve"> from Crystal City Internment Camp </w:t>
      </w:r>
      <w:r w:rsidR="00F0293C">
        <w:rPr>
          <w:sz w:val="20"/>
          <w:lang w:val="en-US"/>
        </w:rPr>
        <w:t xml:space="preserve">as “illegal aliens” </w:t>
      </w:r>
      <w:r w:rsidRPr="00E56641">
        <w:rPr>
          <w:sz w:val="20"/>
          <w:lang w:val="en-US"/>
        </w:rPr>
        <w:t>and relocated to Seabrook Farms, New Jersey</w:t>
      </w:r>
      <w:r w:rsidR="00E24EAD">
        <w:rPr>
          <w:sz w:val="20"/>
          <w:lang w:val="en-US"/>
        </w:rPr>
        <w:t>.</w:t>
      </w:r>
      <w:r w:rsidR="00E24EAD">
        <w:rPr>
          <w:rStyle w:val="FootnoteReference"/>
          <w:sz w:val="20"/>
          <w:lang w:val="en-US"/>
        </w:rPr>
        <w:footnoteReference w:id="43"/>
      </w:r>
      <w:r w:rsidRPr="00E56641">
        <w:rPr>
          <w:sz w:val="20"/>
          <w:lang w:val="en-US"/>
        </w:rPr>
        <w:t xml:space="preserve"> </w:t>
      </w:r>
      <w:r w:rsidR="00F0293C">
        <w:rPr>
          <w:sz w:val="20"/>
          <w:lang w:val="en-US"/>
        </w:rPr>
        <w:t>There, Isamu Shibayama worked rather than attending high school, in order to</w:t>
      </w:r>
      <w:r w:rsidR="007E2D55">
        <w:rPr>
          <w:sz w:val="20"/>
          <w:lang w:val="en-US"/>
        </w:rPr>
        <w:t xml:space="preserve"> help</w:t>
      </w:r>
      <w:r w:rsidR="00F0293C">
        <w:rPr>
          <w:sz w:val="20"/>
          <w:lang w:val="en-US"/>
        </w:rPr>
        <w:t xml:space="preserve"> support </w:t>
      </w:r>
      <w:r w:rsidR="007E2D55">
        <w:rPr>
          <w:sz w:val="20"/>
          <w:lang w:val="en-US"/>
        </w:rPr>
        <w:t>his</w:t>
      </w:r>
      <w:r w:rsidR="00F0293C">
        <w:rPr>
          <w:sz w:val="20"/>
          <w:lang w:val="en-US"/>
        </w:rPr>
        <w:t xml:space="preserve"> family of eight, </w:t>
      </w:r>
      <w:r w:rsidR="00E24EAD">
        <w:rPr>
          <w:sz w:val="20"/>
          <w:lang w:val="en-US"/>
        </w:rPr>
        <w:t>for about $0.60 per hour, which was taxed at a rate of 30 percent due to his classification as an “illegal alien.”</w:t>
      </w:r>
      <w:r w:rsidR="00E24EAD">
        <w:rPr>
          <w:rStyle w:val="FootnoteReference"/>
          <w:sz w:val="20"/>
          <w:lang w:val="en-US"/>
        </w:rPr>
        <w:footnoteReference w:id="44"/>
      </w:r>
      <w:r w:rsidR="00E24EAD">
        <w:rPr>
          <w:sz w:val="20"/>
          <w:lang w:val="en-US"/>
        </w:rPr>
        <w:t xml:space="preserve"> F</w:t>
      </w:r>
      <w:r w:rsidRPr="00E56641">
        <w:rPr>
          <w:sz w:val="20"/>
          <w:lang w:val="en-US"/>
        </w:rPr>
        <w:t>rom the time of the family’s arrival to Seabrook Farms until March</w:t>
      </w:r>
      <w:r w:rsidR="007E2D55">
        <w:rPr>
          <w:sz w:val="20"/>
          <w:lang w:val="en-US"/>
        </w:rPr>
        <w:t xml:space="preserve"> 1949, their </w:t>
      </w:r>
      <w:r w:rsidRPr="00E56641">
        <w:rPr>
          <w:sz w:val="20"/>
          <w:lang w:val="en-US"/>
        </w:rPr>
        <w:t xml:space="preserve">father, Yuzo Shibayama, sought to have his family returned to Peru, </w:t>
      </w:r>
      <w:r w:rsidRPr="00E56641">
        <w:rPr>
          <w:sz w:val="20"/>
          <w:lang w:val="en-US"/>
        </w:rPr>
        <w:lastRenderedPageBreak/>
        <w:t>but was denied because the family did not possess their Peruvian identity documents</w:t>
      </w:r>
      <w:r w:rsidR="00481E5F">
        <w:rPr>
          <w:sz w:val="20"/>
          <w:lang w:val="en-US"/>
        </w:rPr>
        <w:t>,</w:t>
      </w:r>
      <w:r w:rsidR="0073444D">
        <w:rPr>
          <w:rStyle w:val="FootnoteReference"/>
          <w:sz w:val="20"/>
        </w:rPr>
        <w:footnoteReference w:id="45"/>
      </w:r>
      <w:r w:rsidR="00481E5F" w:rsidRPr="00481E5F">
        <w:rPr>
          <w:sz w:val="20"/>
          <w:lang w:val="en-US"/>
        </w:rPr>
        <w:t xml:space="preserve"> leaving the family functionally stateless during this period.</w:t>
      </w:r>
      <w:r w:rsidR="00481E5F">
        <w:rPr>
          <w:rStyle w:val="FootnoteReference"/>
          <w:sz w:val="20"/>
          <w:lang w:val="en-US"/>
        </w:rPr>
        <w:footnoteReference w:id="46"/>
      </w:r>
      <w:r w:rsidRPr="00E56641">
        <w:rPr>
          <w:sz w:val="20"/>
          <w:lang w:val="en-US"/>
        </w:rPr>
        <w:t xml:space="preserve"> In March 1949, Mr. Shibayama obtained a sponsor for the family and they relocated to Chicago, Illinois.</w:t>
      </w:r>
      <w:r>
        <w:rPr>
          <w:rStyle w:val="FootnoteReference"/>
          <w:sz w:val="20"/>
        </w:rPr>
        <w:footnoteReference w:id="47"/>
      </w:r>
      <w:r w:rsidR="00697B1E">
        <w:rPr>
          <w:sz w:val="20"/>
          <w:lang w:val="en-US"/>
        </w:rPr>
        <w:t xml:space="preserve"> Yuzo Shibayama’s granddaughter testified at the merits hearing that he spent the rest of his life, until his death in 1976, struggling to </w:t>
      </w:r>
      <w:r w:rsidR="00BD45C8">
        <w:rPr>
          <w:sz w:val="20"/>
          <w:lang w:val="en-US"/>
        </w:rPr>
        <w:t xml:space="preserve">provide for his family and </w:t>
      </w:r>
      <w:r w:rsidR="00697B1E">
        <w:rPr>
          <w:sz w:val="20"/>
          <w:lang w:val="en-US"/>
        </w:rPr>
        <w:t>regain what he had lost af</w:t>
      </w:r>
      <w:r w:rsidR="00BD45C8">
        <w:rPr>
          <w:sz w:val="20"/>
          <w:lang w:val="en-US"/>
        </w:rPr>
        <w:t>ter being deported from Peru</w:t>
      </w:r>
      <w:r w:rsidR="00697B1E">
        <w:rPr>
          <w:sz w:val="20"/>
          <w:lang w:val="en-US"/>
        </w:rPr>
        <w:t>, and expressed her belief that “the U.S. government killed my grandfather’s spirit.”</w:t>
      </w:r>
      <w:r w:rsidR="00697B1E">
        <w:rPr>
          <w:rStyle w:val="FootnoteReference"/>
          <w:sz w:val="20"/>
          <w:lang w:val="en-US"/>
        </w:rPr>
        <w:footnoteReference w:id="48"/>
      </w:r>
    </w:p>
    <w:p w14:paraId="48464362" w14:textId="77777777" w:rsidR="0073444D" w:rsidRDefault="0073444D" w:rsidP="0073444D">
      <w:pPr>
        <w:pStyle w:val="ListParagraph"/>
        <w:rPr>
          <w:sz w:val="20"/>
          <w:szCs w:val="20"/>
        </w:rPr>
      </w:pPr>
    </w:p>
    <w:p w14:paraId="4A93CF82" w14:textId="77777777" w:rsidR="009F323A" w:rsidRPr="0007150B" w:rsidRDefault="00E24EA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sz w:val="20"/>
          <w:lang w:val="en-US"/>
        </w:rPr>
        <w:t xml:space="preserve">Notwithstanding his lack of </w:t>
      </w:r>
      <w:r w:rsidRPr="00FA5E63">
        <w:rPr>
          <w:sz w:val="20"/>
          <w:lang w:val="en-US"/>
        </w:rPr>
        <w:t xml:space="preserve">immigration status in the U.S., Isamu Shibayama was required to register for the draft during the Korean War, and </w:t>
      </w:r>
      <w:r w:rsidR="0073444D" w:rsidRPr="00FA5E63">
        <w:rPr>
          <w:sz w:val="20"/>
          <w:lang w:val="en-US"/>
        </w:rPr>
        <w:t>served in the U.S. Armed Forces</w:t>
      </w:r>
      <w:r w:rsidRPr="00FA5E63">
        <w:rPr>
          <w:sz w:val="20"/>
          <w:lang w:val="en-US"/>
        </w:rPr>
        <w:t>, including a deployment to Germany, from April 30, 1952 until April 7, 1954</w:t>
      </w:r>
      <w:r w:rsidR="0073444D" w:rsidRPr="00FA5E63">
        <w:rPr>
          <w:sz w:val="20"/>
          <w:lang w:val="en-US"/>
        </w:rPr>
        <w:t xml:space="preserve">; he </w:t>
      </w:r>
      <w:r w:rsidR="007E2D55" w:rsidRPr="00FA5E63">
        <w:rPr>
          <w:sz w:val="20"/>
          <w:lang w:val="en-US"/>
        </w:rPr>
        <w:t xml:space="preserve">then </w:t>
      </w:r>
      <w:r w:rsidR="0073444D" w:rsidRPr="00FA5E63">
        <w:rPr>
          <w:sz w:val="20"/>
          <w:lang w:val="en-US"/>
        </w:rPr>
        <w:t>continued to serve in a Reserve unit until he was honorably discharged on May 27, 1960.</w:t>
      </w:r>
      <w:r w:rsidR="0073444D" w:rsidRPr="00FA5E63">
        <w:rPr>
          <w:rStyle w:val="FootnoteReference"/>
          <w:sz w:val="20"/>
        </w:rPr>
        <w:footnoteReference w:id="49"/>
      </w:r>
      <w:r w:rsidR="0073444D" w:rsidRPr="00FA5E63">
        <w:rPr>
          <w:sz w:val="20"/>
          <w:lang w:val="en-US"/>
        </w:rPr>
        <w:t xml:space="preserve"> While in the Armed Forces, </w:t>
      </w:r>
      <w:r w:rsidR="00BD45C8" w:rsidRPr="00FA5E63">
        <w:rPr>
          <w:sz w:val="20"/>
          <w:lang w:val="en-US"/>
        </w:rPr>
        <w:t>his supervisor</w:t>
      </w:r>
      <w:r w:rsidR="0073444D" w:rsidRPr="00FA5E63">
        <w:rPr>
          <w:sz w:val="20"/>
          <w:lang w:val="en-US"/>
        </w:rPr>
        <w:t xml:space="preserve"> sought </w:t>
      </w:r>
      <w:r w:rsidR="00BD45C8" w:rsidRPr="00FA5E63">
        <w:rPr>
          <w:sz w:val="20"/>
          <w:lang w:val="en-US"/>
        </w:rPr>
        <w:t xml:space="preserve">to help him </w:t>
      </w:r>
      <w:r w:rsidR="0073444D" w:rsidRPr="00FA5E63">
        <w:rPr>
          <w:sz w:val="20"/>
          <w:lang w:val="en-US"/>
        </w:rPr>
        <w:t>naturalize as a U.S. citizen</w:t>
      </w:r>
      <w:r w:rsidR="00BD45C8" w:rsidRPr="00FA5E63">
        <w:rPr>
          <w:sz w:val="20"/>
          <w:lang w:val="en-US"/>
        </w:rPr>
        <w:t xml:space="preserve"> in order to obtain a higher security clearance,</w:t>
      </w:r>
      <w:r w:rsidR="0073444D" w:rsidRPr="00FA5E63">
        <w:rPr>
          <w:sz w:val="20"/>
          <w:lang w:val="en-US"/>
        </w:rPr>
        <w:t xml:space="preserve"> under the provisions of a law that provided for the naturalization of servicemembers.</w:t>
      </w:r>
      <w:r w:rsidR="0073444D" w:rsidRPr="00FA5E63">
        <w:rPr>
          <w:rStyle w:val="FootnoteReference"/>
          <w:sz w:val="20"/>
        </w:rPr>
        <w:footnoteReference w:id="50"/>
      </w:r>
      <w:r w:rsidR="0073444D" w:rsidRPr="00FA5E63">
        <w:rPr>
          <w:sz w:val="20"/>
          <w:lang w:val="en-US"/>
        </w:rPr>
        <w:t xml:space="preserve"> His application was denied, however, because he had not been lawfully admitted to the U.S. </w:t>
      </w:r>
      <w:r w:rsidR="00E56641" w:rsidRPr="00FA5E63">
        <w:rPr>
          <w:sz w:val="20"/>
          <w:lang w:val="en-US"/>
        </w:rPr>
        <w:t>within the meaning of the Immigration and Nationality Act (INA)</w:t>
      </w:r>
      <w:r w:rsidR="0073444D" w:rsidRPr="00FA5E63">
        <w:rPr>
          <w:sz w:val="20"/>
          <w:lang w:val="en-US"/>
        </w:rPr>
        <w:t xml:space="preserve">, and the then-Immigration and Naturalization Service (INS) reopened deportation proceedings against the Shibayama </w:t>
      </w:r>
      <w:r w:rsidR="009F323A" w:rsidRPr="00FA5E63">
        <w:rPr>
          <w:sz w:val="20"/>
          <w:lang w:val="en-US"/>
        </w:rPr>
        <w:t>siblings</w:t>
      </w:r>
      <w:r w:rsidR="0073444D" w:rsidRPr="00FA5E63">
        <w:rPr>
          <w:sz w:val="20"/>
          <w:lang w:val="en-US"/>
        </w:rPr>
        <w:t xml:space="preserve"> in consequence.</w:t>
      </w:r>
      <w:r w:rsidR="0073444D" w:rsidRPr="00FA5E63">
        <w:rPr>
          <w:rStyle w:val="FootnoteReference"/>
          <w:sz w:val="20"/>
        </w:rPr>
        <w:footnoteReference w:id="51"/>
      </w:r>
      <w:r w:rsidR="0073444D" w:rsidRPr="00FA5E63">
        <w:rPr>
          <w:sz w:val="20"/>
          <w:lang w:val="en-US"/>
        </w:rPr>
        <w:t xml:space="preserve"> </w:t>
      </w:r>
    </w:p>
    <w:p w14:paraId="238C7DF4" w14:textId="77777777" w:rsidR="009F323A" w:rsidRPr="0007150B" w:rsidRDefault="009F323A" w:rsidP="009F323A">
      <w:pPr>
        <w:pStyle w:val="ListParagraph"/>
        <w:rPr>
          <w:sz w:val="20"/>
        </w:rPr>
      </w:pPr>
    </w:p>
    <w:p w14:paraId="5FC8B74E" w14:textId="77777777" w:rsidR="0050464C" w:rsidRPr="00F0293C" w:rsidRDefault="009F323A"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sz w:val="20"/>
          <w:lang w:val="en-US"/>
        </w:rPr>
        <w:t>In particular, the record of the family’s entrance to the U.S. consisted of an “I-404, Certificate of Admission of Alien,” and “there was no examination by immigration officers.”</w:t>
      </w:r>
      <w:r>
        <w:rPr>
          <w:rStyle w:val="FootnoteReference"/>
          <w:sz w:val="20"/>
          <w:lang w:val="en-US"/>
        </w:rPr>
        <w:footnoteReference w:id="52"/>
      </w:r>
      <w:r>
        <w:rPr>
          <w:sz w:val="20"/>
          <w:lang w:val="en-US"/>
        </w:rPr>
        <w:t xml:space="preserve"> </w:t>
      </w:r>
      <w:r w:rsidR="006C0ACF">
        <w:rPr>
          <w:sz w:val="20"/>
          <w:lang w:val="en-US"/>
        </w:rPr>
        <w:t>The Shibayamas were</w:t>
      </w:r>
      <w:r w:rsidR="00BD45C8">
        <w:rPr>
          <w:sz w:val="20"/>
          <w:lang w:val="en-US"/>
        </w:rPr>
        <w:t xml:space="preserve"> further</w:t>
      </w:r>
      <w:r w:rsidR="006C0ACF">
        <w:rPr>
          <w:sz w:val="20"/>
          <w:lang w:val="en-US"/>
        </w:rPr>
        <w:t xml:space="preserve"> unable to produce identity documents proving their citizenship in these proceedings because the U.S. had taken those documents from them prior to their arrival in the U.S.</w:t>
      </w:r>
      <w:r w:rsidR="006C0ACF">
        <w:rPr>
          <w:rStyle w:val="FootnoteReference"/>
          <w:sz w:val="20"/>
          <w:lang w:val="en-US"/>
        </w:rPr>
        <w:footnoteReference w:id="53"/>
      </w:r>
      <w:r w:rsidR="006C0ACF">
        <w:rPr>
          <w:sz w:val="20"/>
          <w:lang w:val="en-US"/>
        </w:rPr>
        <w:t xml:space="preserve"> </w:t>
      </w:r>
      <w:r w:rsidR="0073444D" w:rsidRPr="009F323A">
        <w:rPr>
          <w:sz w:val="20"/>
          <w:lang w:val="en-US"/>
        </w:rPr>
        <w:t>From the record, it appears that the INS found the</w:t>
      </w:r>
      <w:r w:rsidR="007E2D55">
        <w:rPr>
          <w:sz w:val="20"/>
          <w:lang w:val="en-US"/>
        </w:rPr>
        <w:t xml:space="preserve"> siblings</w:t>
      </w:r>
      <w:r w:rsidR="0073444D" w:rsidRPr="009F323A">
        <w:rPr>
          <w:sz w:val="20"/>
          <w:lang w:val="en-US"/>
        </w:rPr>
        <w:t xml:space="preserve"> to be deportable, for which reason they applied for suspension from deportation or, in the alternative, “for the privilege of voluntary departure and preexamination</w:t>
      </w:r>
      <w:r w:rsidR="00C478CF" w:rsidRPr="009F323A">
        <w:rPr>
          <w:sz w:val="20"/>
          <w:lang w:val="en-US"/>
        </w:rPr>
        <w:t>,</w:t>
      </w:r>
      <w:r w:rsidR="0073444D" w:rsidRPr="009F323A">
        <w:rPr>
          <w:sz w:val="20"/>
          <w:lang w:val="en-US"/>
        </w:rPr>
        <w:t>”</w:t>
      </w:r>
      <w:r w:rsidR="00C478CF" w:rsidRPr="009F323A">
        <w:rPr>
          <w:sz w:val="20"/>
          <w:lang w:val="en-US"/>
        </w:rPr>
        <w:t xml:space="preserve"> or the possibility to exit the U.S., apply for a visa, and reenter the country in order to adjust to a lawful immigration status.</w:t>
      </w:r>
      <w:r w:rsidR="0073444D">
        <w:rPr>
          <w:rStyle w:val="FootnoteReference"/>
          <w:sz w:val="20"/>
        </w:rPr>
        <w:footnoteReference w:id="54"/>
      </w:r>
      <w:r w:rsidR="00C478CF" w:rsidRPr="009F323A">
        <w:rPr>
          <w:sz w:val="20"/>
          <w:lang w:val="en-US"/>
        </w:rPr>
        <w:t xml:space="preserve"> On November 23, 1955, the INS issued a decision indicating that they should be granted the latter relief, for which reason in 1956, the Shibayama brothers traveled to Canada, applied for an immigrant visa, reentered the United States, and received permanent resident status.</w:t>
      </w:r>
      <w:r w:rsidR="00C478CF">
        <w:rPr>
          <w:rStyle w:val="FootnoteReference"/>
          <w:sz w:val="20"/>
        </w:rPr>
        <w:footnoteReference w:id="55"/>
      </w:r>
      <w:r w:rsidR="00C478CF" w:rsidRPr="009F323A">
        <w:rPr>
          <w:sz w:val="20"/>
          <w:lang w:val="en-US"/>
        </w:rPr>
        <w:t xml:space="preserve"> </w:t>
      </w:r>
      <w:r w:rsidR="00C478CF" w:rsidRPr="00E56641">
        <w:rPr>
          <w:sz w:val="20"/>
          <w:lang w:val="en-US"/>
        </w:rPr>
        <w:t>Takeshi Shibayama became a naturalized U.S. citizen on January 28, 1964.</w:t>
      </w:r>
      <w:r w:rsidR="00C478CF">
        <w:rPr>
          <w:rStyle w:val="FootnoteReference"/>
          <w:sz w:val="20"/>
        </w:rPr>
        <w:footnoteReference w:id="56"/>
      </w:r>
      <w:r w:rsidR="00C478CF" w:rsidRPr="00E56641">
        <w:rPr>
          <w:sz w:val="20"/>
          <w:lang w:val="en-US"/>
        </w:rPr>
        <w:t xml:space="preserve"> Isamu Shibayama became a naturalized U.S. citizen on September 8, 1970.</w:t>
      </w:r>
      <w:r w:rsidR="00C478CF">
        <w:rPr>
          <w:rStyle w:val="FootnoteReference"/>
          <w:sz w:val="20"/>
        </w:rPr>
        <w:footnoteReference w:id="57"/>
      </w:r>
    </w:p>
    <w:p w14:paraId="322D17FC" w14:textId="77777777" w:rsidR="00F0293C" w:rsidRDefault="00F0293C" w:rsidP="00F0293C">
      <w:pPr>
        <w:pStyle w:val="ListParagraph"/>
        <w:rPr>
          <w:color w:val="auto"/>
          <w:sz w:val="20"/>
        </w:rPr>
      </w:pPr>
    </w:p>
    <w:p w14:paraId="06FDE090" w14:textId="77777777" w:rsidR="002D588D" w:rsidRDefault="002D588D" w:rsidP="00F0293C">
      <w:pPr>
        <w:pStyle w:val="ListParagraph"/>
        <w:rPr>
          <w:color w:val="auto"/>
          <w:sz w:val="20"/>
        </w:rPr>
      </w:pPr>
    </w:p>
    <w:p w14:paraId="549CA8C3" w14:textId="77777777" w:rsidR="002D588D" w:rsidRDefault="002D588D" w:rsidP="00F0293C">
      <w:pPr>
        <w:pStyle w:val="ListParagraph"/>
        <w:rPr>
          <w:color w:val="auto"/>
          <w:sz w:val="20"/>
        </w:rPr>
      </w:pPr>
    </w:p>
    <w:p w14:paraId="19032060" w14:textId="77777777" w:rsidR="002D588D" w:rsidRDefault="002D588D" w:rsidP="00F0293C">
      <w:pPr>
        <w:pStyle w:val="ListParagraph"/>
        <w:rPr>
          <w:color w:val="auto"/>
          <w:sz w:val="20"/>
        </w:rPr>
      </w:pPr>
    </w:p>
    <w:p w14:paraId="27FDCD0E" w14:textId="77777777" w:rsidR="00F0293C" w:rsidRPr="0050464C" w:rsidRDefault="007E2D55"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lastRenderedPageBreak/>
        <w:t>About this experience, t</w:t>
      </w:r>
      <w:r w:rsidR="00F0293C">
        <w:rPr>
          <w:color w:val="auto"/>
          <w:sz w:val="20"/>
          <w:lang w:val="en-US"/>
        </w:rPr>
        <w:t xml:space="preserve">he Shibiyamas’ sister, Rose Nishimura, stated, “We did not want to come to this land. </w:t>
      </w:r>
      <w:r w:rsidR="007D2DA3">
        <w:rPr>
          <w:color w:val="auto"/>
          <w:sz w:val="20"/>
          <w:lang w:val="en-US"/>
        </w:rPr>
        <w:t>We were forcibly brought here by the [U.S.] government on a [U.S.] military transport and put in a barbed wire enclosed camp administered by the [INS]. So how can it be said we were illegal aliens?”</w:t>
      </w:r>
      <w:r w:rsidR="007D2DA3">
        <w:rPr>
          <w:rStyle w:val="FootnoteReference"/>
          <w:color w:val="auto"/>
          <w:sz w:val="20"/>
          <w:lang w:val="en-US"/>
        </w:rPr>
        <w:footnoteReference w:id="58"/>
      </w:r>
    </w:p>
    <w:p w14:paraId="4EB0652E" w14:textId="77777777" w:rsidR="004D195F" w:rsidRPr="007A7DA4" w:rsidRDefault="004D195F" w:rsidP="004D195F">
      <w:pPr>
        <w:pStyle w:val="ListParagraph"/>
        <w:rPr>
          <w:rFonts w:asciiTheme="majorHAnsi" w:hAnsiTheme="majorHAnsi"/>
          <w:b/>
          <w:color w:val="FF0000"/>
          <w:sz w:val="20"/>
          <w:szCs w:val="20"/>
        </w:rPr>
      </w:pPr>
    </w:p>
    <w:p w14:paraId="60268068" w14:textId="77777777" w:rsidR="004D195F" w:rsidRPr="00C53C19" w:rsidRDefault="00C53C19" w:rsidP="00E93F9E">
      <w:pPr>
        <w:pStyle w:val="Heading2"/>
        <w:ind w:left="1440" w:hanging="810"/>
        <w:rPr>
          <w:lang w:val="en-US"/>
        </w:rPr>
      </w:pPr>
      <w:bookmarkStart w:id="11" w:name="_Toc27059052"/>
      <w:r>
        <w:rPr>
          <w:lang w:val="en-US"/>
        </w:rPr>
        <w:t>Claims</w:t>
      </w:r>
      <w:r w:rsidRPr="00C53C19">
        <w:rPr>
          <w:lang w:val="en-US"/>
        </w:rPr>
        <w:t xml:space="preserve"> for redress under the Civil Rights Act of 1988 and subsequent legal actions</w:t>
      </w:r>
      <w:bookmarkEnd w:id="11"/>
    </w:p>
    <w:p w14:paraId="401908CC" w14:textId="77777777" w:rsidR="00AA2450" w:rsidRPr="007A7DA4" w:rsidRDefault="00AA2450" w:rsidP="00AA2450">
      <w:pPr>
        <w:pStyle w:val="ListParagraph"/>
        <w:rPr>
          <w:rFonts w:asciiTheme="majorHAnsi" w:hAnsiTheme="majorHAnsi"/>
          <w:b/>
          <w:color w:val="FF0000"/>
          <w:sz w:val="20"/>
          <w:szCs w:val="20"/>
        </w:rPr>
      </w:pPr>
    </w:p>
    <w:p w14:paraId="1B734CFC" w14:textId="77777777" w:rsidR="007A5450" w:rsidRDefault="00F8111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z w:val="20"/>
          <w:lang w:val="en-US"/>
        </w:rPr>
      </w:pPr>
      <w:r w:rsidRPr="007A5450">
        <w:rPr>
          <w:sz w:val="20"/>
          <w:lang w:val="en-US"/>
        </w:rPr>
        <w:t>In</w:t>
      </w:r>
      <w:r w:rsidR="00FD1BB2">
        <w:rPr>
          <w:sz w:val="20"/>
          <w:lang w:val="en-US"/>
        </w:rPr>
        <w:t xml:space="preserve"> response to the</w:t>
      </w:r>
      <w:r w:rsidRPr="007A5450">
        <w:rPr>
          <w:sz w:val="20"/>
          <w:lang w:val="en-US"/>
        </w:rPr>
        <w:t xml:space="preserve"> reports</w:t>
      </w:r>
      <w:r w:rsidR="00FD1BB2">
        <w:rPr>
          <w:sz w:val="20"/>
          <w:lang w:val="en-US"/>
        </w:rPr>
        <w:t xml:space="preserve"> </w:t>
      </w:r>
      <w:r w:rsidR="00FD1BB2" w:rsidRPr="00E56641">
        <w:rPr>
          <w:i/>
          <w:sz w:val="20"/>
          <w:lang w:val="en-US"/>
        </w:rPr>
        <w:t>Personal Justice Denied: Report of the Commission on Wartime Relocation and Internment of Civilians</w:t>
      </w:r>
      <w:r w:rsidR="00FD1BB2">
        <w:rPr>
          <w:sz w:val="20"/>
          <w:lang w:val="en-US"/>
        </w:rPr>
        <w:t xml:space="preserve"> (1982), </w:t>
      </w:r>
      <w:r w:rsidR="00FD1BB2" w:rsidRPr="00E56641">
        <w:rPr>
          <w:sz w:val="20"/>
          <w:lang w:val="en-US"/>
        </w:rPr>
        <w:t xml:space="preserve">and </w:t>
      </w:r>
      <w:r w:rsidR="00FD1BB2" w:rsidRPr="00E56641">
        <w:rPr>
          <w:i/>
          <w:sz w:val="20"/>
          <w:lang w:val="en-US"/>
        </w:rPr>
        <w:t>Personal Justice Denied Part 2: Recommendations</w:t>
      </w:r>
      <w:r w:rsidR="00FD1BB2">
        <w:rPr>
          <w:sz w:val="20"/>
          <w:lang w:val="en-US"/>
        </w:rPr>
        <w:t xml:space="preserve"> (1983)</w:t>
      </w:r>
      <w:r w:rsidRPr="007A5450">
        <w:rPr>
          <w:sz w:val="20"/>
          <w:lang w:val="en-US"/>
        </w:rPr>
        <w:t xml:space="preserve">, </w:t>
      </w:r>
      <w:r w:rsidR="00FD1BB2">
        <w:rPr>
          <w:sz w:val="20"/>
          <w:lang w:val="en-US"/>
        </w:rPr>
        <w:t xml:space="preserve">commissioned by the U.S. Congress, the </w:t>
      </w:r>
      <w:r w:rsidRPr="007A5450">
        <w:rPr>
          <w:sz w:val="20"/>
          <w:lang w:val="en-US"/>
        </w:rPr>
        <w:t xml:space="preserve">Congress passed the Civil Liberties Act of 1988 (CLA), with the stated purpose </w:t>
      </w:r>
      <w:r w:rsidR="007A5450">
        <w:rPr>
          <w:sz w:val="20"/>
          <w:lang w:val="en-US"/>
        </w:rPr>
        <w:t xml:space="preserve">to, </w:t>
      </w:r>
      <w:r w:rsidR="007A5450">
        <w:rPr>
          <w:i/>
          <w:sz w:val="20"/>
          <w:lang w:val="en-US"/>
        </w:rPr>
        <w:t>inter alia</w:t>
      </w:r>
      <w:r w:rsidR="007A5450">
        <w:rPr>
          <w:sz w:val="20"/>
          <w:lang w:val="en-US"/>
        </w:rPr>
        <w:t>:</w:t>
      </w:r>
    </w:p>
    <w:p w14:paraId="315D0EFA" w14:textId="77777777" w:rsidR="007A5450" w:rsidRDefault="007A5450" w:rsidP="007A54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lang w:val="en-US"/>
        </w:rPr>
      </w:pPr>
    </w:p>
    <w:p w14:paraId="5A1465D5" w14:textId="77777777" w:rsidR="007A5450" w:rsidRPr="00E400B9" w:rsidRDefault="007A5450" w:rsidP="009F5E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 xml:space="preserve">acknowledge the fundamental injustice of the evacuation, relocation, and internment of United States citizens and permanent resident aliens of Japanese ancestry during World War II; </w:t>
      </w:r>
    </w:p>
    <w:p w14:paraId="5B93947D" w14:textId="77777777" w:rsidR="007A5450" w:rsidRPr="00E400B9" w:rsidRDefault="007A5450" w:rsidP="009F5E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 xml:space="preserve">apologize on behalf of the people of the United States for the evacuation, relocation, and internment of such citizens and permanent resident aliens; </w:t>
      </w:r>
    </w:p>
    <w:p w14:paraId="47B45FC5" w14:textId="77777777" w:rsidR="007A5450" w:rsidRPr="00E400B9" w:rsidRDefault="007A5450" w:rsidP="009F5E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 xml:space="preserve">provide for a public education fund to finance efforts to inform the public about the internment of such individuals so as to prevent the recurrence of any similar event; </w:t>
      </w:r>
    </w:p>
    <w:p w14:paraId="6DCAD2AB" w14:textId="77777777" w:rsidR="007A5450" w:rsidRPr="00E400B9" w:rsidRDefault="007A5450" w:rsidP="009F5E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 xml:space="preserve">make restitution to those individuals of Japanese ancestry who were interned; </w:t>
      </w:r>
      <w:r w:rsidR="00E400B9" w:rsidRPr="00E400B9">
        <w:rPr>
          <w:color w:val="auto"/>
          <w:sz w:val="18"/>
          <w:szCs w:val="18"/>
        </w:rPr>
        <w:t>[…]</w:t>
      </w:r>
    </w:p>
    <w:p w14:paraId="1900DC9D" w14:textId="77777777" w:rsidR="007A5450" w:rsidRPr="00E400B9" w:rsidRDefault="007A5450" w:rsidP="009F5E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 xml:space="preserve">discourage the occurrence of similar injustices and violations of civil liberties in the future; and </w:t>
      </w:r>
    </w:p>
    <w:p w14:paraId="511C3B7D" w14:textId="77777777" w:rsidR="007A5450" w:rsidRPr="00E400B9" w:rsidRDefault="007A5450" w:rsidP="009F5E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540"/>
        <w:jc w:val="both"/>
        <w:rPr>
          <w:color w:val="auto"/>
          <w:sz w:val="18"/>
          <w:szCs w:val="18"/>
        </w:rPr>
      </w:pPr>
      <w:r w:rsidRPr="00E400B9">
        <w:rPr>
          <w:color w:val="auto"/>
          <w:sz w:val="18"/>
          <w:szCs w:val="18"/>
        </w:rPr>
        <w:t>make more credible and sincere any declaration of concern by the United States over violations of human rights committed by other nations.</w:t>
      </w:r>
      <w:r w:rsidRPr="00E400B9">
        <w:rPr>
          <w:rStyle w:val="FootnoteReference"/>
          <w:color w:val="auto"/>
          <w:sz w:val="18"/>
          <w:szCs w:val="18"/>
        </w:rPr>
        <w:footnoteReference w:id="59"/>
      </w:r>
    </w:p>
    <w:p w14:paraId="43231D0D" w14:textId="77777777" w:rsidR="007A5450" w:rsidRPr="00F81119" w:rsidRDefault="007A5450" w:rsidP="00F811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351E521E" w14:textId="77777777" w:rsidR="001E4670" w:rsidRDefault="007A545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The CLA provided for restitution payments of US$ 20,000 to eligible individuals under the Act; </w:t>
      </w:r>
      <w:r w:rsidR="001E4670">
        <w:rPr>
          <w:color w:val="auto"/>
          <w:sz w:val="20"/>
          <w:lang w:val="en-US"/>
        </w:rPr>
        <w:t xml:space="preserve">an “eligible individual” </w:t>
      </w:r>
      <w:r w:rsidR="001E4670" w:rsidRPr="001E4670">
        <w:rPr>
          <w:color w:val="auto"/>
          <w:sz w:val="20"/>
          <w:lang w:val="en-US"/>
        </w:rPr>
        <w:t>was defined as:</w:t>
      </w:r>
    </w:p>
    <w:p w14:paraId="67410CEE" w14:textId="77777777" w:rsidR="001E4670" w:rsidRDefault="001E4670" w:rsidP="001E46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lang w:val="en-US"/>
        </w:rPr>
      </w:pPr>
    </w:p>
    <w:p w14:paraId="459A03F7" w14:textId="77777777" w:rsidR="001E4670" w:rsidRPr="00E400B9" w:rsidRDefault="001E4670" w:rsidP="00E400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lang w:val="en-US"/>
        </w:rPr>
      </w:pPr>
      <w:r w:rsidRPr="00E400B9">
        <w:rPr>
          <w:color w:val="auto"/>
          <w:sz w:val="18"/>
          <w:szCs w:val="18"/>
          <w:lang w:val="en-US"/>
        </w:rPr>
        <w:t>(2) […] any individual of Japanese ancestry…who is living on the date of the enactment of this Act [Aug. 10, 1988] and who, during the evacuation, relocation, and internment period-</w:t>
      </w:r>
    </w:p>
    <w:p w14:paraId="4096FE16" w14:textId="77777777" w:rsidR="001E4670" w:rsidRPr="00E400B9" w:rsidRDefault="00A868AD" w:rsidP="00E400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lang w:val="en-US"/>
        </w:rPr>
      </w:pPr>
      <w:r w:rsidRPr="00E400B9">
        <w:rPr>
          <w:color w:val="auto"/>
          <w:sz w:val="18"/>
          <w:szCs w:val="18"/>
          <w:lang w:val="en-US"/>
        </w:rPr>
        <w:tab/>
      </w:r>
      <w:r w:rsidRPr="00E400B9">
        <w:rPr>
          <w:color w:val="auto"/>
          <w:sz w:val="18"/>
          <w:szCs w:val="18"/>
          <w:lang w:val="en-US"/>
        </w:rPr>
        <w:tab/>
      </w:r>
      <w:r w:rsidR="001E4670" w:rsidRPr="00E400B9">
        <w:rPr>
          <w:color w:val="auto"/>
          <w:sz w:val="18"/>
          <w:szCs w:val="18"/>
          <w:lang w:val="en-US"/>
        </w:rPr>
        <w:t xml:space="preserve">(A) was a United States citizen or a permanent resident alien; and </w:t>
      </w:r>
    </w:p>
    <w:p w14:paraId="7B9E6649" w14:textId="77777777" w:rsidR="001E4670" w:rsidRPr="00E400B9" w:rsidRDefault="00A868AD" w:rsidP="00E400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lang w:val="en-US"/>
        </w:rPr>
      </w:pPr>
      <w:r w:rsidRPr="00E400B9">
        <w:rPr>
          <w:color w:val="auto"/>
          <w:sz w:val="18"/>
          <w:szCs w:val="18"/>
          <w:lang w:val="en-US"/>
        </w:rPr>
        <w:tab/>
      </w:r>
      <w:r w:rsidRPr="00E400B9">
        <w:rPr>
          <w:color w:val="auto"/>
          <w:sz w:val="18"/>
          <w:szCs w:val="18"/>
          <w:lang w:val="en-US"/>
        </w:rPr>
        <w:tab/>
      </w:r>
      <w:r w:rsidR="001E4670" w:rsidRPr="00E400B9">
        <w:rPr>
          <w:color w:val="auto"/>
          <w:sz w:val="18"/>
          <w:szCs w:val="18"/>
          <w:lang w:val="en-US"/>
        </w:rPr>
        <w:t>(B)(i) was confined, held in custody, relocated, or otherwise deprived of liberty or property as a result of –</w:t>
      </w:r>
    </w:p>
    <w:p w14:paraId="06C6E5A0" w14:textId="77777777" w:rsidR="001E4670" w:rsidRPr="001E4670" w:rsidRDefault="00A868AD" w:rsidP="00E400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20"/>
          <w:lang w:val="en-US"/>
        </w:rPr>
      </w:pPr>
      <w:r w:rsidRPr="00E400B9">
        <w:rPr>
          <w:color w:val="auto"/>
          <w:sz w:val="18"/>
          <w:szCs w:val="18"/>
          <w:lang w:val="en-US"/>
        </w:rPr>
        <w:tab/>
      </w:r>
      <w:r w:rsidRPr="00E400B9">
        <w:rPr>
          <w:color w:val="auto"/>
          <w:sz w:val="18"/>
          <w:szCs w:val="18"/>
          <w:lang w:val="en-US"/>
        </w:rPr>
        <w:tab/>
      </w:r>
      <w:r w:rsidR="001E4670" w:rsidRPr="00E400B9">
        <w:rPr>
          <w:color w:val="auto"/>
          <w:sz w:val="18"/>
          <w:szCs w:val="18"/>
          <w:lang w:val="en-US"/>
        </w:rPr>
        <w:t>(I) Executive Order Numbered 9066, dated February 19, 1942[…]</w:t>
      </w:r>
      <w:r w:rsidR="001E4670" w:rsidRPr="00E400B9">
        <w:rPr>
          <w:rStyle w:val="FootnoteReference"/>
          <w:color w:val="auto"/>
          <w:sz w:val="18"/>
          <w:szCs w:val="18"/>
          <w:lang w:val="en-US"/>
        </w:rPr>
        <w:footnoteReference w:id="60"/>
      </w:r>
    </w:p>
    <w:p w14:paraId="1763DC35" w14:textId="77777777" w:rsidR="001E4670" w:rsidRPr="001E4670" w:rsidRDefault="001E4670" w:rsidP="001E46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auto"/>
          <w:sz w:val="20"/>
          <w:lang w:val="en-US"/>
        </w:rPr>
      </w:pPr>
    </w:p>
    <w:p w14:paraId="6D038FC1" w14:textId="77777777" w:rsidR="007A5450" w:rsidRDefault="001E467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T</w:t>
      </w:r>
      <w:r w:rsidR="00BB4867">
        <w:rPr>
          <w:color w:val="auto"/>
          <w:sz w:val="20"/>
          <w:lang w:val="en-US"/>
        </w:rPr>
        <w:t xml:space="preserve">he plain </w:t>
      </w:r>
      <w:r w:rsidR="00040249">
        <w:rPr>
          <w:color w:val="auto"/>
          <w:sz w:val="20"/>
          <w:lang w:val="en-US"/>
        </w:rPr>
        <w:t>language</w:t>
      </w:r>
      <w:r w:rsidR="00BB4867">
        <w:rPr>
          <w:color w:val="auto"/>
          <w:sz w:val="20"/>
          <w:lang w:val="en-US"/>
        </w:rPr>
        <w:t xml:space="preserve"> of the legislation</w:t>
      </w:r>
      <w:r>
        <w:rPr>
          <w:color w:val="auto"/>
          <w:sz w:val="20"/>
          <w:lang w:val="en-US"/>
        </w:rPr>
        <w:t xml:space="preserve"> thus</w:t>
      </w:r>
      <w:r w:rsidR="00BB4867">
        <w:rPr>
          <w:color w:val="auto"/>
          <w:sz w:val="20"/>
          <w:lang w:val="en-US"/>
        </w:rPr>
        <w:t xml:space="preserve"> makes</w:t>
      </w:r>
      <w:r w:rsidR="007A5450">
        <w:rPr>
          <w:color w:val="auto"/>
          <w:sz w:val="20"/>
          <w:lang w:val="en-US"/>
        </w:rPr>
        <w:t xml:space="preserve"> clear that U.S. citizenship or permanent residence at the time of internment, or retroactive to the time of internment,</w:t>
      </w:r>
      <w:r w:rsidR="00DD629F">
        <w:rPr>
          <w:rStyle w:val="FootnoteReference"/>
          <w:color w:val="auto"/>
          <w:sz w:val="20"/>
          <w:lang w:val="en-US"/>
        </w:rPr>
        <w:footnoteReference w:id="61"/>
      </w:r>
      <w:r w:rsidR="007A5450">
        <w:rPr>
          <w:color w:val="auto"/>
          <w:sz w:val="20"/>
          <w:lang w:val="en-US"/>
        </w:rPr>
        <w:t xml:space="preserve"> is a necessary precondition to receiving </w:t>
      </w:r>
      <w:r w:rsidR="00040249">
        <w:rPr>
          <w:color w:val="auto"/>
          <w:sz w:val="20"/>
          <w:lang w:val="en-US"/>
        </w:rPr>
        <w:t>this</w:t>
      </w:r>
      <w:r w:rsidR="007A5450">
        <w:rPr>
          <w:color w:val="auto"/>
          <w:sz w:val="20"/>
          <w:lang w:val="en-US"/>
        </w:rPr>
        <w:t xml:space="preserve"> payment.</w:t>
      </w:r>
      <w:r w:rsidR="007A5450">
        <w:rPr>
          <w:rStyle w:val="FootnoteReference"/>
          <w:color w:val="auto"/>
          <w:sz w:val="20"/>
          <w:lang w:val="en-US"/>
        </w:rPr>
        <w:footnoteReference w:id="62"/>
      </w:r>
    </w:p>
    <w:p w14:paraId="3CAEC94A" w14:textId="77777777" w:rsidR="007A5450" w:rsidRPr="007A5450" w:rsidRDefault="007A5450" w:rsidP="007A545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186CDE32" w14:textId="77777777" w:rsidR="00C53C19" w:rsidRDefault="00C53C1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50464C">
        <w:rPr>
          <w:sz w:val="20"/>
          <w:lang w:val="en-US"/>
        </w:rPr>
        <w:t>Kenichi, Takeshi, and Isamu each applied for redress under the CLA, and were informed that their applications had been denied on November 10, 1992, April 22, 1993, and June 28, 1993, respectively, because they were not permanent residents during their internment and did not later obtain that status retroactively.</w:t>
      </w:r>
      <w:r>
        <w:rPr>
          <w:rStyle w:val="FootnoteReference"/>
          <w:sz w:val="20"/>
        </w:rPr>
        <w:footnoteReference w:id="63"/>
      </w:r>
      <w:r w:rsidRPr="0050464C">
        <w:rPr>
          <w:sz w:val="20"/>
          <w:lang w:val="en-US"/>
        </w:rPr>
        <w:t xml:space="preserve"> Isamu appealed his denial on August 17, 1993, arguing that he was “permanently residing under color of law” during the relevant period and that the </w:t>
      </w:r>
      <w:r>
        <w:rPr>
          <w:sz w:val="20"/>
          <w:lang w:val="en-US"/>
        </w:rPr>
        <w:t>DOJ</w:t>
      </w:r>
      <w:r w:rsidRPr="0050464C">
        <w:rPr>
          <w:sz w:val="20"/>
          <w:lang w:val="en-US"/>
        </w:rPr>
        <w:t xml:space="preserve"> should be estopped from asserting that he was an illegal alien when he entered</w:t>
      </w:r>
      <w:r>
        <w:rPr>
          <w:sz w:val="20"/>
          <w:lang w:val="en-US"/>
        </w:rPr>
        <w:t xml:space="preserve"> the U.S.</w:t>
      </w:r>
      <w:r>
        <w:rPr>
          <w:rStyle w:val="FootnoteReference"/>
          <w:sz w:val="20"/>
        </w:rPr>
        <w:footnoteReference w:id="64"/>
      </w:r>
      <w:r w:rsidRPr="002C52FC">
        <w:rPr>
          <w:sz w:val="20"/>
          <w:lang w:val="en-US"/>
        </w:rPr>
        <w:t xml:space="preserve"> </w:t>
      </w:r>
      <w:r>
        <w:rPr>
          <w:sz w:val="20"/>
          <w:lang w:val="en-US"/>
        </w:rPr>
        <w:t>O</w:t>
      </w:r>
      <w:r w:rsidRPr="002C52FC">
        <w:rPr>
          <w:color w:val="auto"/>
          <w:sz w:val="20"/>
          <w:lang w:val="en-US"/>
        </w:rPr>
        <w:t xml:space="preserve">n February 13, 1996, the Chief of the Appellate Section of the DOJ Civil Rights Division issued a decision affirming the denial of Isamu Shibayama’s </w:t>
      </w:r>
      <w:r>
        <w:rPr>
          <w:color w:val="auto"/>
          <w:sz w:val="20"/>
          <w:lang w:val="en-US"/>
        </w:rPr>
        <w:t>claim because</w:t>
      </w:r>
      <w:r w:rsidR="00DD629F">
        <w:rPr>
          <w:color w:val="auto"/>
          <w:sz w:val="20"/>
          <w:lang w:val="en-US"/>
        </w:rPr>
        <w:t xml:space="preserve"> the “permanently residing under color of law” doctrine applies only to eligibility for certain government benefits, but not to actual determinations of immigration status,</w:t>
      </w:r>
      <w:r>
        <w:rPr>
          <w:color w:val="auto"/>
          <w:sz w:val="20"/>
          <w:lang w:val="en-US"/>
        </w:rPr>
        <w:t xml:space="preserve"> </w:t>
      </w:r>
      <w:r w:rsidR="00DD629F">
        <w:rPr>
          <w:color w:val="auto"/>
          <w:sz w:val="20"/>
          <w:lang w:val="en-US"/>
        </w:rPr>
        <w:t xml:space="preserve">and </w:t>
      </w:r>
      <w:r>
        <w:rPr>
          <w:color w:val="auto"/>
          <w:sz w:val="20"/>
          <w:lang w:val="en-US"/>
        </w:rPr>
        <w:t xml:space="preserve">“the CLA only provided compensation for individuals who were United States citizens, permanent resident aliens during the internment period or who </w:t>
      </w:r>
      <w:r>
        <w:rPr>
          <w:color w:val="auto"/>
          <w:sz w:val="20"/>
          <w:lang w:val="en-US"/>
        </w:rPr>
        <w:lastRenderedPageBreak/>
        <w:t>had acquired retroactive permanent resident alien status after the war, and because Mr. Is[amu] Shibayama could not satisfy these requirement</w:t>
      </w:r>
      <w:r w:rsidR="00BD45C8">
        <w:rPr>
          <w:color w:val="auto"/>
          <w:sz w:val="20"/>
          <w:lang w:val="en-US"/>
        </w:rPr>
        <w:t>s</w:t>
      </w:r>
      <w:r>
        <w:rPr>
          <w:color w:val="auto"/>
          <w:sz w:val="20"/>
          <w:lang w:val="en-US"/>
        </w:rPr>
        <w:t>, his appeal was denied.”</w:t>
      </w:r>
      <w:r>
        <w:rPr>
          <w:rStyle w:val="FootnoteReference"/>
          <w:color w:val="auto"/>
          <w:sz w:val="20"/>
          <w:lang w:val="en-US"/>
        </w:rPr>
        <w:footnoteReference w:id="65"/>
      </w:r>
    </w:p>
    <w:p w14:paraId="2394F47D" w14:textId="77777777" w:rsidR="00C53C19" w:rsidRDefault="00C53C19" w:rsidP="00C53C19">
      <w:pPr>
        <w:pStyle w:val="ListParagraph"/>
        <w:rPr>
          <w:color w:val="auto"/>
          <w:sz w:val="20"/>
        </w:rPr>
      </w:pPr>
    </w:p>
    <w:p w14:paraId="24742E76" w14:textId="77777777" w:rsidR="00C53C19" w:rsidRPr="00FA5E63" w:rsidRDefault="00C53C1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On June 11, 1998, a preliminary court order was issued in </w:t>
      </w:r>
      <w:r>
        <w:rPr>
          <w:i/>
          <w:color w:val="auto"/>
          <w:sz w:val="20"/>
          <w:lang w:val="en-US"/>
        </w:rPr>
        <w:t>Mochizuki v. U.S.</w:t>
      </w:r>
      <w:r>
        <w:rPr>
          <w:rStyle w:val="FootnoteReference"/>
          <w:i/>
          <w:color w:val="auto"/>
          <w:sz w:val="20"/>
          <w:lang w:val="en-US"/>
        </w:rPr>
        <w:footnoteReference w:id="66"/>
      </w:r>
      <w:r>
        <w:rPr>
          <w:i/>
          <w:color w:val="auto"/>
          <w:sz w:val="20"/>
          <w:lang w:val="en-US"/>
        </w:rPr>
        <w:t xml:space="preserve"> </w:t>
      </w:r>
      <w:r>
        <w:rPr>
          <w:color w:val="auto"/>
          <w:sz w:val="20"/>
          <w:lang w:val="en-US"/>
        </w:rPr>
        <w:t>to certify a class of individuals including “persons of Japanese ancestry who were living in Latin America before World War II and who were interned in the United States [between 194</w:t>
      </w:r>
      <w:r w:rsidR="000D60AE">
        <w:rPr>
          <w:color w:val="auto"/>
          <w:sz w:val="20"/>
          <w:lang w:val="en-US"/>
        </w:rPr>
        <w:t>1</w:t>
      </w:r>
      <w:r>
        <w:rPr>
          <w:color w:val="auto"/>
          <w:sz w:val="20"/>
          <w:lang w:val="en-US"/>
        </w:rPr>
        <w:t xml:space="preserve"> and June 30, 1946]” and their heirs, which ultimately resulted in a settlement payment of $5,000 per person.</w:t>
      </w:r>
      <w:r>
        <w:rPr>
          <w:rStyle w:val="FootnoteReference"/>
          <w:color w:val="auto"/>
          <w:sz w:val="20"/>
          <w:lang w:val="en-US"/>
        </w:rPr>
        <w:footnoteReference w:id="67"/>
      </w:r>
      <w:r>
        <w:rPr>
          <w:color w:val="auto"/>
          <w:sz w:val="20"/>
          <w:lang w:val="en-US"/>
        </w:rPr>
        <w:t xml:space="preserve"> The Shibayama brothers c</w:t>
      </w:r>
      <w:r w:rsidR="00040249">
        <w:rPr>
          <w:color w:val="auto"/>
          <w:sz w:val="20"/>
          <w:lang w:val="en-US"/>
        </w:rPr>
        <w:t>h</w:t>
      </w:r>
      <w:r>
        <w:rPr>
          <w:color w:val="auto"/>
          <w:sz w:val="20"/>
          <w:lang w:val="en-US"/>
        </w:rPr>
        <w:t>ose to opt-out of the class and subsequent settlement in September 1998, and filed suit in the U.S. District Court for the Northern District of California on February 18, 1999, seeking declaratory and injunctive relief for breach of fiduciary duty and violation of federal civil rights and humanitarian law.</w:t>
      </w:r>
      <w:r>
        <w:rPr>
          <w:rStyle w:val="FootnoteReference"/>
          <w:color w:val="auto"/>
          <w:sz w:val="20"/>
          <w:lang w:val="en-US"/>
        </w:rPr>
        <w:footnoteReference w:id="68"/>
      </w:r>
      <w:r>
        <w:rPr>
          <w:color w:val="auto"/>
          <w:sz w:val="20"/>
          <w:lang w:val="en-US"/>
        </w:rPr>
        <w:t xml:space="preserve"> The suit was subsequently transferred to the Court of Federal </w:t>
      </w:r>
      <w:r w:rsidRPr="00FA5E63">
        <w:rPr>
          <w:color w:val="auto"/>
          <w:sz w:val="20"/>
          <w:lang w:val="en-US"/>
        </w:rPr>
        <w:t>Claims.</w:t>
      </w:r>
      <w:r w:rsidRPr="00FA5E63">
        <w:rPr>
          <w:rStyle w:val="FootnoteReference"/>
          <w:color w:val="auto"/>
          <w:sz w:val="20"/>
          <w:lang w:val="en-US"/>
        </w:rPr>
        <w:footnoteReference w:id="69"/>
      </w:r>
    </w:p>
    <w:p w14:paraId="1827308C" w14:textId="77777777" w:rsidR="00457E63" w:rsidRPr="00FA5E63" w:rsidRDefault="00457E63" w:rsidP="00457E63">
      <w:pPr>
        <w:pStyle w:val="ListParagraph"/>
        <w:rPr>
          <w:color w:val="auto"/>
          <w:sz w:val="20"/>
        </w:rPr>
      </w:pPr>
    </w:p>
    <w:p w14:paraId="327E2FDF" w14:textId="77777777" w:rsidR="00457E63" w:rsidRPr="00FA5E63" w:rsidRDefault="00457E63"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FA5E63">
        <w:rPr>
          <w:rFonts w:asciiTheme="majorHAnsi" w:hAnsiTheme="majorHAnsi"/>
          <w:sz w:val="20"/>
          <w:lang w:val="en-US"/>
        </w:rPr>
        <w:t xml:space="preserve">According to the U.S. National Archives, the Office of Reparations Administration (ORA), which administered reparations under the CLA, ultimately “provided $20,000 in redress to more than 82,219 eligible claimants, totaling more than $1.6 billion. Among the estimated 82,219 individuals paid, 189 were Japanese Latin American claimants eligible for the full $20,000 in redress compensation under the Act because they had the required permanent residency status or U.S. citizenship during the defined war period. In addition, ORA paid $5,000 to 145 Japanese Latin Americans [under the </w:t>
      </w:r>
      <w:r w:rsidRPr="00FA5E63">
        <w:rPr>
          <w:rFonts w:asciiTheme="majorHAnsi" w:hAnsiTheme="majorHAnsi"/>
          <w:i/>
          <w:sz w:val="20"/>
          <w:lang w:val="en-US"/>
        </w:rPr>
        <w:t>Mochizuki</w:t>
      </w:r>
      <w:r w:rsidRPr="00FA5E63">
        <w:rPr>
          <w:rFonts w:asciiTheme="majorHAnsi" w:hAnsiTheme="majorHAnsi"/>
          <w:sz w:val="20"/>
          <w:lang w:val="en-US"/>
        </w:rPr>
        <w:t xml:space="preserve"> settlement].”</w:t>
      </w:r>
      <w:r w:rsidRPr="00FA5E63">
        <w:rPr>
          <w:rStyle w:val="FootnoteReference"/>
          <w:rFonts w:asciiTheme="majorHAnsi" w:hAnsiTheme="majorHAnsi"/>
          <w:sz w:val="20"/>
          <w:lang w:val="en-US"/>
        </w:rPr>
        <w:footnoteReference w:id="70"/>
      </w:r>
    </w:p>
    <w:p w14:paraId="2DFF3CA7" w14:textId="77777777" w:rsidR="00C53C19" w:rsidRPr="00FA5E63" w:rsidRDefault="00C53C19" w:rsidP="00C53C19">
      <w:pPr>
        <w:pStyle w:val="ListParagraph"/>
        <w:rPr>
          <w:color w:val="auto"/>
          <w:sz w:val="20"/>
        </w:rPr>
      </w:pPr>
    </w:p>
    <w:p w14:paraId="33C6A6D0" w14:textId="77777777" w:rsidR="00C53C19" w:rsidRPr="00C53C19" w:rsidRDefault="00C53C19" w:rsidP="00E93F9E">
      <w:pPr>
        <w:pStyle w:val="Heading2"/>
        <w:ind w:left="1440" w:hanging="810"/>
        <w:rPr>
          <w:lang w:val="en-US"/>
        </w:rPr>
      </w:pPr>
      <w:bookmarkStart w:id="12" w:name="_Toc27059053"/>
      <w:r w:rsidRPr="00FA5E63">
        <w:rPr>
          <w:lang w:val="en-US"/>
        </w:rPr>
        <w:t>Lawsuit before the Court of Federal</w:t>
      </w:r>
      <w:r>
        <w:rPr>
          <w:lang w:val="en-US"/>
        </w:rPr>
        <w:t xml:space="preserve"> Claims</w:t>
      </w:r>
      <w:bookmarkEnd w:id="12"/>
    </w:p>
    <w:p w14:paraId="66FA52BA" w14:textId="77777777" w:rsidR="00C53C19" w:rsidRDefault="00C53C19" w:rsidP="00C53C19">
      <w:pPr>
        <w:pStyle w:val="ListParagraph"/>
        <w:rPr>
          <w:color w:val="auto"/>
          <w:sz w:val="20"/>
        </w:rPr>
      </w:pPr>
    </w:p>
    <w:p w14:paraId="2C448941" w14:textId="77777777" w:rsidR="0063580F" w:rsidRDefault="0063580F"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887D37">
        <w:rPr>
          <w:color w:val="auto"/>
          <w:sz w:val="20"/>
          <w:lang w:val="en-US"/>
        </w:rPr>
        <w:t xml:space="preserve">The Shibayama brothers’ </w:t>
      </w:r>
      <w:r w:rsidR="00266690">
        <w:rPr>
          <w:color w:val="auto"/>
          <w:sz w:val="20"/>
          <w:lang w:val="en-US"/>
        </w:rPr>
        <w:t>lawsuit was</w:t>
      </w:r>
      <w:r w:rsidRPr="00887D37">
        <w:rPr>
          <w:color w:val="auto"/>
          <w:sz w:val="20"/>
          <w:lang w:val="en-US"/>
        </w:rPr>
        <w:t xml:space="preserve"> dismissed by the Court of Federal Claims by order dated January 3, 2003.</w:t>
      </w:r>
      <w:r w:rsidRPr="00887D37">
        <w:rPr>
          <w:rStyle w:val="FootnoteReference"/>
          <w:color w:val="auto"/>
          <w:sz w:val="20"/>
        </w:rPr>
        <w:footnoteReference w:id="71"/>
      </w:r>
      <w:r w:rsidRPr="005F42F9">
        <w:rPr>
          <w:color w:val="auto"/>
          <w:sz w:val="20"/>
          <w:lang w:val="en-US"/>
        </w:rPr>
        <w:t xml:space="preserve"> </w:t>
      </w:r>
      <w:r w:rsidR="00266690">
        <w:rPr>
          <w:color w:val="auto"/>
          <w:sz w:val="20"/>
          <w:lang w:val="en-US"/>
        </w:rPr>
        <w:t>Regarding the brothers’ claims for reparation under the CLA</w:t>
      </w:r>
      <w:r>
        <w:rPr>
          <w:color w:val="auto"/>
          <w:sz w:val="20"/>
          <w:lang w:val="en-US"/>
        </w:rPr>
        <w:t>, the Court granted the U.S.’ motion to dismiss Mr. Kenichi Shibayama as barred by the ap</w:t>
      </w:r>
      <w:r w:rsidR="0054340F">
        <w:rPr>
          <w:color w:val="auto"/>
          <w:sz w:val="20"/>
          <w:lang w:val="en-US"/>
        </w:rPr>
        <w:t xml:space="preserve">plicable statute of limitations, and </w:t>
      </w:r>
      <w:r>
        <w:rPr>
          <w:color w:val="auto"/>
          <w:sz w:val="20"/>
          <w:lang w:val="en-US"/>
        </w:rPr>
        <w:t>granted the U.S.’ motion for summary judgment on the administrative record as to review of the ORA’s denial of the claims of Mr. Isamu Shibayama and Mr. Takeshi Shibayama and, alternatively, Mr. Kenichi Shibayama</w:t>
      </w:r>
      <w:r w:rsidR="0054340F">
        <w:rPr>
          <w:color w:val="auto"/>
          <w:sz w:val="20"/>
          <w:lang w:val="en-US"/>
        </w:rPr>
        <w:t>.</w:t>
      </w:r>
      <w:r w:rsidR="0054340F">
        <w:rPr>
          <w:rStyle w:val="FootnoteReference"/>
          <w:color w:val="auto"/>
          <w:sz w:val="20"/>
          <w:lang w:val="en-US"/>
        </w:rPr>
        <w:footnoteReference w:id="72"/>
      </w:r>
      <w:r>
        <w:rPr>
          <w:color w:val="auto"/>
          <w:sz w:val="20"/>
          <w:lang w:val="en-US"/>
        </w:rPr>
        <w:t xml:space="preserve"> </w:t>
      </w:r>
      <w:r w:rsidR="0054340F">
        <w:rPr>
          <w:color w:val="auto"/>
          <w:sz w:val="20"/>
          <w:lang w:val="en-US"/>
        </w:rPr>
        <w:t xml:space="preserve">It further </w:t>
      </w:r>
      <w:r>
        <w:rPr>
          <w:color w:val="auto"/>
          <w:sz w:val="20"/>
          <w:lang w:val="en-US"/>
        </w:rPr>
        <w:t xml:space="preserve">granted the U.S.’ motion for summary judgment on the administrative record of the Shibayamas’ claims </w:t>
      </w:r>
      <w:r w:rsidR="00266690">
        <w:rPr>
          <w:color w:val="auto"/>
          <w:sz w:val="20"/>
          <w:lang w:val="en-US"/>
        </w:rPr>
        <w:t>under</w:t>
      </w:r>
      <w:r>
        <w:rPr>
          <w:color w:val="auto"/>
          <w:sz w:val="20"/>
          <w:lang w:val="en-US"/>
        </w:rPr>
        <w:t xml:space="preserve"> the Fifth Amendment, 42 U.S.C. § 1981 and the Administrative Procedures Act; and granted the U.S.’ motion to dismiss the Shibayamas’ claims for: violation of international humanitarian law, disbursement of U.S. funds for public education about “the alleged unlawful abduction and detention of Latin </w:t>
      </w:r>
      <w:r w:rsidRPr="0063580F">
        <w:rPr>
          <w:color w:val="auto"/>
          <w:sz w:val="20"/>
          <w:lang w:val="en-US"/>
        </w:rPr>
        <w:t>Americans of Japanese ancestry by the United States” and restitution for excessive income taxes assessed (based on the Shibayamas’ status as “illegal aliens”).</w:t>
      </w:r>
      <w:r w:rsidRPr="0063580F">
        <w:rPr>
          <w:rStyle w:val="FootnoteReference"/>
          <w:color w:val="auto"/>
          <w:sz w:val="20"/>
          <w:lang w:val="en-US"/>
        </w:rPr>
        <w:footnoteReference w:id="73"/>
      </w:r>
      <w:r w:rsidRPr="0063580F">
        <w:rPr>
          <w:color w:val="auto"/>
          <w:sz w:val="20"/>
          <w:lang w:val="en-US"/>
        </w:rPr>
        <w:t xml:space="preserve"> Petitioners “stressed” in the initial petition “that at the hearing that they had at the Claims Court, the judge directly and movingly apologize[d], on behalf of the United States government, to the Petitioners.”</w:t>
      </w:r>
      <w:r w:rsidRPr="0063580F">
        <w:rPr>
          <w:rStyle w:val="FootnoteReference"/>
          <w:color w:val="auto"/>
          <w:sz w:val="20"/>
          <w:lang w:val="en-US"/>
        </w:rPr>
        <w:footnoteReference w:id="74"/>
      </w:r>
    </w:p>
    <w:p w14:paraId="5C525ABA" w14:textId="77777777" w:rsidR="0054340F" w:rsidRDefault="0054340F" w:rsidP="0054340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5E6F82C9" w14:textId="77777777" w:rsidR="00D73DBB" w:rsidRDefault="0054340F"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The Shibayamas alleged that at the time of their internment they were permanently residing in the U.S. “both directly and under color of law</w:t>
      </w:r>
      <w:r w:rsidR="00266690">
        <w:rPr>
          <w:color w:val="auto"/>
          <w:sz w:val="20"/>
          <w:lang w:val="en-US"/>
        </w:rPr>
        <w:t>,</w:t>
      </w:r>
      <w:r>
        <w:rPr>
          <w:color w:val="auto"/>
          <w:sz w:val="20"/>
          <w:lang w:val="en-US"/>
        </w:rPr>
        <w:t>”</w:t>
      </w:r>
      <w:r w:rsidR="00266690">
        <w:rPr>
          <w:color w:val="auto"/>
          <w:sz w:val="20"/>
          <w:lang w:val="en-US"/>
        </w:rPr>
        <w:t xml:space="preserve"> for which reason they should receive reparation under the CLA.</w:t>
      </w:r>
      <w:r>
        <w:rPr>
          <w:color w:val="auto"/>
          <w:sz w:val="20"/>
          <w:lang w:val="en-US"/>
        </w:rPr>
        <w:t xml:space="preserve"> In this regard, they argued that they were “clearly not illegal aliens at any time during their internment. At no time did Plaintiffs ever violate a single provision of United States immigration laws that the United States did not itself excuse. Their presence in the United States was entirely at the whim of the United States itself—the United States went and got them and the United States maintained the[m] here. They cannot be legal and illegal at the same time. At no time during the time Plaintiffs were under the control of the United States did they ever have a fixed departure date. Accordingly, they were residing continuously and legally here [within the meaning of the law].”</w:t>
      </w:r>
      <w:r>
        <w:rPr>
          <w:rStyle w:val="FootnoteReference"/>
          <w:color w:val="auto"/>
          <w:sz w:val="20"/>
          <w:lang w:val="en-US"/>
        </w:rPr>
        <w:footnoteReference w:id="75"/>
      </w:r>
      <w:r w:rsidR="00266690">
        <w:rPr>
          <w:color w:val="auto"/>
          <w:sz w:val="20"/>
          <w:lang w:val="en-US"/>
        </w:rPr>
        <w:t xml:space="preserve"> </w:t>
      </w:r>
    </w:p>
    <w:p w14:paraId="76F94477" w14:textId="77777777" w:rsidR="00D73DBB" w:rsidRDefault="00D73DBB" w:rsidP="00D73DBB">
      <w:pPr>
        <w:pStyle w:val="ListParagraph"/>
        <w:rPr>
          <w:color w:val="auto"/>
          <w:sz w:val="20"/>
        </w:rPr>
      </w:pPr>
    </w:p>
    <w:p w14:paraId="53C47534" w14:textId="77777777" w:rsidR="0054340F" w:rsidRDefault="0026669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Notwithstanding, the Court found that the brothers “obtained permanent residence by entry into the United States with an immigrant visa rather than by suspension of deportation. Their permanent resident status dated from their entry in 1956 rather than their entry in 1944,” and reiterated that “permanently residing under color of law” is a doctrine that applies to eligibility for public benefits, but does not actually determine or grant legal status.</w:t>
      </w:r>
      <w:r>
        <w:rPr>
          <w:rStyle w:val="FootnoteReference"/>
          <w:color w:val="auto"/>
          <w:sz w:val="20"/>
          <w:lang w:val="en-US"/>
        </w:rPr>
        <w:footnoteReference w:id="76"/>
      </w:r>
    </w:p>
    <w:p w14:paraId="32D11BFD" w14:textId="77777777" w:rsidR="00EF4CFF" w:rsidRDefault="00EF4CFF" w:rsidP="00EF4CFF">
      <w:pPr>
        <w:pStyle w:val="ListParagraph"/>
        <w:rPr>
          <w:color w:val="auto"/>
          <w:sz w:val="20"/>
        </w:rPr>
      </w:pPr>
    </w:p>
    <w:p w14:paraId="1B2B996C" w14:textId="77777777" w:rsidR="00EF4CFF" w:rsidRDefault="008B692D"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After dismissing the Shibayamas’ CLA claims, t</w:t>
      </w:r>
      <w:r w:rsidR="00EF4CFF">
        <w:rPr>
          <w:color w:val="auto"/>
          <w:sz w:val="20"/>
          <w:lang w:val="en-US"/>
        </w:rPr>
        <w:t xml:space="preserve">he Court of Federal Claims found that jurisdiction was proper with it </w:t>
      </w:r>
      <w:r w:rsidR="00301EA9">
        <w:rPr>
          <w:color w:val="auto"/>
          <w:sz w:val="20"/>
          <w:lang w:val="en-US"/>
        </w:rPr>
        <w:t xml:space="preserve">to consider the Shibayamas’ remaining claims </w:t>
      </w:r>
      <w:r w:rsidR="00EF4CFF">
        <w:rPr>
          <w:color w:val="auto"/>
          <w:sz w:val="20"/>
          <w:lang w:val="en-US"/>
        </w:rPr>
        <w:t xml:space="preserve">because, although the Shibayamas initially asserted claims for both equitable and legal relief, they also asserted that “Plaintiffs will continue to suffer violation of their rights as beneficiaries of the CLA unless [the U.S. is] enjoined to provide full restitution of all of the benefits to which they were entitled under the CLA,” </w:t>
      </w:r>
      <w:r w:rsidR="00281AB2">
        <w:rPr>
          <w:color w:val="auto"/>
          <w:sz w:val="20"/>
          <w:lang w:val="en-US"/>
        </w:rPr>
        <w:t xml:space="preserve">for which reason </w:t>
      </w:r>
      <w:r w:rsidR="00BD45C8">
        <w:rPr>
          <w:color w:val="auto"/>
          <w:sz w:val="20"/>
          <w:lang w:val="en-US"/>
        </w:rPr>
        <w:t>the court</w:t>
      </w:r>
      <w:r w:rsidR="00281AB2">
        <w:rPr>
          <w:color w:val="auto"/>
          <w:sz w:val="20"/>
          <w:lang w:val="en-US"/>
        </w:rPr>
        <w:t xml:space="preserve"> concluded that “all the plaintiffs’ ‘claims are predicated on the government’s denial of the statutory amount of restitution and at bottom seek only the payment of the $20,000.’”</w:t>
      </w:r>
      <w:r w:rsidR="00281AB2">
        <w:rPr>
          <w:rStyle w:val="FootnoteReference"/>
          <w:color w:val="auto"/>
          <w:sz w:val="20"/>
          <w:lang w:val="en-US"/>
        </w:rPr>
        <w:footnoteReference w:id="77"/>
      </w:r>
    </w:p>
    <w:p w14:paraId="72A975E9" w14:textId="77777777" w:rsidR="00883FF8" w:rsidRDefault="00883FF8" w:rsidP="00883FF8">
      <w:pPr>
        <w:pStyle w:val="ListParagraph"/>
        <w:rPr>
          <w:color w:val="auto"/>
          <w:sz w:val="20"/>
        </w:rPr>
      </w:pPr>
    </w:p>
    <w:p w14:paraId="6A1D55E4" w14:textId="77777777" w:rsidR="00883FF8" w:rsidRDefault="00883FF8"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The Court of Federal Claims rejected the Shibayamas’ equal protection claim under the Fifth Amendment, citing the precedent </w:t>
      </w:r>
      <w:r>
        <w:rPr>
          <w:i/>
          <w:color w:val="auto"/>
          <w:sz w:val="20"/>
          <w:lang w:val="en-US"/>
        </w:rPr>
        <w:t>Obadele v. U.S.</w:t>
      </w:r>
      <w:r>
        <w:rPr>
          <w:rStyle w:val="FootnoteReference"/>
          <w:i/>
          <w:color w:val="auto"/>
          <w:sz w:val="20"/>
          <w:lang w:val="en-US"/>
        </w:rPr>
        <w:footnoteReference w:id="78"/>
      </w:r>
      <w:r>
        <w:rPr>
          <w:color w:val="auto"/>
          <w:sz w:val="20"/>
          <w:lang w:val="en-US"/>
        </w:rPr>
        <w:t xml:space="preserve"> and finding that they had not “explained why the court should not find a compelling government interest in Congress’ determination to compensate only United States citizens and permanent resident aliens under the CLA.”</w:t>
      </w:r>
      <w:r w:rsidR="0072423E">
        <w:rPr>
          <w:rStyle w:val="FootnoteReference"/>
          <w:color w:val="auto"/>
          <w:sz w:val="20"/>
          <w:lang w:val="en-US"/>
        </w:rPr>
        <w:footnoteReference w:id="79"/>
      </w:r>
    </w:p>
    <w:p w14:paraId="0274FB8D" w14:textId="77777777" w:rsidR="0072423E" w:rsidRDefault="0072423E" w:rsidP="0072423E">
      <w:pPr>
        <w:pStyle w:val="ListParagraph"/>
        <w:rPr>
          <w:color w:val="auto"/>
          <w:sz w:val="20"/>
        </w:rPr>
      </w:pPr>
    </w:p>
    <w:p w14:paraId="5CE2FD07" w14:textId="77777777" w:rsidR="0072423E" w:rsidRDefault="0072423E"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The Commission understands that the Shibayamas’ international humanitarian law claims </w:t>
      </w:r>
      <w:r w:rsidR="008B692D">
        <w:rPr>
          <w:color w:val="auto"/>
          <w:sz w:val="20"/>
          <w:lang w:val="en-US"/>
        </w:rPr>
        <w:t xml:space="preserve">(i.e. that the brothers’ international abduction and internment during WWII violated the law of war and </w:t>
      </w:r>
      <w:r w:rsidR="008B692D">
        <w:rPr>
          <w:i/>
          <w:color w:val="auto"/>
          <w:sz w:val="20"/>
          <w:lang w:val="en-US"/>
        </w:rPr>
        <w:t xml:space="preserve">jus cogens </w:t>
      </w:r>
      <w:r w:rsidR="008B692D">
        <w:rPr>
          <w:color w:val="auto"/>
          <w:sz w:val="20"/>
          <w:lang w:val="en-US"/>
        </w:rPr>
        <w:t>norms)</w:t>
      </w:r>
      <w:r>
        <w:rPr>
          <w:color w:val="auto"/>
          <w:sz w:val="20"/>
          <w:lang w:val="en-US"/>
        </w:rPr>
        <w:t xml:space="preserve"> </w:t>
      </w:r>
      <w:r w:rsidR="00D73DBB">
        <w:rPr>
          <w:color w:val="auto"/>
          <w:sz w:val="20"/>
          <w:lang w:val="en-US"/>
        </w:rPr>
        <w:t>were</w:t>
      </w:r>
      <w:r>
        <w:rPr>
          <w:color w:val="auto"/>
          <w:sz w:val="20"/>
          <w:lang w:val="en-US"/>
        </w:rPr>
        <w:t xml:space="preserve"> rejected by the Court</w:t>
      </w:r>
      <w:r w:rsidR="00BD45C8">
        <w:rPr>
          <w:color w:val="auto"/>
          <w:sz w:val="20"/>
          <w:lang w:val="en-US"/>
        </w:rPr>
        <w:t xml:space="preserve"> of Federal Claims because the c</w:t>
      </w:r>
      <w:r>
        <w:rPr>
          <w:color w:val="auto"/>
          <w:sz w:val="20"/>
          <w:lang w:val="en-US"/>
        </w:rPr>
        <w:t>ourt understood their case to be about reparation under the CLA, not about the morality or legality of the U.S.’ actions during WWII</w:t>
      </w:r>
      <w:r w:rsidR="008B692D">
        <w:rPr>
          <w:color w:val="auto"/>
          <w:sz w:val="20"/>
          <w:lang w:val="en-US"/>
        </w:rPr>
        <w:t>. Supporting this interpretation, the Court quoted the Shibayamas’ counsel at oral argument stating that “the acts [that] Congress seeks [to] redress are jus cogens violations and because jus cogens violations carry with them an obligation for redress one could easily construe the statute” to apply to the Shibayamas.</w:t>
      </w:r>
      <w:r w:rsidR="008B692D">
        <w:rPr>
          <w:rStyle w:val="FootnoteReference"/>
          <w:color w:val="auto"/>
          <w:sz w:val="20"/>
          <w:lang w:val="en-US"/>
        </w:rPr>
        <w:footnoteReference w:id="80"/>
      </w:r>
      <w:r>
        <w:rPr>
          <w:color w:val="auto"/>
          <w:sz w:val="20"/>
          <w:lang w:val="en-US"/>
        </w:rPr>
        <w:t xml:space="preserve"> In this regard, the judge stated at oral argument, </w:t>
      </w:r>
    </w:p>
    <w:p w14:paraId="0B11E737" w14:textId="77777777" w:rsidR="0072423E" w:rsidRDefault="0072423E" w:rsidP="0072423E">
      <w:pPr>
        <w:pStyle w:val="ListParagraph"/>
        <w:rPr>
          <w:color w:val="auto"/>
          <w:sz w:val="20"/>
        </w:rPr>
      </w:pPr>
    </w:p>
    <w:p w14:paraId="48DFE227" w14:textId="77777777" w:rsidR="0072423E" w:rsidRPr="00E400B9" w:rsidRDefault="0072423E" w:rsidP="00E400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540"/>
        <w:jc w:val="both"/>
        <w:rPr>
          <w:color w:val="auto"/>
          <w:sz w:val="18"/>
          <w:szCs w:val="18"/>
          <w:lang w:val="en-US"/>
        </w:rPr>
      </w:pPr>
      <w:r w:rsidRPr="00E400B9">
        <w:rPr>
          <w:color w:val="auto"/>
          <w:sz w:val="18"/>
          <w:szCs w:val="18"/>
          <w:lang w:val="en-US"/>
        </w:rPr>
        <w:t>Well, I mean, we’re interpreting and discussing a restitution act. We’re not really discussing at this time the morality of what was done to this group of people or the absence of morality of what was done to these people. We’re discussing whether the Restitution Act applies to this particular group of plaintiffs and, if so, why and if not, why not? But really not challenging the existence of the Act or what it stipulates.</w:t>
      </w:r>
      <w:r w:rsidRPr="00E400B9">
        <w:rPr>
          <w:rStyle w:val="FootnoteReference"/>
          <w:color w:val="auto"/>
          <w:sz w:val="18"/>
          <w:szCs w:val="18"/>
          <w:lang w:val="en-US"/>
        </w:rPr>
        <w:footnoteReference w:id="81"/>
      </w:r>
      <w:r w:rsidRPr="00E400B9">
        <w:rPr>
          <w:color w:val="auto"/>
          <w:sz w:val="18"/>
          <w:szCs w:val="18"/>
          <w:lang w:val="en-US"/>
        </w:rPr>
        <w:t xml:space="preserve"> </w:t>
      </w:r>
    </w:p>
    <w:p w14:paraId="4FF3BC59" w14:textId="77777777" w:rsidR="0072423E" w:rsidRDefault="0072423E" w:rsidP="0072423E">
      <w:pPr>
        <w:pStyle w:val="ListParagraph"/>
        <w:rPr>
          <w:color w:val="auto"/>
          <w:sz w:val="20"/>
        </w:rPr>
      </w:pPr>
    </w:p>
    <w:p w14:paraId="548D756D" w14:textId="77777777" w:rsidR="0072423E" w:rsidRDefault="0072423E"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 xml:space="preserve">Finally, the Court of Federal Claims rejected the Shibayamas’ claims for disbursement of funds for public education and restitution for excessive income taxes because </w:t>
      </w:r>
      <w:r w:rsidR="00BD45C8">
        <w:rPr>
          <w:color w:val="auto"/>
          <w:sz w:val="20"/>
          <w:lang w:val="en-US"/>
        </w:rPr>
        <w:t>plaintiffs</w:t>
      </w:r>
      <w:r>
        <w:rPr>
          <w:color w:val="auto"/>
          <w:sz w:val="20"/>
          <w:lang w:val="en-US"/>
        </w:rPr>
        <w:t xml:space="preserve"> did not identify a jurisdictional basis for the court to provide the relief they requested.</w:t>
      </w:r>
      <w:r>
        <w:rPr>
          <w:rStyle w:val="FootnoteReference"/>
          <w:color w:val="auto"/>
          <w:sz w:val="20"/>
          <w:lang w:val="en-US"/>
        </w:rPr>
        <w:footnoteReference w:id="82"/>
      </w:r>
    </w:p>
    <w:p w14:paraId="51DEC14B" w14:textId="77777777" w:rsidR="00D73DBB" w:rsidRDefault="00D73DBB" w:rsidP="00D73DB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69AA4D42" w14:textId="77777777" w:rsidR="00D73DBB" w:rsidRPr="0063580F" w:rsidRDefault="00D73DBB"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Pr>
          <w:color w:val="auto"/>
          <w:sz w:val="20"/>
          <w:lang w:val="en-US"/>
        </w:rPr>
        <w:t>As addressed at length in the Admissibility Report, the Shibayamas did not appeal this decision due to fear of sanction by the court for making a “frivolous” filing, as</w:t>
      </w:r>
      <w:r w:rsidRPr="00D73DBB">
        <w:rPr>
          <w:color w:val="auto"/>
          <w:sz w:val="20"/>
          <w:lang w:val="en-US"/>
        </w:rPr>
        <w:t xml:space="preserve"> individuals similarly situated to the </w:t>
      </w:r>
      <w:r>
        <w:rPr>
          <w:color w:val="auto"/>
          <w:sz w:val="20"/>
          <w:lang w:val="en-US"/>
        </w:rPr>
        <w:t>p</w:t>
      </w:r>
      <w:r w:rsidRPr="00D73DBB">
        <w:rPr>
          <w:color w:val="auto"/>
          <w:sz w:val="20"/>
          <w:lang w:val="en-US"/>
        </w:rPr>
        <w:t xml:space="preserve">etitioners had raised </w:t>
      </w:r>
      <w:r>
        <w:rPr>
          <w:color w:val="auto"/>
          <w:sz w:val="20"/>
          <w:lang w:val="en-US"/>
        </w:rPr>
        <w:t xml:space="preserve">the </w:t>
      </w:r>
      <w:r w:rsidRPr="00D73DBB">
        <w:rPr>
          <w:color w:val="auto"/>
          <w:sz w:val="20"/>
          <w:lang w:val="en-US"/>
        </w:rPr>
        <w:t>non-CLA claims under the U.S. Constitution, civil rights law, and international humanitarian law unsuccessfully before the U.S. Court of Appeals for the Ninth Circuit</w:t>
      </w:r>
      <w:r w:rsidR="00BD45C8">
        <w:rPr>
          <w:color w:val="auto"/>
          <w:sz w:val="20"/>
          <w:lang w:val="en-US"/>
        </w:rPr>
        <w:t>,</w:t>
      </w:r>
      <w:r w:rsidRPr="00D73DBB">
        <w:rPr>
          <w:color w:val="auto"/>
          <w:sz w:val="20"/>
          <w:lang w:val="en-US"/>
        </w:rPr>
        <w:t xml:space="preserve"> and the U.S. Supreme Court </w:t>
      </w:r>
      <w:r w:rsidR="00126808">
        <w:rPr>
          <w:color w:val="auto"/>
          <w:sz w:val="20"/>
          <w:lang w:val="en-US"/>
        </w:rPr>
        <w:t xml:space="preserve">had </w:t>
      </w:r>
      <w:r w:rsidRPr="00D73DBB">
        <w:rPr>
          <w:color w:val="auto"/>
          <w:sz w:val="20"/>
          <w:lang w:val="en-US"/>
        </w:rPr>
        <w:t xml:space="preserve">denied certiorari review of </w:t>
      </w:r>
      <w:r w:rsidR="00126808">
        <w:rPr>
          <w:color w:val="auto"/>
          <w:sz w:val="20"/>
          <w:lang w:val="en-US"/>
        </w:rPr>
        <w:t>their case</w:t>
      </w:r>
      <w:r w:rsidRPr="00D73DBB">
        <w:rPr>
          <w:color w:val="auto"/>
          <w:sz w:val="20"/>
          <w:lang w:val="en-US"/>
        </w:rPr>
        <w:t xml:space="preserve"> October 2001</w:t>
      </w:r>
      <w:r w:rsidR="00BD45C8">
        <w:rPr>
          <w:color w:val="auto"/>
          <w:sz w:val="20"/>
          <w:lang w:val="en-US"/>
        </w:rPr>
        <w:t>.</w:t>
      </w:r>
      <w:r>
        <w:rPr>
          <w:color w:val="auto"/>
          <w:sz w:val="20"/>
          <w:lang w:val="en-US"/>
        </w:rPr>
        <w:t xml:space="preserve"> </w:t>
      </w:r>
      <w:r w:rsidR="00BD45C8">
        <w:rPr>
          <w:color w:val="auto"/>
          <w:sz w:val="20"/>
          <w:lang w:val="en-US"/>
        </w:rPr>
        <w:t>F</w:t>
      </w:r>
      <w:r>
        <w:rPr>
          <w:color w:val="auto"/>
          <w:sz w:val="20"/>
          <w:lang w:val="en-US"/>
        </w:rPr>
        <w:t xml:space="preserve">or </w:t>
      </w:r>
      <w:r w:rsidR="00BD45C8">
        <w:rPr>
          <w:color w:val="auto"/>
          <w:sz w:val="20"/>
          <w:lang w:val="en-US"/>
        </w:rPr>
        <w:t>this</w:t>
      </w:r>
      <w:r>
        <w:rPr>
          <w:color w:val="auto"/>
          <w:sz w:val="20"/>
          <w:lang w:val="en-US"/>
        </w:rPr>
        <w:t xml:space="preserve"> reason</w:t>
      </w:r>
      <w:r w:rsidR="00BD45C8">
        <w:rPr>
          <w:color w:val="auto"/>
          <w:sz w:val="20"/>
          <w:lang w:val="en-US"/>
        </w:rPr>
        <w:t>,</w:t>
      </w:r>
      <w:r>
        <w:rPr>
          <w:color w:val="auto"/>
          <w:sz w:val="20"/>
          <w:lang w:val="en-US"/>
        </w:rPr>
        <w:t xml:space="preserve"> the Commission was satisfied that</w:t>
      </w:r>
      <w:r w:rsidR="00BD45C8">
        <w:rPr>
          <w:color w:val="auto"/>
          <w:sz w:val="20"/>
          <w:lang w:val="en-US"/>
        </w:rPr>
        <w:t xml:space="preserve"> further appeal of</w:t>
      </w:r>
      <w:r>
        <w:rPr>
          <w:color w:val="auto"/>
          <w:sz w:val="20"/>
          <w:lang w:val="en-US"/>
        </w:rPr>
        <w:t xml:space="preserve"> the Shibayamas’ </w:t>
      </w:r>
      <w:r w:rsidR="00126808">
        <w:rPr>
          <w:color w:val="auto"/>
          <w:sz w:val="20"/>
          <w:lang w:val="en-US"/>
        </w:rPr>
        <w:t xml:space="preserve">non-CLA </w:t>
      </w:r>
      <w:r>
        <w:rPr>
          <w:color w:val="auto"/>
          <w:sz w:val="20"/>
          <w:lang w:val="en-US"/>
        </w:rPr>
        <w:t>claims had “no reasonable prospect of success”</w:t>
      </w:r>
      <w:r w:rsidR="00BD45C8">
        <w:rPr>
          <w:color w:val="auto"/>
          <w:sz w:val="20"/>
          <w:lang w:val="en-US"/>
        </w:rPr>
        <w:t xml:space="preserve"> in U.S. courts.</w:t>
      </w:r>
      <w:r>
        <w:rPr>
          <w:rStyle w:val="FootnoteReference"/>
          <w:color w:val="auto"/>
          <w:sz w:val="20"/>
          <w:lang w:val="en-US"/>
        </w:rPr>
        <w:footnoteReference w:id="83"/>
      </w:r>
    </w:p>
    <w:p w14:paraId="4562D636" w14:textId="77777777" w:rsidR="00AA2450" w:rsidRDefault="00AA2450" w:rsidP="00AA2450">
      <w:pPr>
        <w:pStyle w:val="ListParagraph"/>
        <w:rPr>
          <w:color w:val="auto"/>
          <w:sz w:val="20"/>
          <w:szCs w:val="20"/>
        </w:rPr>
      </w:pPr>
    </w:p>
    <w:p w14:paraId="7BC0AB68" w14:textId="77777777" w:rsidR="00D12193" w:rsidRPr="0063580F" w:rsidRDefault="001E28D1" w:rsidP="00C53C19">
      <w:pPr>
        <w:pStyle w:val="Heading1"/>
        <w:rPr>
          <w:color w:val="auto"/>
        </w:rPr>
      </w:pPr>
      <w:bookmarkStart w:id="13" w:name="_Toc27059054"/>
      <w:r w:rsidRPr="0063580F">
        <w:rPr>
          <w:color w:val="auto"/>
        </w:rPr>
        <w:lastRenderedPageBreak/>
        <w:t>ANALYSIS OF LAW</w:t>
      </w:r>
      <w:bookmarkEnd w:id="13"/>
    </w:p>
    <w:p w14:paraId="297CB429" w14:textId="77777777" w:rsidR="007C756A" w:rsidRPr="0063580F" w:rsidRDefault="007C756A" w:rsidP="00F902EB">
      <w:pPr>
        <w:suppressAutoHyphens/>
        <w:rPr>
          <w:rFonts w:asciiTheme="majorHAnsi" w:hAnsiTheme="majorHAnsi"/>
          <w:b/>
          <w:color w:val="auto"/>
          <w:sz w:val="20"/>
          <w:lang w:val="es-ES_tradnl"/>
        </w:rPr>
      </w:pPr>
    </w:p>
    <w:p w14:paraId="30185AA5" w14:textId="77777777" w:rsidR="00C532E7" w:rsidRPr="001A4106" w:rsidRDefault="002F47B8" w:rsidP="002F47B8">
      <w:pPr>
        <w:pStyle w:val="Heading2"/>
        <w:numPr>
          <w:ilvl w:val="0"/>
          <w:numId w:val="0"/>
        </w:numPr>
        <w:ind w:left="1440" w:hanging="810"/>
        <w:rPr>
          <w:lang w:val="en-US"/>
        </w:rPr>
      </w:pPr>
      <w:bookmarkStart w:id="14" w:name="_Toc528598038"/>
      <w:bookmarkStart w:id="15" w:name="_Toc27059055"/>
      <w:r>
        <w:rPr>
          <w:lang w:val="en-US"/>
        </w:rPr>
        <w:t>A.</w:t>
      </w:r>
      <w:r>
        <w:rPr>
          <w:lang w:val="en-US"/>
        </w:rPr>
        <w:tab/>
      </w:r>
      <w:r w:rsidR="00C532E7" w:rsidRPr="001A4106">
        <w:rPr>
          <w:lang w:val="en-US"/>
        </w:rPr>
        <w:t>Application of the American Declaration and interpretation in light of developments in international human rights law since its adoption</w:t>
      </w:r>
      <w:bookmarkEnd w:id="14"/>
      <w:bookmarkEnd w:id="15"/>
    </w:p>
    <w:p w14:paraId="315A25F0" w14:textId="77777777" w:rsidR="00C532E7" w:rsidRPr="00C532E7" w:rsidRDefault="00C532E7" w:rsidP="00C532E7">
      <w:pPr>
        <w:rPr>
          <w:rFonts w:asciiTheme="majorHAnsi" w:hAnsiTheme="majorHAnsi"/>
          <w:sz w:val="20"/>
          <w:lang w:val="en-US"/>
        </w:rPr>
      </w:pPr>
    </w:p>
    <w:p w14:paraId="6A6E324A" w14:textId="77777777" w:rsidR="00C532E7" w:rsidRPr="00D15C7C" w:rsidRDefault="00C532E7" w:rsidP="009F5EAF">
      <w:pPr>
        <w:pStyle w:val="ListParagraph"/>
        <w:numPr>
          <w:ilvl w:val="0"/>
          <w:numId w:val="55"/>
        </w:numPr>
        <w:ind w:left="0" w:firstLine="634"/>
        <w:jc w:val="both"/>
        <w:rPr>
          <w:rFonts w:asciiTheme="majorHAnsi" w:hAnsiTheme="majorHAnsi"/>
          <w:color w:val="auto"/>
          <w:sz w:val="20"/>
          <w:szCs w:val="20"/>
        </w:rPr>
      </w:pPr>
      <w:r w:rsidRPr="00D15C7C">
        <w:rPr>
          <w:rFonts w:eastAsia="Times New Roman"/>
          <w:bCs/>
          <w:sz w:val="20"/>
          <w:szCs w:val="20"/>
          <w:bdr w:val="none" w:sz="0" w:space="0" w:color="auto"/>
        </w:rPr>
        <w:t>The American Declaration is a source of legal obligation that may be applied by the Inter-American Commission to the U.S. on the basis of the State’s commitment to uphold respect for human rights as provided for and defined in the Charter of the Organization of American States (OAS).</w:t>
      </w:r>
      <w:bookmarkStart w:id="16" w:name="_Ref526241249"/>
      <w:r w:rsidRPr="00D15C7C">
        <w:rPr>
          <w:rStyle w:val="FootnoteReference"/>
          <w:rFonts w:eastAsia="Times New Roman"/>
          <w:bCs/>
          <w:sz w:val="20"/>
          <w:szCs w:val="20"/>
          <w:bdr w:val="none" w:sz="0" w:space="0" w:color="auto"/>
        </w:rPr>
        <w:footnoteReference w:id="84"/>
      </w:r>
      <w:bookmarkEnd w:id="16"/>
      <w:r w:rsidRPr="00D15C7C">
        <w:rPr>
          <w:rFonts w:eastAsia="Times New Roman"/>
          <w:bCs/>
          <w:sz w:val="20"/>
          <w:szCs w:val="20"/>
          <w:bdr w:val="none" w:sz="0" w:space="0" w:color="auto"/>
        </w:rPr>
        <w:t xml:space="preserve"> The U.S. deposited its instrument of ratification of the OAS Charter on June 19, 1951.  Article 20 of the Commission's Statute, as well as its Rules of Procedure, authorize the IACHR to examine the alleged violations of the Declaration raised by the petitioners against the State, relating to acts or omissions that occurred after the U.S. joined the OAS.</w:t>
      </w:r>
    </w:p>
    <w:p w14:paraId="208C3360" w14:textId="77777777" w:rsidR="00C532E7" w:rsidRPr="00C532E7" w:rsidRDefault="00C532E7" w:rsidP="00C532E7">
      <w:pPr>
        <w:rPr>
          <w:rFonts w:asciiTheme="majorHAnsi" w:hAnsiTheme="majorHAnsi"/>
          <w:sz w:val="20"/>
          <w:lang w:val="en-US"/>
        </w:rPr>
      </w:pPr>
    </w:p>
    <w:p w14:paraId="3D9BB255" w14:textId="77777777" w:rsidR="00C532E7" w:rsidRPr="00D15C7C" w:rsidRDefault="00C532E7" w:rsidP="009F5EAF">
      <w:pPr>
        <w:pStyle w:val="ListParagraph"/>
        <w:numPr>
          <w:ilvl w:val="0"/>
          <w:numId w:val="55"/>
        </w:numPr>
        <w:ind w:left="0" w:firstLine="634"/>
        <w:jc w:val="both"/>
        <w:rPr>
          <w:rFonts w:asciiTheme="majorHAnsi" w:hAnsiTheme="majorHAnsi"/>
          <w:color w:val="auto"/>
          <w:sz w:val="20"/>
          <w:szCs w:val="20"/>
        </w:rPr>
      </w:pPr>
      <w:r w:rsidRPr="00D15C7C">
        <w:rPr>
          <w:rFonts w:asciiTheme="majorHAnsi" w:eastAsia="Calibri" w:hAnsiTheme="majorHAnsi"/>
          <w:sz w:val="20"/>
          <w:szCs w:val="22"/>
          <w:bdr w:val="none" w:sz="0" w:space="0" w:color="auto"/>
        </w:rPr>
        <w:t xml:space="preserve">The </w:t>
      </w:r>
      <w:r w:rsidRPr="00D15C7C">
        <w:rPr>
          <w:rFonts w:asciiTheme="majorHAnsi" w:eastAsia="Calibri" w:hAnsiTheme="majorHAnsi"/>
          <w:sz w:val="20"/>
          <w:szCs w:val="20"/>
          <w:bdr w:val="none" w:sz="0" w:space="0" w:color="auto"/>
        </w:rPr>
        <w:t>Commission has long held that it is necessary to consider the provisions of the American Declaration in the broader context of both the inter–American and international human rights systems, in light of developments in international human rights law since the Declaration was adopted and having regard to other relevant rules of international law applicable to member states against which complaints of violations of the Declaration are properly lodged.</w:t>
      </w:r>
      <w:r w:rsidRPr="00D15C7C">
        <w:rPr>
          <w:sz w:val="20"/>
          <w:szCs w:val="20"/>
          <w:bdr w:val="none" w:sz="0" w:space="0" w:color="auto"/>
          <w:vertAlign w:val="superscript"/>
        </w:rPr>
        <w:footnoteReference w:id="85"/>
      </w:r>
      <w:r w:rsidRPr="00D15C7C">
        <w:rPr>
          <w:rFonts w:asciiTheme="majorHAnsi" w:eastAsia="Calibri" w:hAnsiTheme="majorHAnsi"/>
          <w:sz w:val="20"/>
          <w:szCs w:val="20"/>
          <w:bdr w:val="none" w:sz="0" w:space="0" w:color="auto"/>
        </w:rPr>
        <w:t xml:space="preserve"> Pursuant to the principles of treaty interpretation, the Inter-American Court of Human Rights has likewise endorsed an interpretation of international human rights instruments that takes into account developments in the </w:t>
      </w:r>
      <w:r w:rsidRPr="00D15C7C">
        <w:rPr>
          <w:rFonts w:asciiTheme="majorHAnsi" w:eastAsia="Calibri" w:hAnsiTheme="majorHAnsi"/>
          <w:i/>
          <w:sz w:val="20"/>
          <w:szCs w:val="20"/>
          <w:bdr w:val="none" w:sz="0" w:space="0" w:color="auto"/>
        </w:rPr>
        <w:t xml:space="preserve">corpus juris </w:t>
      </w:r>
      <w:r w:rsidRPr="00D15C7C">
        <w:rPr>
          <w:rFonts w:asciiTheme="majorHAnsi" w:eastAsia="Calibri" w:hAnsiTheme="majorHAnsi"/>
          <w:sz w:val="20"/>
          <w:szCs w:val="20"/>
          <w:bdr w:val="none" w:sz="0" w:space="0" w:color="auto"/>
        </w:rPr>
        <w:t xml:space="preserve">of international human rights law over time and in present-day conditions. </w:t>
      </w:r>
      <w:r w:rsidRPr="00D15C7C">
        <w:rPr>
          <w:rFonts w:asciiTheme="majorHAnsi" w:hAnsiTheme="majorHAnsi"/>
          <w:color w:val="auto"/>
          <w:sz w:val="20"/>
          <w:szCs w:val="20"/>
        </w:rPr>
        <w:t xml:space="preserve">It is necessary for the Commission to take </w:t>
      </w:r>
      <w:r>
        <w:rPr>
          <w:rFonts w:asciiTheme="majorHAnsi" w:hAnsiTheme="majorHAnsi"/>
          <w:color w:val="auto"/>
          <w:sz w:val="20"/>
          <w:szCs w:val="20"/>
        </w:rPr>
        <w:t>other</w:t>
      </w:r>
      <w:r w:rsidRPr="00D15C7C">
        <w:rPr>
          <w:rFonts w:asciiTheme="majorHAnsi" w:hAnsiTheme="majorHAnsi"/>
          <w:color w:val="auto"/>
          <w:sz w:val="20"/>
          <w:szCs w:val="20"/>
        </w:rPr>
        <w:t xml:space="preserve"> instruments into account as well because one instrument may not be used as a basis to deny or limit other favorable or more extensive human rights that individuals might otherwise be entitled to under international or domestic law or practice.</w:t>
      </w:r>
      <w:r w:rsidRPr="00D15C7C">
        <w:rPr>
          <w:rStyle w:val="FootnoteReference"/>
          <w:rFonts w:asciiTheme="majorHAnsi" w:hAnsiTheme="majorHAnsi"/>
          <w:color w:val="auto"/>
          <w:sz w:val="20"/>
          <w:szCs w:val="20"/>
        </w:rPr>
        <w:footnoteReference w:id="86"/>
      </w:r>
    </w:p>
    <w:p w14:paraId="19153329" w14:textId="77777777" w:rsidR="00C532E7" w:rsidRPr="00C532E7" w:rsidRDefault="00C532E7" w:rsidP="007C27A7">
      <w:pPr>
        <w:jc w:val="both"/>
        <w:rPr>
          <w:rFonts w:asciiTheme="majorHAnsi" w:hAnsiTheme="majorHAnsi"/>
          <w:sz w:val="20"/>
          <w:lang w:val="en-US"/>
        </w:rPr>
      </w:pPr>
    </w:p>
    <w:p w14:paraId="5D585BEC" w14:textId="77777777" w:rsidR="00FD0A73" w:rsidRPr="00183000" w:rsidRDefault="00C532E7" w:rsidP="009F5EAF">
      <w:pPr>
        <w:pStyle w:val="ListParagraph"/>
        <w:numPr>
          <w:ilvl w:val="0"/>
          <w:numId w:val="55"/>
        </w:numPr>
        <w:ind w:left="0" w:firstLine="634"/>
        <w:jc w:val="both"/>
        <w:rPr>
          <w:rFonts w:asciiTheme="majorHAnsi" w:hAnsiTheme="majorHAnsi"/>
          <w:color w:val="auto"/>
          <w:sz w:val="20"/>
          <w:szCs w:val="20"/>
        </w:rPr>
      </w:pPr>
      <w:r w:rsidRPr="00D15C7C">
        <w:rPr>
          <w:rFonts w:asciiTheme="majorHAnsi" w:eastAsia="Calibri" w:hAnsiTheme="majorHAnsi"/>
          <w:sz w:val="20"/>
          <w:szCs w:val="20"/>
          <w:bdr w:val="none" w:sz="0" w:space="0" w:color="auto"/>
        </w:rPr>
        <w:t>Developments in the corpus of international human rights law relevant to interpreting and applying the American Declaration may additionally be drawn from the provisions of other prevailing international and regional human rights instruments.  In particular, this includes the American Convention on Human Rights, which, in many instances, may be considered to represent an authoritative expression of the fundamental principles set forth in the American Declaration. While the Commission clearly does not apply the American Convention in relation to Member States that have yet to ratify that treaty, its provisions may well be relevant in informing an interpretation of the Declaration.</w:t>
      </w:r>
      <w:r w:rsidRPr="00D15C7C">
        <w:rPr>
          <w:rFonts w:asciiTheme="majorHAnsi" w:eastAsia="Calibri" w:hAnsiTheme="majorHAnsi"/>
          <w:sz w:val="20"/>
          <w:szCs w:val="20"/>
          <w:bdr w:val="none" w:sz="0" w:space="0" w:color="auto"/>
          <w:vertAlign w:val="superscript"/>
        </w:rPr>
        <w:footnoteReference w:id="87"/>
      </w:r>
      <w:r w:rsidRPr="00D15C7C">
        <w:rPr>
          <w:rFonts w:asciiTheme="majorHAnsi" w:eastAsia="Calibri" w:hAnsiTheme="majorHAnsi"/>
          <w:sz w:val="20"/>
          <w:szCs w:val="20"/>
          <w:bdr w:val="none" w:sz="0" w:space="0" w:color="auto"/>
        </w:rPr>
        <w:t xml:space="preserve"> </w:t>
      </w:r>
    </w:p>
    <w:p w14:paraId="21CB5722" w14:textId="77777777" w:rsidR="00FD0A73" w:rsidRDefault="00FD0A73" w:rsidP="007C27A7">
      <w:pPr>
        <w:jc w:val="both"/>
        <w:rPr>
          <w:rFonts w:asciiTheme="majorHAnsi" w:hAnsiTheme="majorHAnsi"/>
          <w:b/>
          <w:color w:val="auto"/>
          <w:sz w:val="20"/>
          <w:lang w:val="en-US"/>
        </w:rPr>
      </w:pPr>
    </w:p>
    <w:p w14:paraId="10DA8A7F" w14:textId="77777777" w:rsidR="002D588D" w:rsidRDefault="002D588D" w:rsidP="007C27A7">
      <w:pPr>
        <w:jc w:val="both"/>
        <w:rPr>
          <w:rFonts w:asciiTheme="majorHAnsi" w:hAnsiTheme="majorHAnsi"/>
          <w:b/>
          <w:color w:val="auto"/>
          <w:sz w:val="20"/>
          <w:lang w:val="en-US"/>
        </w:rPr>
      </w:pPr>
    </w:p>
    <w:p w14:paraId="2AFFE721" w14:textId="77777777" w:rsidR="002D588D" w:rsidRDefault="002D588D" w:rsidP="007C27A7">
      <w:pPr>
        <w:jc w:val="both"/>
        <w:rPr>
          <w:rFonts w:asciiTheme="majorHAnsi" w:hAnsiTheme="majorHAnsi"/>
          <w:b/>
          <w:color w:val="auto"/>
          <w:sz w:val="20"/>
          <w:lang w:val="en-US"/>
        </w:rPr>
      </w:pPr>
    </w:p>
    <w:p w14:paraId="3652B149" w14:textId="77777777" w:rsidR="002D588D" w:rsidRDefault="002D588D" w:rsidP="007C27A7">
      <w:pPr>
        <w:jc w:val="both"/>
        <w:rPr>
          <w:rFonts w:asciiTheme="majorHAnsi" w:hAnsiTheme="majorHAnsi"/>
          <w:b/>
          <w:color w:val="auto"/>
          <w:sz w:val="20"/>
          <w:lang w:val="en-US"/>
        </w:rPr>
      </w:pPr>
    </w:p>
    <w:p w14:paraId="1D67FE43" w14:textId="77777777" w:rsidR="002D588D" w:rsidRDefault="002D588D" w:rsidP="007C27A7">
      <w:pPr>
        <w:jc w:val="both"/>
        <w:rPr>
          <w:rFonts w:asciiTheme="majorHAnsi" w:hAnsiTheme="majorHAnsi"/>
          <w:b/>
          <w:color w:val="auto"/>
          <w:sz w:val="20"/>
          <w:lang w:val="en-US"/>
        </w:rPr>
      </w:pPr>
    </w:p>
    <w:p w14:paraId="3992016B" w14:textId="77777777" w:rsidR="002D588D" w:rsidRDefault="002D588D" w:rsidP="007C27A7">
      <w:pPr>
        <w:jc w:val="both"/>
        <w:rPr>
          <w:rFonts w:asciiTheme="majorHAnsi" w:hAnsiTheme="majorHAnsi"/>
          <w:b/>
          <w:color w:val="auto"/>
          <w:sz w:val="20"/>
          <w:lang w:val="en-US"/>
        </w:rPr>
      </w:pPr>
    </w:p>
    <w:p w14:paraId="314D3EBD" w14:textId="77777777" w:rsidR="002D588D" w:rsidRDefault="002D588D" w:rsidP="007C27A7">
      <w:pPr>
        <w:jc w:val="both"/>
        <w:rPr>
          <w:rFonts w:asciiTheme="majorHAnsi" w:hAnsiTheme="majorHAnsi"/>
          <w:b/>
          <w:color w:val="auto"/>
          <w:sz w:val="20"/>
          <w:lang w:val="en-US"/>
        </w:rPr>
      </w:pPr>
    </w:p>
    <w:p w14:paraId="7B6C9C78" w14:textId="77777777" w:rsidR="002D588D" w:rsidRDefault="002D588D" w:rsidP="007C27A7">
      <w:pPr>
        <w:jc w:val="both"/>
        <w:rPr>
          <w:rFonts w:asciiTheme="majorHAnsi" w:hAnsiTheme="majorHAnsi"/>
          <w:b/>
          <w:color w:val="auto"/>
          <w:sz w:val="20"/>
          <w:lang w:val="en-US"/>
        </w:rPr>
      </w:pPr>
    </w:p>
    <w:p w14:paraId="10BB9032" w14:textId="77777777" w:rsidR="002D588D" w:rsidRDefault="002D588D" w:rsidP="007C27A7">
      <w:pPr>
        <w:jc w:val="both"/>
        <w:rPr>
          <w:rFonts w:asciiTheme="majorHAnsi" w:hAnsiTheme="majorHAnsi"/>
          <w:b/>
          <w:color w:val="auto"/>
          <w:sz w:val="20"/>
          <w:lang w:val="en-US"/>
        </w:rPr>
      </w:pPr>
    </w:p>
    <w:p w14:paraId="06979786" w14:textId="77777777" w:rsidR="004D6618" w:rsidRPr="00164433" w:rsidRDefault="00624611" w:rsidP="009F5EAF">
      <w:pPr>
        <w:pStyle w:val="Heading2"/>
        <w:numPr>
          <w:ilvl w:val="0"/>
          <w:numId w:val="62"/>
        </w:numPr>
        <w:tabs>
          <w:tab w:val="left" w:pos="1440"/>
        </w:tabs>
        <w:ind w:left="1440" w:hanging="810"/>
        <w:jc w:val="both"/>
      </w:pPr>
      <w:bookmarkStart w:id="17" w:name="_Toc27059056"/>
      <w:r w:rsidRPr="007C27A7">
        <w:rPr>
          <w:lang w:val="en-US"/>
        </w:rPr>
        <w:lastRenderedPageBreak/>
        <w:t>Right to equality before the law (Art. II),</w:t>
      </w:r>
      <w:r w:rsidRPr="0063580F">
        <w:rPr>
          <w:rStyle w:val="FootnoteReference"/>
          <w:b w:val="0"/>
          <w:color w:val="auto"/>
        </w:rPr>
        <w:footnoteReference w:id="88"/>
      </w:r>
      <w:r w:rsidRPr="007C27A7">
        <w:rPr>
          <w:lang w:val="en-US"/>
        </w:rPr>
        <w:t xml:space="preserve"> in relation to </w:t>
      </w:r>
      <w:r w:rsidR="00D62AF9" w:rsidRPr="007C27A7">
        <w:rPr>
          <w:lang w:val="en-US"/>
        </w:rPr>
        <w:t xml:space="preserve">the right to a fair trial and effective remedy </w:t>
      </w:r>
      <w:r w:rsidRPr="007C27A7">
        <w:rPr>
          <w:lang w:val="en-US"/>
        </w:rPr>
        <w:t xml:space="preserve">(Art. </w:t>
      </w:r>
      <w:r w:rsidRPr="00164433">
        <w:t>XVIII)</w:t>
      </w:r>
      <w:r w:rsidRPr="00164433">
        <w:rPr>
          <w:rStyle w:val="FootnoteReference"/>
          <w:b w:val="0"/>
          <w:color w:val="auto"/>
        </w:rPr>
        <w:footnoteReference w:id="89"/>
      </w:r>
      <w:bookmarkEnd w:id="17"/>
    </w:p>
    <w:p w14:paraId="009C9C7E" w14:textId="77777777" w:rsidR="001D18C7" w:rsidRDefault="001D18C7" w:rsidP="007C27A7">
      <w:pPr>
        <w:jc w:val="both"/>
        <w:rPr>
          <w:b/>
          <w:color w:val="FF0000"/>
          <w:sz w:val="20"/>
        </w:rPr>
      </w:pPr>
    </w:p>
    <w:p w14:paraId="132C32B7" w14:textId="77777777" w:rsidR="00FD5A99" w:rsidRPr="003A1E02" w:rsidRDefault="00BD7433" w:rsidP="007C27A7">
      <w:pPr>
        <w:pStyle w:val="Heading3"/>
        <w:ind w:hanging="810"/>
      </w:pPr>
      <w:bookmarkStart w:id="18" w:name="_Toc27059057"/>
      <w:r w:rsidRPr="003A1E02">
        <w:t xml:space="preserve">General considerations regarding </w:t>
      </w:r>
      <w:r w:rsidR="00A868AD" w:rsidRPr="003A1E02">
        <w:t>equality before the law and the right to an effective remedy</w:t>
      </w:r>
      <w:bookmarkEnd w:id="18"/>
    </w:p>
    <w:p w14:paraId="21A25F04" w14:textId="77777777" w:rsidR="001A1A62" w:rsidRDefault="001A1A62" w:rsidP="007C27A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6D23D4D6" w14:textId="77777777" w:rsidR="004E65F9" w:rsidRPr="004E65F9" w:rsidRDefault="00C944E1"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C944E1">
        <w:rPr>
          <w:rFonts w:asciiTheme="majorHAnsi" w:hAnsiTheme="majorHAnsi"/>
          <w:sz w:val="20"/>
          <w:lang w:val="en-US"/>
        </w:rPr>
        <w:t xml:space="preserve">The principles of equality before the law, equal protection, and non-discrimination are among the most basic human rights, and are in fact recognized by the Inter-American Court as </w:t>
      </w:r>
      <w:r w:rsidRPr="00C944E1">
        <w:rPr>
          <w:rFonts w:asciiTheme="majorHAnsi" w:hAnsiTheme="majorHAnsi"/>
          <w:i/>
          <w:sz w:val="20"/>
          <w:lang w:val="en-US"/>
        </w:rPr>
        <w:t>jus cogens</w:t>
      </w:r>
      <w:r w:rsidRPr="00C944E1">
        <w:rPr>
          <w:rFonts w:asciiTheme="majorHAnsi" w:hAnsiTheme="majorHAnsi"/>
          <w:sz w:val="20"/>
          <w:lang w:val="en-US"/>
        </w:rPr>
        <w:t xml:space="preserve"> norms, “because the whole legal structure of national and international public order rests on it.”</w:t>
      </w:r>
      <w:r w:rsidRPr="007F59BF">
        <w:rPr>
          <w:rFonts w:asciiTheme="majorHAnsi" w:hAnsiTheme="majorHAnsi"/>
          <w:sz w:val="20"/>
          <w:vertAlign w:val="superscript"/>
        </w:rPr>
        <w:footnoteReference w:id="90"/>
      </w:r>
      <w:r w:rsidRPr="00C944E1">
        <w:rPr>
          <w:rFonts w:asciiTheme="majorHAnsi" w:hAnsiTheme="majorHAnsi"/>
          <w:sz w:val="20"/>
          <w:lang w:val="en-US"/>
        </w:rPr>
        <w:t xml:space="preserve"> </w:t>
      </w:r>
      <w:r w:rsidR="003A79D3" w:rsidRPr="004E65F9">
        <w:rPr>
          <w:rFonts w:asciiTheme="majorHAnsi" w:hAnsiTheme="majorHAnsi"/>
          <w:sz w:val="20"/>
          <w:lang w:val="en-US"/>
        </w:rPr>
        <w:t>In line with the Human Rights Committee, the Commission has</w:t>
      </w:r>
      <w:r w:rsidR="004E65F9">
        <w:rPr>
          <w:rFonts w:asciiTheme="majorHAnsi" w:hAnsiTheme="majorHAnsi"/>
          <w:sz w:val="20"/>
          <w:lang w:val="en-US"/>
        </w:rPr>
        <w:t xml:space="preserve"> further</w:t>
      </w:r>
      <w:r w:rsidR="003A79D3" w:rsidRPr="004E65F9">
        <w:rPr>
          <w:rFonts w:asciiTheme="majorHAnsi" w:hAnsiTheme="majorHAnsi"/>
          <w:sz w:val="20"/>
          <w:lang w:val="en-US"/>
        </w:rPr>
        <w:t xml:space="preserve"> </w:t>
      </w:r>
      <w:r w:rsidR="003A79D3" w:rsidRPr="004E65F9">
        <w:rPr>
          <w:rFonts w:eastAsia="Times New Roman"/>
          <w:bCs/>
          <w:sz w:val="20"/>
          <w:bdr w:val="none" w:sz="0" w:space="0" w:color="auto"/>
          <w:lang w:val="en-US"/>
        </w:rPr>
        <w:t>understood “discrimination” to mean</w:t>
      </w:r>
      <w:r w:rsidR="003A79D3" w:rsidRPr="004E65F9">
        <w:rPr>
          <w:color w:val="auto"/>
          <w:sz w:val="20"/>
          <w:lang w:val="en-US"/>
        </w:rPr>
        <w:t xml:space="preserve"> “</w:t>
      </w:r>
      <w:r w:rsidR="003A79D3" w:rsidRPr="004E65F9">
        <w:rPr>
          <w:rFonts w:eastAsia="Times New Roman"/>
          <w:bCs/>
          <w:sz w:val="20"/>
          <w:bdr w:val="none" w:sz="0" w:space="0" w:color="auto"/>
          <w:lang w:val="en-US"/>
        </w:rPr>
        <w:t>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003A79D3" w:rsidRPr="00676B15">
        <w:rPr>
          <w:rStyle w:val="FootnoteReference"/>
          <w:rFonts w:eastAsia="Times New Roman"/>
          <w:bCs/>
          <w:sz w:val="20"/>
          <w:bdr w:val="none" w:sz="0" w:space="0" w:color="auto"/>
        </w:rPr>
        <w:footnoteReference w:id="91"/>
      </w:r>
    </w:p>
    <w:p w14:paraId="12A8F6AA" w14:textId="77777777" w:rsidR="004E65F9" w:rsidRDefault="004E65F9" w:rsidP="004E65F9">
      <w:pPr>
        <w:pStyle w:val="ListParagraph"/>
        <w:rPr>
          <w:color w:val="auto"/>
          <w:sz w:val="20"/>
        </w:rPr>
      </w:pPr>
    </w:p>
    <w:p w14:paraId="770B9C9D" w14:textId="77777777" w:rsidR="001A1A62" w:rsidRPr="004E65F9" w:rsidRDefault="004E65F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4E65F9">
        <w:rPr>
          <w:color w:val="auto"/>
          <w:sz w:val="20"/>
          <w:lang w:val="en-US"/>
        </w:rPr>
        <w:t>The principle of equality and non-discrimination incorporat</w:t>
      </w:r>
      <w:r w:rsidR="00080A30">
        <w:rPr>
          <w:color w:val="auto"/>
          <w:sz w:val="20"/>
          <w:lang w:val="en-US"/>
        </w:rPr>
        <w:t>e</w:t>
      </w:r>
      <w:r w:rsidRPr="004E65F9">
        <w:rPr>
          <w:color w:val="auto"/>
          <w:sz w:val="20"/>
          <w:lang w:val="en-US"/>
        </w:rPr>
        <w:t xml:space="preserve"> </w:t>
      </w:r>
      <w:r>
        <w:rPr>
          <w:color w:val="auto"/>
          <w:sz w:val="20"/>
          <w:lang w:val="en-US"/>
        </w:rPr>
        <w:t>both “</w:t>
      </w:r>
      <w:r w:rsidRPr="004E65F9">
        <w:rPr>
          <w:color w:val="auto"/>
          <w:sz w:val="20"/>
          <w:lang w:val="en-US"/>
        </w:rPr>
        <w:t>the prohibition of arbitrary differences of treatment,</w:t>
      </w:r>
      <w:r>
        <w:rPr>
          <w:color w:val="auto"/>
          <w:sz w:val="20"/>
          <w:lang w:val="en-US"/>
        </w:rPr>
        <w:t>”</w:t>
      </w:r>
      <w:r w:rsidRPr="004E65F9">
        <w:rPr>
          <w:color w:val="auto"/>
          <w:sz w:val="20"/>
          <w:lang w:val="en-US"/>
        </w:rPr>
        <w:t xml:space="preserve"> and </w:t>
      </w:r>
      <w:r>
        <w:rPr>
          <w:color w:val="auto"/>
          <w:sz w:val="20"/>
          <w:lang w:val="en-US"/>
        </w:rPr>
        <w:t>“</w:t>
      </w:r>
      <w:r w:rsidRPr="004E65F9">
        <w:rPr>
          <w:color w:val="auto"/>
          <w:sz w:val="20"/>
          <w:lang w:val="en-US"/>
        </w:rPr>
        <w:t xml:space="preserve">the obligation of States to create conditions of real equality for groups that have been historically excluded or that are </w:t>
      </w:r>
      <w:r w:rsidR="00080A30">
        <w:rPr>
          <w:color w:val="auto"/>
          <w:sz w:val="20"/>
          <w:lang w:val="en-US"/>
        </w:rPr>
        <w:t>at</w:t>
      </w:r>
      <w:r w:rsidRPr="004E65F9">
        <w:rPr>
          <w:color w:val="auto"/>
          <w:sz w:val="20"/>
          <w:lang w:val="en-US"/>
        </w:rPr>
        <w:t xml:space="preserve"> greater risk of being discriminated against."</w:t>
      </w:r>
      <w:r>
        <w:rPr>
          <w:rStyle w:val="FootnoteReference"/>
          <w:color w:val="auto"/>
          <w:sz w:val="20"/>
          <w:lang w:val="en-US"/>
        </w:rPr>
        <w:footnoteReference w:id="92"/>
      </w:r>
      <w:r>
        <w:rPr>
          <w:color w:val="auto"/>
          <w:sz w:val="20"/>
          <w:lang w:val="en-US"/>
        </w:rPr>
        <w:t xml:space="preserve"> </w:t>
      </w:r>
      <w:r w:rsidRPr="004E65F9">
        <w:rPr>
          <w:rFonts w:eastAsia="Times New Roman"/>
          <w:bCs/>
          <w:sz w:val="20"/>
          <w:bdr w:val="none" w:sz="0" w:space="0" w:color="auto"/>
          <w:lang w:val="en-US"/>
        </w:rPr>
        <w:t>With regard to the former, w</w:t>
      </w:r>
      <w:r w:rsidR="001A1A62" w:rsidRPr="004E65F9">
        <w:rPr>
          <w:rFonts w:eastAsia="Times New Roman"/>
          <w:bCs/>
          <w:sz w:val="20"/>
          <w:bdr w:val="none" w:sz="0" w:space="0" w:color="auto"/>
          <w:lang w:val="en-US"/>
        </w:rPr>
        <w:t xml:space="preserve">hile Article II </w:t>
      </w:r>
      <w:r w:rsidRPr="004E65F9">
        <w:rPr>
          <w:rFonts w:eastAsia="Times New Roman"/>
          <w:bCs/>
          <w:sz w:val="20"/>
          <w:bdr w:val="none" w:sz="0" w:space="0" w:color="auto"/>
          <w:lang w:val="en-US"/>
        </w:rPr>
        <w:t xml:space="preserve">of the American Declaration </w:t>
      </w:r>
      <w:r w:rsidR="001A1A62" w:rsidRPr="004E65F9">
        <w:rPr>
          <w:rFonts w:eastAsia="Times New Roman"/>
          <w:bCs/>
          <w:sz w:val="20"/>
          <w:bdr w:val="none" w:sz="0" w:space="0" w:color="auto"/>
          <w:lang w:val="en-US"/>
        </w:rPr>
        <w:t>does not prohibit all distinctions in treatment in the enjoyment of protected rights and freedoms, it does require that any per</w:t>
      </w:r>
      <w:r w:rsidR="00080A30">
        <w:rPr>
          <w:rFonts w:eastAsia="Times New Roman"/>
          <w:bCs/>
          <w:sz w:val="20"/>
          <w:bdr w:val="none" w:sz="0" w:space="0" w:color="auto"/>
          <w:lang w:val="en-US"/>
        </w:rPr>
        <w:t xml:space="preserve">missible distinctions be based </w:t>
      </w:r>
      <w:r w:rsidR="001A1A62" w:rsidRPr="004E65F9">
        <w:rPr>
          <w:rFonts w:eastAsia="Times New Roman"/>
          <w:bCs/>
          <w:sz w:val="20"/>
          <w:bdr w:val="none" w:sz="0" w:space="0" w:color="auto"/>
          <w:lang w:val="en-US"/>
        </w:rPr>
        <w:t>on</w:t>
      </w:r>
      <w:r w:rsidR="00080A30">
        <w:rPr>
          <w:rFonts w:eastAsia="Times New Roman"/>
          <w:bCs/>
          <w:sz w:val="20"/>
          <w:bdr w:val="none" w:sz="0" w:space="0" w:color="auto"/>
          <w:lang w:val="en-US"/>
        </w:rPr>
        <w:t xml:space="preserve"> an</w:t>
      </w:r>
      <w:r w:rsidR="001A1A62" w:rsidRPr="004E65F9">
        <w:rPr>
          <w:rFonts w:eastAsia="Times New Roman"/>
          <w:bCs/>
          <w:sz w:val="20"/>
          <w:bdr w:val="none" w:sz="0" w:space="0" w:color="auto"/>
          <w:lang w:val="en-US"/>
        </w:rPr>
        <w:t xml:space="preserve"> objective and reasonable justification, that they further a legitimate objective, “regard being had to the principles which normally prevail in democratic societies, and that the means are reasonable and proportionate to the end sought.”</w:t>
      </w:r>
      <w:r w:rsidR="001A1A62" w:rsidRPr="00676B15">
        <w:rPr>
          <w:rStyle w:val="FootnoteReference"/>
          <w:rFonts w:eastAsia="Times New Roman"/>
          <w:bCs/>
          <w:sz w:val="20"/>
          <w:bdr w:val="none" w:sz="0" w:space="0" w:color="auto"/>
        </w:rPr>
        <w:footnoteReference w:id="93"/>
      </w:r>
      <w:r w:rsidR="007C6F9F" w:rsidRPr="004E65F9">
        <w:rPr>
          <w:rFonts w:eastAsia="Times New Roman"/>
          <w:bCs/>
          <w:sz w:val="20"/>
          <w:bdr w:val="none" w:sz="0" w:space="0" w:color="auto"/>
          <w:lang w:val="en-US"/>
        </w:rPr>
        <w:t xml:space="preserve"> </w:t>
      </w:r>
      <w:r w:rsidR="007C6F9F" w:rsidRPr="004E65F9">
        <w:rPr>
          <w:color w:val="auto"/>
          <w:sz w:val="20"/>
          <w:lang w:val="en-US"/>
        </w:rPr>
        <w:t xml:space="preserve">Further, distinctions based on grounds explicitly enumerated under pertinent articles of international human rights instruments are subject to a particularly strict level of scrutiny whereby </w:t>
      </w:r>
      <w:r w:rsidR="00080A30">
        <w:rPr>
          <w:color w:val="auto"/>
          <w:sz w:val="20"/>
          <w:lang w:val="en-US"/>
        </w:rPr>
        <w:t>S</w:t>
      </w:r>
      <w:r w:rsidR="007C6F9F" w:rsidRPr="004E65F9">
        <w:rPr>
          <w:color w:val="auto"/>
          <w:sz w:val="20"/>
          <w:lang w:val="en-US"/>
        </w:rPr>
        <w:t>tates must provide an especially weighty interest and compelling justification for the distinction.</w:t>
      </w:r>
      <w:r w:rsidR="007C6F9F">
        <w:rPr>
          <w:rStyle w:val="FootnoteReference"/>
          <w:color w:val="auto"/>
          <w:sz w:val="20"/>
          <w:lang w:val="en-US"/>
        </w:rPr>
        <w:footnoteReference w:id="94"/>
      </w:r>
      <w:r w:rsidR="007C6F9F" w:rsidRPr="004E65F9">
        <w:rPr>
          <w:color w:val="auto"/>
          <w:sz w:val="20"/>
          <w:lang w:val="en-US"/>
        </w:rPr>
        <w:t xml:space="preserve"> </w:t>
      </w:r>
      <w:r w:rsidR="001A1A62" w:rsidRPr="004E65F9">
        <w:rPr>
          <w:rFonts w:eastAsia="Times New Roman"/>
          <w:bCs/>
          <w:sz w:val="20"/>
          <w:bdr w:val="none" w:sz="0" w:space="0" w:color="auto"/>
          <w:lang w:val="en-US"/>
        </w:rPr>
        <w:t>Regard should also be given to the fact that “[O]ne of the American Declaration’s objectives . . . was to assure in principle ‘the equal protection of the law to nationals and aliens alike in respect to the rights set forth.’”</w:t>
      </w:r>
      <w:r w:rsidR="001A1A62" w:rsidRPr="00676B15">
        <w:rPr>
          <w:rFonts w:eastAsia="Times New Roman"/>
          <w:bCs/>
          <w:sz w:val="20"/>
          <w:bdr w:val="none" w:sz="0" w:space="0" w:color="auto"/>
          <w:vertAlign w:val="superscript"/>
        </w:rPr>
        <w:footnoteReference w:id="95"/>
      </w:r>
      <w:r w:rsidR="001A1A62" w:rsidRPr="004E65F9">
        <w:rPr>
          <w:rFonts w:eastAsia="Times New Roman"/>
          <w:bCs/>
          <w:sz w:val="20"/>
          <w:bdr w:val="none" w:sz="0" w:space="0" w:color="auto"/>
          <w:lang w:val="en-US"/>
        </w:rPr>
        <w:t xml:space="preserve"> </w:t>
      </w:r>
    </w:p>
    <w:p w14:paraId="13843078" w14:textId="77777777" w:rsidR="001A1A62" w:rsidRDefault="001A1A62" w:rsidP="001A1A62">
      <w:pPr>
        <w:pStyle w:val="ListParagraph"/>
        <w:rPr>
          <w:rFonts w:eastAsia="Times New Roman"/>
          <w:bCs/>
          <w:sz w:val="20"/>
          <w:bdr w:val="none" w:sz="0" w:space="0" w:color="auto"/>
        </w:rPr>
      </w:pPr>
    </w:p>
    <w:p w14:paraId="514421C4" w14:textId="77777777" w:rsidR="003C549A" w:rsidRPr="004E65F9" w:rsidRDefault="00D62AF9"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auto"/>
          <w:sz w:val="20"/>
          <w:lang w:val="en-US"/>
        </w:rPr>
      </w:pPr>
      <w:r w:rsidRPr="00D62AF9">
        <w:rPr>
          <w:color w:val="auto"/>
          <w:sz w:val="20"/>
          <w:lang w:val="en-US"/>
        </w:rPr>
        <w:t>Further, with respect to the rights to due process and to judicial protection as provided for under Article XVIII</w:t>
      </w:r>
      <w:r>
        <w:rPr>
          <w:color w:val="auto"/>
          <w:sz w:val="20"/>
          <w:lang w:val="en-US"/>
        </w:rPr>
        <w:t>,</w:t>
      </w:r>
      <w:r w:rsidRPr="00D62AF9">
        <w:rPr>
          <w:color w:val="auto"/>
          <w:sz w:val="20"/>
          <w:lang w:val="en-US"/>
        </w:rPr>
        <w:t xml:space="preserve"> </w:t>
      </w:r>
      <w:r w:rsidR="00080A30">
        <w:rPr>
          <w:color w:val="auto"/>
          <w:sz w:val="20"/>
          <w:lang w:val="en-US"/>
        </w:rPr>
        <w:t>S</w:t>
      </w:r>
      <w:r w:rsidRPr="00D62AF9">
        <w:rPr>
          <w:color w:val="auto"/>
          <w:sz w:val="20"/>
          <w:lang w:val="en-US"/>
        </w:rPr>
        <w:t>tates not only have the paramount responsibility to conduct themselves so as to ensure the free and full exercise of human rights, but also a duty under established principles of international law to provide adequate and effective remedies f</w:t>
      </w:r>
      <w:r>
        <w:rPr>
          <w:color w:val="auto"/>
          <w:sz w:val="20"/>
          <w:lang w:val="en-US"/>
        </w:rPr>
        <w:t>or any violations that do occur.</w:t>
      </w:r>
      <w:r>
        <w:rPr>
          <w:rStyle w:val="FootnoteReference"/>
          <w:color w:val="auto"/>
          <w:sz w:val="20"/>
          <w:lang w:val="en-US"/>
        </w:rPr>
        <w:footnoteReference w:id="96"/>
      </w:r>
      <w:r w:rsidR="004E65F9">
        <w:rPr>
          <w:color w:val="auto"/>
          <w:sz w:val="20"/>
          <w:lang w:val="en-US"/>
        </w:rPr>
        <w:t xml:space="preserve"> In this regard, in the inter-American </w:t>
      </w:r>
      <w:r w:rsidR="004E65F9">
        <w:rPr>
          <w:color w:val="auto"/>
          <w:sz w:val="20"/>
          <w:lang w:val="en-US"/>
        </w:rPr>
        <w:lastRenderedPageBreak/>
        <w:t xml:space="preserve">system, </w:t>
      </w:r>
      <w:r w:rsidR="003C549A" w:rsidRPr="004E65F9">
        <w:rPr>
          <w:color w:val="000000" w:themeColor="text1"/>
          <w:sz w:val="20"/>
          <w:lang w:val="en-US"/>
        </w:rPr>
        <w:t>access to justice is not only a fundamental human right but also an essential pre-requisite for the protection and promotion of all other rights.</w:t>
      </w:r>
      <w:r w:rsidR="007C27A7">
        <w:rPr>
          <w:color w:val="000000" w:themeColor="text1"/>
          <w:sz w:val="20"/>
          <w:lang w:val="en-US"/>
        </w:rPr>
        <w:t xml:space="preserve"> </w:t>
      </w:r>
      <w:r w:rsidR="003C549A" w:rsidRPr="004E65F9">
        <w:rPr>
          <w:color w:val="000000" w:themeColor="text1"/>
          <w:sz w:val="20"/>
          <w:lang w:val="en-US"/>
        </w:rPr>
        <w:t>For this reason, it is a fundamental principle that the formal existence of a remedy in law is not sufficient;</w:t>
      </w:r>
      <w:r w:rsidR="003C549A" w:rsidRPr="00D15C7C">
        <w:rPr>
          <w:rStyle w:val="FootnoteReference"/>
          <w:color w:val="000000" w:themeColor="text1"/>
          <w:sz w:val="20"/>
        </w:rPr>
        <w:footnoteReference w:id="97"/>
      </w:r>
      <w:r w:rsidR="003C549A" w:rsidRPr="004E65F9">
        <w:rPr>
          <w:color w:val="000000" w:themeColor="text1"/>
          <w:sz w:val="20"/>
          <w:lang w:val="en-US"/>
        </w:rPr>
        <w:t xml:space="preserve"> States must further ensure that </w:t>
      </w:r>
      <w:r w:rsidR="00080A30">
        <w:rPr>
          <w:color w:val="000000" w:themeColor="text1"/>
          <w:sz w:val="20"/>
          <w:lang w:val="en-US"/>
        </w:rPr>
        <w:t xml:space="preserve">legal </w:t>
      </w:r>
      <w:r w:rsidR="003C549A" w:rsidRPr="004E65F9">
        <w:rPr>
          <w:color w:val="000000" w:themeColor="text1"/>
          <w:sz w:val="20"/>
          <w:lang w:val="en-US"/>
        </w:rPr>
        <w:t>remedies are adequate and effective in practice to establish whether a human rights violation has occurred, and to provide redress.</w:t>
      </w:r>
      <w:r w:rsidR="003C549A" w:rsidRPr="00D15C7C">
        <w:rPr>
          <w:rStyle w:val="FootnoteReference"/>
          <w:color w:val="000000" w:themeColor="text1"/>
          <w:sz w:val="20"/>
        </w:rPr>
        <w:footnoteReference w:id="98"/>
      </w:r>
      <w:r w:rsidR="003C549A" w:rsidRPr="004E65F9">
        <w:rPr>
          <w:color w:val="000000" w:themeColor="text1"/>
          <w:sz w:val="20"/>
          <w:lang w:val="en-US"/>
        </w:rPr>
        <w:t xml:space="preserve"> An effective remedy is one that is capable of producing the result for which it was designed,</w:t>
      </w:r>
      <w:r w:rsidR="003C549A">
        <w:rPr>
          <w:rStyle w:val="FootnoteReference"/>
          <w:color w:val="000000" w:themeColor="text1"/>
          <w:sz w:val="20"/>
        </w:rPr>
        <w:footnoteReference w:id="99"/>
      </w:r>
      <w:r w:rsidR="003C549A" w:rsidRPr="004E65F9">
        <w:rPr>
          <w:color w:val="000000" w:themeColor="text1"/>
          <w:sz w:val="20"/>
          <w:lang w:val="en-US"/>
        </w:rPr>
        <w:t xml:space="preserve"> has a useful effect (</w:t>
      </w:r>
      <w:r w:rsidR="003C549A" w:rsidRPr="004E65F9">
        <w:rPr>
          <w:i/>
          <w:color w:val="000000" w:themeColor="text1"/>
          <w:sz w:val="20"/>
          <w:lang w:val="en-US"/>
        </w:rPr>
        <w:t>effet utile</w:t>
      </w:r>
      <w:r w:rsidR="003C549A" w:rsidRPr="004E65F9">
        <w:rPr>
          <w:color w:val="000000" w:themeColor="text1"/>
          <w:sz w:val="20"/>
          <w:lang w:val="en-US"/>
        </w:rPr>
        <w:t>), and is not illusory.</w:t>
      </w:r>
      <w:r w:rsidR="003C549A">
        <w:rPr>
          <w:rStyle w:val="FootnoteReference"/>
          <w:color w:val="000000" w:themeColor="text1"/>
          <w:sz w:val="20"/>
        </w:rPr>
        <w:footnoteReference w:id="100"/>
      </w:r>
      <w:r w:rsidR="003C549A" w:rsidRPr="004E65F9">
        <w:rPr>
          <w:color w:val="000000" w:themeColor="text1"/>
          <w:sz w:val="20"/>
          <w:lang w:val="en-US"/>
        </w:rPr>
        <w:t xml:space="preserve"> </w:t>
      </w:r>
    </w:p>
    <w:p w14:paraId="3DD0428E" w14:textId="77777777" w:rsidR="00A868AD" w:rsidRDefault="00A868AD" w:rsidP="00A868A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auto"/>
          <w:sz w:val="20"/>
          <w:lang w:val="en-US"/>
        </w:rPr>
      </w:pPr>
    </w:p>
    <w:p w14:paraId="79962011" w14:textId="77777777" w:rsidR="00FD5A99" w:rsidRPr="00624611" w:rsidRDefault="003A1E02" w:rsidP="003A1E02">
      <w:pPr>
        <w:pStyle w:val="Heading3"/>
        <w:ind w:hanging="810"/>
      </w:pPr>
      <w:bookmarkStart w:id="19" w:name="_Toc27059058"/>
      <w:r>
        <w:t>The Shibayama brothers’ exclusion from the CLA</w:t>
      </w:r>
      <w:bookmarkEnd w:id="19"/>
    </w:p>
    <w:p w14:paraId="0F592E41" w14:textId="77777777" w:rsidR="004D6618" w:rsidRPr="00624611" w:rsidRDefault="004D6618" w:rsidP="004D6618">
      <w:pPr>
        <w:rPr>
          <w:lang w:val="en-US"/>
        </w:rPr>
      </w:pPr>
    </w:p>
    <w:p w14:paraId="6B5033AD" w14:textId="77777777" w:rsidR="00FD1BB2" w:rsidRPr="00FA5E63" w:rsidRDefault="00664E14"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Pr>
          <w:color w:val="000000" w:themeColor="text1"/>
          <w:sz w:val="20"/>
          <w:lang w:val="en-US"/>
        </w:rPr>
        <w:t>The U.S.</w:t>
      </w:r>
      <w:r w:rsidR="005E4CEB">
        <w:rPr>
          <w:color w:val="000000" w:themeColor="text1"/>
          <w:sz w:val="20"/>
          <w:lang w:val="en-US"/>
        </w:rPr>
        <w:t xml:space="preserve"> Congress</w:t>
      </w:r>
      <w:r>
        <w:rPr>
          <w:color w:val="000000" w:themeColor="text1"/>
          <w:sz w:val="20"/>
          <w:lang w:val="en-US"/>
        </w:rPr>
        <w:t>, in 1988, chose to recognize and grant reparation to individuals of Japanese ancestry interned during WWII for the “fundamental injustice” of their “</w:t>
      </w:r>
      <w:r w:rsidRPr="00664E14">
        <w:rPr>
          <w:color w:val="auto"/>
          <w:sz w:val="20"/>
          <w:lang w:val="en-US"/>
        </w:rPr>
        <w:t>evacuation, relocation, and i</w:t>
      </w:r>
      <w:r>
        <w:rPr>
          <w:color w:val="auto"/>
          <w:sz w:val="20"/>
          <w:lang w:val="en-US"/>
        </w:rPr>
        <w:t xml:space="preserve">nternment” during WWII. Petitioners argued that the exclusion of the Shibayama brothers from receiving this reparation because they were not considered U.S. citizens or permanent residents at the time of their internment, violates their right to equality before the law. </w:t>
      </w:r>
      <w:r w:rsidR="006F0D8C">
        <w:rPr>
          <w:color w:val="auto"/>
          <w:sz w:val="20"/>
          <w:lang w:val="en-US"/>
        </w:rPr>
        <w:t xml:space="preserve">The </w:t>
      </w:r>
      <w:r w:rsidR="008B5FA2">
        <w:rPr>
          <w:color w:val="auto"/>
          <w:sz w:val="20"/>
          <w:lang w:val="en-US"/>
        </w:rPr>
        <w:t>State and petitioners do not dispute—and in fact jointly stipulated in domestic litigation—</w:t>
      </w:r>
      <w:r w:rsidR="006F0D8C">
        <w:rPr>
          <w:color w:val="auto"/>
          <w:sz w:val="20"/>
          <w:lang w:val="en-US"/>
        </w:rPr>
        <w:t xml:space="preserve">that the Shibayama brothers were interned by the U.S. government during WWII; the record makes clear that the only basis for their exclusion </w:t>
      </w:r>
      <w:r w:rsidR="008B5FA2" w:rsidRPr="00FA5E63">
        <w:rPr>
          <w:color w:val="auto"/>
          <w:sz w:val="20"/>
          <w:lang w:val="en-US"/>
        </w:rPr>
        <w:t xml:space="preserve">from the CLA </w:t>
      </w:r>
      <w:r w:rsidR="006F0D8C" w:rsidRPr="00FA5E63">
        <w:rPr>
          <w:color w:val="auto"/>
          <w:sz w:val="20"/>
          <w:lang w:val="en-US"/>
        </w:rPr>
        <w:t>is that their legal permanent residen</w:t>
      </w:r>
      <w:r w:rsidR="008B5FA2" w:rsidRPr="00FA5E63">
        <w:rPr>
          <w:color w:val="auto"/>
          <w:sz w:val="20"/>
          <w:lang w:val="en-US"/>
        </w:rPr>
        <w:t>t status</w:t>
      </w:r>
      <w:r w:rsidR="006F0D8C" w:rsidRPr="00FA5E63">
        <w:rPr>
          <w:color w:val="auto"/>
          <w:sz w:val="20"/>
          <w:lang w:val="en-US"/>
        </w:rPr>
        <w:t xml:space="preserve"> dates to 1956, not to their initial entry to the country in 1944. </w:t>
      </w:r>
      <w:r w:rsidR="00FD1BB2" w:rsidRPr="00FA5E63">
        <w:rPr>
          <w:color w:val="000000" w:themeColor="text1"/>
          <w:sz w:val="20"/>
          <w:lang w:val="en-US"/>
        </w:rPr>
        <w:t>The State</w:t>
      </w:r>
      <w:r w:rsidRPr="00FA5E63">
        <w:rPr>
          <w:color w:val="000000" w:themeColor="text1"/>
          <w:sz w:val="20"/>
          <w:lang w:val="en-US"/>
        </w:rPr>
        <w:t xml:space="preserve"> defended itself</w:t>
      </w:r>
      <w:r w:rsidR="006F0D8C" w:rsidRPr="00FA5E63">
        <w:rPr>
          <w:color w:val="000000" w:themeColor="text1"/>
          <w:sz w:val="20"/>
          <w:lang w:val="en-US"/>
        </w:rPr>
        <w:t xml:space="preserve"> by</w:t>
      </w:r>
      <w:r w:rsidRPr="00FA5E63">
        <w:rPr>
          <w:color w:val="000000" w:themeColor="text1"/>
          <w:sz w:val="20"/>
          <w:lang w:val="en-US"/>
        </w:rPr>
        <w:t xml:space="preserve"> </w:t>
      </w:r>
      <w:r w:rsidR="006F0D8C" w:rsidRPr="00FA5E63">
        <w:rPr>
          <w:color w:val="000000" w:themeColor="text1"/>
          <w:sz w:val="20"/>
          <w:lang w:val="en-US"/>
        </w:rPr>
        <w:t>arguing</w:t>
      </w:r>
      <w:r w:rsidRPr="00FA5E63">
        <w:rPr>
          <w:color w:val="000000" w:themeColor="text1"/>
          <w:sz w:val="20"/>
          <w:lang w:val="en-US"/>
        </w:rPr>
        <w:t xml:space="preserve"> that their exclusion from the terms of the Civil Liberties Act is legitimate because</w:t>
      </w:r>
      <w:r w:rsidR="00FD1BB2" w:rsidRPr="00FA5E63">
        <w:rPr>
          <w:color w:val="000000" w:themeColor="text1"/>
          <w:sz w:val="20"/>
          <w:lang w:val="en-US"/>
        </w:rPr>
        <w:t xml:space="preserve"> </w:t>
      </w:r>
      <w:r w:rsidRPr="00FA5E63">
        <w:rPr>
          <w:color w:val="000000" w:themeColor="text1"/>
          <w:sz w:val="20"/>
          <w:lang w:val="en-US"/>
        </w:rPr>
        <w:t>“</w:t>
      </w:r>
      <w:r w:rsidR="00FD1BB2" w:rsidRPr="00FA5E63">
        <w:rPr>
          <w:color w:val="000000" w:themeColor="text1"/>
          <w:sz w:val="20"/>
          <w:lang w:val="en-US"/>
        </w:rPr>
        <w:t>in the drafting of laws such as the [CLA] which establish eligibility for government resources and benefits</w:t>
      </w:r>
      <w:r w:rsidRPr="00FA5E63">
        <w:rPr>
          <w:color w:val="000000" w:themeColor="text1"/>
          <w:sz w:val="20"/>
          <w:lang w:val="en-US"/>
        </w:rPr>
        <w:t xml:space="preserve"> […]</w:t>
      </w:r>
      <w:r w:rsidR="00FD1BB2" w:rsidRPr="00FA5E63">
        <w:rPr>
          <w:color w:val="000000" w:themeColor="text1"/>
          <w:sz w:val="20"/>
          <w:lang w:val="en-US"/>
        </w:rPr>
        <w:t xml:space="preserve"> citizenship and legal permanent residency are legitimate factors for States to take into account when determining how to divide their limited resources.”</w:t>
      </w:r>
      <w:r w:rsidR="00FD1BB2" w:rsidRPr="00FA5E63">
        <w:rPr>
          <w:rStyle w:val="FootnoteReference"/>
          <w:color w:val="000000" w:themeColor="text1"/>
          <w:sz w:val="20"/>
          <w:lang w:val="en-US"/>
        </w:rPr>
        <w:footnoteReference w:id="101"/>
      </w:r>
    </w:p>
    <w:p w14:paraId="7EDB594C" w14:textId="77777777" w:rsidR="00664E14" w:rsidRPr="00FA5E63" w:rsidRDefault="00664E14" w:rsidP="00664E1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n-US"/>
        </w:rPr>
      </w:pPr>
    </w:p>
    <w:p w14:paraId="3FFDB6B7" w14:textId="77777777" w:rsidR="00EC7679" w:rsidRPr="00FA5E63" w:rsidRDefault="0022230B"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sidRPr="00FA5E63">
        <w:rPr>
          <w:rFonts w:asciiTheme="majorHAnsi" w:hAnsiTheme="majorHAnsi"/>
          <w:sz w:val="20"/>
          <w:lang w:val="en-US"/>
        </w:rPr>
        <w:t>The Commission observes, as a threshold issue, that the distinction at issue in this case is nationality, which is subject to a particularly strict level of scrutiny</w:t>
      </w:r>
      <w:r w:rsidR="00EC7679" w:rsidRPr="00FA5E63">
        <w:rPr>
          <w:rFonts w:asciiTheme="majorHAnsi" w:hAnsiTheme="majorHAnsi"/>
          <w:sz w:val="20"/>
          <w:lang w:val="en-US"/>
        </w:rPr>
        <w:t xml:space="preserve"> </w:t>
      </w:r>
      <w:r w:rsidR="003C3BDD" w:rsidRPr="00FA5E63">
        <w:rPr>
          <w:rFonts w:asciiTheme="majorHAnsi" w:hAnsiTheme="majorHAnsi"/>
          <w:sz w:val="20"/>
          <w:lang w:val="en-US"/>
        </w:rPr>
        <w:t>and thus triggers</w:t>
      </w:r>
      <w:r w:rsidR="00EC7679" w:rsidRPr="00FA5E63">
        <w:rPr>
          <w:rFonts w:asciiTheme="majorHAnsi" w:hAnsiTheme="majorHAnsi"/>
          <w:sz w:val="20"/>
          <w:lang w:val="en-US"/>
        </w:rPr>
        <w:t xml:space="preserve"> a “presumption of invalidity.”</w:t>
      </w:r>
      <w:r w:rsidR="00EC7679" w:rsidRPr="00FA5E63">
        <w:rPr>
          <w:rStyle w:val="FootnoteReference"/>
          <w:rFonts w:asciiTheme="majorHAnsi" w:hAnsiTheme="majorHAnsi"/>
          <w:sz w:val="20"/>
          <w:lang w:val="en-US"/>
        </w:rPr>
        <w:footnoteReference w:id="102"/>
      </w:r>
      <w:r w:rsidR="00EC7679" w:rsidRPr="00FA5E63">
        <w:rPr>
          <w:rFonts w:asciiTheme="majorHAnsi" w:hAnsiTheme="majorHAnsi"/>
          <w:sz w:val="20"/>
          <w:lang w:val="en-US"/>
        </w:rPr>
        <w:t xml:space="preserve"> In particular,</w:t>
      </w:r>
      <w:r w:rsidRPr="00FA5E63">
        <w:rPr>
          <w:rFonts w:asciiTheme="majorHAnsi" w:hAnsiTheme="majorHAnsi"/>
          <w:sz w:val="20"/>
          <w:lang w:val="en-US"/>
        </w:rPr>
        <w:t xml:space="preserve"> </w:t>
      </w:r>
      <w:r w:rsidR="00EC7679" w:rsidRPr="00FA5E63">
        <w:rPr>
          <w:rFonts w:asciiTheme="majorHAnsi" w:hAnsiTheme="majorHAnsi"/>
          <w:sz w:val="20"/>
          <w:lang w:val="en-US"/>
        </w:rPr>
        <w:t>“strict scrutiny” in the inter-American system requires</w:t>
      </w:r>
      <w:r w:rsidR="00547BA6" w:rsidRPr="00FA5E63">
        <w:rPr>
          <w:rFonts w:asciiTheme="majorHAnsi" w:hAnsiTheme="majorHAnsi"/>
          <w:sz w:val="20"/>
          <w:lang w:val="en-US"/>
        </w:rPr>
        <w:t>:</w:t>
      </w:r>
      <w:r w:rsidR="00EC7679" w:rsidRPr="00FA5E63">
        <w:rPr>
          <w:rFonts w:asciiTheme="majorHAnsi" w:hAnsiTheme="majorHAnsi"/>
          <w:sz w:val="20"/>
          <w:lang w:val="en-US"/>
        </w:rPr>
        <w:t xml:space="preserve"> 1) that the distinction be based on very compelling reasons</w:t>
      </w:r>
      <w:r w:rsidR="0007150B">
        <w:rPr>
          <w:rFonts w:asciiTheme="majorHAnsi" w:hAnsiTheme="majorHAnsi"/>
          <w:sz w:val="20"/>
          <w:lang w:val="en-US"/>
        </w:rPr>
        <w:t>, meaning that i</w:t>
      </w:r>
      <w:r w:rsidR="00EC7679" w:rsidRPr="00FA5E63">
        <w:rPr>
          <w:rFonts w:asciiTheme="majorHAnsi" w:hAnsiTheme="majorHAnsi"/>
          <w:sz w:val="20"/>
          <w:lang w:val="en-US"/>
        </w:rPr>
        <w:t>t is not sufficient for a State to argue the existence of a legitimate end; rather, the purpose served by making the distinction must be some overridin</w:t>
      </w:r>
      <w:r w:rsidR="00547BA6" w:rsidRPr="00FA5E63">
        <w:rPr>
          <w:rFonts w:asciiTheme="majorHAnsi" w:hAnsiTheme="majorHAnsi"/>
          <w:sz w:val="20"/>
          <w:lang w:val="en-US"/>
        </w:rPr>
        <w:t>g or imperative public interest;</w:t>
      </w:r>
      <w:r w:rsidR="00EC7679" w:rsidRPr="00FA5E63">
        <w:rPr>
          <w:rStyle w:val="FootnoteReference"/>
          <w:rFonts w:asciiTheme="majorHAnsi" w:hAnsiTheme="majorHAnsi"/>
          <w:sz w:val="20"/>
          <w:lang w:val="en-US"/>
        </w:rPr>
        <w:footnoteReference w:id="103"/>
      </w:r>
      <w:r w:rsidR="00EC7679" w:rsidRPr="00FA5E63">
        <w:rPr>
          <w:rFonts w:asciiTheme="majorHAnsi" w:hAnsiTheme="majorHAnsi"/>
          <w:sz w:val="20"/>
          <w:lang w:val="en-US"/>
        </w:rPr>
        <w:t xml:space="preserve"> </w:t>
      </w:r>
      <w:r w:rsidR="003C3BDD" w:rsidRPr="00FA5E63">
        <w:rPr>
          <w:rFonts w:asciiTheme="majorHAnsi" w:hAnsiTheme="majorHAnsi"/>
          <w:sz w:val="20"/>
          <w:lang w:val="en-US"/>
        </w:rPr>
        <w:t>2) t</w:t>
      </w:r>
      <w:r w:rsidR="00EC7679" w:rsidRPr="00FA5E63">
        <w:rPr>
          <w:rFonts w:asciiTheme="majorHAnsi" w:hAnsiTheme="majorHAnsi"/>
          <w:sz w:val="20"/>
          <w:lang w:val="en-US"/>
        </w:rPr>
        <w:t>here must be no other les</w:t>
      </w:r>
      <w:r w:rsidR="0007150B">
        <w:rPr>
          <w:rFonts w:asciiTheme="majorHAnsi" w:hAnsiTheme="majorHAnsi"/>
          <w:sz w:val="20"/>
          <w:lang w:val="en-US"/>
        </w:rPr>
        <w:t>s restrictive measure available</w:t>
      </w:r>
      <w:r w:rsidR="003C3BDD" w:rsidRPr="00FA5E63">
        <w:rPr>
          <w:rFonts w:asciiTheme="majorHAnsi" w:hAnsiTheme="majorHAnsi"/>
          <w:sz w:val="20"/>
          <w:lang w:val="en-US"/>
        </w:rPr>
        <w:t>,</w:t>
      </w:r>
      <w:r w:rsidR="0007150B">
        <w:rPr>
          <w:rFonts w:asciiTheme="majorHAnsi" w:hAnsiTheme="majorHAnsi"/>
          <w:sz w:val="20"/>
          <w:lang w:val="en-US"/>
        </w:rPr>
        <w:t xml:space="preserve"> meaning that</w:t>
      </w:r>
      <w:r w:rsidR="003C3BDD" w:rsidRPr="00FA5E63">
        <w:rPr>
          <w:rFonts w:asciiTheme="majorHAnsi" w:hAnsiTheme="majorHAnsi"/>
          <w:sz w:val="20"/>
          <w:lang w:val="en-US"/>
        </w:rPr>
        <w:t xml:space="preserve"> </w:t>
      </w:r>
      <w:r w:rsidR="00547BA6" w:rsidRPr="00FA5E63">
        <w:rPr>
          <w:rFonts w:asciiTheme="majorHAnsi" w:hAnsiTheme="majorHAnsi"/>
          <w:sz w:val="20"/>
          <w:lang w:val="en-US"/>
        </w:rPr>
        <w:t>it</w:t>
      </w:r>
      <w:r w:rsidR="00EC7679" w:rsidRPr="00FA5E63">
        <w:rPr>
          <w:rFonts w:asciiTheme="majorHAnsi" w:hAnsiTheme="majorHAnsi"/>
          <w:sz w:val="20"/>
          <w:lang w:val="en-US"/>
        </w:rPr>
        <w:t xml:space="preserve"> is not sufficient that the measure be suitable or that some logical </w:t>
      </w:r>
      <w:r w:rsidR="00547BA6" w:rsidRPr="00FA5E63">
        <w:rPr>
          <w:rFonts w:asciiTheme="majorHAnsi" w:hAnsiTheme="majorHAnsi"/>
          <w:sz w:val="20"/>
          <w:lang w:val="en-US"/>
        </w:rPr>
        <w:t xml:space="preserve">causal </w:t>
      </w:r>
      <w:r w:rsidR="00EC7679" w:rsidRPr="00FA5E63">
        <w:rPr>
          <w:rFonts w:asciiTheme="majorHAnsi" w:hAnsiTheme="majorHAnsi"/>
          <w:sz w:val="20"/>
          <w:lang w:val="en-US"/>
        </w:rPr>
        <w:t>relationship exists between the measure and the end being sought</w:t>
      </w:r>
      <w:r w:rsidR="00547BA6" w:rsidRPr="00FA5E63">
        <w:rPr>
          <w:rFonts w:asciiTheme="majorHAnsi" w:hAnsiTheme="majorHAnsi"/>
          <w:sz w:val="20"/>
          <w:lang w:val="en-US"/>
        </w:rPr>
        <w:t>;</w:t>
      </w:r>
      <w:r w:rsidR="00547BA6" w:rsidRPr="00FA5E63">
        <w:rPr>
          <w:rStyle w:val="FootnoteReference"/>
          <w:rFonts w:asciiTheme="majorHAnsi" w:hAnsiTheme="majorHAnsi"/>
          <w:sz w:val="20"/>
          <w:lang w:val="en-US"/>
        </w:rPr>
        <w:footnoteReference w:id="104"/>
      </w:r>
      <w:r w:rsidR="00EC7679" w:rsidRPr="00FA5E63">
        <w:rPr>
          <w:rFonts w:asciiTheme="majorHAnsi" w:hAnsiTheme="majorHAnsi"/>
          <w:sz w:val="20"/>
          <w:lang w:val="en-US"/>
        </w:rPr>
        <w:t xml:space="preserve"> 3) </w:t>
      </w:r>
      <w:r w:rsidR="00547BA6" w:rsidRPr="00FA5E63">
        <w:rPr>
          <w:rFonts w:asciiTheme="majorHAnsi" w:hAnsiTheme="majorHAnsi"/>
          <w:sz w:val="20"/>
          <w:lang w:val="en-US"/>
        </w:rPr>
        <w:t>i</w:t>
      </w:r>
      <w:r w:rsidR="00EC7679" w:rsidRPr="00FA5E63">
        <w:rPr>
          <w:rFonts w:asciiTheme="majorHAnsi" w:hAnsiTheme="majorHAnsi"/>
          <w:sz w:val="20"/>
          <w:lang w:val="en-US"/>
        </w:rPr>
        <w:t>t must be strictly proportional, meaning that the State must be able to show that a proper balance of interests has been struck between what has been sacrific</w:t>
      </w:r>
      <w:r w:rsidR="00547BA6" w:rsidRPr="00FA5E63">
        <w:rPr>
          <w:rFonts w:asciiTheme="majorHAnsi" w:hAnsiTheme="majorHAnsi"/>
          <w:sz w:val="20"/>
          <w:lang w:val="en-US"/>
        </w:rPr>
        <w:t>ed and what has been gained</w:t>
      </w:r>
      <w:r w:rsidR="00EC7679" w:rsidRPr="00FA5E63">
        <w:rPr>
          <w:rFonts w:asciiTheme="majorHAnsi" w:hAnsiTheme="majorHAnsi"/>
          <w:sz w:val="20"/>
          <w:lang w:val="en-US"/>
        </w:rPr>
        <w:t>;</w:t>
      </w:r>
      <w:r w:rsidR="00547BA6" w:rsidRPr="00FA5E63">
        <w:rPr>
          <w:rStyle w:val="FootnoteReference"/>
          <w:rFonts w:asciiTheme="majorHAnsi" w:hAnsiTheme="majorHAnsi"/>
          <w:sz w:val="20"/>
          <w:lang w:val="en-US"/>
        </w:rPr>
        <w:footnoteReference w:id="105"/>
      </w:r>
      <w:r w:rsidR="00EC7679" w:rsidRPr="00FA5E63">
        <w:rPr>
          <w:rFonts w:asciiTheme="majorHAnsi" w:hAnsiTheme="majorHAnsi"/>
          <w:sz w:val="20"/>
          <w:lang w:val="en-US"/>
        </w:rPr>
        <w:t xml:space="preserve"> and 4) the burden of proof to demonstrate these elements rests with the State.</w:t>
      </w:r>
      <w:r w:rsidR="00547BA6" w:rsidRPr="00FA5E63">
        <w:rPr>
          <w:rStyle w:val="FootnoteReference"/>
          <w:rFonts w:asciiTheme="majorHAnsi" w:hAnsiTheme="majorHAnsi"/>
          <w:sz w:val="20"/>
          <w:lang w:val="en-US"/>
        </w:rPr>
        <w:footnoteReference w:id="106"/>
      </w:r>
      <w:r w:rsidR="00EC7679" w:rsidRPr="00FA5E63">
        <w:rPr>
          <w:rFonts w:asciiTheme="majorHAnsi" w:hAnsiTheme="majorHAnsi"/>
          <w:sz w:val="20"/>
          <w:lang w:val="en-US"/>
        </w:rPr>
        <w:t xml:space="preserve"> The purpose of applying strict scrutiny </w:t>
      </w:r>
      <w:r w:rsidR="00EC7679" w:rsidRPr="00FA5E63">
        <w:rPr>
          <w:rFonts w:asciiTheme="majorHAnsi" w:hAnsiTheme="majorHAnsi"/>
          <w:sz w:val="20"/>
          <w:lang w:val="en-US"/>
        </w:rPr>
        <w:lastRenderedPageBreak/>
        <w:t>is to guarantee that the distinction is not based on the prejudices and/or stereotypes that generally surround suspect categories of distinction.</w:t>
      </w:r>
      <w:r w:rsidR="00EC7679" w:rsidRPr="00FA5E63">
        <w:rPr>
          <w:rStyle w:val="FootnoteReference"/>
          <w:rFonts w:asciiTheme="majorHAnsi" w:hAnsiTheme="majorHAnsi"/>
          <w:sz w:val="20"/>
          <w:lang w:val="en-US"/>
        </w:rPr>
        <w:footnoteReference w:id="107"/>
      </w:r>
      <w:r w:rsidR="00EC7679" w:rsidRPr="00FA5E63">
        <w:rPr>
          <w:rFonts w:asciiTheme="majorHAnsi" w:hAnsiTheme="majorHAnsi"/>
          <w:sz w:val="20"/>
          <w:lang w:val="en-US"/>
        </w:rPr>
        <w:t xml:space="preserve"> </w:t>
      </w:r>
    </w:p>
    <w:p w14:paraId="035758EF" w14:textId="77777777" w:rsidR="00D714AC" w:rsidRPr="00FA5E63" w:rsidRDefault="00D714AC" w:rsidP="00D714AC">
      <w:pPr>
        <w:pStyle w:val="ListParagraph"/>
        <w:rPr>
          <w:rFonts w:asciiTheme="majorHAnsi" w:hAnsiTheme="majorHAnsi"/>
          <w:sz w:val="20"/>
        </w:rPr>
      </w:pPr>
    </w:p>
    <w:p w14:paraId="48FB831E" w14:textId="77777777" w:rsidR="00581016" w:rsidRPr="00FA5E63" w:rsidRDefault="00547BA6"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sidRPr="00FA5E63">
        <w:rPr>
          <w:rFonts w:asciiTheme="majorHAnsi" w:hAnsiTheme="majorHAnsi"/>
          <w:sz w:val="20"/>
          <w:lang w:val="en-US"/>
        </w:rPr>
        <w:t>The Commission finds that the exclusion of the Shibayama brothers from receiving reparation under the CLA constitutes a clear violation of their right to equality before the law</w:t>
      </w:r>
      <w:r w:rsidR="003C3BDD" w:rsidRPr="00FA5E63">
        <w:rPr>
          <w:rFonts w:asciiTheme="majorHAnsi" w:hAnsiTheme="majorHAnsi"/>
          <w:sz w:val="20"/>
          <w:lang w:val="en-US"/>
        </w:rPr>
        <w:t>, as the State has not met its burden of demonstrating its compelling interest</w:t>
      </w:r>
      <w:r w:rsidR="0084481C" w:rsidRPr="00FA5E63">
        <w:rPr>
          <w:rFonts w:asciiTheme="majorHAnsi" w:hAnsiTheme="majorHAnsi"/>
          <w:sz w:val="20"/>
          <w:lang w:val="en-US"/>
        </w:rPr>
        <w:t xml:space="preserve"> in making the distinction</w:t>
      </w:r>
      <w:r w:rsidR="003C3BDD" w:rsidRPr="00FA5E63">
        <w:rPr>
          <w:rFonts w:asciiTheme="majorHAnsi" w:hAnsiTheme="majorHAnsi"/>
          <w:sz w:val="20"/>
          <w:lang w:val="en-US"/>
        </w:rPr>
        <w:t>, the lack of less restrictive alternatives, and strict proportionality</w:t>
      </w:r>
      <w:r w:rsidR="0084481C" w:rsidRPr="00FA5E63">
        <w:rPr>
          <w:rFonts w:asciiTheme="majorHAnsi" w:hAnsiTheme="majorHAnsi"/>
          <w:sz w:val="20"/>
          <w:lang w:val="en-US"/>
        </w:rPr>
        <w:t xml:space="preserve"> of the measure</w:t>
      </w:r>
      <w:r w:rsidRPr="00FA5E63">
        <w:rPr>
          <w:rFonts w:asciiTheme="majorHAnsi" w:hAnsiTheme="majorHAnsi"/>
          <w:sz w:val="20"/>
          <w:lang w:val="en-US"/>
        </w:rPr>
        <w:t xml:space="preserve">. </w:t>
      </w:r>
      <w:r w:rsidR="0022230B" w:rsidRPr="00FA5E63">
        <w:rPr>
          <w:rFonts w:asciiTheme="majorHAnsi" w:hAnsiTheme="majorHAnsi"/>
          <w:sz w:val="20"/>
          <w:lang w:val="en-US"/>
        </w:rPr>
        <w:t xml:space="preserve">The Commission considers </w:t>
      </w:r>
      <w:r w:rsidR="00581016" w:rsidRPr="00FA5E63">
        <w:rPr>
          <w:rFonts w:asciiTheme="majorHAnsi" w:hAnsiTheme="majorHAnsi"/>
          <w:sz w:val="20"/>
          <w:lang w:val="en-US"/>
        </w:rPr>
        <w:t>that, given the State’s recognition of the “fundamental injustice” of internment and the need to compensate and apologize to the people who suffered that regime, it is unreasonable</w:t>
      </w:r>
      <w:r w:rsidR="0084481C" w:rsidRPr="00FA5E63">
        <w:rPr>
          <w:rFonts w:asciiTheme="majorHAnsi" w:hAnsiTheme="majorHAnsi"/>
          <w:sz w:val="20"/>
          <w:lang w:val="en-US"/>
        </w:rPr>
        <w:t xml:space="preserve"> and clearly disproportionate</w:t>
      </w:r>
      <w:r w:rsidR="00581016" w:rsidRPr="00FA5E63">
        <w:rPr>
          <w:rFonts w:asciiTheme="majorHAnsi" w:hAnsiTheme="majorHAnsi"/>
          <w:sz w:val="20"/>
          <w:lang w:val="en-US"/>
        </w:rPr>
        <w:t xml:space="preserve"> to distinguish eligibility for compensation based on nationality, which is a factor that bears no rational relationship to the nature or form of suffering caused by internment to the people subjected to it. </w:t>
      </w:r>
      <w:r w:rsidR="003C3BDD" w:rsidRPr="00FA5E63">
        <w:rPr>
          <w:rFonts w:asciiTheme="majorHAnsi" w:hAnsiTheme="majorHAnsi"/>
          <w:sz w:val="20"/>
          <w:lang w:val="en-US"/>
        </w:rPr>
        <w:t>Moreover, the State’s stated interest in limiting its economic liability to individuals who at the time of their internment were not citizens or permanent residents is not compelling</w:t>
      </w:r>
      <w:r w:rsidR="0084481C" w:rsidRPr="00FA5E63">
        <w:rPr>
          <w:rFonts w:asciiTheme="majorHAnsi" w:hAnsiTheme="majorHAnsi"/>
          <w:sz w:val="20"/>
          <w:lang w:val="en-US"/>
        </w:rPr>
        <w:t xml:space="preserve"> in the sense of representing an “overriding public interest</w:t>
      </w:r>
      <w:r w:rsidR="003C3BDD" w:rsidRPr="00FA5E63">
        <w:rPr>
          <w:rFonts w:asciiTheme="majorHAnsi" w:hAnsiTheme="majorHAnsi"/>
          <w:sz w:val="20"/>
          <w:lang w:val="en-US"/>
        </w:rPr>
        <w:t>:</w:t>
      </w:r>
      <w:r w:rsidR="0084481C" w:rsidRPr="00FA5E63">
        <w:rPr>
          <w:rFonts w:asciiTheme="majorHAnsi" w:hAnsiTheme="majorHAnsi"/>
          <w:sz w:val="20"/>
          <w:lang w:val="en-US"/>
        </w:rPr>
        <w:t>”</w:t>
      </w:r>
      <w:r w:rsidR="003C3BDD" w:rsidRPr="00FA5E63">
        <w:rPr>
          <w:rFonts w:asciiTheme="majorHAnsi" w:hAnsiTheme="majorHAnsi"/>
          <w:sz w:val="20"/>
          <w:lang w:val="en-US"/>
        </w:rPr>
        <w:t xml:space="preserve"> the relatively low amount of compensation </w:t>
      </w:r>
      <w:r w:rsidR="00913041" w:rsidRPr="00FA5E63">
        <w:rPr>
          <w:rFonts w:asciiTheme="majorHAnsi" w:hAnsiTheme="majorHAnsi"/>
          <w:sz w:val="20"/>
          <w:lang w:val="en-US"/>
        </w:rPr>
        <w:t xml:space="preserve">($20,000) </w:t>
      </w:r>
      <w:r w:rsidR="003C3BDD" w:rsidRPr="00FA5E63">
        <w:rPr>
          <w:rFonts w:asciiTheme="majorHAnsi" w:hAnsiTheme="majorHAnsi"/>
          <w:sz w:val="20"/>
          <w:lang w:val="en-US"/>
        </w:rPr>
        <w:t xml:space="preserve">relative to the State’s available resources, and the extremely small number of potential beneficiaries </w:t>
      </w:r>
      <w:r w:rsidR="0084481C" w:rsidRPr="00FA5E63">
        <w:rPr>
          <w:rFonts w:asciiTheme="majorHAnsi" w:hAnsiTheme="majorHAnsi"/>
          <w:sz w:val="20"/>
          <w:lang w:val="en-US"/>
        </w:rPr>
        <w:t xml:space="preserve">affected by the nationality-based restriction, in comparison with the </w:t>
      </w:r>
      <w:r w:rsidR="00913041" w:rsidRPr="00FA5E63">
        <w:rPr>
          <w:rFonts w:asciiTheme="majorHAnsi" w:hAnsiTheme="majorHAnsi"/>
          <w:sz w:val="20"/>
          <w:lang w:val="en-US"/>
        </w:rPr>
        <w:t>approximately 82,000</w:t>
      </w:r>
      <w:r w:rsidR="0084481C" w:rsidRPr="00FA5E63">
        <w:rPr>
          <w:rFonts w:asciiTheme="majorHAnsi" w:hAnsiTheme="majorHAnsi"/>
          <w:sz w:val="20"/>
          <w:lang w:val="en-US"/>
        </w:rPr>
        <w:t xml:space="preserve"> beneficiaries </w:t>
      </w:r>
      <w:r w:rsidR="00913041" w:rsidRPr="00FA5E63">
        <w:rPr>
          <w:rFonts w:asciiTheme="majorHAnsi" w:hAnsiTheme="majorHAnsi"/>
          <w:sz w:val="20"/>
          <w:lang w:val="en-US"/>
        </w:rPr>
        <w:t xml:space="preserve">ultimately </w:t>
      </w:r>
      <w:r w:rsidR="0084481C" w:rsidRPr="00FA5E63">
        <w:rPr>
          <w:rFonts w:asciiTheme="majorHAnsi" w:hAnsiTheme="majorHAnsi"/>
          <w:sz w:val="20"/>
          <w:lang w:val="en-US"/>
        </w:rPr>
        <w:t>compensated under the law</w:t>
      </w:r>
      <w:r w:rsidR="00913041" w:rsidRPr="00FA5E63">
        <w:rPr>
          <w:rFonts w:asciiTheme="majorHAnsi" w:hAnsiTheme="majorHAnsi"/>
          <w:sz w:val="20"/>
          <w:lang w:val="en-US"/>
        </w:rPr>
        <w:t>—including 189 Japanese Latin Americans who acquired retroactive permanent residency—</w:t>
      </w:r>
      <w:r w:rsidR="0084481C" w:rsidRPr="00FA5E63">
        <w:rPr>
          <w:rFonts w:asciiTheme="majorHAnsi" w:hAnsiTheme="majorHAnsi"/>
          <w:sz w:val="20"/>
          <w:lang w:val="en-US"/>
        </w:rPr>
        <w:t xml:space="preserve">makes plain that </w:t>
      </w:r>
      <w:r w:rsidR="00913041" w:rsidRPr="00FA5E63">
        <w:rPr>
          <w:rFonts w:asciiTheme="majorHAnsi" w:hAnsiTheme="majorHAnsi"/>
          <w:sz w:val="20"/>
          <w:lang w:val="en-US"/>
        </w:rPr>
        <w:t xml:space="preserve">alleged </w:t>
      </w:r>
      <w:r w:rsidR="0084481C" w:rsidRPr="00FA5E63">
        <w:rPr>
          <w:rFonts w:asciiTheme="majorHAnsi" w:hAnsiTheme="majorHAnsi"/>
          <w:sz w:val="20"/>
          <w:lang w:val="en-US"/>
        </w:rPr>
        <w:t>fiscal concerns cannot justify the State’s failur</w:t>
      </w:r>
      <w:r w:rsidR="00913041" w:rsidRPr="00FA5E63">
        <w:rPr>
          <w:rFonts w:asciiTheme="majorHAnsi" w:hAnsiTheme="majorHAnsi"/>
          <w:sz w:val="20"/>
          <w:lang w:val="en-US"/>
        </w:rPr>
        <w:t>e to compensate individuals who suffered under the same regime. Given these considerations, the Commission will not analyze the remaining factors.</w:t>
      </w:r>
    </w:p>
    <w:p w14:paraId="73E1FBDF" w14:textId="77777777" w:rsidR="00581016" w:rsidRPr="00FA5E63" w:rsidRDefault="00581016" w:rsidP="00581016">
      <w:pPr>
        <w:pStyle w:val="ListParagraph"/>
        <w:rPr>
          <w:rFonts w:asciiTheme="majorHAnsi" w:hAnsiTheme="majorHAnsi"/>
          <w:sz w:val="20"/>
        </w:rPr>
      </w:pPr>
    </w:p>
    <w:p w14:paraId="3F88A262" w14:textId="77777777" w:rsidR="00721C51" w:rsidRPr="00FA5E63" w:rsidRDefault="00581016"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B050"/>
          <w:sz w:val="20"/>
          <w:lang w:val="en-US"/>
        </w:rPr>
      </w:pPr>
      <w:r w:rsidRPr="00FA5E63">
        <w:rPr>
          <w:rFonts w:asciiTheme="majorHAnsi" w:hAnsiTheme="majorHAnsi"/>
          <w:sz w:val="20"/>
          <w:lang w:val="en-US"/>
        </w:rPr>
        <w:t xml:space="preserve">The Commission further observes the fundamental inequity of refusal to compensate individuals whose immigration status was irregular at the time of their internment due to the State’s own failure to regularize them, </w:t>
      </w:r>
      <w:r w:rsidRPr="00FA5E63">
        <w:rPr>
          <w:rFonts w:asciiTheme="majorHAnsi" w:hAnsiTheme="majorHAnsi"/>
          <w:color w:val="auto"/>
          <w:sz w:val="20"/>
          <w:lang w:val="en-US"/>
        </w:rPr>
        <w:t>which underlines the unreasonableness of later excluding the petitioners from receiving reparation. The Commission notes that it is not in controversy that in 1944, the</w:t>
      </w:r>
      <w:r w:rsidR="0022230B" w:rsidRPr="00FA5E63">
        <w:rPr>
          <w:rFonts w:asciiTheme="majorHAnsi" w:hAnsiTheme="majorHAnsi"/>
          <w:color w:val="auto"/>
          <w:sz w:val="20"/>
          <w:lang w:val="en-US"/>
        </w:rPr>
        <w:t xml:space="preserve"> U.S. arrested, transported,</w:t>
      </w:r>
      <w:r w:rsidR="00CF1970" w:rsidRPr="00FA5E63">
        <w:rPr>
          <w:rFonts w:asciiTheme="majorHAnsi" w:hAnsiTheme="majorHAnsi"/>
          <w:color w:val="auto"/>
          <w:sz w:val="20"/>
          <w:lang w:val="en-US"/>
        </w:rPr>
        <w:t xml:space="preserve"> and</w:t>
      </w:r>
      <w:r w:rsidR="0022230B" w:rsidRPr="00FA5E63">
        <w:rPr>
          <w:rFonts w:asciiTheme="majorHAnsi" w:hAnsiTheme="majorHAnsi"/>
          <w:color w:val="auto"/>
          <w:sz w:val="20"/>
          <w:lang w:val="en-US"/>
        </w:rPr>
        <w:t xml:space="preserve"> enter</w:t>
      </w:r>
      <w:r w:rsidR="00CF1970" w:rsidRPr="00FA5E63">
        <w:rPr>
          <w:rFonts w:asciiTheme="majorHAnsi" w:hAnsiTheme="majorHAnsi"/>
          <w:color w:val="auto"/>
          <w:sz w:val="20"/>
          <w:lang w:val="en-US"/>
        </w:rPr>
        <w:t xml:space="preserve">ed the Shibayamas into the U.S., then </w:t>
      </w:r>
      <w:r w:rsidR="0022230B" w:rsidRPr="00FA5E63">
        <w:rPr>
          <w:rFonts w:asciiTheme="majorHAnsi" w:hAnsiTheme="majorHAnsi"/>
          <w:color w:val="auto"/>
          <w:sz w:val="20"/>
          <w:lang w:val="en-US"/>
        </w:rPr>
        <w:t xml:space="preserve">detained them against their will. </w:t>
      </w:r>
      <w:r w:rsidRPr="00FA5E63">
        <w:rPr>
          <w:rFonts w:asciiTheme="majorHAnsi" w:hAnsiTheme="majorHAnsi"/>
          <w:color w:val="auto"/>
          <w:sz w:val="20"/>
          <w:lang w:val="en-US"/>
        </w:rPr>
        <w:t>Following this period, t</w:t>
      </w:r>
      <w:r w:rsidR="0022230B" w:rsidRPr="00FA5E63">
        <w:rPr>
          <w:rFonts w:asciiTheme="majorHAnsi" w:hAnsiTheme="majorHAnsi"/>
          <w:color w:val="auto"/>
          <w:sz w:val="20"/>
          <w:lang w:val="en-US"/>
        </w:rPr>
        <w:t>he Commission notes that the Shibayamas, like many of the approximately 300 Japanese Latin Americans who remained in the U.S. following WWII, fell into a sort of legal no-man’s-land,</w:t>
      </w:r>
      <w:r w:rsidRPr="00FA5E63">
        <w:rPr>
          <w:rFonts w:asciiTheme="majorHAnsi" w:hAnsiTheme="majorHAnsi"/>
          <w:color w:val="auto"/>
          <w:sz w:val="20"/>
          <w:lang w:val="en-US"/>
        </w:rPr>
        <w:t xml:space="preserve"> as their situation—having been brought into the U.S. by the U.S. government, yet not being “lawfully admitted” within the meaning of the immigration laws—was not foreseen in the existing legal framework. Given this unusual situation,</w:t>
      </w:r>
      <w:r w:rsidR="0022230B" w:rsidRPr="00FA5E63">
        <w:rPr>
          <w:rFonts w:asciiTheme="majorHAnsi" w:hAnsiTheme="majorHAnsi"/>
          <w:color w:val="auto"/>
          <w:sz w:val="20"/>
          <w:lang w:val="en-US"/>
        </w:rPr>
        <w:t xml:space="preserve"> INS officials then attempted to </w:t>
      </w:r>
      <w:r w:rsidR="00B32067" w:rsidRPr="00FA5E63">
        <w:rPr>
          <w:rFonts w:asciiTheme="majorHAnsi" w:hAnsiTheme="majorHAnsi"/>
          <w:color w:val="auto"/>
          <w:sz w:val="20"/>
          <w:lang w:val="en-US"/>
        </w:rPr>
        <w:t>resolve their immigration status</w:t>
      </w:r>
      <w:r w:rsidR="0022230B" w:rsidRPr="00FA5E63">
        <w:rPr>
          <w:rFonts w:asciiTheme="majorHAnsi" w:hAnsiTheme="majorHAnsi"/>
          <w:color w:val="auto"/>
          <w:sz w:val="20"/>
          <w:lang w:val="en-US"/>
        </w:rPr>
        <w:t xml:space="preserve"> using </w:t>
      </w:r>
      <w:r w:rsidRPr="00FA5E63">
        <w:rPr>
          <w:rFonts w:asciiTheme="majorHAnsi" w:hAnsiTheme="majorHAnsi"/>
          <w:color w:val="auto"/>
          <w:sz w:val="20"/>
          <w:lang w:val="en-US"/>
        </w:rPr>
        <w:t>then-existing immigration laws, given</w:t>
      </w:r>
      <w:r w:rsidR="0022230B" w:rsidRPr="00FA5E63">
        <w:rPr>
          <w:rFonts w:asciiTheme="majorHAnsi" w:hAnsiTheme="majorHAnsi"/>
          <w:color w:val="auto"/>
          <w:sz w:val="20"/>
          <w:lang w:val="en-US"/>
        </w:rPr>
        <w:t xml:space="preserve"> </w:t>
      </w:r>
      <w:r w:rsidRPr="00FA5E63">
        <w:rPr>
          <w:rFonts w:asciiTheme="majorHAnsi" w:hAnsiTheme="majorHAnsi"/>
          <w:color w:val="auto"/>
          <w:sz w:val="20"/>
          <w:lang w:val="en-US"/>
        </w:rPr>
        <w:t>the</w:t>
      </w:r>
      <w:r w:rsidR="0022230B" w:rsidRPr="00FA5E63">
        <w:rPr>
          <w:rFonts w:asciiTheme="majorHAnsi" w:hAnsiTheme="majorHAnsi"/>
          <w:color w:val="auto"/>
          <w:sz w:val="20"/>
          <w:lang w:val="en-US"/>
        </w:rPr>
        <w:t xml:space="preserve"> lack of a tailored response from the Congress or Executive to regularize the Japanese Latin Americans’ status in a rational manner</w:t>
      </w:r>
      <w:r w:rsidR="00B32067" w:rsidRPr="00FA5E63">
        <w:rPr>
          <w:rFonts w:asciiTheme="majorHAnsi" w:hAnsiTheme="majorHAnsi"/>
          <w:color w:val="auto"/>
          <w:sz w:val="20"/>
          <w:lang w:val="en-US"/>
        </w:rPr>
        <w:t>. This, in turn,</w:t>
      </w:r>
      <w:r w:rsidR="0022230B" w:rsidRPr="00FA5E63">
        <w:rPr>
          <w:rFonts w:asciiTheme="majorHAnsi" w:hAnsiTheme="majorHAnsi"/>
          <w:color w:val="auto"/>
          <w:sz w:val="20"/>
          <w:lang w:val="en-US"/>
        </w:rPr>
        <w:t xml:space="preserve"> led to wild inequalities in the way that reparation was later disbursed under the CLA—according to which the brothers’ mother and sister were able to receive reparation, because they received retroactive</w:t>
      </w:r>
      <w:r w:rsidR="00CF1970" w:rsidRPr="00FA5E63">
        <w:rPr>
          <w:rFonts w:asciiTheme="majorHAnsi" w:hAnsiTheme="majorHAnsi"/>
          <w:color w:val="auto"/>
          <w:sz w:val="20"/>
          <w:lang w:val="en-US"/>
        </w:rPr>
        <w:t xml:space="preserve"> lawful</w:t>
      </w:r>
      <w:r w:rsidR="0022230B" w:rsidRPr="00FA5E63">
        <w:rPr>
          <w:rFonts w:asciiTheme="majorHAnsi" w:hAnsiTheme="majorHAnsi"/>
          <w:color w:val="auto"/>
          <w:sz w:val="20"/>
          <w:lang w:val="en-US"/>
        </w:rPr>
        <w:t xml:space="preserve"> status, but the brothers, having regularized their status via “voluntary departure and preexamination,” were unable to. The failure of the State to </w:t>
      </w:r>
      <w:r w:rsidR="00721C51" w:rsidRPr="00FA5E63">
        <w:rPr>
          <w:rFonts w:asciiTheme="majorHAnsi" w:hAnsiTheme="majorHAnsi"/>
          <w:color w:val="auto"/>
          <w:sz w:val="20"/>
          <w:lang w:val="en-US"/>
        </w:rPr>
        <w:t>take an equitable approach to the situation of the Japanese Latin Americans</w:t>
      </w:r>
      <w:r w:rsidR="00B32067" w:rsidRPr="00FA5E63">
        <w:rPr>
          <w:rFonts w:asciiTheme="majorHAnsi" w:hAnsiTheme="majorHAnsi"/>
          <w:color w:val="auto"/>
          <w:sz w:val="20"/>
          <w:lang w:val="en-US"/>
        </w:rPr>
        <w:t xml:space="preserve"> after the war</w:t>
      </w:r>
      <w:r w:rsidR="00721C51" w:rsidRPr="00FA5E63">
        <w:rPr>
          <w:rFonts w:asciiTheme="majorHAnsi" w:hAnsiTheme="majorHAnsi"/>
          <w:color w:val="auto"/>
          <w:sz w:val="20"/>
          <w:lang w:val="en-US"/>
        </w:rPr>
        <w:t>, too, was a root cause of this later inequality</w:t>
      </w:r>
      <w:r w:rsidR="00B32067" w:rsidRPr="00FA5E63">
        <w:rPr>
          <w:rFonts w:asciiTheme="majorHAnsi" w:hAnsiTheme="majorHAnsi"/>
          <w:color w:val="auto"/>
          <w:sz w:val="20"/>
          <w:lang w:val="en-US"/>
        </w:rPr>
        <w:t xml:space="preserve"> in the distribution of reparations under the CLA</w:t>
      </w:r>
      <w:r w:rsidR="00721C51" w:rsidRPr="00FA5E63">
        <w:rPr>
          <w:rFonts w:asciiTheme="majorHAnsi" w:hAnsiTheme="majorHAnsi"/>
          <w:color w:val="auto"/>
          <w:sz w:val="20"/>
          <w:lang w:val="en-US"/>
        </w:rPr>
        <w:t>.</w:t>
      </w:r>
      <w:r w:rsidR="0022230B" w:rsidRPr="00FA5E63">
        <w:rPr>
          <w:rFonts w:asciiTheme="majorHAnsi" w:hAnsiTheme="majorHAnsi"/>
          <w:color w:val="auto"/>
          <w:sz w:val="20"/>
          <w:lang w:val="en-US"/>
        </w:rPr>
        <w:t xml:space="preserve"> </w:t>
      </w:r>
    </w:p>
    <w:p w14:paraId="77CA538D" w14:textId="77777777" w:rsidR="00E35F22" w:rsidRPr="00FA5E63" w:rsidRDefault="00E35F22" w:rsidP="00E35F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B050"/>
          <w:sz w:val="20"/>
          <w:lang w:val="en-US"/>
        </w:rPr>
      </w:pPr>
    </w:p>
    <w:p w14:paraId="27F45324" w14:textId="77777777" w:rsidR="00E35F22" w:rsidRPr="00FA5E63" w:rsidRDefault="00E35F22"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n-US"/>
        </w:rPr>
      </w:pPr>
      <w:r w:rsidRPr="00FA5E63">
        <w:rPr>
          <w:rFonts w:asciiTheme="majorHAnsi" w:hAnsiTheme="majorHAnsi"/>
          <w:color w:val="auto"/>
          <w:sz w:val="20"/>
          <w:lang w:val="en-US"/>
        </w:rPr>
        <w:t xml:space="preserve">Finally, and in line with the above analysis, the Commission finds that the legal decisions that the Shibayama brothers received from the Office of Reparations Administration, and later from the federal courts, likewise constituted violations of their right to equality before the law, in connection with the right to an effective remedy, because these decisions </w:t>
      </w:r>
      <w:r w:rsidR="0007150B">
        <w:rPr>
          <w:rFonts w:asciiTheme="majorHAnsi" w:hAnsiTheme="majorHAnsi"/>
          <w:color w:val="auto"/>
          <w:sz w:val="20"/>
          <w:lang w:val="en-US"/>
        </w:rPr>
        <w:t>declared the validity of</w:t>
      </w:r>
      <w:r w:rsidRPr="00FA5E63">
        <w:rPr>
          <w:rFonts w:asciiTheme="majorHAnsi" w:hAnsiTheme="majorHAnsi"/>
          <w:color w:val="auto"/>
          <w:sz w:val="20"/>
          <w:lang w:val="en-US"/>
        </w:rPr>
        <w:t xml:space="preserve"> and applied this discriminatory law that violated the petitioners’ right to equality. </w:t>
      </w:r>
    </w:p>
    <w:p w14:paraId="63265CED" w14:textId="77777777" w:rsidR="00721C51" w:rsidRPr="00FA5E63" w:rsidRDefault="00721C51" w:rsidP="00721C5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n-US"/>
        </w:rPr>
      </w:pPr>
    </w:p>
    <w:p w14:paraId="51C7C990" w14:textId="77777777" w:rsidR="003A1E02" w:rsidRPr="00FA5E63" w:rsidRDefault="003A1E02" w:rsidP="003A1E02">
      <w:pPr>
        <w:pStyle w:val="Heading3"/>
        <w:ind w:hanging="810"/>
      </w:pPr>
      <w:bookmarkStart w:id="20" w:name="_Toc27059059"/>
      <w:r w:rsidRPr="00FA5E63">
        <w:t>The Shibayama brothers’ remaining claims for reparation</w:t>
      </w:r>
      <w:bookmarkEnd w:id="20"/>
    </w:p>
    <w:p w14:paraId="788C6E81" w14:textId="77777777" w:rsidR="003A1E02" w:rsidRPr="00FA5E63" w:rsidRDefault="003A1E02" w:rsidP="006F0D8C">
      <w:pPr>
        <w:pStyle w:val="ListParagraph"/>
        <w:rPr>
          <w:rFonts w:asciiTheme="majorHAnsi" w:hAnsiTheme="majorHAnsi"/>
          <w:sz w:val="20"/>
        </w:rPr>
      </w:pPr>
    </w:p>
    <w:p w14:paraId="3E7838DC" w14:textId="77777777" w:rsidR="00796B30" w:rsidRDefault="003A1E02"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sidRPr="00FA5E63">
        <w:rPr>
          <w:rFonts w:asciiTheme="majorHAnsi" w:hAnsiTheme="majorHAnsi"/>
          <w:sz w:val="20"/>
          <w:lang w:val="en-US"/>
        </w:rPr>
        <w:t>T</w:t>
      </w:r>
      <w:r w:rsidR="006F0D8C" w:rsidRPr="00FA5E63">
        <w:rPr>
          <w:rFonts w:asciiTheme="majorHAnsi" w:hAnsiTheme="majorHAnsi"/>
          <w:sz w:val="20"/>
          <w:lang w:val="en-US"/>
        </w:rPr>
        <w:t xml:space="preserve">he Shibayama brothers have </w:t>
      </w:r>
      <w:r w:rsidRPr="00FA5E63">
        <w:rPr>
          <w:rFonts w:asciiTheme="majorHAnsi" w:hAnsiTheme="majorHAnsi"/>
          <w:sz w:val="20"/>
          <w:lang w:val="en-US"/>
        </w:rPr>
        <w:t>additionally</w:t>
      </w:r>
      <w:r w:rsidR="006F0D8C" w:rsidRPr="00FA5E63">
        <w:rPr>
          <w:rFonts w:asciiTheme="majorHAnsi" w:hAnsiTheme="majorHAnsi"/>
          <w:sz w:val="20"/>
          <w:lang w:val="en-US"/>
        </w:rPr>
        <w:t xml:space="preserve"> alleged their inability to obtain reparation for alleged violations of their rights that are not covered by the Civil Liberties Act: in particular, their </w:t>
      </w:r>
      <w:r w:rsidR="00796B30" w:rsidRPr="00FA5E63">
        <w:rPr>
          <w:rFonts w:asciiTheme="majorHAnsi" w:hAnsiTheme="majorHAnsi"/>
          <w:sz w:val="20"/>
          <w:lang w:val="en-US"/>
        </w:rPr>
        <w:t>claims based on international humanitarian law for forced transfer from Peru and for alleged excessive</w:t>
      </w:r>
      <w:r w:rsidR="00796B30">
        <w:rPr>
          <w:rFonts w:asciiTheme="majorHAnsi" w:hAnsiTheme="majorHAnsi"/>
          <w:sz w:val="20"/>
          <w:lang w:val="en-US"/>
        </w:rPr>
        <w:t xml:space="preserve"> taxation based on classification as “illegal aliens.” The Commission recalls that it is not competent </w:t>
      </w:r>
      <w:r w:rsidR="00796B30">
        <w:rPr>
          <w:rFonts w:asciiTheme="majorHAnsi" w:hAnsiTheme="majorHAnsi"/>
          <w:i/>
          <w:sz w:val="20"/>
          <w:lang w:val="en-US"/>
        </w:rPr>
        <w:t>ratione temporis</w:t>
      </w:r>
      <w:r w:rsidR="00796B30">
        <w:rPr>
          <w:rFonts w:asciiTheme="majorHAnsi" w:hAnsiTheme="majorHAnsi"/>
          <w:sz w:val="20"/>
          <w:lang w:val="en-US"/>
        </w:rPr>
        <w:t xml:space="preserve"> to declare the existence of the alleged underlying violations in this case; however, it is plainly competent to review </w:t>
      </w:r>
      <w:r>
        <w:rPr>
          <w:rFonts w:asciiTheme="majorHAnsi" w:hAnsiTheme="majorHAnsi"/>
          <w:sz w:val="20"/>
          <w:lang w:val="en-US"/>
        </w:rPr>
        <w:t>the existence and effectiveness of the remedy they sought before the federal courts to obtain a judgment on the merits of their claim, as this litigation happened between 1999 and 2003</w:t>
      </w:r>
      <w:r w:rsidR="00796B30">
        <w:rPr>
          <w:rFonts w:asciiTheme="majorHAnsi" w:hAnsiTheme="majorHAnsi"/>
          <w:sz w:val="20"/>
          <w:lang w:val="en-US"/>
        </w:rPr>
        <w:t xml:space="preserve">. </w:t>
      </w:r>
    </w:p>
    <w:p w14:paraId="252A1C47" w14:textId="77777777" w:rsidR="00796B30" w:rsidRDefault="00796B30" w:rsidP="00796B30">
      <w:pPr>
        <w:pStyle w:val="ListParagraph"/>
        <w:rPr>
          <w:rFonts w:asciiTheme="majorHAnsi" w:hAnsiTheme="majorHAnsi"/>
          <w:sz w:val="20"/>
        </w:rPr>
      </w:pPr>
    </w:p>
    <w:p w14:paraId="5B8B86CA" w14:textId="77777777" w:rsidR="006F0D8C" w:rsidRPr="00B32067" w:rsidRDefault="00796B3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Pr>
          <w:rFonts w:asciiTheme="majorHAnsi" w:hAnsiTheme="majorHAnsi"/>
          <w:sz w:val="20"/>
          <w:lang w:val="en-US"/>
        </w:rPr>
        <w:t xml:space="preserve">The Commission considers that the decision of the Court of Federal Claims makes evident that </w:t>
      </w:r>
      <w:r w:rsidR="008B5FA2">
        <w:rPr>
          <w:rFonts w:asciiTheme="majorHAnsi" w:hAnsiTheme="majorHAnsi"/>
          <w:sz w:val="20"/>
          <w:lang w:val="en-US"/>
        </w:rPr>
        <w:t xml:space="preserve">federal </w:t>
      </w:r>
      <w:r>
        <w:rPr>
          <w:rFonts w:asciiTheme="majorHAnsi" w:hAnsiTheme="majorHAnsi"/>
          <w:sz w:val="20"/>
          <w:lang w:val="en-US"/>
        </w:rPr>
        <w:t xml:space="preserve">litigation did not constitute an effective remedy for the Shibayama brothers, in the sense that it </w:t>
      </w:r>
      <w:r w:rsidR="00E35F22">
        <w:rPr>
          <w:rFonts w:asciiTheme="majorHAnsi" w:hAnsiTheme="majorHAnsi"/>
          <w:sz w:val="20"/>
          <w:lang w:val="en-US"/>
        </w:rPr>
        <w:t>did</w:t>
      </w:r>
      <w:r>
        <w:rPr>
          <w:rFonts w:asciiTheme="majorHAnsi" w:hAnsiTheme="majorHAnsi"/>
          <w:sz w:val="20"/>
          <w:lang w:val="en-US"/>
        </w:rPr>
        <w:t xml:space="preserve"> not </w:t>
      </w:r>
      <w:r w:rsidR="00E35F22">
        <w:rPr>
          <w:rFonts w:asciiTheme="majorHAnsi" w:hAnsiTheme="majorHAnsi"/>
          <w:sz w:val="20"/>
          <w:lang w:val="en-US"/>
        </w:rPr>
        <w:t xml:space="preserve">result </w:t>
      </w:r>
      <w:r>
        <w:rPr>
          <w:rFonts w:asciiTheme="majorHAnsi" w:hAnsiTheme="majorHAnsi"/>
          <w:sz w:val="20"/>
          <w:lang w:val="en-US"/>
        </w:rPr>
        <w:t>“capable of producing the result for whi</w:t>
      </w:r>
      <w:r w:rsidR="0007150B">
        <w:rPr>
          <w:rFonts w:asciiTheme="majorHAnsi" w:hAnsiTheme="majorHAnsi"/>
          <w:sz w:val="20"/>
          <w:lang w:val="en-US"/>
        </w:rPr>
        <w:t>ch it was designed,</w:t>
      </w:r>
      <w:r>
        <w:rPr>
          <w:rFonts w:asciiTheme="majorHAnsi" w:hAnsiTheme="majorHAnsi"/>
          <w:sz w:val="20"/>
          <w:lang w:val="en-US"/>
        </w:rPr>
        <w:t>”</w:t>
      </w:r>
      <w:r w:rsidR="0007150B">
        <w:rPr>
          <w:rFonts w:asciiTheme="majorHAnsi" w:hAnsiTheme="majorHAnsi"/>
          <w:sz w:val="20"/>
          <w:lang w:val="en-US"/>
        </w:rPr>
        <w:t xml:space="preserve"> that is, to review the merits of their claims that were different from the CLA.</w:t>
      </w:r>
      <w:r>
        <w:rPr>
          <w:rFonts w:asciiTheme="majorHAnsi" w:hAnsiTheme="majorHAnsi"/>
          <w:sz w:val="20"/>
          <w:lang w:val="en-US"/>
        </w:rPr>
        <w:t xml:space="preserve"> In this regard, petitioners initially filed their complaint alleging violations of their rights based on the CLA, the Fifth Amendment</w:t>
      </w:r>
      <w:r w:rsidR="00721C51">
        <w:rPr>
          <w:rFonts w:asciiTheme="majorHAnsi" w:hAnsiTheme="majorHAnsi"/>
          <w:sz w:val="20"/>
          <w:lang w:val="en-US"/>
        </w:rPr>
        <w:t xml:space="preserve"> (equal protection)</w:t>
      </w:r>
      <w:r>
        <w:rPr>
          <w:rFonts w:asciiTheme="majorHAnsi" w:hAnsiTheme="majorHAnsi"/>
          <w:sz w:val="20"/>
          <w:lang w:val="en-US"/>
        </w:rPr>
        <w:t xml:space="preserve">, international humanitarian law, and a variety of other federal statutes in the Northern District of California; it was </w:t>
      </w:r>
      <w:r w:rsidR="00CF1970">
        <w:rPr>
          <w:rFonts w:asciiTheme="majorHAnsi" w:hAnsiTheme="majorHAnsi"/>
          <w:sz w:val="20"/>
          <w:lang w:val="en-US"/>
        </w:rPr>
        <w:t xml:space="preserve">then </w:t>
      </w:r>
      <w:r>
        <w:rPr>
          <w:rFonts w:asciiTheme="majorHAnsi" w:hAnsiTheme="majorHAnsi"/>
          <w:sz w:val="20"/>
          <w:lang w:val="en-US"/>
        </w:rPr>
        <w:t>transferred to the Court of Federal Claims, which has exclusive jurisdiction over CLA claims;</w:t>
      </w:r>
      <w:r w:rsidR="00CF1970">
        <w:rPr>
          <w:rFonts w:asciiTheme="majorHAnsi" w:hAnsiTheme="majorHAnsi"/>
          <w:sz w:val="20"/>
          <w:lang w:val="en-US"/>
        </w:rPr>
        <w:t xml:space="preserve"> and</w:t>
      </w:r>
      <w:r>
        <w:rPr>
          <w:rFonts w:asciiTheme="majorHAnsi" w:hAnsiTheme="majorHAnsi"/>
          <w:sz w:val="20"/>
          <w:lang w:val="en-US"/>
        </w:rPr>
        <w:t xml:space="preserve"> the Court of Federal Claims </w:t>
      </w:r>
      <w:r w:rsidR="00CF1970">
        <w:rPr>
          <w:rFonts w:asciiTheme="majorHAnsi" w:hAnsiTheme="majorHAnsi"/>
          <w:sz w:val="20"/>
          <w:lang w:val="en-US"/>
        </w:rPr>
        <w:t xml:space="preserve">then </w:t>
      </w:r>
      <w:r>
        <w:rPr>
          <w:rFonts w:asciiTheme="majorHAnsi" w:hAnsiTheme="majorHAnsi"/>
          <w:sz w:val="20"/>
          <w:lang w:val="en-US"/>
        </w:rPr>
        <w:t xml:space="preserve">dismissed petitioners’ CLA claims, but </w:t>
      </w:r>
      <w:r w:rsidR="008B5FA2">
        <w:rPr>
          <w:rFonts w:asciiTheme="majorHAnsi" w:hAnsiTheme="majorHAnsi"/>
          <w:sz w:val="20"/>
          <w:lang w:val="en-US"/>
        </w:rPr>
        <w:t xml:space="preserve">rather than transferring the remaining claims back to the district court, further </w:t>
      </w:r>
      <w:r>
        <w:rPr>
          <w:rFonts w:asciiTheme="majorHAnsi" w:hAnsiTheme="majorHAnsi"/>
          <w:sz w:val="20"/>
          <w:lang w:val="en-US"/>
        </w:rPr>
        <w:t xml:space="preserve">interpreted the </w:t>
      </w:r>
      <w:r w:rsidRPr="003A1E02">
        <w:rPr>
          <w:rFonts w:asciiTheme="majorHAnsi" w:hAnsiTheme="majorHAnsi"/>
          <w:sz w:val="20"/>
          <w:lang w:val="en-US"/>
        </w:rPr>
        <w:t>entirety of petitioners’ complaint as being “</w:t>
      </w:r>
      <w:r w:rsidRPr="003A1E02">
        <w:rPr>
          <w:color w:val="auto"/>
          <w:sz w:val="20"/>
          <w:lang w:val="en-US"/>
        </w:rPr>
        <w:t xml:space="preserve">predicated on the government’s denial of the statutory amount of restitution and at bottom seek[ing] only the payment of the $20,000,” for which reason it </w:t>
      </w:r>
      <w:r w:rsidR="008B5FA2" w:rsidRPr="003A1E02">
        <w:rPr>
          <w:color w:val="auto"/>
          <w:sz w:val="20"/>
          <w:lang w:val="en-US"/>
        </w:rPr>
        <w:t xml:space="preserve">dismissed the entire complaint, considering that none of those remaining claims constituted a basis for granting relief under the CLA (i.e. disbursing the $20,000 payment). </w:t>
      </w:r>
      <w:r w:rsidR="00B32067">
        <w:rPr>
          <w:color w:val="auto"/>
          <w:sz w:val="20"/>
          <w:lang w:val="en-US"/>
        </w:rPr>
        <w:t xml:space="preserve">In this way, the petitioners were not afforded a remedy to consider the </w:t>
      </w:r>
      <w:r w:rsidR="00B32067" w:rsidRPr="00CF1970">
        <w:rPr>
          <w:color w:val="auto"/>
          <w:sz w:val="20"/>
          <w:lang w:val="en-US"/>
        </w:rPr>
        <w:t>merits</w:t>
      </w:r>
      <w:r w:rsidR="00B32067">
        <w:rPr>
          <w:color w:val="auto"/>
          <w:sz w:val="20"/>
          <w:lang w:val="en-US"/>
        </w:rPr>
        <w:t xml:space="preserve"> of their claims that were substantively different from the CLA. </w:t>
      </w:r>
    </w:p>
    <w:p w14:paraId="12BED9AA" w14:textId="77777777" w:rsidR="007E61BE" w:rsidRPr="00721C51" w:rsidRDefault="007E61BE" w:rsidP="00B320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lang w:val="en-US"/>
        </w:rPr>
      </w:pPr>
    </w:p>
    <w:p w14:paraId="3EB0FFE9" w14:textId="77777777" w:rsidR="003A1E02" w:rsidRPr="003A1E02" w:rsidRDefault="003A1E02" w:rsidP="003A1E02">
      <w:pPr>
        <w:pStyle w:val="Heading3"/>
        <w:ind w:hanging="810"/>
      </w:pPr>
      <w:bookmarkStart w:id="21" w:name="_Toc27059060"/>
      <w:r w:rsidRPr="003A1E02">
        <w:t>Conclusions</w:t>
      </w:r>
      <w:bookmarkEnd w:id="21"/>
    </w:p>
    <w:p w14:paraId="27566D7B" w14:textId="77777777" w:rsidR="00FD1BB2" w:rsidRPr="003A1E02" w:rsidRDefault="00FD1BB2" w:rsidP="00FD1BB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auto"/>
          <w:sz w:val="20"/>
          <w:lang w:val="en-US"/>
        </w:rPr>
      </w:pPr>
    </w:p>
    <w:p w14:paraId="39B2C760" w14:textId="77777777" w:rsidR="006C0ACF" w:rsidRDefault="00E35F22"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n-US"/>
        </w:rPr>
      </w:pPr>
      <w:r>
        <w:rPr>
          <w:rFonts w:asciiTheme="majorHAnsi" w:hAnsiTheme="majorHAnsi"/>
          <w:color w:val="auto"/>
          <w:sz w:val="20"/>
          <w:lang w:val="en-US"/>
        </w:rPr>
        <w:t>On the basis of the above analysis, t</w:t>
      </w:r>
      <w:r w:rsidR="00893BD0" w:rsidRPr="003A1E02">
        <w:rPr>
          <w:rFonts w:asciiTheme="majorHAnsi" w:hAnsiTheme="majorHAnsi"/>
          <w:color w:val="auto"/>
          <w:sz w:val="20"/>
          <w:lang w:val="en-US"/>
        </w:rPr>
        <w:t xml:space="preserve">he Commission concludes that the State is responsible for the violation of the rights to </w:t>
      </w:r>
      <w:r w:rsidR="003A1E02" w:rsidRPr="003A1E02">
        <w:rPr>
          <w:rFonts w:asciiTheme="majorHAnsi" w:hAnsiTheme="majorHAnsi"/>
          <w:color w:val="auto"/>
          <w:sz w:val="20"/>
          <w:lang w:val="en-US"/>
        </w:rPr>
        <w:t>equality before the law and an effective remedy</w:t>
      </w:r>
      <w:r w:rsidR="00893BD0" w:rsidRPr="003A1E02">
        <w:rPr>
          <w:rFonts w:asciiTheme="majorHAnsi" w:hAnsiTheme="majorHAnsi"/>
          <w:color w:val="auto"/>
          <w:sz w:val="20"/>
          <w:lang w:val="en-US"/>
        </w:rPr>
        <w:t xml:space="preserve"> established in articles </w:t>
      </w:r>
      <w:r w:rsidR="003A1E02" w:rsidRPr="003A1E02">
        <w:rPr>
          <w:rFonts w:asciiTheme="majorHAnsi" w:hAnsiTheme="majorHAnsi"/>
          <w:color w:val="auto"/>
          <w:sz w:val="20"/>
          <w:lang w:val="en-US"/>
        </w:rPr>
        <w:t>II and XVIII</w:t>
      </w:r>
      <w:r w:rsidR="00893BD0" w:rsidRPr="003A1E02">
        <w:rPr>
          <w:rFonts w:asciiTheme="majorHAnsi" w:hAnsiTheme="majorHAnsi"/>
          <w:color w:val="auto"/>
          <w:sz w:val="20"/>
          <w:lang w:val="en-US"/>
        </w:rPr>
        <w:t xml:space="preserve"> of the American Declaration, to the detriment of </w:t>
      </w:r>
      <w:r w:rsidR="003A1E02" w:rsidRPr="003A1E02">
        <w:rPr>
          <w:rFonts w:asciiTheme="majorHAnsi" w:hAnsiTheme="majorHAnsi"/>
          <w:color w:val="auto"/>
          <w:sz w:val="20"/>
          <w:lang w:val="en-US"/>
        </w:rPr>
        <w:t>Isamu Carlos, Kenichi Javier, and Takeshi Jorge Shibayama</w:t>
      </w:r>
      <w:r w:rsidR="00893BD0" w:rsidRPr="003A1E02">
        <w:rPr>
          <w:rFonts w:asciiTheme="majorHAnsi" w:hAnsiTheme="majorHAnsi"/>
          <w:color w:val="auto"/>
          <w:sz w:val="20"/>
          <w:lang w:val="en-US"/>
        </w:rPr>
        <w:t>.</w:t>
      </w:r>
      <w:r w:rsidR="0073631B" w:rsidRPr="003A1E02">
        <w:rPr>
          <w:rFonts w:asciiTheme="majorHAnsi" w:hAnsiTheme="majorHAnsi"/>
          <w:color w:val="auto"/>
          <w:sz w:val="20"/>
          <w:lang w:val="en-US"/>
        </w:rPr>
        <w:t xml:space="preserve"> </w:t>
      </w:r>
    </w:p>
    <w:p w14:paraId="1A97707D" w14:textId="77777777" w:rsidR="00183000" w:rsidRDefault="00183000" w:rsidP="0018300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lang w:val="en-US"/>
        </w:rPr>
      </w:pPr>
    </w:p>
    <w:p w14:paraId="3EC3313E" w14:textId="77777777" w:rsidR="00183000" w:rsidRPr="00CD5468" w:rsidRDefault="00183000" w:rsidP="00033F47">
      <w:pPr>
        <w:pStyle w:val="Heading1"/>
        <w:rPr>
          <w:lang w:val="en-US"/>
        </w:rPr>
      </w:pPr>
      <w:bookmarkStart w:id="22" w:name="_Toc27059061"/>
      <w:r w:rsidRPr="00CD5468">
        <w:rPr>
          <w:lang w:val="en-US"/>
        </w:rPr>
        <w:t xml:space="preserve">ACTIONS SUBSEQUENT TO REPORT No. </w:t>
      </w:r>
      <w:r w:rsidR="00090C1E" w:rsidRPr="00CD5468">
        <w:rPr>
          <w:lang w:val="en-US"/>
        </w:rPr>
        <w:t>154</w:t>
      </w:r>
      <w:r w:rsidRPr="00CD5468">
        <w:rPr>
          <w:lang w:val="en-US"/>
        </w:rPr>
        <w:t>/</w:t>
      </w:r>
      <w:r w:rsidR="00090C1E" w:rsidRPr="00CD5468">
        <w:rPr>
          <w:lang w:val="en-US"/>
        </w:rPr>
        <w:t>18</w:t>
      </w:r>
      <w:bookmarkEnd w:id="22"/>
    </w:p>
    <w:p w14:paraId="6144FC73" w14:textId="77777777" w:rsidR="00183000" w:rsidRPr="00CD5468" w:rsidRDefault="00183000" w:rsidP="0018300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Theme="majorHAnsi" w:hAnsiTheme="majorHAnsi"/>
          <w:sz w:val="20"/>
          <w:szCs w:val="20"/>
        </w:rPr>
      </w:pPr>
    </w:p>
    <w:p w14:paraId="2E95BB51" w14:textId="77777777" w:rsidR="00090C1E" w:rsidRPr="00CD5468" w:rsidRDefault="00183000" w:rsidP="009F5E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auto"/>
          <w:sz w:val="20"/>
          <w:lang w:val="en-US"/>
        </w:rPr>
      </w:pPr>
      <w:r w:rsidRPr="00CD5468">
        <w:rPr>
          <w:rFonts w:asciiTheme="majorHAnsi" w:hAnsiTheme="majorHAnsi"/>
          <w:color w:val="auto"/>
          <w:sz w:val="20"/>
          <w:lang w:val="en-US"/>
        </w:rPr>
        <w:t xml:space="preserve">On December </w:t>
      </w:r>
      <w:r w:rsidR="00090C1E" w:rsidRPr="00CD5468">
        <w:rPr>
          <w:rFonts w:asciiTheme="majorHAnsi" w:hAnsiTheme="majorHAnsi"/>
          <w:color w:val="auto"/>
          <w:sz w:val="20"/>
          <w:lang w:val="en-US"/>
        </w:rPr>
        <w:t>7, 2018, during its 170 period of sessions, the Commission approved Report No. 154/18 on the merits of this matter, with the following recommendations to the State:</w:t>
      </w:r>
    </w:p>
    <w:p w14:paraId="413FEFB6" w14:textId="77777777" w:rsidR="00090C1E" w:rsidRPr="00CD5468" w:rsidRDefault="00090C1E" w:rsidP="00090C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lang w:val="en-US"/>
        </w:rPr>
      </w:pPr>
    </w:p>
    <w:p w14:paraId="4CDBF86D" w14:textId="77777777" w:rsidR="00090C1E" w:rsidRPr="00CD5468" w:rsidRDefault="00090C1E" w:rsidP="009F5E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eastAsia="Times New Roman" w:cs="Tahoma"/>
          <w:color w:val="auto"/>
          <w:sz w:val="20"/>
          <w:szCs w:val="20"/>
          <w:bdr w:val="none" w:sz="0" w:space="0" w:color="auto"/>
        </w:rPr>
      </w:pPr>
      <w:r w:rsidRPr="00CD5468">
        <w:rPr>
          <w:rFonts w:eastAsia="Times New Roman" w:cs="Tahoma"/>
          <w:color w:val="auto"/>
          <w:sz w:val="20"/>
          <w:szCs w:val="20"/>
          <w:bdr w:val="none" w:sz="0" w:space="0" w:color="auto"/>
        </w:rPr>
        <w:t>Make integral reparation for the human rights violations established in this report, including both the material and moral dimensions, and adopt measures for economic compensation and measures of satisfaction. In this regard, the State should take into account the specific reparations requested by the petitioners as the parties come to an agreement about what constitutes integral reparation in this case.</w:t>
      </w:r>
    </w:p>
    <w:p w14:paraId="2DD6493D" w14:textId="77777777" w:rsidR="00090C1E" w:rsidRPr="00CD5468" w:rsidRDefault="00090C1E" w:rsidP="00090C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right="540"/>
        <w:jc w:val="both"/>
        <w:rPr>
          <w:rFonts w:eastAsia="Times New Roman" w:cs="Tahoma"/>
          <w:color w:val="auto"/>
          <w:sz w:val="20"/>
          <w:szCs w:val="20"/>
          <w:bdr w:val="none" w:sz="0" w:space="0" w:color="auto"/>
        </w:rPr>
      </w:pPr>
    </w:p>
    <w:p w14:paraId="10C46242" w14:textId="77777777" w:rsidR="00090C1E" w:rsidRPr="00CD5468" w:rsidRDefault="00090C1E" w:rsidP="009F5EA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eastAsia="Times New Roman" w:cs="Tahoma"/>
          <w:color w:val="auto"/>
          <w:sz w:val="20"/>
          <w:szCs w:val="20"/>
          <w:bdr w:val="none" w:sz="0" w:space="0" w:color="auto"/>
        </w:rPr>
      </w:pPr>
      <w:r w:rsidRPr="00CD5468">
        <w:rPr>
          <w:rFonts w:eastAsia="Times New Roman" w:cs="Tahoma"/>
          <w:color w:val="auto"/>
          <w:sz w:val="20"/>
          <w:szCs w:val="20"/>
          <w:bdr w:val="none" w:sz="0" w:space="0" w:color="auto"/>
        </w:rPr>
        <w:t>Adopt the necessary measures to ensure full disclosure of government information relating to the program of deportation and internment of Japanese Latin Americans during World War II, as well as relating to the fates of the individuals subject to this program</w:t>
      </w:r>
    </w:p>
    <w:p w14:paraId="58FA4130" w14:textId="77777777" w:rsidR="00090C1E" w:rsidRPr="00CD5468" w:rsidRDefault="00090C1E" w:rsidP="009F5E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auto"/>
          <w:sz w:val="20"/>
          <w:lang w:val="en-US"/>
        </w:rPr>
      </w:pPr>
    </w:p>
    <w:p w14:paraId="13A3A5A8" w14:textId="77777777" w:rsidR="00E940D4" w:rsidRPr="00BA41B7" w:rsidRDefault="00282A1B" w:rsidP="00E940D4">
      <w:pPr>
        <w:numPr>
          <w:ilvl w:val="0"/>
          <w:numId w:val="55"/>
        </w:numPr>
        <w:pBdr>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lang w:val="en-US"/>
        </w:rPr>
      </w:pPr>
      <w:r w:rsidRPr="00CD5468">
        <w:rPr>
          <w:rFonts w:asciiTheme="majorHAnsi" w:hAnsiTheme="majorHAnsi"/>
          <w:color w:val="auto"/>
          <w:sz w:val="20"/>
          <w:lang w:val="en-US"/>
        </w:rPr>
        <w:t>On January 30</w:t>
      </w:r>
      <w:r w:rsidRPr="00CD5468">
        <w:rPr>
          <w:rFonts w:asciiTheme="majorHAnsi" w:hAnsiTheme="majorHAnsi"/>
          <w:color w:val="auto"/>
          <w:sz w:val="20"/>
          <w:vertAlign w:val="superscript"/>
          <w:lang w:val="en-US"/>
        </w:rPr>
        <w:t>th</w:t>
      </w:r>
      <w:r w:rsidRPr="00CD5468">
        <w:rPr>
          <w:rFonts w:asciiTheme="majorHAnsi" w:hAnsiTheme="majorHAnsi"/>
          <w:color w:val="auto"/>
          <w:sz w:val="20"/>
          <w:lang w:val="en-US"/>
        </w:rPr>
        <w:t xml:space="preserve">, 2019, </w:t>
      </w:r>
      <w:r w:rsidR="00183000" w:rsidRPr="00CD5468">
        <w:rPr>
          <w:rFonts w:asciiTheme="majorHAnsi" w:hAnsiTheme="majorHAnsi"/>
          <w:color w:val="auto"/>
          <w:sz w:val="20"/>
          <w:lang w:val="en-US"/>
        </w:rPr>
        <w:t>the IACHR transmitted the report to the State, with a time period of</w:t>
      </w:r>
      <w:r w:rsidRPr="00CD5468">
        <w:rPr>
          <w:rFonts w:asciiTheme="majorHAnsi" w:hAnsiTheme="majorHAnsi"/>
          <w:color w:val="auto"/>
          <w:sz w:val="20"/>
          <w:lang w:val="en-US"/>
        </w:rPr>
        <w:t xml:space="preserve"> two</w:t>
      </w:r>
      <w:r w:rsidR="00183000" w:rsidRPr="00CD5468">
        <w:rPr>
          <w:rFonts w:asciiTheme="majorHAnsi" w:hAnsiTheme="majorHAnsi"/>
          <w:color w:val="auto"/>
          <w:sz w:val="20"/>
          <w:lang w:val="en-US"/>
        </w:rPr>
        <w:t xml:space="preserve"> month</w:t>
      </w:r>
      <w:r w:rsidRPr="00CD5468">
        <w:rPr>
          <w:rFonts w:asciiTheme="majorHAnsi" w:hAnsiTheme="majorHAnsi"/>
          <w:color w:val="auto"/>
          <w:sz w:val="20"/>
          <w:lang w:val="en-US"/>
        </w:rPr>
        <w:t>s</w:t>
      </w:r>
      <w:r w:rsidR="00183000" w:rsidRPr="00CD5468">
        <w:rPr>
          <w:rFonts w:asciiTheme="majorHAnsi" w:hAnsiTheme="majorHAnsi"/>
          <w:color w:val="auto"/>
          <w:sz w:val="20"/>
          <w:lang w:val="en-US"/>
        </w:rPr>
        <w:t xml:space="preserve"> to present information on the measures taken to comply with the recommendations set forth in the report.</w:t>
      </w:r>
      <w:r w:rsidR="00E940D4" w:rsidRPr="00CD5468">
        <w:rPr>
          <w:rFonts w:asciiTheme="majorHAnsi" w:hAnsiTheme="majorHAnsi"/>
          <w:color w:val="auto"/>
          <w:sz w:val="20"/>
          <w:lang w:val="en-US"/>
        </w:rPr>
        <w:t xml:space="preserve"> </w:t>
      </w:r>
      <w:r w:rsidR="005C241C">
        <w:rPr>
          <w:rFonts w:asciiTheme="majorHAnsi" w:hAnsiTheme="majorHAnsi"/>
          <w:color w:val="auto"/>
          <w:sz w:val="20"/>
          <w:lang w:val="en-US"/>
        </w:rPr>
        <w:t xml:space="preserve"> </w:t>
      </w:r>
      <w:r w:rsidR="005C241C" w:rsidRPr="00BA41B7">
        <w:rPr>
          <w:rFonts w:asciiTheme="majorHAnsi" w:hAnsiTheme="majorHAnsi"/>
          <w:color w:val="auto"/>
          <w:sz w:val="20"/>
          <w:lang w:val="en-US"/>
        </w:rPr>
        <w:t>The Commission did not receive any response from the United States or the petitioners regarding Report No. 154/18.</w:t>
      </w:r>
    </w:p>
    <w:p w14:paraId="0816E1FF" w14:textId="77777777" w:rsidR="00183000" w:rsidRPr="00BA41B7" w:rsidRDefault="00E940D4" w:rsidP="00E940D4">
      <w:pPr>
        <w:pBdr>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lang w:val="en-US"/>
        </w:rPr>
      </w:pPr>
      <w:r w:rsidRPr="00BA41B7">
        <w:rPr>
          <w:rFonts w:asciiTheme="majorHAnsi" w:hAnsiTheme="majorHAnsi"/>
          <w:sz w:val="20"/>
          <w:lang w:val="en-US"/>
        </w:rPr>
        <w:t xml:space="preserve"> </w:t>
      </w:r>
    </w:p>
    <w:p w14:paraId="70E89D72" w14:textId="77777777" w:rsidR="005C241C" w:rsidRPr="00BA41B7" w:rsidRDefault="005C241C" w:rsidP="005C241C">
      <w:pPr>
        <w:pStyle w:val="Heading1"/>
        <w:rPr>
          <w:lang w:val="en-US"/>
        </w:rPr>
      </w:pPr>
      <w:bookmarkStart w:id="23" w:name="_Toc27059062"/>
      <w:r w:rsidRPr="00BA41B7">
        <w:rPr>
          <w:lang w:val="en-US"/>
        </w:rPr>
        <w:t>ACTIONS SUBSEQUENT TO REPORT No. 99/19</w:t>
      </w:r>
      <w:bookmarkEnd w:id="23"/>
    </w:p>
    <w:p w14:paraId="26ED05E4" w14:textId="77777777" w:rsidR="005C241C" w:rsidRPr="00BA41B7" w:rsidRDefault="005C241C" w:rsidP="005C241C">
      <w:pPr>
        <w:rPr>
          <w:lang w:val="en-US"/>
        </w:rPr>
      </w:pPr>
    </w:p>
    <w:p w14:paraId="6E07CFD2" w14:textId="77777777" w:rsidR="005C241C" w:rsidRPr="00BA41B7" w:rsidRDefault="005C241C" w:rsidP="005C241C">
      <w:pPr>
        <w:numPr>
          <w:ilvl w:val="0"/>
          <w:numId w:val="55"/>
        </w:numPr>
        <w:pBdr>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lang w:val="en-US"/>
        </w:rPr>
      </w:pPr>
      <w:r w:rsidRPr="00BA41B7">
        <w:rPr>
          <w:rFonts w:asciiTheme="majorHAnsi" w:hAnsiTheme="majorHAnsi"/>
          <w:color w:val="auto"/>
          <w:sz w:val="20"/>
          <w:lang w:val="en-US"/>
        </w:rPr>
        <w:t>On J</w:t>
      </w:r>
      <w:r w:rsidR="0048538A" w:rsidRPr="00BA41B7">
        <w:rPr>
          <w:rFonts w:asciiTheme="majorHAnsi" w:hAnsiTheme="majorHAnsi"/>
          <w:color w:val="auto"/>
          <w:sz w:val="20"/>
          <w:lang w:val="en-US"/>
        </w:rPr>
        <w:t>une 21st</w:t>
      </w:r>
      <w:r w:rsidRPr="00BA41B7">
        <w:rPr>
          <w:rFonts w:asciiTheme="majorHAnsi" w:hAnsiTheme="majorHAnsi"/>
          <w:color w:val="auto"/>
          <w:sz w:val="20"/>
          <w:lang w:val="en-US"/>
        </w:rPr>
        <w:t xml:space="preserve">, 2019, the IACHR </w:t>
      </w:r>
      <w:r w:rsidR="0048538A" w:rsidRPr="00BA41B7">
        <w:rPr>
          <w:rFonts w:asciiTheme="majorHAnsi" w:hAnsiTheme="majorHAnsi"/>
          <w:color w:val="auto"/>
          <w:sz w:val="20"/>
          <w:lang w:val="en-US"/>
        </w:rPr>
        <w:t xml:space="preserve">approved Final Merits Report No. 99/19 in which the Commission reiterates all of its recommendations to the State. On July 3, 2019, the IACHR </w:t>
      </w:r>
      <w:r w:rsidRPr="00BA41B7">
        <w:rPr>
          <w:rFonts w:asciiTheme="majorHAnsi" w:hAnsiTheme="majorHAnsi"/>
          <w:color w:val="auto"/>
          <w:sz w:val="20"/>
          <w:lang w:val="en-US"/>
        </w:rPr>
        <w:t>transmitted the report to the State</w:t>
      </w:r>
      <w:r w:rsidR="0048538A" w:rsidRPr="00BA41B7">
        <w:rPr>
          <w:rFonts w:asciiTheme="majorHAnsi" w:hAnsiTheme="majorHAnsi"/>
          <w:color w:val="auto"/>
          <w:sz w:val="20"/>
          <w:lang w:val="en-US"/>
        </w:rPr>
        <w:t xml:space="preserve"> and the petitioners with</w:t>
      </w:r>
      <w:r w:rsidRPr="00BA41B7">
        <w:rPr>
          <w:rFonts w:asciiTheme="majorHAnsi" w:hAnsiTheme="majorHAnsi"/>
          <w:color w:val="auto"/>
          <w:sz w:val="20"/>
          <w:lang w:val="en-US"/>
        </w:rPr>
        <w:t xml:space="preserve"> a time period of two months to </w:t>
      </w:r>
      <w:r w:rsidR="0048538A" w:rsidRPr="00BA41B7">
        <w:rPr>
          <w:rFonts w:asciiTheme="majorHAnsi" w:hAnsiTheme="majorHAnsi"/>
          <w:color w:val="auto"/>
          <w:sz w:val="20"/>
          <w:lang w:val="en-US"/>
        </w:rPr>
        <w:t xml:space="preserve">inform the Commission on </w:t>
      </w:r>
      <w:r w:rsidRPr="00BA41B7">
        <w:rPr>
          <w:rFonts w:asciiTheme="majorHAnsi" w:hAnsiTheme="majorHAnsi"/>
          <w:color w:val="auto"/>
          <w:sz w:val="20"/>
          <w:lang w:val="en-US"/>
        </w:rPr>
        <w:t>the measures taken to comply with</w:t>
      </w:r>
      <w:r w:rsidR="0048538A" w:rsidRPr="00BA41B7">
        <w:rPr>
          <w:rFonts w:asciiTheme="majorHAnsi" w:hAnsiTheme="majorHAnsi"/>
          <w:color w:val="auto"/>
          <w:sz w:val="20"/>
          <w:lang w:val="en-US"/>
        </w:rPr>
        <w:t xml:space="preserve"> its recommendations</w:t>
      </w:r>
      <w:r w:rsidRPr="00BA41B7">
        <w:rPr>
          <w:rFonts w:asciiTheme="majorHAnsi" w:hAnsiTheme="majorHAnsi"/>
          <w:color w:val="auto"/>
          <w:sz w:val="20"/>
          <w:lang w:val="en-US"/>
        </w:rPr>
        <w:t>.  T</w:t>
      </w:r>
      <w:r w:rsidR="0048538A" w:rsidRPr="00BA41B7">
        <w:rPr>
          <w:rFonts w:asciiTheme="majorHAnsi" w:hAnsiTheme="majorHAnsi"/>
          <w:color w:val="auto"/>
          <w:sz w:val="20"/>
          <w:lang w:val="en-US"/>
        </w:rPr>
        <w:t>o date, t</w:t>
      </w:r>
      <w:r w:rsidRPr="00BA41B7">
        <w:rPr>
          <w:rFonts w:asciiTheme="majorHAnsi" w:hAnsiTheme="majorHAnsi"/>
          <w:color w:val="auto"/>
          <w:sz w:val="20"/>
          <w:lang w:val="en-US"/>
        </w:rPr>
        <w:t xml:space="preserve">he Commission </w:t>
      </w:r>
      <w:r w:rsidR="0048538A" w:rsidRPr="00BA41B7">
        <w:rPr>
          <w:rFonts w:asciiTheme="majorHAnsi" w:hAnsiTheme="majorHAnsi"/>
          <w:color w:val="auto"/>
          <w:sz w:val="20"/>
          <w:lang w:val="en-US"/>
        </w:rPr>
        <w:t xml:space="preserve">has </w:t>
      </w:r>
      <w:r w:rsidRPr="00BA41B7">
        <w:rPr>
          <w:rFonts w:asciiTheme="majorHAnsi" w:hAnsiTheme="majorHAnsi"/>
          <w:color w:val="auto"/>
          <w:sz w:val="20"/>
          <w:lang w:val="en-US"/>
        </w:rPr>
        <w:t>not receive</w:t>
      </w:r>
      <w:r w:rsidR="0048538A" w:rsidRPr="00BA41B7">
        <w:rPr>
          <w:rFonts w:asciiTheme="majorHAnsi" w:hAnsiTheme="majorHAnsi"/>
          <w:color w:val="auto"/>
          <w:sz w:val="20"/>
          <w:lang w:val="en-US"/>
        </w:rPr>
        <w:t>d</w:t>
      </w:r>
      <w:r w:rsidRPr="00BA41B7">
        <w:rPr>
          <w:rFonts w:asciiTheme="majorHAnsi" w:hAnsiTheme="majorHAnsi"/>
          <w:color w:val="auto"/>
          <w:sz w:val="20"/>
          <w:lang w:val="en-US"/>
        </w:rPr>
        <w:t xml:space="preserve"> any response from the United States or the petitioners regarding Report No. </w:t>
      </w:r>
      <w:r w:rsidR="0048538A" w:rsidRPr="00BA41B7">
        <w:rPr>
          <w:rFonts w:asciiTheme="majorHAnsi" w:hAnsiTheme="majorHAnsi"/>
          <w:color w:val="auto"/>
          <w:sz w:val="20"/>
          <w:lang w:val="en-US"/>
        </w:rPr>
        <w:t>99</w:t>
      </w:r>
      <w:r w:rsidRPr="00BA41B7">
        <w:rPr>
          <w:rFonts w:asciiTheme="majorHAnsi" w:hAnsiTheme="majorHAnsi"/>
          <w:color w:val="auto"/>
          <w:sz w:val="20"/>
          <w:lang w:val="en-US"/>
        </w:rPr>
        <w:t>/1</w:t>
      </w:r>
      <w:r w:rsidR="0048538A" w:rsidRPr="00BA41B7">
        <w:rPr>
          <w:rFonts w:asciiTheme="majorHAnsi" w:hAnsiTheme="majorHAnsi"/>
          <w:color w:val="auto"/>
          <w:sz w:val="20"/>
          <w:lang w:val="en-US"/>
        </w:rPr>
        <w:t>9</w:t>
      </w:r>
      <w:r w:rsidRPr="00BA41B7">
        <w:rPr>
          <w:rFonts w:asciiTheme="majorHAnsi" w:hAnsiTheme="majorHAnsi"/>
          <w:color w:val="auto"/>
          <w:sz w:val="20"/>
          <w:lang w:val="en-US"/>
        </w:rPr>
        <w:t>.</w:t>
      </w:r>
    </w:p>
    <w:p w14:paraId="3CBC9CE2" w14:textId="77777777" w:rsidR="005C241C" w:rsidRDefault="005C241C" w:rsidP="005C241C">
      <w:pPr>
        <w:rPr>
          <w:sz w:val="20"/>
          <w:lang w:val="en-US"/>
        </w:rPr>
      </w:pPr>
    </w:p>
    <w:p w14:paraId="2ADB4BAA" w14:textId="77777777" w:rsidR="002D588D" w:rsidRDefault="002D588D" w:rsidP="005C241C">
      <w:pPr>
        <w:rPr>
          <w:sz w:val="20"/>
          <w:lang w:val="en-US"/>
        </w:rPr>
      </w:pPr>
    </w:p>
    <w:p w14:paraId="39F29020" w14:textId="77777777" w:rsidR="002D588D" w:rsidRPr="002D588D" w:rsidRDefault="002D588D" w:rsidP="005C241C">
      <w:pPr>
        <w:rPr>
          <w:sz w:val="20"/>
          <w:lang w:val="en-US"/>
        </w:rPr>
      </w:pPr>
    </w:p>
    <w:p w14:paraId="298FED86" w14:textId="77777777" w:rsidR="005C241C" w:rsidRPr="00BA41B7" w:rsidRDefault="005C241C" w:rsidP="005C241C">
      <w:pPr>
        <w:pStyle w:val="Heading1"/>
        <w:numPr>
          <w:ilvl w:val="0"/>
          <w:numId w:val="0"/>
        </w:numPr>
        <w:ind w:left="1080"/>
        <w:rPr>
          <w:lang w:val="en-US"/>
        </w:rPr>
      </w:pPr>
    </w:p>
    <w:p w14:paraId="1197F59D" w14:textId="77777777" w:rsidR="00183000" w:rsidRPr="00BA41B7" w:rsidRDefault="005C241C" w:rsidP="00033F47">
      <w:pPr>
        <w:pStyle w:val="Heading1"/>
      </w:pPr>
      <w:bookmarkStart w:id="24" w:name="_Toc27059063"/>
      <w:r w:rsidRPr="00BA41B7">
        <w:t>F</w:t>
      </w:r>
      <w:r w:rsidR="00183000" w:rsidRPr="00BA41B7">
        <w:t>INAL CONCLUSIONS AND RECOMMENDATIONS:</w:t>
      </w:r>
      <w:bookmarkEnd w:id="24"/>
      <w:r w:rsidR="00183000" w:rsidRPr="00BA41B7">
        <w:t xml:space="preserve"> </w:t>
      </w:r>
    </w:p>
    <w:p w14:paraId="0DB649E7" w14:textId="77777777" w:rsidR="00183000" w:rsidRPr="00BA41B7" w:rsidRDefault="00183000" w:rsidP="001830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rPr>
      </w:pPr>
    </w:p>
    <w:p w14:paraId="253DC96F" w14:textId="77777777" w:rsidR="00183000" w:rsidRPr="00BA41B7" w:rsidRDefault="00183000" w:rsidP="005C24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auto"/>
          <w:sz w:val="20"/>
          <w:lang w:val="en-US"/>
        </w:rPr>
      </w:pPr>
      <w:r w:rsidRPr="00BA41B7">
        <w:rPr>
          <w:rFonts w:asciiTheme="majorHAnsi" w:hAnsiTheme="majorHAnsi"/>
          <w:color w:val="auto"/>
          <w:sz w:val="20"/>
          <w:lang w:val="en-US"/>
        </w:rPr>
        <w:lastRenderedPageBreak/>
        <w:t>From the available information to the date of the approval of this report, the Commission notes that the United States has not complied with the recommendations set forth in the merits report</w:t>
      </w:r>
      <w:r w:rsidR="00E940D4" w:rsidRPr="00BA41B7">
        <w:rPr>
          <w:rFonts w:asciiTheme="majorHAnsi" w:hAnsiTheme="majorHAnsi"/>
          <w:color w:val="auto"/>
          <w:sz w:val="20"/>
          <w:lang w:val="en-US"/>
        </w:rPr>
        <w:t>.</w:t>
      </w:r>
    </w:p>
    <w:p w14:paraId="4E6568BC" w14:textId="77777777" w:rsidR="00D12193" w:rsidRPr="00BA41B7" w:rsidRDefault="00D12193" w:rsidP="005C241C">
      <w:pPr>
        <w:suppressAutoHyphens/>
        <w:ind w:firstLine="720"/>
        <w:jc w:val="both"/>
        <w:rPr>
          <w:rFonts w:asciiTheme="majorHAnsi" w:hAnsiTheme="majorHAnsi"/>
          <w:b/>
          <w:sz w:val="20"/>
          <w:lang w:val="en-US"/>
        </w:rPr>
      </w:pPr>
    </w:p>
    <w:p w14:paraId="236FE418" w14:textId="77777777" w:rsidR="003A1E02" w:rsidRPr="00BA41B7" w:rsidRDefault="003A1E02" w:rsidP="005C24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color w:val="auto"/>
          <w:sz w:val="20"/>
          <w:lang w:val="en-US"/>
        </w:rPr>
      </w:pPr>
      <w:r w:rsidRPr="00BA41B7">
        <w:rPr>
          <w:rFonts w:asciiTheme="majorHAnsi" w:hAnsiTheme="majorHAnsi"/>
          <w:color w:val="auto"/>
          <w:sz w:val="20"/>
          <w:lang w:val="en-US"/>
        </w:rPr>
        <w:t>On the basis of determinations of fact and law, the Inter-American Commission concludes that the State is responsible for the violation of articles II (equality before the law)</w:t>
      </w:r>
      <w:r w:rsidR="00F87211" w:rsidRPr="00BA41B7">
        <w:rPr>
          <w:rFonts w:asciiTheme="majorHAnsi" w:hAnsiTheme="majorHAnsi"/>
          <w:color w:val="auto"/>
          <w:sz w:val="20"/>
          <w:lang w:val="en-US"/>
        </w:rPr>
        <w:t xml:space="preserve"> and</w:t>
      </w:r>
      <w:r w:rsidRPr="00BA41B7">
        <w:rPr>
          <w:rFonts w:asciiTheme="majorHAnsi" w:hAnsiTheme="majorHAnsi"/>
          <w:color w:val="auto"/>
          <w:sz w:val="20"/>
          <w:lang w:val="en-US"/>
        </w:rPr>
        <w:t xml:space="preserve"> XVIII (fair trial and effective remedy)</w:t>
      </w:r>
      <w:r w:rsidR="005650D1" w:rsidRPr="00BA41B7">
        <w:rPr>
          <w:rFonts w:asciiTheme="majorHAnsi" w:hAnsiTheme="majorHAnsi"/>
          <w:color w:val="auto"/>
          <w:sz w:val="20"/>
          <w:lang w:val="en-US"/>
        </w:rPr>
        <w:t xml:space="preserve"> </w:t>
      </w:r>
      <w:r w:rsidRPr="00BA41B7">
        <w:rPr>
          <w:rFonts w:asciiTheme="majorHAnsi" w:hAnsiTheme="majorHAnsi"/>
          <w:color w:val="auto"/>
          <w:sz w:val="20"/>
          <w:lang w:val="en-US"/>
        </w:rPr>
        <w:t xml:space="preserve">of the American Declaration. </w:t>
      </w:r>
      <w:r w:rsidR="0048538A" w:rsidRPr="00BA41B7">
        <w:rPr>
          <w:rFonts w:asciiTheme="majorHAnsi" w:hAnsiTheme="majorHAnsi"/>
          <w:color w:val="auto"/>
          <w:sz w:val="20"/>
          <w:lang w:val="en-US"/>
        </w:rPr>
        <w:t xml:space="preserve">In consequence, </w:t>
      </w:r>
    </w:p>
    <w:p w14:paraId="168E207F" w14:textId="77777777" w:rsidR="00006896" w:rsidRPr="00BA41B7"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sz w:val="20"/>
          <w:lang w:val="en-US"/>
        </w:rPr>
      </w:pPr>
    </w:p>
    <w:p w14:paraId="65816F51" w14:textId="77777777" w:rsidR="00006896" w:rsidRPr="00BA41B7" w:rsidRDefault="00006896" w:rsidP="00006896">
      <w:pPr>
        <w:ind w:firstLine="720"/>
        <w:jc w:val="both"/>
        <w:rPr>
          <w:b/>
          <w:sz w:val="20"/>
          <w:lang w:val="en-US"/>
        </w:rPr>
      </w:pPr>
      <w:r w:rsidRPr="00BA41B7">
        <w:rPr>
          <w:b/>
          <w:sz w:val="20"/>
          <w:lang w:val="en-US"/>
        </w:rPr>
        <w:tab/>
      </w:r>
      <w:r w:rsidR="001E28D1" w:rsidRPr="00BA41B7">
        <w:rPr>
          <w:b/>
          <w:sz w:val="20"/>
          <w:lang w:val="en-US"/>
        </w:rPr>
        <w:t>THE INTER-AMERICAN COMMISSION ON HUMAN RIGHTS</w:t>
      </w:r>
      <w:r w:rsidRPr="00BA41B7">
        <w:rPr>
          <w:b/>
          <w:sz w:val="20"/>
          <w:lang w:val="en-US"/>
        </w:rPr>
        <w:t xml:space="preserve">, </w:t>
      </w:r>
      <w:r w:rsidR="00183000" w:rsidRPr="00BA41B7">
        <w:rPr>
          <w:b/>
          <w:sz w:val="20"/>
          <w:lang w:val="en-US"/>
        </w:rPr>
        <w:t xml:space="preserve">REITERATES </w:t>
      </w:r>
      <w:r w:rsidR="0048538A" w:rsidRPr="00BA41B7">
        <w:rPr>
          <w:b/>
          <w:sz w:val="20"/>
          <w:lang w:val="en-US"/>
        </w:rPr>
        <w:t xml:space="preserve">THAT </w:t>
      </w:r>
      <w:r w:rsidR="001E28D1" w:rsidRPr="00BA41B7">
        <w:rPr>
          <w:b/>
          <w:sz w:val="20"/>
          <w:lang w:val="en-US"/>
        </w:rPr>
        <w:t xml:space="preserve">THE </w:t>
      </w:r>
      <w:r w:rsidR="00C53C19" w:rsidRPr="00BA41B7">
        <w:rPr>
          <w:b/>
          <w:sz w:val="20"/>
          <w:lang w:val="en-US"/>
        </w:rPr>
        <w:t>UNITED STATES OF AMERICA</w:t>
      </w:r>
      <w:r w:rsidR="00623733" w:rsidRPr="00BA41B7">
        <w:rPr>
          <w:b/>
          <w:sz w:val="20"/>
          <w:lang w:val="en-US"/>
        </w:rPr>
        <w:t>:</w:t>
      </w:r>
    </w:p>
    <w:p w14:paraId="319865B2" w14:textId="77777777" w:rsidR="00006896" w:rsidRPr="00BA41B7"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eastAsia="Times New Roman" w:hAnsi="Helvetica"/>
          <w:color w:val="666666"/>
          <w:sz w:val="15"/>
          <w:szCs w:val="15"/>
          <w:bdr w:val="none" w:sz="0" w:space="0" w:color="auto"/>
          <w:lang w:val="en-US"/>
        </w:rPr>
      </w:pPr>
      <w:r w:rsidRPr="00BA41B7">
        <w:rPr>
          <w:rFonts w:ascii="Helvetica" w:eastAsia="Times New Roman" w:hAnsi="Helvetica"/>
          <w:color w:val="666666"/>
          <w:sz w:val="15"/>
          <w:szCs w:val="15"/>
          <w:bdr w:val="none" w:sz="0" w:space="0" w:color="auto"/>
          <w:lang w:val="en-US"/>
        </w:rPr>
        <w:t> </w:t>
      </w:r>
    </w:p>
    <w:p w14:paraId="3E822D63" w14:textId="77777777" w:rsidR="001971BE" w:rsidRPr="00BA41B7" w:rsidRDefault="00C546DF" w:rsidP="00E940D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eastAsia="Times New Roman" w:cs="Tahoma"/>
          <w:color w:val="auto"/>
          <w:sz w:val="20"/>
          <w:szCs w:val="20"/>
          <w:bdr w:val="none" w:sz="0" w:space="0" w:color="auto"/>
        </w:rPr>
      </w:pPr>
      <w:r w:rsidRPr="00BA41B7">
        <w:rPr>
          <w:rFonts w:eastAsia="Times New Roman" w:cs="Tahoma"/>
          <w:color w:val="auto"/>
          <w:sz w:val="20"/>
          <w:szCs w:val="20"/>
          <w:bdr w:val="none" w:sz="0" w:space="0" w:color="auto"/>
        </w:rPr>
        <w:t>Provide</w:t>
      </w:r>
      <w:r w:rsidR="001971BE" w:rsidRPr="00BA41B7">
        <w:rPr>
          <w:rFonts w:eastAsia="Times New Roman" w:cs="Tahoma"/>
          <w:color w:val="auto"/>
          <w:sz w:val="20"/>
          <w:szCs w:val="20"/>
          <w:bdr w:val="none" w:sz="0" w:space="0" w:color="auto"/>
        </w:rPr>
        <w:t xml:space="preserve"> integral reparation for the human rights violations established in this report, </w:t>
      </w:r>
      <w:r w:rsidR="00CC02F1" w:rsidRPr="00BA41B7">
        <w:rPr>
          <w:rFonts w:eastAsia="Times New Roman" w:cs="Tahoma"/>
          <w:color w:val="auto"/>
          <w:sz w:val="20"/>
          <w:szCs w:val="20"/>
          <w:bdr w:val="none" w:sz="0" w:space="0" w:color="auto"/>
        </w:rPr>
        <w:t>including both the material and moral dimensions, and adopt measures for</w:t>
      </w:r>
      <w:r w:rsidR="001971BE" w:rsidRPr="00BA41B7">
        <w:rPr>
          <w:rFonts w:eastAsia="Times New Roman" w:cs="Tahoma"/>
          <w:color w:val="auto"/>
          <w:sz w:val="20"/>
          <w:szCs w:val="20"/>
          <w:bdr w:val="none" w:sz="0" w:space="0" w:color="auto"/>
        </w:rPr>
        <w:t xml:space="preserve"> economic compensation and</w:t>
      </w:r>
      <w:r w:rsidR="00084294" w:rsidRPr="00BA41B7">
        <w:rPr>
          <w:rFonts w:eastAsia="Times New Roman" w:cs="Tahoma"/>
          <w:color w:val="auto"/>
          <w:sz w:val="20"/>
          <w:szCs w:val="20"/>
          <w:bdr w:val="none" w:sz="0" w:space="0" w:color="auto"/>
        </w:rPr>
        <w:t xml:space="preserve"> measures of satisfaction.</w:t>
      </w:r>
      <w:r w:rsidR="006F0D8C" w:rsidRPr="00BA41B7">
        <w:rPr>
          <w:rFonts w:eastAsia="Times New Roman" w:cs="Tahoma"/>
          <w:color w:val="auto"/>
          <w:sz w:val="20"/>
          <w:szCs w:val="20"/>
          <w:bdr w:val="none" w:sz="0" w:space="0" w:color="auto"/>
        </w:rPr>
        <w:t xml:space="preserve"> In this regard, the State should take into account the specific reparation</w:t>
      </w:r>
      <w:r w:rsidR="000C4C2C" w:rsidRPr="00BA41B7">
        <w:rPr>
          <w:rFonts w:eastAsia="Times New Roman" w:cs="Tahoma"/>
          <w:color w:val="auto"/>
          <w:sz w:val="20"/>
          <w:szCs w:val="20"/>
          <w:bdr w:val="none" w:sz="0" w:space="0" w:color="auto"/>
        </w:rPr>
        <w:t>s</w:t>
      </w:r>
      <w:r w:rsidR="006F0D8C" w:rsidRPr="00BA41B7">
        <w:rPr>
          <w:rFonts w:eastAsia="Times New Roman" w:cs="Tahoma"/>
          <w:color w:val="auto"/>
          <w:sz w:val="20"/>
          <w:szCs w:val="20"/>
          <w:bdr w:val="none" w:sz="0" w:space="0" w:color="auto"/>
        </w:rPr>
        <w:t xml:space="preserve"> requested by the petitioners as the parties come to an agreement about </w:t>
      </w:r>
      <w:r w:rsidR="00796B30" w:rsidRPr="00BA41B7">
        <w:rPr>
          <w:rFonts w:eastAsia="Times New Roman" w:cs="Tahoma"/>
          <w:color w:val="auto"/>
          <w:sz w:val="20"/>
          <w:szCs w:val="20"/>
          <w:bdr w:val="none" w:sz="0" w:space="0" w:color="auto"/>
        </w:rPr>
        <w:t>what constitutes integral reparation in this case.</w:t>
      </w:r>
    </w:p>
    <w:p w14:paraId="231412FF" w14:textId="77777777" w:rsidR="000C4C2C" w:rsidRPr="00BA41B7" w:rsidRDefault="000C4C2C" w:rsidP="00E400B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right="540"/>
        <w:jc w:val="both"/>
        <w:rPr>
          <w:rFonts w:eastAsia="Times New Roman" w:cs="Tahoma"/>
          <w:color w:val="auto"/>
          <w:sz w:val="20"/>
          <w:szCs w:val="20"/>
          <w:bdr w:val="none" w:sz="0" w:space="0" w:color="auto"/>
        </w:rPr>
      </w:pPr>
    </w:p>
    <w:p w14:paraId="542986EB" w14:textId="77777777" w:rsidR="000C4C2C" w:rsidRPr="00BA41B7" w:rsidRDefault="00CF1970" w:rsidP="00E940D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540"/>
        <w:jc w:val="both"/>
        <w:rPr>
          <w:rFonts w:eastAsia="Times New Roman" w:cs="Tahoma"/>
          <w:color w:val="auto"/>
          <w:sz w:val="20"/>
          <w:szCs w:val="20"/>
          <w:bdr w:val="none" w:sz="0" w:space="0" w:color="auto"/>
        </w:rPr>
      </w:pPr>
      <w:r w:rsidRPr="00BA41B7">
        <w:rPr>
          <w:rFonts w:eastAsia="Times New Roman" w:cs="Tahoma"/>
          <w:color w:val="auto"/>
          <w:sz w:val="20"/>
          <w:szCs w:val="20"/>
          <w:bdr w:val="none" w:sz="0" w:space="0" w:color="auto"/>
        </w:rPr>
        <w:t>Adopt the necessary measures to ensure full disclosure of government information relating to the program of deportation and internment of Japanese Latin Americans during World War II, as well as relating to the fates of the individuals subject to this program.</w:t>
      </w:r>
    </w:p>
    <w:p w14:paraId="5829CDBF" w14:textId="77777777" w:rsidR="00EA4839" w:rsidRPr="00BA41B7" w:rsidRDefault="00EA4839" w:rsidP="00183000">
      <w:pPr>
        <w:jc w:val="both"/>
        <w:rPr>
          <w:rFonts w:cs="Arial"/>
          <w:sz w:val="20"/>
          <w:lang w:val="en-US"/>
        </w:rPr>
      </w:pPr>
    </w:p>
    <w:p w14:paraId="56C6F333" w14:textId="77777777" w:rsidR="00183000" w:rsidRPr="00BA41B7" w:rsidRDefault="0048538A" w:rsidP="00033F47">
      <w:pPr>
        <w:pStyle w:val="Heading1"/>
      </w:pPr>
      <w:bookmarkStart w:id="25" w:name="_Toc27059064"/>
      <w:r w:rsidRPr="00BA41B7">
        <w:t>PUBLICATION</w:t>
      </w:r>
      <w:bookmarkEnd w:id="25"/>
    </w:p>
    <w:p w14:paraId="296CCB10" w14:textId="77777777" w:rsidR="00183000" w:rsidRPr="00BA41B7" w:rsidRDefault="00183000" w:rsidP="00183000">
      <w:pPr>
        <w:pStyle w:val="ListParagraph"/>
        <w:tabs>
          <w:tab w:val="left" w:pos="0"/>
        </w:tabs>
        <w:ind w:left="1080"/>
        <w:jc w:val="both"/>
        <w:rPr>
          <w:sz w:val="20"/>
        </w:rPr>
      </w:pPr>
    </w:p>
    <w:p w14:paraId="4DB6EEFE" w14:textId="77777777" w:rsidR="00183000" w:rsidRPr="00563F07" w:rsidRDefault="0048538A" w:rsidP="00563F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auto"/>
          <w:sz w:val="20"/>
          <w:lang w:val="en-US"/>
        </w:rPr>
      </w:pPr>
      <w:r w:rsidRPr="00563F07">
        <w:rPr>
          <w:rFonts w:asciiTheme="majorHAnsi" w:hAnsiTheme="majorHAnsi"/>
          <w:color w:val="auto"/>
          <w:sz w:val="20"/>
          <w:lang w:val="en-US"/>
        </w:rPr>
        <w:t>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w:t>
      </w:r>
      <w:r w:rsidR="00DC4B3B" w:rsidRPr="00563F07">
        <w:rPr>
          <w:rFonts w:asciiTheme="majorHAnsi" w:hAnsiTheme="majorHAnsi"/>
          <w:color w:val="auto"/>
          <w:sz w:val="20"/>
          <w:lang w:val="en-US"/>
        </w:rPr>
        <w:t>.</w:t>
      </w:r>
    </w:p>
    <w:p w14:paraId="7DFB595E" w14:textId="77777777" w:rsidR="005E0199" w:rsidRPr="005E0199" w:rsidRDefault="005E0199" w:rsidP="005E0199">
      <w:pPr>
        <w:suppressAutoHyphens/>
        <w:rPr>
          <w:rFonts w:cs="Arial"/>
          <w:sz w:val="20"/>
          <w:lang w:val="en-US"/>
        </w:rPr>
      </w:pPr>
    </w:p>
    <w:p w14:paraId="2EA055D9" w14:textId="77777777" w:rsidR="00BA41B7" w:rsidRPr="00BA41B7" w:rsidRDefault="00BA41B7" w:rsidP="00BA41B7">
      <w:pPr>
        <w:suppressAutoHyphens/>
        <w:ind w:firstLine="720"/>
        <w:jc w:val="both"/>
        <w:rPr>
          <w:spacing w:val="-2"/>
          <w:sz w:val="20"/>
          <w:lang w:val="en-US"/>
        </w:rPr>
      </w:pPr>
      <w:r w:rsidRPr="00BA41B7">
        <w:rPr>
          <w:spacing w:val="-2"/>
          <w:sz w:val="20"/>
          <w:lang w:val="en-US"/>
        </w:rPr>
        <w:t xml:space="preserve">Approved by </w:t>
      </w:r>
      <w:r w:rsidRPr="00BA41B7">
        <w:rPr>
          <w:rFonts w:cs="Arial"/>
          <w:sz w:val="20"/>
          <w:lang w:val="en-US"/>
        </w:rPr>
        <w:t xml:space="preserve">the </w:t>
      </w:r>
      <w:r w:rsidRPr="00BA41B7">
        <w:rPr>
          <w:sz w:val="20"/>
          <w:lang w:val="en-US"/>
        </w:rPr>
        <w:t>Inter-American Commission on Human Rights</w:t>
      </w:r>
      <w:r w:rsidRPr="00BA41B7">
        <w:rPr>
          <w:spacing w:val="-2"/>
          <w:sz w:val="20"/>
          <w:lang w:val="en-US"/>
        </w:rPr>
        <w:t xml:space="preserve"> on the 22 days of the month of April, 2020. (Signed): Joel Hernández García, President; Antonia Urrejola Noguera, </w:t>
      </w:r>
      <w:r w:rsidRPr="00BA41B7">
        <w:rPr>
          <w:rFonts w:cs="Arial"/>
          <w:sz w:val="20"/>
          <w:lang w:val="en-US"/>
        </w:rPr>
        <w:t xml:space="preserve">First Vice President; </w:t>
      </w:r>
      <w:r w:rsidRPr="00BA41B7">
        <w:rPr>
          <w:spacing w:val="-2"/>
          <w:sz w:val="20"/>
          <w:lang w:val="en-US"/>
        </w:rPr>
        <w:t>Flávia Piovesan, Second Vice President;</w:t>
      </w:r>
      <w:r w:rsidRPr="00BA41B7">
        <w:rPr>
          <w:rFonts w:cs="Arial"/>
          <w:sz w:val="20"/>
          <w:lang w:val="en-US"/>
        </w:rPr>
        <w:t xml:space="preserve"> </w:t>
      </w:r>
      <w:r w:rsidRPr="00BA41B7">
        <w:rPr>
          <w:spacing w:val="-2"/>
          <w:sz w:val="20"/>
          <w:lang w:val="en-US"/>
        </w:rPr>
        <w:t xml:space="preserve">Margarette May Macaulay, </w:t>
      </w:r>
      <w:r w:rsidRPr="00563F07">
        <w:rPr>
          <w:spacing w:val="-2"/>
          <w:sz w:val="20"/>
          <w:lang w:val="en-US"/>
        </w:rPr>
        <w:t>Esmeralda E. Arosemena Bernal de Troitiño</w:t>
      </w:r>
      <w:r w:rsidRPr="00BA41B7">
        <w:rPr>
          <w:spacing w:val="-2"/>
          <w:sz w:val="20"/>
          <w:lang w:val="en-US"/>
        </w:rPr>
        <w:t xml:space="preserve"> and Julissa Mantilla Falcón, Commissioners.</w:t>
      </w:r>
    </w:p>
    <w:p w14:paraId="580A327C" w14:textId="77777777" w:rsidR="00BA41B7" w:rsidRPr="00BA41B7" w:rsidRDefault="00BA41B7" w:rsidP="00BA41B7">
      <w:pPr>
        <w:suppressAutoHyphens/>
        <w:jc w:val="both"/>
        <w:rPr>
          <w:spacing w:val="-2"/>
          <w:sz w:val="20"/>
          <w:lang w:val="en-US"/>
        </w:rPr>
      </w:pPr>
    </w:p>
    <w:p w14:paraId="1A3F91EC" w14:textId="77777777" w:rsidR="00BA41B7" w:rsidRPr="007D6F4E" w:rsidRDefault="00BA41B7" w:rsidP="00BA41B7">
      <w:pPr>
        <w:jc w:val="center"/>
        <w:rPr>
          <w:sz w:val="20"/>
          <w:lang w:val="en-US"/>
        </w:rPr>
      </w:pPr>
    </w:p>
    <w:p w14:paraId="13CDBA2B" w14:textId="77777777" w:rsidR="005E0199" w:rsidRPr="005E0199" w:rsidRDefault="005E0199" w:rsidP="005E0199">
      <w:pPr>
        <w:ind w:left="720" w:hanging="720"/>
        <w:rPr>
          <w:rFonts w:asciiTheme="majorHAnsi" w:hAnsiTheme="majorHAnsi"/>
          <w:color w:val="000000" w:themeColor="text1"/>
          <w:sz w:val="20"/>
          <w:lang w:val="en-US"/>
        </w:rPr>
      </w:pPr>
    </w:p>
    <w:p w14:paraId="566BB646" w14:textId="77777777" w:rsidR="005E0199" w:rsidRPr="00E56641" w:rsidRDefault="005E0199" w:rsidP="00EA4839">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 w:val="left" w:pos="720"/>
          <w:tab w:val="left" w:pos="1440"/>
        </w:tabs>
        <w:jc w:val="both"/>
        <w:rPr>
          <w:color w:val="548DD4" w:themeColor="text2" w:themeTint="99"/>
          <w:sz w:val="20"/>
          <w:lang w:val="en-US"/>
        </w:rPr>
      </w:pPr>
    </w:p>
    <w:sectPr w:rsidR="005E0199" w:rsidRPr="00E5664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9CC8" w14:textId="77777777" w:rsidR="0015223B" w:rsidRDefault="0015223B">
      <w:r>
        <w:separator/>
      </w:r>
    </w:p>
  </w:endnote>
  <w:endnote w:type="continuationSeparator" w:id="0">
    <w:p w14:paraId="7269E222" w14:textId="77777777" w:rsidR="0015223B" w:rsidRDefault="0015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4AEBC028" w14:textId="77777777" w:rsidR="0048538A" w:rsidRPr="00934A2C" w:rsidRDefault="0048538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1FA8">
          <w:rPr>
            <w:noProof/>
            <w:sz w:val="16"/>
            <w:szCs w:val="22"/>
          </w:rPr>
          <w:t>17</w:t>
        </w:r>
        <w:r w:rsidRPr="00934A2C">
          <w:rPr>
            <w:noProof/>
            <w:sz w:val="16"/>
            <w:szCs w:val="22"/>
          </w:rPr>
          <w:fldChar w:fldCharType="end"/>
        </w:r>
      </w:p>
    </w:sdtContent>
  </w:sdt>
  <w:p w14:paraId="51378EA1" w14:textId="77777777" w:rsidR="0048538A" w:rsidRDefault="0048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8CAE" w14:textId="77777777" w:rsidR="0048538A" w:rsidRPr="00934A2C" w:rsidRDefault="0048538A">
    <w:pPr>
      <w:pStyle w:val="Footer"/>
      <w:jc w:val="center"/>
      <w:rPr>
        <w:sz w:val="16"/>
        <w:szCs w:val="22"/>
      </w:rPr>
    </w:pPr>
  </w:p>
  <w:p w14:paraId="38D9B319" w14:textId="77777777" w:rsidR="0048538A" w:rsidRDefault="0048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6591B" w14:textId="77777777" w:rsidR="0015223B" w:rsidRPr="000F35ED" w:rsidRDefault="0015223B">
      <w:pPr>
        <w:rPr>
          <w:rFonts w:asciiTheme="majorHAnsi" w:hAnsiTheme="majorHAnsi"/>
          <w:szCs w:val="16"/>
        </w:rPr>
      </w:pPr>
      <w:r w:rsidRPr="000F35ED">
        <w:rPr>
          <w:rFonts w:asciiTheme="majorHAnsi" w:hAnsiTheme="majorHAnsi"/>
          <w:szCs w:val="16"/>
        </w:rPr>
        <w:separator/>
      </w:r>
    </w:p>
  </w:footnote>
  <w:footnote w:type="continuationSeparator" w:id="0">
    <w:p w14:paraId="7BA98BE1" w14:textId="77777777" w:rsidR="0015223B" w:rsidRPr="000F35ED" w:rsidRDefault="0015223B" w:rsidP="000F35ED">
      <w:pPr>
        <w:rPr>
          <w:rFonts w:asciiTheme="majorHAnsi" w:hAnsiTheme="majorHAnsi"/>
          <w:szCs w:val="16"/>
        </w:rPr>
      </w:pPr>
      <w:r w:rsidRPr="000F35ED">
        <w:rPr>
          <w:rFonts w:asciiTheme="majorHAnsi" w:hAnsiTheme="majorHAnsi"/>
          <w:szCs w:val="16"/>
        </w:rPr>
        <w:separator/>
      </w:r>
    </w:p>
    <w:p w14:paraId="32682C01" w14:textId="77777777" w:rsidR="0015223B" w:rsidRPr="000F35ED" w:rsidRDefault="0015223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E118EF" w14:textId="77777777" w:rsidR="0015223B" w:rsidRPr="000F35ED" w:rsidRDefault="0015223B" w:rsidP="000F35ED">
      <w:pPr>
        <w:jc w:val="right"/>
        <w:rPr>
          <w:rFonts w:asciiTheme="majorHAnsi" w:hAnsiTheme="majorHAnsi"/>
          <w:szCs w:val="16"/>
        </w:rPr>
      </w:pPr>
      <w:r>
        <w:rPr>
          <w:rFonts w:asciiTheme="majorHAnsi" w:hAnsiTheme="majorHAnsi"/>
          <w:szCs w:val="16"/>
        </w:rPr>
        <w:t>[c</w:t>
      </w:r>
      <w:r w:rsidRPr="000F35ED">
        <w:rPr>
          <w:rFonts w:asciiTheme="majorHAnsi" w:hAnsiTheme="majorHAnsi"/>
          <w:szCs w:val="16"/>
        </w:rPr>
        <w:t>ontinúa…</w:t>
      </w:r>
      <w:r>
        <w:rPr>
          <w:rFonts w:asciiTheme="majorHAnsi" w:hAnsiTheme="majorHAnsi"/>
          <w:szCs w:val="16"/>
        </w:rPr>
        <w:t>]</w:t>
      </w:r>
    </w:p>
  </w:footnote>
  <w:footnote w:id="2">
    <w:p w14:paraId="1D734D56"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color w:val="auto"/>
          <w:szCs w:val="16"/>
        </w:rPr>
        <w:footnoteRef/>
      </w:r>
      <w:r w:rsidRPr="00481E5F">
        <w:rPr>
          <w:rFonts w:asciiTheme="majorHAnsi" w:hAnsiTheme="majorHAnsi"/>
          <w:color w:val="auto"/>
          <w:szCs w:val="16"/>
        </w:rPr>
        <w:t xml:space="preserve"> IACHR. Report No. 26/06. Case 12.545. Admissibility. </w:t>
      </w:r>
      <w:r w:rsidRPr="00481E5F">
        <w:rPr>
          <w:rFonts w:asciiTheme="majorHAnsi" w:hAnsiTheme="majorHAnsi"/>
          <w:color w:val="auto"/>
          <w:szCs w:val="16"/>
          <w:lang w:val="es-US"/>
        </w:rPr>
        <w:t xml:space="preserve">Isamu Carlos Shibayama et al. </w:t>
      </w:r>
      <w:r w:rsidRPr="00481E5F">
        <w:rPr>
          <w:rFonts w:asciiTheme="majorHAnsi" w:hAnsiTheme="majorHAnsi"/>
          <w:color w:val="auto"/>
          <w:szCs w:val="16"/>
        </w:rPr>
        <w:t xml:space="preserve">United States. March 16, 2006. Alleged violations admissible: Articles II, XVIII and XXVI of the American Declaration on the Rights and Duties of Man. </w:t>
      </w:r>
    </w:p>
  </w:footnote>
  <w:footnote w:id="3">
    <w:p w14:paraId="6B6AA3D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w:t>
      </w:r>
      <w:r w:rsidRPr="00481E5F">
        <w:rPr>
          <w:rFonts w:asciiTheme="majorHAnsi" w:hAnsiTheme="majorHAnsi"/>
          <w:i/>
          <w:szCs w:val="16"/>
        </w:rPr>
        <w:t xml:space="preserve">See </w:t>
      </w:r>
      <w:r w:rsidRPr="00481E5F">
        <w:rPr>
          <w:rFonts w:asciiTheme="majorHAnsi" w:hAnsiTheme="majorHAnsi"/>
          <w:color w:val="auto"/>
          <w:szCs w:val="16"/>
        </w:rPr>
        <w:t>IACHR. Report No. 26/06. Case 12.545. Admissibility. Isamu Carlos Shibayama et al. United States. March 16, 2006, paras. 39-40.</w:t>
      </w:r>
    </w:p>
  </w:footnote>
  <w:footnote w:id="4">
    <w:p w14:paraId="751D94B9"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5">
    <w:p w14:paraId="0ADF8102"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6">
    <w:p w14:paraId="3B64F0A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U.S. National Archives, Japanese Relocation During World War II (last reviewed Apr. 10, 2017), available at: </w:t>
      </w:r>
      <w:hyperlink r:id="rId1" w:history="1">
        <w:r w:rsidRPr="00481E5F">
          <w:rPr>
            <w:rStyle w:val="Hyperlink"/>
            <w:rFonts w:asciiTheme="majorHAnsi" w:hAnsiTheme="majorHAnsi"/>
            <w:szCs w:val="16"/>
          </w:rPr>
          <w:t>https://www.archives.gov/education/lessons/japanese-relocation</w:t>
        </w:r>
      </w:hyperlink>
      <w:r w:rsidRPr="00481E5F">
        <w:rPr>
          <w:rFonts w:asciiTheme="majorHAnsi" w:hAnsiTheme="majorHAnsi"/>
          <w:szCs w:val="16"/>
        </w:rPr>
        <w:t xml:space="preserve">. </w:t>
      </w:r>
    </w:p>
  </w:footnote>
  <w:footnote w:id="7">
    <w:p w14:paraId="2A7243F0"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8">
    <w:p w14:paraId="7CA52A4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 xml:space="preserve">Personal Justice Denied: Report of the Commission on Wartime Relocation and Internment of Civilians </w:t>
      </w:r>
      <w:r w:rsidRPr="00481E5F">
        <w:rPr>
          <w:rFonts w:asciiTheme="majorHAnsi" w:hAnsiTheme="majorHAnsi"/>
          <w:szCs w:val="16"/>
        </w:rPr>
        <w:t>(Washington, DC and Seattle: Civil Liberties Public Education Fund and U. of Washington, 1997). Originally published in two vols. (1982-83) [hereinafter “</w:t>
      </w:r>
      <w:r w:rsidRPr="00481E5F">
        <w:rPr>
          <w:rFonts w:asciiTheme="majorHAnsi" w:hAnsiTheme="majorHAnsi"/>
          <w:i/>
          <w:szCs w:val="16"/>
        </w:rPr>
        <w:t>Personal Justice Denied</w:t>
      </w:r>
      <w:r w:rsidRPr="00481E5F">
        <w:rPr>
          <w:rFonts w:asciiTheme="majorHAnsi" w:hAnsiTheme="majorHAnsi"/>
          <w:szCs w:val="16"/>
        </w:rPr>
        <w:t>”]. Submitted with petitioners’ letter of Mar. 7, 2017.</w:t>
      </w:r>
    </w:p>
    <w:p w14:paraId="6753A255" w14:textId="77777777" w:rsidR="0048538A" w:rsidRPr="00481E5F" w:rsidRDefault="0048538A" w:rsidP="00481E5F">
      <w:pPr>
        <w:pStyle w:val="FootnoteText"/>
        <w:jc w:val="both"/>
        <w:rPr>
          <w:rFonts w:asciiTheme="majorHAnsi" w:hAnsiTheme="majorHAnsi"/>
          <w:szCs w:val="16"/>
        </w:rPr>
      </w:pPr>
      <w:r w:rsidRPr="00481E5F">
        <w:rPr>
          <w:rFonts w:asciiTheme="majorHAnsi" w:hAnsiTheme="majorHAnsi"/>
          <w:szCs w:val="16"/>
        </w:rPr>
        <w:tab/>
        <w:t xml:space="preserve">In this regard, the Commission notes that it has received information from other individuals and groups during the processing of this case regarding the fates of thousands of German Latin Americans and others of European ancestry, and their families, who were subjected to similar regimes of internment and deportation to the U.S. for internment during this period. </w:t>
      </w:r>
      <w:r w:rsidRPr="00481E5F">
        <w:rPr>
          <w:rFonts w:asciiTheme="majorHAnsi" w:hAnsiTheme="majorHAnsi"/>
          <w:i/>
          <w:szCs w:val="16"/>
        </w:rPr>
        <w:t>See</w:t>
      </w:r>
      <w:r w:rsidRPr="00481E5F">
        <w:rPr>
          <w:rFonts w:asciiTheme="majorHAnsi" w:hAnsiTheme="majorHAnsi"/>
          <w:szCs w:val="16"/>
        </w:rPr>
        <w:t xml:space="preserve"> Letter from Heidi Gurcke Donald (German American Internee Coalition)</w:t>
      </w:r>
      <w:r>
        <w:rPr>
          <w:rFonts w:asciiTheme="majorHAnsi" w:hAnsiTheme="majorHAnsi"/>
          <w:szCs w:val="16"/>
        </w:rPr>
        <w:t xml:space="preserve"> to the IACHR</w:t>
      </w:r>
      <w:r w:rsidRPr="00481E5F">
        <w:rPr>
          <w:rFonts w:asciiTheme="majorHAnsi" w:hAnsiTheme="majorHAnsi"/>
          <w:szCs w:val="16"/>
        </w:rPr>
        <w:t xml:space="preserve"> (May 17, 2006); </w:t>
      </w:r>
      <w:r w:rsidRPr="00481E5F">
        <w:rPr>
          <w:rFonts w:asciiTheme="majorHAnsi" w:hAnsiTheme="majorHAnsi"/>
          <w:i/>
          <w:szCs w:val="16"/>
        </w:rPr>
        <w:t>see also</w:t>
      </w:r>
      <w:r w:rsidRPr="00481E5F">
        <w:rPr>
          <w:rFonts w:asciiTheme="majorHAnsi" w:hAnsiTheme="majorHAnsi"/>
          <w:szCs w:val="16"/>
        </w:rPr>
        <w:t xml:space="preserve"> Heidi Gurcke Donald, </w:t>
      </w:r>
      <w:r w:rsidRPr="00481E5F">
        <w:rPr>
          <w:rFonts w:asciiTheme="majorHAnsi" w:hAnsiTheme="majorHAnsi"/>
          <w:i/>
          <w:szCs w:val="16"/>
        </w:rPr>
        <w:t>We Were Not the Enemy: Remembering the United States’ Latin-American Civilian Internment Program of World War II</w:t>
      </w:r>
      <w:r w:rsidRPr="00481E5F">
        <w:rPr>
          <w:rFonts w:asciiTheme="majorHAnsi" w:hAnsiTheme="majorHAnsi"/>
          <w:szCs w:val="16"/>
        </w:rPr>
        <w:t xml:space="preserve"> (Lincoln, NE: iUniverse, 2006).</w:t>
      </w:r>
    </w:p>
  </w:footnote>
  <w:footnote w:id="9">
    <w:p w14:paraId="0E878E18"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0">
    <w:p w14:paraId="0162E1D3"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Letter of Juan Kudo to Valerie O’Brian, Office of Reparations Administration (Nov. 29, 1988). Submitted with initial petition; Declaration of Grace Shimizu in </w:t>
      </w:r>
      <w:r w:rsidRPr="00481E5F">
        <w:rPr>
          <w:rFonts w:asciiTheme="majorHAnsi" w:hAnsiTheme="majorHAnsi"/>
          <w:i/>
          <w:szCs w:val="16"/>
        </w:rPr>
        <w:t>Mochizuki</w:t>
      </w:r>
      <w:r w:rsidRPr="00481E5F">
        <w:rPr>
          <w:rFonts w:asciiTheme="majorHAnsi" w:hAnsiTheme="majorHAnsi"/>
          <w:szCs w:val="16"/>
        </w:rPr>
        <w:t xml:space="preserve"> settlement (Jan. 7, 1999). Submitted with petitioners’ letter of Sept. 30, 2003.</w:t>
      </w:r>
    </w:p>
  </w:footnote>
  <w:footnote w:id="11">
    <w:p w14:paraId="497E0A7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2">
    <w:p w14:paraId="0364FEAF"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3">
    <w:p w14:paraId="548B3107"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Letter of Juan Kudo to Valerie O’Brian, Office of Reparations Administration (Nov. 29, 1988). Submitted with initial petition;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4">
    <w:p w14:paraId="7AE4AEE2"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5">
    <w:p w14:paraId="32161009"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16">
    <w:p w14:paraId="1371ED88"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Joint Stipulation of Facts, Defendant’s Statement of Facts, and Plaintiffs’ Statement of Facts in </w:t>
      </w:r>
      <w:r w:rsidRPr="00481E5F">
        <w:rPr>
          <w:rFonts w:asciiTheme="majorHAnsi" w:hAnsiTheme="majorHAnsi"/>
          <w:i/>
          <w:szCs w:val="16"/>
        </w:rPr>
        <w:t>Shibiyama et al. v. U.S.</w:t>
      </w:r>
      <w:r w:rsidRPr="00481E5F">
        <w:rPr>
          <w:rFonts w:asciiTheme="majorHAnsi" w:hAnsiTheme="majorHAnsi"/>
          <w:szCs w:val="16"/>
        </w:rPr>
        <w:t xml:space="preserve"> (Fed. Cl. submitted Aug. 2, 2000) [hereinafter “Stipulation of Facts”]. Submitted with initial petition. </w:t>
      </w:r>
    </w:p>
  </w:footnote>
  <w:footnote w:id="17">
    <w:p w14:paraId="14B24018"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 New York Times, Isamu Shibayama Dies at 88, His Quest for Reparations Unfulfilled (Aug. 17, 2018), available at: </w:t>
      </w:r>
      <w:hyperlink r:id="rId2" w:history="1">
        <w:r w:rsidRPr="00481E5F">
          <w:rPr>
            <w:rStyle w:val="Hyperlink"/>
            <w:rFonts w:asciiTheme="majorHAnsi" w:hAnsiTheme="majorHAnsi"/>
            <w:szCs w:val="16"/>
          </w:rPr>
          <w:t>https://www.nytimes.com/2018/08/17/obituaries/isamu-shibayama-dies-at-88-his-quest-for-reparations-unfulfilled.html</w:t>
        </w:r>
      </w:hyperlink>
      <w:r w:rsidRPr="00481E5F">
        <w:rPr>
          <w:rFonts w:asciiTheme="majorHAnsi" w:hAnsiTheme="majorHAnsi"/>
          <w:szCs w:val="16"/>
        </w:rPr>
        <w:t xml:space="preserve">. </w:t>
      </w:r>
    </w:p>
  </w:footnote>
  <w:footnote w:id="18">
    <w:p w14:paraId="1551895A" w14:textId="77777777" w:rsidR="0048538A" w:rsidRPr="00481E5F" w:rsidRDefault="0048538A" w:rsidP="00481E5F">
      <w:pPr>
        <w:pStyle w:val="FootnoteText"/>
        <w:jc w:val="both"/>
        <w:rPr>
          <w:rFonts w:asciiTheme="majorHAnsi" w:hAnsiTheme="majorHAnsi"/>
          <w:b/>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19">
    <w:p w14:paraId="740EF0B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INS, Reopened Deportation Hearing transcript (Aug. 10, 1954). Submitted with initial petition.</w:t>
      </w:r>
    </w:p>
  </w:footnote>
  <w:footnote w:id="20">
    <w:p w14:paraId="7C36D248"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Declaration of Rose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21">
    <w:p w14:paraId="5E2E20F2"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Shibiyama et al. v. U.S.</w:t>
      </w:r>
      <w:r w:rsidRPr="00481E5F">
        <w:rPr>
          <w:rFonts w:asciiTheme="majorHAnsi" w:hAnsiTheme="majorHAnsi"/>
          <w:szCs w:val="16"/>
        </w:rPr>
        <w:t xml:space="preserve"> (Fed. Cl. submitted Aug. 2, 2000). Submitted with initial petition.</w:t>
      </w:r>
    </w:p>
    <w:p w14:paraId="2AB2C972" w14:textId="77777777" w:rsidR="0048538A" w:rsidRPr="00481E5F" w:rsidRDefault="0048538A" w:rsidP="00481E5F">
      <w:pPr>
        <w:pStyle w:val="FootnoteText"/>
        <w:jc w:val="both"/>
        <w:rPr>
          <w:rFonts w:asciiTheme="majorHAnsi" w:hAnsiTheme="majorHAnsi"/>
          <w:szCs w:val="16"/>
        </w:rPr>
      </w:pPr>
      <w:r w:rsidRPr="00481E5F">
        <w:rPr>
          <w:rFonts w:asciiTheme="majorHAnsi" w:hAnsiTheme="majorHAnsi"/>
          <w:szCs w:val="16"/>
        </w:rPr>
        <w:tab/>
        <w:t xml:space="preserve">About these early deportations, </w:t>
      </w:r>
      <w:r w:rsidRPr="00481E5F">
        <w:rPr>
          <w:rFonts w:asciiTheme="majorHAnsi" w:hAnsiTheme="majorHAnsi"/>
          <w:i/>
          <w:szCs w:val="16"/>
        </w:rPr>
        <w:t>Personal Justice Denied</w:t>
      </w:r>
      <w:r w:rsidRPr="00481E5F">
        <w:rPr>
          <w:rFonts w:asciiTheme="majorHAnsi" w:hAnsiTheme="majorHAnsi"/>
          <w:szCs w:val="16"/>
        </w:rPr>
        <w:t xml:space="preserve"> established: “Normal legal proceedings were ignored and none of the Peruvians were issued warrants, granted hearings, or indicted after arrest. On entering the United States […] private citizens were sent to INS internment camps in Texas. In most cases passports had been confiscated before landing, and the State Department ordered American consuls in Peru and elsewhere to issue no visas prior to departure. […] Categorical classifications of some as ‘believed to be dangerous’ enabled the deportation of many private citizens because the United States was unwilling to investigate the need to deport each individual.”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22">
    <w:p w14:paraId="27E6D29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Shibiyama et al. v. U.S.</w:t>
      </w:r>
      <w:r w:rsidRPr="00481E5F">
        <w:rPr>
          <w:rFonts w:asciiTheme="majorHAnsi" w:hAnsiTheme="majorHAnsi"/>
          <w:szCs w:val="16"/>
        </w:rPr>
        <w:t xml:space="preserve"> (Fed. Cl. submitted Aug. 2, 2000). Submitted with initial petition.</w:t>
      </w:r>
    </w:p>
  </w:footnote>
  <w:footnote w:id="23">
    <w:p w14:paraId="5D2A8D5A"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Isamu Shibayama’s testimony at merits hearing.</w:t>
      </w:r>
    </w:p>
  </w:footnote>
  <w:footnote w:id="24">
    <w:p w14:paraId="447D9800"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Declaration of Rose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25">
    <w:p w14:paraId="213D1DD4"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Declaration of Rose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26">
    <w:p w14:paraId="40AE2216"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w:t>
      </w:r>
    </w:p>
  </w:footnote>
  <w:footnote w:id="27">
    <w:p w14:paraId="735E7830"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28">
    <w:p w14:paraId="0A35AD3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29">
    <w:p w14:paraId="4843FB44"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Along with some 130 “enemy aliens” from Bolivia, Costa Rica, and Ecuador.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30">
    <w:p w14:paraId="730B2E13"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31">
    <w:p w14:paraId="0EF38EF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32">
    <w:p w14:paraId="30C010D1"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 Declaration of Rose A.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33">
    <w:p w14:paraId="5351E429"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w:t>
      </w:r>
    </w:p>
  </w:footnote>
  <w:footnote w:id="34">
    <w:p w14:paraId="07AAE89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w:t>
      </w:r>
    </w:p>
  </w:footnote>
  <w:footnote w:id="35">
    <w:p w14:paraId="42AAA23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 Declaration of Rose A.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36">
    <w:p w14:paraId="271D968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 </w:t>
      </w:r>
    </w:p>
  </w:footnote>
  <w:footnote w:id="37">
    <w:p w14:paraId="3525B47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38">
    <w:p w14:paraId="0289A5EF"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39">
    <w:p w14:paraId="75AF6DB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INS, Reopened Deportation Hearing transcript (Aug. 10, 1954). Submitted with initial petition. The siblings subsequently corrected this assertion to establish that they and their parents “were brought to this country forceably for internment here.” Id.</w:t>
      </w:r>
    </w:p>
    <w:p w14:paraId="661189B5" w14:textId="77777777" w:rsidR="0048538A" w:rsidRPr="00481E5F" w:rsidRDefault="0048538A" w:rsidP="00481E5F">
      <w:pPr>
        <w:pStyle w:val="FootnoteText"/>
        <w:jc w:val="both"/>
        <w:rPr>
          <w:rFonts w:asciiTheme="majorHAnsi" w:hAnsiTheme="majorHAnsi"/>
          <w:szCs w:val="16"/>
        </w:rPr>
      </w:pPr>
      <w:r w:rsidRPr="00481E5F">
        <w:rPr>
          <w:rFonts w:asciiTheme="majorHAnsi" w:hAnsiTheme="majorHAnsi"/>
          <w:szCs w:val="16"/>
        </w:rPr>
        <w:tab/>
        <w:t xml:space="preserve">They may have been classified in this way because “About half the Japanese internees were family members, including Nisei, who asked to join their husbands and fathers in camps pending deportation to Japan; family members were classified as ‘voluntary internees.’”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40">
    <w:p w14:paraId="49DCCF60"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41">
    <w:p w14:paraId="370C81EC"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Shibayama et al. v. U.S.</w:t>
      </w:r>
      <w:r w:rsidRPr="00481E5F">
        <w:rPr>
          <w:rFonts w:asciiTheme="majorHAnsi" w:hAnsiTheme="majorHAnsi"/>
          <w:szCs w:val="16"/>
        </w:rPr>
        <w:t xml:space="preserve"> (Fed. Cl. submitted Aug. 2, 2000). Submitted with initial petition.</w:t>
      </w:r>
    </w:p>
  </w:footnote>
  <w:footnote w:id="42">
    <w:p w14:paraId="75E111B9"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43">
    <w:p w14:paraId="5671E1F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 </w:t>
      </w:r>
      <w:r>
        <w:rPr>
          <w:rFonts w:asciiTheme="majorHAnsi" w:hAnsiTheme="majorHAnsi"/>
          <w:szCs w:val="16"/>
        </w:rPr>
        <w:t>“</w:t>
      </w:r>
      <w:r w:rsidRPr="00481E5F">
        <w:rPr>
          <w:rFonts w:asciiTheme="majorHAnsi" w:hAnsiTheme="majorHAnsi"/>
          <w:szCs w:val="16"/>
        </w:rPr>
        <w:t xml:space="preserve">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44">
    <w:p w14:paraId="69F78372"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Stipulation of Facts in </w:t>
      </w:r>
      <w:r w:rsidRPr="00481E5F">
        <w:rPr>
          <w:rFonts w:asciiTheme="majorHAnsi" w:hAnsiTheme="majorHAnsi"/>
          <w:i/>
          <w:szCs w:val="16"/>
        </w:rPr>
        <w:t>Shibiyama et al. v. U.S.</w:t>
      </w:r>
      <w:r w:rsidRPr="00481E5F">
        <w:rPr>
          <w:rFonts w:asciiTheme="majorHAnsi" w:hAnsiTheme="majorHAnsi"/>
          <w:szCs w:val="16"/>
        </w:rPr>
        <w:t xml:space="preserve"> (Fed. Cl. submitted Aug. 2, 2000). Submitted with initial petition.</w:t>
      </w:r>
    </w:p>
  </w:footnote>
  <w:footnote w:id="45">
    <w:p w14:paraId="577A92C4"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p w14:paraId="145D47B1" w14:textId="77777777" w:rsidR="0048538A" w:rsidRPr="00481E5F" w:rsidRDefault="0048538A" w:rsidP="00481E5F">
      <w:pPr>
        <w:pStyle w:val="FootnoteText"/>
        <w:jc w:val="both"/>
        <w:rPr>
          <w:rFonts w:asciiTheme="majorHAnsi" w:hAnsiTheme="majorHAnsi"/>
          <w:szCs w:val="16"/>
        </w:rPr>
      </w:pPr>
      <w:r w:rsidRPr="00481E5F">
        <w:rPr>
          <w:rFonts w:asciiTheme="majorHAnsi" w:hAnsiTheme="majorHAnsi"/>
          <w:szCs w:val="16"/>
        </w:rPr>
        <w:tab/>
      </w:r>
      <w:r w:rsidRPr="00481E5F">
        <w:rPr>
          <w:rFonts w:asciiTheme="majorHAnsi" w:hAnsiTheme="majorHAnsi"/>
          <w:i/>
          <w:szCs w:val="16"/>
        </w:rPr>
        <w:t>Personal Justice Denied</w:t>
      </w:r>
      <w:r w:rsidRPr="00481E5F">
        <w:rPr>
          <w:rFonts w:asciiTheme="majorHAnsi" w:hAnsiTheme="majorHAnsi"/>
          <w:szCs w:val="16"/>
        </w:rPr>
        <w:t xml:space="preserve"> indicates that the U.S. “sought to return internees who were not classified as dangerous and who refused deportation to Axis countries, to their points of origin in Latin America. But the common hemispheric interests that bred the deportation had dissolved, and the government now had to negotiate about returning internees to Latin America using weak, hastily-written wartime agreements, for the United States had not exacted initial guarantees defining the deportees’ postwar fate. […] Peru […] wanted to restrict the return of Japanese (but not German) internees.” “Appendix: Latin Americans,” in </w:t>
      </w:r>
      <w:r w:rsidRPr="00481E5F">
        <w:rPr>
          <w:rFonts w:asciiTheme="majorHAnsi" w:hAnsiTheme="majorHAnsi"/>
          <w:i/>
          <w:szCs w:val="16"/>
        </w:rPr>
        <w:t>Personal Justice Denied</w:t>
      </w:r>
      <w:r w:rsidRPr="00481E5F">
        <w:rPr>
          <w:rFonts w:asciiTheme="majorHAnsi" w:hAnsiTheme="majorHAnsi"/>
          <w:szCs w:val="16"/>
        </w:rPr>
        <w:t>.</w:t>
      </w:r>
      <w:r w:rsidRPr="00481E5F">
        <w:rPr>
          <w:rFonts w:asciiTheme="majorHAnsi" w:hAnsiTheme="majorHAnsi"/>
          <w:i/>
          <w:szCs w:val="16"/>
        </w:rPr>
        <w:t xml:space="preserve"> </w:t>
      </w:r>
      <w:r w:rsidRPr="00481E5F">
        <w:rPr>
          <w:rFonts w:asciiTheme="majorHAnsi" w:hAnsiTheme="majorHAnsi"/>
          <w:szCs w:val="16"/>
        </w:rPr>
        <w:t>Submitted with petitioners’ letter of Mar. 7, 2017.</w:t>
      </w:r>
    </w:p>
  </w:footnote>
  <w:footnote w:id="46">
    <w:p w14:paraId="599406A6" w14:textId="77777777" w:rsidR="0048538A" w:rsidRPr="00481E5F" w:rsidRDefault="0048538A" w:rsidP="00481E5F">
      <w:pPr>
        <w:pStyle w:val="FootnoteText"/>
        <w:jc w:val="both"/>
        <w:rPr>
          <w:rFonts w:asciiTheme="majorHAnsi" w:hAnsiTheme="majorHAnsi"/>
        </w:rPr>
      </w:pPr>
      <w:r w:rsidRPr="00481E5F">
        <w:rPr>
          <w:rStyle w:val="FootnoteReference"/>
          <w:rFonts w:asciiTheme="majorHAnsi" w:hAnsiTheme="majorHAnsi"/>
        </w:rPr>
        <w:footnoteRef/>
      </w:r>
      <w:r w:rsidRPr="00481E5F">
        <w:rPr>
          <w:rFonts w:asciiTheme="majorHAnsi" w:hAnsiTheme="majorHAnsi"/>
        </w:rPr>
        <w:t xml:space="preserve"> Petitioners’ testimony at merits hearing.</w:t>
      </w:r>
    </w:p>
  </w:footnote>
  <w:footnote w:id="47">
    <w:p w14:paraId="1ECFF4BC"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48">
    <w:p w14:paraId="2AEC8F63" w14:textId="77777777" w:rsidR="0048538A" w:rsidRPr="00481E5F" w:rsidRDefault="0048538A" w:rsidP="00481E5F">
      <w:pPr>
        <w:pStyle w:val="FootnoteText"/>
        <w:jc w:val="both"/>
        <w:rPr>
          <w:rFonts w:asciiTheme="majorHAnsi" w:hAnsiTheme="majorHAnsi"/>
        </w:rPr>
      </w:pPr>
      <w:r w:rsidRPr="00481E5F">
        <w:rPr>
          <w:rStyle w:val="FootnoteReference"/>
          <w:rFonts w:asciiTheme="majorHAnsi" w:hAnsiTheme="majorHAnsi"/>
        </w:rPr>
        <w:footnoteRef/>
      </w:r>
      <w:r w:rsidRPr="00481E5F">
        <w:rPr>
          <w:rFonts w:asciiTheme="majorHAnsi" w:hAnsiTheme="majorHAnsi"/>
        </w:rPr>
        <w:t xml:space="preserve"> Bekki Shibayama’s testimony at merits hearing.</w:t>
      </w:r>
    </w:p>
  </w:footnote>
  <w:footnote w:id="49">
    <w:p w14:paraId="5045A08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INS, Reopened Deportation Hearing transcript (Aug. 10, 1954); Stipulation of Facts in </w:t>
      </w:r>
      <w:r w:rsidRPr="00481E5F">
        <w:rPr>
          <w:rFonts w:asciiTheme="majorHAnsi" w:hAnsiTheme="majorHAnsi"/>
          <w:i/>
          <w:szCs w:val="16"/>
        </w:rPr>
        <w:t>Shibiyama et al. v. U.S.</w:t>
      </w:r>
      <w:r w:rsidRPr="00481E5F">
        <w:rPr>
          <w:rFonts w:asciiTheme="majorHAnsi" w:hAnsiTheme="majorHAnsi"/>
          <w:szCs w:val="16"/>
        </w:rPr>
        <w:t xml:space="preserve"> (Fed. Cl. submitted Aug. 2, 2000). Submitted with initial petition.</w:t>
      </w:r>
    </w:p>
  </w:footnote>
  <w:footnote w:id="50">
    <w:p w14:paraId="1A2D4E64"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w:t>
      </w:r>
      <w:r>
        <w:rPr>
          <w:rFonts w:asciiTheme="majorHAnsi" w:hAnsiTheme="majorHAnsi"/>
          <w:szCs w:val="16"/>
        </w:rPr>
        <w:t>Submitted with initial petition; Isamu Shibayama’s testimony at merits hearing.</w:t>
      </w:r>
    </w:p>
  </w:footnote>
  <w:footnote w:id="51">
    <w:p w14:paraId="57250DE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 </w:t>
      </w:r>
      <w:r w:rsidRPr="00481E5F">
        <w:rPr>
          <w:rFonts w:asciiTheme="majorHAnsi" w:hAnsiTheme="majorHAnsi"/>
          <w:i/>
          <w:szCs w:val="16"/>
        </w:rPr>
        <w:t>see also</w:t>
      </w:r>
      <w:r w:rsidRPr="00481E5F">
        <w:rPr>
          <w:rFonts w:asciiTheme="majorHAnsi" w:hAnsiTheme="majorHAnsi"/>
          <w:szCs w:val="16"/>
        </w:rPr>
        <w:t xml:space="preserve"> INS, Reopened Deportation Hearing transcript (Aug. 10, 1954). Submitted with initial petition.</w:t>
      </w:r>
    </w:p>
    <w:p w14:paraId="4392F38A" w14:textId="77777777" w:rsidR="0048538A" w:rsidRPr="00481E5F" w:rsidRDefault="0048538A" w:rsidP="00481E5F">
      <w:pPr>
        <w:pStyle w:val="FootnoteText"/>
        <w:jc w:val="both"/>
        <w:rPr>
          <w:rFonts w:asciiTheme="majorHAnsi" w:hAnsiTheme="majorHAnsi"/>
          <w:szCs w:val="16"/>
        </w:rPr>
      </w:pPr>
      <w:r w:rsidRPr="00481E5F">
        <w:rPr>
          <w:rFonts w:asciiTheme="majorHAnsi" w:hAnsiTheme="majorHAnsi"/>
          <w:szCs w:val="16"/>
        </w:rPr>
        <w:tab/>
        <w:t xml:space="preserve">In contrast to Isamu Shibayama’s treatment by immigration authorities, there were apparently some similarly-situated Japanese Peruvians who were abducted and brought to the U.S. without lawful immigration status but were able to naturalize as citizens under the same law after serving in the Armed Forces. </w:t>
      </w:r>
      <w:r>
        <w:rPr>
          <w:rFonts w:asciiTheme="majorHAnsi" w:hAnsiTheme="majorHAnsi"/>
          <w:i/>
          <w:szCs w:val="16"/>
        </w:rPr>
        <w:t xml:space="preserve">See </w:t>
      </w:r>
      <w:r w:rsidRPr="00481E5F">
        <w:rPr>
          <w:rFonts w:asciiTheme="majorHAnsi" w:hAnsiTheme="majorHAnsi"/>
          <w:szCs w:val="16"/>
        </w:rPr>
        <w:t>Letter of Juan Kudo to Valerie O’Brian, Office of Reparations Administration (Nov. 29, 1988). Submitted with initial petition.</w:t>
      </w:r>
    </w:p>
  </w:footnote>
  <w:footnote w:id="52">
    <w:p w14:paraId="7795DDC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INS, Reopened Deportation Hearing transcript (Aug. 10, 1954). Submitted with initial petition.</w:t>
      </w:r>
    </w:p>
  </w:footnote>
  <w:footnote w:id="53">
    <w:p w14:paraId="4B6B1E86" w14:textId="77777777" w:rsidR="0048538A" w:rsidRPr="00481E5F" w:rsidRDefault="0048538A" w:rsidP="00481E5F">
      <w:pPr>
        <w:pStyle w:val="FootnoteText"/>
        <w:jc w:val="both"/>
        <w:rPr>
          <w:rFonts w:asciiTheme="majorHAnsi" w:hAnsiTheme="majorHAnsi"/>
        </w:rPr>
      </w:pPr>
      <w:r w:rsidRPr="00481E5F">
        <w:rPr>
          <w:rStyle w:val="FootnoteReference"/>
          <w:rFonts w:asciiTheme="majorHAnsi" w:hAnsiTheme="majorHAnsi"/>
        </w:rPr>
        <w:footnoteRef/>
      </w:r>
      <w:r w:rsidRPr="00481E5F">
        <w:rPr>
          <w:rFonts w:asciiTheme="majorHAnsi" w:hAnsiTheme="majorHAnsi"/>
        </w:rPr>
        <w:t xml:space="preserve"> Petitioners’ testimony at merits hearing.</w:t>
      </w:r>
    </w:p>
  </w:footnote>
  <w:footnote w:id="54">
    <w:p w14:paraId="677EC9BA"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55">
    <w:p w14:paraId="060DD69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56">
    <w:p w14:paraId="5BEF0A0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57">
    <w:p w14:paraId="7C612CF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58">
    <w:p w14:paraId="37082D2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Declaration of Rose Nishimura in </w:t>
      </w:r>
      <w:r w:rsidRPr="00481E5F">
        <w:rPr>
          <w:rFonts w:asciiTheme="majorHAnsi" w:hAnsiTheme="majorHAnsi"/>
          <w:i/>
          <w:szCs w:val="16"/>
        </w:rPr>
        <w:t>Mochizuki</w:t>
      </w:r>
      <w:r w:rsidRPr="00481E5F">
        <w:rPr>
          <w:rFonts w:asciiTheme="majorHAnsi" w:hAnsiTheme="majorHAnsi"/>
          <w:szCs w:val="16"/>
        </w:rPr>
        <w:t xml:space="preserve"> settlement (Jan. 6, 1999). Submitted with petitioners’ letter of Sept. 30, 2003.</w:t>
      </w:r>
    </w:p>
  </w:footnote>
  <w:footnote w:id="59">
    <w:p w14:paraId="4FB8BDA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Text of the Civil Liberties Act of 1988. Submitted with initial petition.</w:t>
      </w:r>
    </w:p>
  </w:footnote>
  <w:footnote w:id="60">
    <w:p w14:paraId="7D51A2DC" w14:textId="77777777" w:rsidR="0048538A" w:rsidRPr="00481E5F" w:rsidRDefault="0048538A" w:rsidP="00481E5F">
      <w:pPr>
        <w:pStyle w:val="FootnoteText"/>
        <w:jc w:val="both"/>
        <w:rPr>
          <w:rFonts w:asciiTheme="majorHAnsi" w:hAnsiTheme="majorHAnsi"/>
        </w:rPr>
      </w:pPr>
      <w:r w:rsidRPr="00481E5F">
        <w:rPr>
          <w:rStyle w:val="FootnoteReference"/>
          <w:rFonts w:asciiTheme="majorHAnsi" w:hAnsiTheme="majorHAnsi"/>
        </w:rPr>
        <w:footnoteRef/>
      </w:r>
      <w:r w:rsidRPr="00481E5F">
        <w:rPr>
          <w:rFonts w:asciiTheme="majorHAnsi" w:hAnsiTheme="majorHAnsi"/>
        </w:rPr>
        <w:t xml:space="preserve"> Civil Liberties Act of 1988, 50 U.S.C. § 1989b-7(2).</w:t>
      </w:r>
    </w:p>
  </w:footnote>
  <w:footnote w:id="61">
    <w:p w14:paraId="3FE1CC48"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The Shibayama brothers’ mother and one sister, for example, obtained reparation under the CLA because they later received retroactive permanent resident status: their mother was apparently able to adjust her status in or about 1952 without leaving the U.S., and their sister married a U.S. citizen and was thus able to adjust status</w:t>
      </w:r>
      <w:r>
        <w:rPr>
          <w:rFonts w:asciiTheme="majorHAnsi" w:hAnsiTheme="majorHAnsi"/>
          <w:szCs w:val="16"/>
        </w:rPr>
        <w:t xml:space="preserve"> with retroactive effect</w:t>
      </w:r>
      <w:r w:rsidRPr="00481E5F">
        <w:rPr>
          <w:rFonts w:asciiTheme="majorHAnsi" w:hAnsiTheme="majorHAnsi"/>
          <w:szCs w:val="16"/>
        </w:rPr>
        <w:t xml:space="preserve">. </w:t>
      </w:r>
      <w:r w:rsidRPr="00481E5F">
        <w:rPr>
          <w:rFonts w:asciiTheme="majorHAnsi" w:hAnsiTheme="majorHAnsi"/>
          <w:i/>
          <w:szCs w:val="16"/>
        </w:rPr>
        <w:t>See, e.g.,</w:t>
      </w:r>
      <w:r w:rsidRPr="00481E5F">
        <w:rPr>
          <w:rFonts w:asciiTheme="majorHAnsi" w:hAnsiTheme="majorHAnsi"/>
          <w:szCs w:val="16"/>
        </w:rPr>
        <w:t xml:space="preserve"> initial petition at 1; INS, Reopened Deportation Hearing transcript (Aug. 10, 1954). Submitted with initial petition.</w:t>
      </w:r>
    </w:p>
  </w:footnote>
  <w:footnote w:id="62">
    <w:p w14:paraId="5466B175"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Text of the Civil Liberties Act of 1988. Submitted with initial petition; </w:t>
      </w:r>
      <w:r w:rsidRPr="00481E5F">
        <w:rPr>
          <w:rFonts w:asciiTheme="majorHAnsi" w:hAnsiTheme="majorHAnsi"/>
          <w:i/>
          <w:szCs w:val="16"/>
        </w:rPr>
        <w:t>see also</w:t>
      </w:r>
      <w:r w:rsidRPr="00481E5F">
        <w:rPr>
          <w:rFonts w:asciiTheme="majorHAnsi" w:hAnsiTheme="majorHAnsi"/>
          <w:szCs w:val="16"/>
        </w:rPr>
        <w:t xml:space="preserve"> </w:t>
      </w:r>
      <w:r w:rsidRPr="00481E5F">
        <w:rPr>
          <w:rFonts w:asciiTheme="majorHAnsi" w:hAnsiTheme="majorHAnsi"/>
          <w:color w:val="auto"/>
          <w:szCs w:val="16"/>
        </w:rPr>
        <w:t>IACHR. Report No. 26/06. Case 12.545. Admissibility. Isamu Carlos Shibayama et al. United States. Mar. 16, 2006, paras. 49-50.</w:t>
      </w:r>
    </w:p>
  </w:footnote>
  <w:footnote w:id="63">
    <w:p w14:paraId="02B2C467"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 </w:t>
      </w:r>
    </w:p>
  </w:footnote>
  <w:footnote w:id="64">
    <w:p w14:paraId="1F25504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65">
    <w:p w14:paraId="75866C3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66">
    <w:p w14:paraId="40F3884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41 Fed. Cl. 54 (1998).</w:t>
      </w:r>
    </w:p>
  </w:footnote>
  <w:footnote w:id="67">
    <w:p w14:paraId="59C0BC86"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68">
    <w:p w14:paraId="520D569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Submitted with initial petition.</w:t>
      </w:r>
    </w:p>
  </w:footnote>
  <w:footnote w:id="69">
    <w:p w14:paraId="64C0C17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Order of Transfer (N.D. Cal. Oct. 12, 1999). Submitted with initial petition. </w:t>
      </w:r>
    </w:p>
  </w:footnote>
  <w:footnote w:id="70">
    <w:p w14:paraId="51CBCD4C" w14:textId="77777777" w:rsidR="0048538A" w:rsidRPr="00913041" w:rsidRDefault="0048538A" w:rsidP="00457E63">
      <w:pPr>
        <w:pStyle w:val="FootnoteText"/>
        <w:jc w:val="both"/>
        <w:rPr>
          <w:rFonts w:asciiTheme="majorHAnsi" w:hAnsiTheme="majorHAnsi"/>
        </w:rPr>
      </w:pPr>
      <w:r w:rsidRPr="00913041">
        <w:rPr>
          <w:rStyle w:val="FootnoteReference"/>
          <w:rFonts w:asciiTheme="majorHAnsi" w:hAnsiTheme="majorHAnsi"/>
        </w:rPr>
        <w:footnoteRef/>
      </w:r>
      <w:r w:rsidRPr="00913041">
        <w:rPr>
          <w:rFonts w:asciiTheme="majorHAnsi" w:hAnsiTheme="majorHAnsi"/>
        </w:rPr>
        <w:t xml:space="preserve"> National Archives, Japanese Americans: Search the Compensation and Reparations for the Evacuation, Relocation, and Internment Index (Redress Case Files) (last reviewed Feb. 22, 2017), available at: </w:t>
      </w:r>
      <w:hyperlink r:id="rId3" w:history="1">
        <w:r w:rsidRPr="00913041">
          <w:rPr>
            <w:rStyle w:val="Hyperlink"/>
            <w:rFonts w:asciiTheme="majorHAnsi" w:hAnsiTheme="majorHAnsi"/>
          </w:rPr>
          <w:t>https://www.archives.gov/research/japanese-americans/redress</w:t>
        </w:r>
      </w:hyperlink>
      <w:r w:rsidRPr="00913041">
        <w:rPr>
          <w:rFonts w:asciiTheme="majorHAnsi" w:hAnsiTheme="majorHAnsi"/>
        </w:rPr>
        <w:t xml:space="preserve">. </w:t>
      </w:r>
    </w:p>
  </w:footnote>
  <w:footnote w:id="71">
    <w:p w14:paraId="128FC43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Order of the U.S. Court of Federal Claims (Jan. 3, 2003); </w:t>
      </w:r>
      <w:r w:rsidRPr="00481E5F">
        <w:rPr>
          <w:rFonts w:asciiTheme="majorHAnsi" w:hAnsiTheme="majorHAnsi"/>
          <w:i/>
          <w:szCs w:val="16"/>
        </w:rPr>
        <w:t>see also</w:t>
      </w:r>
      <w:r w:rsidRPr="00481E5F">
        <w:rPr>
          <w:rFonts w:asciiTheme="majorHAnsi" w:hAnsiTheme="majorHAnsi"/>
          <w:szCs w:val="16"/>
        </w:rPr>
        <w:t xml:space="preserve"> Opinion of the U.S. Court of Federal Claims (Dec. 19, 2002). Submitted with initial petition.</w:t>
      </w:r>
    </w:p>
  </w:footnote>
  <w:footnote w:id="72">
    <w:p w14:paraId="306813A8"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Order of the U.S. Court of Federal Claims (Jan. 3, 2003). Submitted with initial petition.</w:t>
      </w:r>
    </w:p>
  </w:footnote>
  <w:footnote w:id="73">
    <w:p w14:paraId="23C6D00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Order of the U.S. Court of Federal Claims (Jan. 3, 2003). Submitted with initial petition.</w:t>
      </w:r>
    </w:p>
  </w:footnote>
  <w:footnote w:id="74">
    <w:p w14:paraId="1D284928"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Initial petition at footnote 14.</w:t>
      </w:r>
    </w:p>
  </w:footnote>
  <w:footnote w:id="75">
    <w:p w14:paraId="2D8B537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29-30. Submitted with initial petition.</w:t>
      </w:r>
    </w:p>
  </w:footnote>
  <w:footnote w:id="76">
    <w:p w14:paraId="550E6841"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30-32. Submitted with initial petition.</w:t>
      </w:r>
    </w:p>
  </w:footnote>
  <w:footnote w:id="77">
    <w:p w14:paraId="24C265E6"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Id. at 33 (citing </w:t>
      </w:r>
      <w:r w:rsidRPr="00481E5F">
        <w:rPr>
          <w:rFonts w:asciiTheme="majorHAnsi" w:hAnsiTheme="majorHAnsi"/>
          <w:i/>
          <w:szCs w:val="16"/>
        </w:rPr>
        <w:t>Kanemoto v. Reno</w:t>
      </w:r>
      <w:r w:rsidRPr="00481E5F">
        <w:rPr>
          <w:rFonts w:asciiTheme="majorHAnsi" w:hAnsiTheme="majorHAnsi"/>
          <w:szCs w:val="16"/>
        </w:rPr>
        <w:t>, 41 F.3d 641, 646 (Fed. Cir. 1994)).</w:t>
      </w:r>
    </w:p>
  </w:footnote>
  <w:footnote w:id="78">
    <w:p w14:paraId="50CBEBB1"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52 Fed. Cl. at 440-444.</w:t>
      </w:r>
    </w:p>
  </w:footnote>
  <w:footnote w:id="79">
    <w:p w14:paraId="3A1DB58D"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37. Submitted with initial petition.</w:t>
      </w:r>
    </w:p>
  </w:footnote>
  <w:footnote w:id="80">
    <w:p w14:paraId="20CAAA4E"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40. Submitted with initial petition.</w:t>
      </w:r>
    </w:p>
  </w:footnote>
  <w:footnote w:id="81">
    <w:p w14:paraId="19F44223"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39-40. Submitted with initial petition.</w:t>
      </w:r>
    </w:p>
  </w:footnote>
  <w:footnote w:id="82">
    <w:p w14:paraId="4A99FD59"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Opinion of the U.S. Court of Federal Claims (Dec. 19, 2002) at 41. Submitted with initial petition.</w:t>
      </w:r>
    </w:p>
  </w:footnote>
  <w:footnote w:id="83">
    <w:p w14:paraId="109927DC" w14:textId="77777777" w:rsidR="0048538A" w:rsidRPr="00481E5F" w:rsidRDefault="0048538A" w:rsidP="00481E5F">
      <w:pPr>
        <w:pStyle w:val="FootnoteText"/>
        <w:jc w:val="both"/>
        <w:rPr>
          <w:rFonts w:asciiTheme="majorHAnsi" w:hAnsiTheme="majorHAnsi"/>
          <w:i/>
        </w:rPr>
      </w:pPr>
      <w:r w:rsidRPr="00481E5F">
        <w:rPr>
          <w:rStyle w:val="FootnoteReference"/>
          <w:rFonts w:asciiTheme="majorHAnsi" w:hAnsiTheme="majorHAnsi"/>
        </w:rPr>
        <w:footnoteRef/>
      </w:r>
      <w:r w:rsidRPr="00481E5F">
        <w:rPr>
          <w:rFonts w:asciiTheme="majorHAnsi" w:hAnsiTheme="majorHAnsi"/>
        </w:rPr>
        <w:t xml:space="preserve"> </w:t>
      </w:r>
      <w:r w:rsidRPr="00481E5F">
        <w:rPr>
          <w:rFonts w:asciiTheme="majorHAnsi" w:hAnsiTheme="majorHAnsi"/>
          <w:color w:val="auto"/>
          <w:szCs w:val="16"/>
        </w:rPr>
        <w:t xml:space="preserve">IACHR. Report No. 26/06. Case 12.545. Admissibility. </w:t>
      </w:r>
      <w:r w:rsidRPr="001A4106">
        <w:rPr>
          <w:rFonts w:asciiTheme="majorHAnsi" w:hAnsiTheme="majorHAnsi"/>
          <w:color w:val="auto"/>
          <w:szCs w:val="16"/>
        </w:rPr>
        <w:t xml:space="preserve">Isamu Carlos Shibayama et al. </w:t>
      </w:r>
      <w:r w:rsidRPr="00481E5F">
        <w:rPr>
          <w:rFonts w:asciiTheme="majorHAnsi" w:hAnsiTheme="majorHAnsi"/>
          <w:color w:val="auto"/>
          <w:szCs w:val="16"/>
        </w:rPr>
        <w:t xml:space="preserve">United States. Mar. 16, 2006, paras. 50-51; </w:t>
      </w:r>
      <w:r w:rsidRPr="00481E5F">
        <w:rPr>
          <w:rFonts w:asciiTheme="majorHAnsi" w:hAnsiTheme="majorHAnsi"/>
          <w:i/>
          <w:color w:val="auto"/>
          <w:szCs w:val="16"/>
        </w:rPr>
        <w:t>see also</w:t>
      </w:r>
      <w:r w:rsidRPr="00481E5F">
        <w:rPr>
          <w:rFonts w:asciiTheme="majorHAnsi" w:hAnsiTheme="majorHAnsi"/>
          <w:color w:val="auto"/>
          <w:szCs w:val="16"/>
        </w:rPr>
        <w:t xml:space="preserve"> Order in </w:t>
      </w:r>
      <w:r w:rsidRPr="00481E5F">
        <w:rPr>
          <w:rFonts w:asciiTheme="majorHAnsi" w:hAnsiTheme="majorHAnsi"/>
          <w:i/>
          <w:color w:val="auto"/>
          <w:szCs w:val="16"/>
        </w:rPr>
        <w:t>Shima v. US</w:t>
      </w:r>
      <w:r w:rsidRPr="00481E5F">
        <w:rPr>
          <w:rFonts w:asciiTheme="majorHAnsi" w:hAnsiTheme="majorHAnsi"/>
          <w:color w:val="auto"/>
          <w:szCs w:val="16"/>
        </w:rPr>
        <w:t xml:space="preserve"> (C.D. Cal. July 7, 2000) (granting Defendant’s motion to dismiss); Order in </w:t>
      </w:r>
      <w:r w:rsidRPr="00481E5F">
        <w:rPr>
          <w:rFonts w:asciiTheme="majorHAnsi" w:hAnsiTheme="majorHAnsi"/>
          <w:i/>
          <w:color w:val="auto"/>
          <w:szCs w:val="16"/>
        </w:rPr>
        <w:t>Kato et al. v. US</w:t>
      </w:r>
      <w:r w:rsidRPr="00481E5F">
        <w:rPr>
          <w:rFonts w:asciiTheme="majorHAnsi" w:hAnsiTheme="majorHAnsi"/>
          <w:color w:val="auto"/>
          <w:szCs w:val="16"/>
        </w:rPr>
        <w:t xml:space="preserve"> (C.D. Cal. Apr. 3, 2000) (granting Defendant’s motion to dismiss); Order in </w:t>
      </w:r>
      <w:r w:rsidRPr="00481E5F">
        <w:rPr>
          <w:rFonts w:asciiTheme="majorHAnsi" w:hAnsiTheme="majorHAnsi"/>
          <w:i/>
          <w:color w:val="auto"/>
          <w:szCs w:val="16"/>
        </w:rPr>
        <w:t>Shima v. Ashcroft</w:t>
      </w:r>
      <w:r w:rsidRPr="00481E5F">
        <w:rPr>
          <w:rFonts w:asciiTheme="majorHAnsi" w:hAnsiTheme="majorHAnsi"/>
          <w:color w:val="auto"/>
          <w:szCs w:val="16"/>
        </w:rPr>
        <w:t xml:space="preserve"> (9th Cir. Apr. 17, 2001) (dismissing appeal); Order in </w:t>
      </w:r>
      <w:r w:rsidRPr="00481E5F">
        <w:rPr>
          <w:rFonts w:asciiTheme="majorHAnsi" w:hAnsiTheme="majorHAnsi"/>
          <w:i/>
          <w:color w:val="auto"/>
          <w:szCs w:val="16"/>
        </w:rPr>
        <w:t>Kato et al. v. US</w:t>
      </w:r>
      <w:r w:rsidRPr="00481E5F">
        <w:rPr>
          <w:rFonts w:asciiTheme="majorHAnsi" w:hAnsiTheme="majorHAnsi"/>
          <w:color w:val="auto"/>
          <w:szCs w:val="16"/>
        </w:rPr>
        <w:t xml:space="preserve"> (9th Cir. Dec. 11, 2001) (dismissing appeal); Petition for Writ of Certiorari in </w:t>
      </w:r>
      <w:r w:rsidRPr="00481E5F">
        <w:rPr>
          <w:rFonts w:asciiTheme="majorHAnsi" w:hAnsiTheme="majorHAnsi"/>
          <w:i/>
          <w:color w:val="auto"/>
          <w:szCs w:val="16"/>
        </w:rPr>
        <w:t>Kato et al. v. US et al.</w:t>
      </w:r>
      <w:r w:rsidRPr="00481E5F">
        <w:rPr>
          <w:rFonts w:asciiTheme="majorHAnsi" w:hAnsiTheme="majorHAnsi"/>
          <w:color w:val="auto"/>
          <w:szCs w:val="16"/>
        </w:rPr>
        <w:t xml:space="preserve"> filed June 29, 2001 and 2001 U.S. Supreme Court 2001 term order list dated Oct. 1, 2001 denying certiorar</w:t>
      </w:r>
      <w:r>
        <w:rPr>
          <w:rFonts w:asciiTheme="majorHAnsi" w:hAnsiTheme="majorHAnsi"/>
          <w:color w:val="auto"/>
          <w:szCs w:val="16"/>
        </w:rPr>
        <w:t>i</w:t>
      </w:r>
      <w:r w:rsidRPr="00481E5F">
        <w:rPr>
          <w:rFonts w:asciiTheme="majorHAnsi" w:hAnsiTheme="majorHAnsi"/>
          <w:color w:val="auto"/>
          <w:szCs w:val="16"/>
        </w:rPr>
        <w:t>). Submitted with petitioners’ letter of Sept. 30, 2003.</w:t>
      </w:r>
    </w:p>
  </w:footnote>
  <w:footnote w:id="84">
    <w:p w14:paraId="5E9AE54F"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IACHR. Report No. 3/87</w:t>
      </w:r>
      <w:r>
        <w:rPr>
          <w:rFonts w:asciiTheme="majorHAnsi" w:hAnsiTheme="majorHAnsi"/>
          <w:szCs w:val="16"/>
        </w:rPr>
        <w:t>.</w:t>
      </w:r>
      <w:r w:rsidRPr="00481E5F">
        <w:rPr>
          <w:rFonts w:asciiTheme="majorHAnsi" w:hAnsiTheme="majorHAnsi"/>
          <w:szCs w:val="16"/>
        </w:rPr>
        <w:t xml:space="preserve"> Case 9647</w:t>
      </w:r>
      <w:r>
        <w:rPr>
          <w:rFonts w:asciiTheme="majorHAnsi" w:hAnsiTheme="majorHAnsi"/>
          <w:szCs w:val="16"/>
        </w:rPr>
        <w:t>.</w:t>
      </w:r>
      <w:r w:rsidRPr="00481E5F">
        <w:rPr>
          <w:rFonts w:asciiTheme="majorHAnsi" w:hAnsiTheme="majorHAnsi"/>
          <w:szCs w:val="16"/>
        </w:rPr>
        <w:t xml:space="preserve"> Roach and Pinkerton</w:t>
      </w:r>
      <w:r>
        <w:rPr>
          <w:rFonts w:asciiTheme="majorHAnsi" w:hAnsiTheme="majorHAnsi"/>
          <w:szCs w:val="16"/>
        </w:rPr>
        <w:t>.</w:t>
      </w:r>
      <w:r w:rsidRPr="00481E5F">
        <w:rPr>
          <w:rFonts w:asciiTheme="majorHAnsi" w:hAnsiTheme="majorHAnsi"/>
          <w:szCs w:val="16"/>
        </w:rPr>
        <w:t xml:space="preserve"> United States (1987), paras. 48-49; I/A Ct. H.R., </w:t>
      </w:r>
      <w:r w:rsidRPr="00481E5F">
        <w:rPr>
          <w:rFonts w:asciiTheme="majorHAnsi" w:hAnsiTheme="majorHAnsi"/>
          <w:i/>
          <w:szCs w:val="16"/>
        </w:rPr>
        <w:t>Interpretation of the American Declaration of the Rights and Duties of Man within the Framework of Article 64 of the American Convention on Human Rights</w:t>
      </w:r>
      <w:r w:rsidRPr="00481E5F">
        <w:rPr>
          <w:rFonts w:asciiTheme="majorHAnsi" w:hAnsiTheme="majorHAnsi"/>
          <w:szCs w:val="16"/>
        </w:rPr>
        <w:t>. Advisory Opinion OC-10/89 of July 14, 1989. [hereinafter “</w:t>
      </w:r>
      <w:r w:rsidRPr="00481E5F">
        <w:rPr>
          <w:rFonts w:asciiTheme="majorHAnsi" w:hAnsiTheme="majorHAnsi"/>
          <w:i/>
          <w:szCs w:val="16"/>
        </w:rPr>
        <w:t>Interpretation of the American Declaration</w:t>
      </w:r>
      <w:r w:rsidRPr="00481E5F">
        <w:rPr>
          <w:rFonts w:asciiTheme="majorHAnsi" w:hAnsiTheme="majorHAnsi"/>
          <w:szCs w:val="16"/>
        </w:rPr>
        <w:t xml:space="preserve">”], para. 47 (“[T]he </w:t>
      </w:r>
      <w:r w:rsidRPr="00481E5F">
        <w:rPr>
          <w:rFonts w:asciiTheme="majorHAnsi" w:hAnsiTheme="majorHAnsi"/>
          <w:szCs w:val="16"/>
          <w:lang w:val="en"/>
        </w:rPr>
        <w:t>member states of the [OAS] have signaled their agreement that the Declaration contains and defines the fundamental human rights referred to in the Charter. Thus the Charter of the [OAS] cannot be interpreted and applied as far as human rights are concerned without relating its norms, consistent with the practice of the organs of the OAS, to the corresponding provisions of the Declaration.”)</w:t>
      </w:r>
    </w:p>
  </w:footnote>
  <w:footnote w:id="85">
    <w:p w14:paraId="775BDEFD" w14:textId="77777777" w:rsidR="0048538A" w:rsidRPr="00481E5F" w:rsidRDefault="0048538A" w:rsidP="00481E5F">
      <w:pPr>
        <w:pStyle w:val="Footnotes"/>
        <w:spacing w:after="0"/>
        <w:ind w:firstLine="0"/>
        <w:rPr>
          <w:rFonts w:asciiTheme="majorHAnsi" w:hAnsiTheme="majorHAnsi"/>
          <w:b/>
          <w:sz w:val="16"/>
          <w:szCs w:val="16"/>
        </w:rPr>
      </w:pPr>
      <w:r w:rsidRPr="00481E5F">
        <w:rPr>
          <w:rStyle w:val="FootnoteReference"/>
          <w:rFonts w:asciiTheme="majorHAnsi" w:hAnsiTheme="majorHAnsi"/>
          <w:sz w:val="16"/>
          <w:szCs w:val="16"/>
        </w:rPr>
        <w:footnoteRef/>
      </w:r>
      <w:r w:rsidRPr="00481E5F">
        <w:rPr>
          <w:rFonts w:asciiTheme="majorHAnsi" w:hAnsiTheme="majorHAnsi"/>
          <w:sz w:val="16"/>
          <w:szCs w:val="16"/>
        </w:rPr>
        <w:t xml:space="preserve"> IACHR, Report No. 50/16, Case 12.834, Merits (Publication), Undocumented Workers, United States, Nov. 30, 2016, para. 68. </w:t>
      </w:r>
      <w:r w:rsidRPr="00481E5F">
        <w:rPr>
          <w:rFonts w:asciiTheme="majorHAnsi" w:hAnsiTheme="majorHAnsi"/>
          <w:i/>
          <w:sz w:val="16"/>
          <w:szCs w:val="16"/>
        </w:rPr>
        <w:t>See</w:t>
      </w:r>
      <w:r w:rsidRPr="00481E5F">
        <w:rPr>
          <w:rFonts w:asciiTheme="majorHAnsi" w:hAnsiTheme="majorHAnsi"/>
          <w:sz w:val="16"/>
          <w:szCs w:val="16"/>
        </w:rPr>
        <w:t xml:space="preserve"> I/A Ct. H.R., </w:t>
      </w:r>
      <w:r w:rsidRPr="00481E5F">
        <w:rPr>
          <w:rFonts w:asciiTheme="majorHAnsi" w:hAnsiTheme="majorHAnsi"/>
          <w:i/>
          <w:sz w:val="16"/>
          <w:szCs w:val="16"/>
        </w:rPr>
        <w:t>Interpretation of the American Declaration</w:t>
      </w:r>
      <w:r w:rsidRPr="00481E5F">
        <w:rPr>
          <w:rFonts w:asciiTheme="majorHAnsi" w:hAnsiTheme="majorHAnsi"/>
          <w:sz w:val="16"/>
          <w:szCs w:val="16"/>
        </w:rPr>
        <w:t xml:space="preserve">. Advisory Opinion OC-10/89 of July 14, 1989, para. 37. </w:t>
      </w:r>
      <w:r w:rsidRPr="00481E5F">
        <w:rPr>
          <w:rFonts w:asciiTheme="majorHAnsi" w:hAnsiTheme="majorHAnsi"/>
          <w:i/>
          <w:sz w:val="16"/>
          <w:szCs w:val="16"/>
        </w:rPr>
        <w:t xml:space="preserve">See also </w:t>
      </w:r>
      <w:r w:rsidRPr="00481E5F">
        <w:rPr>
          <w:rFonts w:asciiTheme="majorHAnsi" w:hAnsiTheme="majorHAnsi"/>
          <w:sz w:val="16"/>
          <w:szCs w:val="16"/>
        </w:rPr>
        <w:t>ICJ, Legal Consequences for States of the Continued Presence of South Africa in Namibia (South West Africa) notwithstanding Security Council Resolution 276 (1970), Advisory Opinion, I.C.J. Reports 1971, p. 16 ad 31 ("an international instrument must be interpreted and applied within the overall framework of the juridical system in force at the time of the interpretation").</w:t>
      </w:r>
    </w:p>
  </w:footnote>
  <w:footnote w:id="86">
    <w:p w14:paraId="1A868134"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IACHR, </w:t>
      </w:r>
      <w:r w:rsidRPr="00481E5F">
        <w:rPr>
          <w:rFonts w:asciiTheme="majorHAnsi" w:hAnsiTheme="majorHAnsi"/>
          <w:i/>
          <w:szCs w:val="16"/>
        </w:rPr>
        <w:t>Report on Terrorism and Human Rights</w:t>
      </w:r>
      <w:r w:rsidRPr="00481E5F">
        <w:rPr>
          <w:rFonts w:asciiTheme="majorHAnsi" w:hAnsiTheme="majorHAnsi"/>
          <w:szCs w:val="16"/>
        </w:rPr>
        <w:t xml:space="preserve"> (2002), para. 45 (citations omitted). </w:t>
      </w:r>
      <w:r w:rsidRPr="00481E5F">
        <w:rPr>
          <w:rFonts w:asciiTheme="majorHAnsi" w:hAnsiTheme="majorHAnsi"/>
          <w:i/>
          <w:szCs w:val="16"/>
        </w:rPr>
        <w:t xml:space="preserve">See also </w:t>
      </w:r>
      <w:r w:rsidRPr="00481E5F">
        <w:rPr>
          <w:rFonts w:asciiTheme="majorHAnsi" w:hAnsiTheme="majorHAnsi"/>
          <w:szCs w:val="16"/>
        </w:rPr>
        <w:t>IACHR, Report No. 109/99. Case 10.951. Coard et al. United States. Sept. 29, 1999</w:t>
      </w:r>
      <w:r w:rsidRPr="00481E5F">
        <w:rPr>
          <w:rFonts w:asciiTheme="majorHAnsi" w:hAnsiTheme="majorHAnsi" w:cs="Arial"/>
          <w:szCs w:val="16"/>
        </w:rPr>
        <w:t>, para. 42.</w:t>
      </w:r>
    </w:p>
  </w:footnote>
  <w:footnote w:id="87">
    <w:p w14:paraId="351773F2" w14:textId="77777777" w:rsidR="0048538A" w:rsidRPr="00481E5F" w:rsidRDefault="0048538A" w:rsidP="00481E5F">
      <w:pPr>
        <w:pStyle w:val="Footnotes"/>
        <w:spacing w:after="0"/>
        <w:ind w:firstLine="0"/>
        <w:rPr>
          <w:rFonts w:asciiTheme="majorHAnsi" w:hAnsiTheme="majorHAnsi"/>
          <w:sz w:val="16"/>
          <w:szCs w:val="16"/>
        </w:rPr>
      </w:pPr>
      <w:r w:rsidRPr="00481E5F">
        <w:rPr>
          <w:rStyle w:val="FootnoteReference"/>
          <w:rFonts w:asciiTheme="majorHAnsi" w:hAnsiTheme="majorHAnsi"/>
          <w:sz w:val="16"/>
          <w:szCs w:val="16"/>
        </w:rPr>
        <w:footnoteRef/>
      </w:r>
      <w:r w:rsidRPr="00481E5F">
        <w:rPr>
          <w:rFonts w:asciiTheme="majorHAnsi" w:hAnsiTheme="majorHAnsi"/>
          <w:sz w:val="16"/>
          <w:szCs w:val="16"/>
        </w:rPr>
        <w:t xml:space="preserve"> </w:t>
      </w:r>
      <w:r w:rsidRPr="00481E5F">
        <w:rPr>
          <w:rFonts w:asciiTheme="majorHAnsi" w:hAnsiTheme="majorHAnsi"/>
          <w:i/>
          <w:sz w:val="16"/>
          <w:szCs w:val="16"/>
        </w:rPr>
        <w:t xml:space="preserve">See </w:t>
      </w:r>
      <w:r w:rsidRPr="00481E5F">
        <w:rPr>
          <w:rFonts w:asciiTheme="majorHAnsi" w:hAnsiTheme="majorHAnsi"/>
          <w:sz w:val="16"/>
          <w:szCs w:val="16"/>
        </w:rPr>
        <w:t xml:space="preserve">IACHR, </w:t>
      </w:r>
      <w:r w:rsidRPr="00481E5F">
        <w:rPr>
          <w:rFonts w:asciiTheme="majorHAnsi" w:hAnsiTheme="majorHAnsi"/>
          <w:i/>
          <w:sz w:val="16"/>
          <w:szCs w:val="16"/>
        </w:rPr>
        <w:t>Report of the Situation of Human Rights of Asylum Seekers within the Canadian Refugee Determination System</w:t>
      </w:r>
      <w:r w:rsidRPr="00481E5F">
        <w:rPr>
          <w:rFonts w:asciiTheme="majorHAnsi" w:hAnsiTheme="majorHAnsi"/>
          <w:sz w:val="16"/>
          <w:szCs w:val="16"/>
        </w:rPr>
        <w:t xml:space="preserve"> (2000), para. 38; IACHR, </w:t>
      </w:r>
      <w:r w:rsidRPr="00481E5F">
        <w:rPr>
          <w:rFonts w:asciiTheme="majorHAnsi" w:hAnsiTheme="majorHAnsi"/>
          <w:i/>
          <w:sz w:val="16"/>
          <w:szCs w:val="16"/>
        </w:rPr>
        <w:t>Garza v. United States</w:t>
      </w:r>
      <w:r w:rsidRPr="00481E5F">
        <w:rPr>
          <w:rFonts w:asciiTheme="majorHAnsi" w:hAnsiTheme="majorHAnsi"/>
          <w:sz w:val="16"/>
          <w:szCs w:val="16"/>
        </w:rPr>
        <w:t>, Case No. 12.275, Annual Report of the IACHR 2000, paras. 88-89.</w:t>
      </w:r>
    </w:p>
  </w:footnote>
  <w:footnote w:id="88">
    <w:p w14:paraId="5FC7CC66"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Article II provides, “All persons are equal before the law and have the rights and duties established in this Declaration, without distinction as to race, sex, language, creed or any other factor.”</w:t>
      </w:r>
    </w:p>
  </w:footnote>
  <w:footnote w:id="89">
    <w:p w14:paraId="0EF95BD2"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Article XVIII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90">
    <w:p w14:paraId="0F4436F2" w14:textId="77777777" w:rsidR="0048538A" w:rsidRPr="00481E5F" w:rsidRDefault="0048538A" w:rsidP="00481E5F">
      <w:pPr>
        <w:pStyle w:val="FootnoteText"/>
        <w:jc w:val="both"/>
        <w:rPr>
          <w:rFonts w:asciiTheme="majorHAnsi" w:hAnsiTheme="majorHAnsi" w:cstheme="majorHAnsi"/>
          <w:szCs w:val="16"/>
        </w:rPr>
      </w:pPr>
      <w:r w:rsidRPr="00481E5F">
        <w:rPr>
          <w:rStyle w:val="FootnoteReference"/>
          <w:rFonts w:asciiTheme="majorHAnsi" w:hAnsiTheme="majorHAnsi" w:cstheme="majorHAnsi"/>
          <w:szCs w:val="16"/>
        </w:rPr>
        <w:footnoteRef/>
      </w:r>
      <w:r w:rsidRPr="00481E5F">
        <w:rPr>
          <w:rFonts w:asciiTheme="majorHAnsi" w:hAnsiTheme="majorHAnsi" w:cstheme="majorHAnsi"/>
          <w:szCs w:val="16"/>
        </w:rPr>
        <w:t xml:space="preserve"> </w:t>
      </w:r>
      <w:r w:rsidRPr="00481E5F">
        <w:rPr>
          <w:rFonts w:asciiTheme="majorHAnsi" w:hAnsiTheme="majorHAnsi" w:cstheme="majorHAnsi"/>
          <w:i/>
          <w:szCs w:val="16"/>
        </w:rPr>
        <w:t>See</w:t>
      </w:r>
      <w:r w:rsidRPr="00481E5F">
        <w:rPr>
          <w:rFonts w:asciiTheme="majorHAnsi" w:hAnsiTheme="majorHAnsi" w:cstheme="majorHAnsi"/>
          <w:i/>
          <w:iCs/>
          <w:szCs w:val="16"/>
        </w:rPr>
        <w:t xml:space="preserve"> </w:t>
      </w:r>
      <w:r w:rsidRPr="00481E5F">
        <w:rPr>
          <w:rFonts w:asciiTheme="majorHAnsi" w:hAnsiTheme="majorHAnsi"/>
          <w:szCs w:val="16"/>
        </w:rPr>
        <w:t xml:space="preserve">I/A Ct. H.R. </w:t>
      </w:r>
      <w:r w:rsidRPr="00481E5F">
        <w:rPr>
          <w:rFonts w:asciiTheme="majorHAnsi" w:hAnsiTheme="majorHAnsi"/>
          <w:i/>
          <w:szCs w:val="16"/>
        </w:rPr>
        <w:t>Juridical Condition and Rights of Undocumented Migrants</w:t>
      </w:r>
      <w:r w:rsidRPr="00481E5F">
        <w:rPr>
          <w:rFonts w:asciiTheme="majorHAnsi" w:hAnsiTheme="majorHAnsi"/>
          <w:szCs w:val="16"/>
        </w:rPr>
        <w:t>, Advisory Opinion OC-18/03 of Sept. 17, 2003, para</w:t>
      </w:r>
      <w:r w:rsidRPr="00481E5F">
        <w:rPr>
          <w:rFonts w:asciiTheme="majorHAnsi" w:hAnsiTheme="majorHAnsi" w:cstheme="majorHAnsi"/>
          <w:szCs w:val="16"/>
        </w:rPr>
        <w:t>. 101.</w:t>
      </w:r>
      <w:r>
        <w:rPr>
          <w:rFonts w:asciiTheme="majorHAnsi" w:hAnsiTheme="majorHAnsi" w:cstheme="majorHAnsi"/>
          <w:szCs w:val="16"/>
        </w:rPr>
        <w:t xml:space="preserve"> </w:t>
      </w:r>
      <w:r>
        <w:rPr>
          <w:rFonts w:asciiTheme="majorHAnsi" w:hAnsiTheme="majorHAnsi" w:cstheme="majorHAnsi"/>
          <w:i/>
          <w:szCs w:val="16"/>
        </w:rPr>
        <w:t>See also</w:t>
      </w:r>
      <w:r w:rsidRPr="00481E5F">
        <w:rPr>
          <w:rFonts w:asciiTheme="majorHAnsi" w:hAnsiTheme="majorHAnsi" w:cstheme="majorHAnsi"/>
          <w:szCs w:val="16"/>
        </w:rPr>
        <w:t xml:space="preserve"> IACHR, Report No. 50/16, Case 12.834, Merits (Publication), Undocumented Workers, United States, Nov. 30, 2016, para. 72 (citing IACHR, Report Nº 80/11, Case 12.626, </w:t>
      </w:r>
      <w:r w:rsidRPr="00481E5F">
        <w:rPr>
          <w:rFonts w:asciiTheme="majorHAnsi" w:hAnsiTheme="majorHAnsi" w:cstheme="majorHAnsi"/>
          <w:i/>
          <w:szCs w:val="16"/>
        </w:rPr>
        <w:t>Jessica Lenahan (Gonzales) et al.</w:t>
      </w:r>
      <w:r w:rsidRPr="00481E5F">
        <w:rPr>
          <w:rFonts w:asciiTheme="majorHAnsi" w:hAnsiTheme="majorHAnsi" w:cstheme="majorHAnsi"/>
          <w:szCs w:val="16"/>
        </w:rPr>
        <w:t xml:space="preserve"> (United States), July 21, 2011, para. 107; IACHR Report 40/04, Case 12.053, </w:t>
      </w:r>
      <w:r w:rsidRPr="00481E5F">
        <w:rPr>
          <w:rFonts w:asciiTheme="majorHAnsi" w:hAnsiTheme="majorHAnsi" w:cstheme="majorHAnsi"/>
          <w:i/>
          <w:szCs w:val="16"/>
        </w:rPr>
        <w:t>Maya Indigenous Community</w:t>
      </w:r>
      <w:r w:rsidRPr="00481E5F">
        <w:rPr>
          <w:rFonts w:asciiTheme="majorHAnsi" w:hAnsiTheme="majorHAnsi" w:cstheme="majorHAnsi"/>
          <w:szCs w:val="16"/>
        </w:rPr>
        <w:t xml:space="preserve"> (Belize), October 12, 2004, para. </w:t>
      </w:r>
      <w:r w:rsidRPr="009C3D6E">
        <w:rPr>
          <w:rFonts w:asciiTheme="majorHAnsi" w:hAnsiTheme="majorHAnsi" w:cstheme="majorHAnsi"/>
          <w:szCs w:val="16"/>
          <w:lang w:val="es-US"/>
        </w:rPr>
        <w:t xml:space="preserve">163;  IACHR Report 67/06, Case 12.476, </w:t>
      </w:r>
      <w:r w:rsidRPr="009C3D6E">
        <w:rPr>
          <w:rFonts w:asciiTheme="majorHAnsi" w:hAnsiTheme="majorHAnsi" w:cstheme="majorHAnsi"/>
          <w:i/>
          <w:szCs w:val="16"/>
          <w:lang w:val="es-US"/>
        </w:rPr>
        <w:t>Oscar Elías Bicet et al.</w:t>
      </w:r>
      <w:r w:rsidRPr="009C3D6E">
        <w:rPr>
          <w:rFonts w:asciiTheme="majorHAnsi" w:hAnsiTheme="majorHAnsi" w:cstheme="majorHAnsi"/>
          <w:szCs w:val="16"/>
          <w:lang w:val="es-US"/>
        </w:rPr>
        <w:t xml:space="preserve"> (Cuba), October 21, 2006, para. </w:t>
      </w:r>
      <w:r w:rsidRPr="00481E5F">
        <w:rPr>
          <w:rFonts w:asciiTheme="majorHAnsi" w:hAnsiTheme="majorHAnsi" w:cstheme="majorHAnsi"/>
          <w:szCs w:val="16"/>
        </w:rPr>
        <w:t xml:space="preserve">228; IACHR, </w:t>
      </w:r>
      <w:r w:rsidRPr="00481E5F">
        <w:rPr>
          <w:rFonts w:asciiTheme="majorHAnsi" w:hAnsiTheme="majorHAnsi" w:cstheme="majorHAnsi"/>
          <w:i/>
          <w:szCs w:val="16"/>
        </w:rPr>
        <w:t>Report on Terrorism and Human Rights</w:t>
      </w:r>
      <w:r w:rsidRPr="00481E5F">
        <w:rPr>
          <w:rFonts w:asciiTheme="majorHAnsi" w:hAnsiTheme="majorHAnsi" w:cstheme="majorHAnsi"/>
          <w:szCs w:val="16"/>
        </w:rPr>
        <w:t xml:space="preserve"> (2002), para. 335).</w:t>
      </w:r>
    </w:p>
    <w:p w14:paraId="46FCA978" w14:textId="77777777" w:rsidR="0048538A" w:rsidRPr="00481E5F" w:rsidRDefault="0048538A" w:rsidP="00481E5F">
      <w:pPr>
        <w:pStyle w:val="FootnoteText"/>
        <w:ind w:firstLine="720"/>
        <w:jc w:val="both"/>
        <w:rPr>
          <w:rFonts w:asciiTheme="majorHAnsi" w:hAnsiTheme="majorHAnsi" w:cstheme="majorHAnsi"/>
          <w:szCs w:val="16"/>
        </w:rPr>
      </w:pPr>
      <w:r w:rsidRPr="00481E5F">
        <w:rPr>
          <w:rFonts w:asciiTheme="majorHAnsi" w:hAnsiTheme="majorHAnsi" w:cstheme="majorHAnsi"/>
          <w:i/>
          <w:szCs w:val="16"/>
        </w:rPr>
        <w:t>See also</w:t>
      </w:r>
      <w:r w:rsidRPr="00481E5F">
        <w:rPr>
          <w:rFonts w:asciiTheme="majorHAnsi" w:hAnsiTheme="majorHAnsi" w:cstheme="majorHAnsi"/>
          <w:szCs w:val="16"/>
        </w:rPr>
        <w:t>, Int´l Covenant on Civil and Political Rights (Articles 2, 26); Int’l Covenant on Economic, Social and Cultural Rights (Articles 2.2, 3); European Convention on Human Rights (Article 14); African Charter on Human and People’s Rights (Article 2).</w:t>
      </w:r>
    </w:p>
  </w:footnote>
  <w:footnote w:id="91">
    <w:p w14:paraId="65FE4C57" w14:textId="77777777" w:rsidR="0048538A" w:rsidRPr="00481E5F" w:rsidRDefault="0048538A" w:rsidP="00481E5F">
      <w:pPr>
        <w:pStyle w:val="Footnotes"/>
        <w:spacing w:after="0"/>
        <w:ind w:firstLine="0"/>
        <w:rPr>
          <w:rFonts w:asciiTheme="majorHAnsi" w:hAnsiTheme="majorHAnsi"/>
          <w:sz w:val="16"/>
          <w:szCs w:val="16"/>
        </w:rPr>
      </w:pPr>
      <w:r w:rsidRPr="00481E5F">
        <w:rPr>
          <w:rStyle w:val="FootnoteReference"/>
          <w:rFonts w:asciiTheme="majorHAnsi" w:hAnsiTheme="majorHAnsi"/>
          <w:sz w:val="16"/>
          <w:szCs w:val="16"/>
        </w:rPr>
        <w:footnoteRef/>
      </w:r>
      <w:r w:rsidRPr="00481E5F">
        <w:rPr>
          <w:rFonts w:asciiTheme="majorHAnsi" w:hAnsiTheme="majorHAnsi"/>
          <w:sz w:val="16"/>
          <w:szCs w:val="16"/>
        </w:rPr>
        <w:t xml:space="preserve"> IACHR, Report No. 50/16, Case 12.834, Merits (Publication), </w:t>
      </w:r>
      <w:r w:rsidRPr="007C2AA2">
        <w:rPr>
          <w:rFonts w:asciiTheme="majorHAnsi" w:hAnsiTheme="majorHAnsi"/>
          <w:i/>
          <w:sz w:val="16"/>
          <w:szCs w:val="16"/>
        </w:rPr>
        <w:t>Undocumented Workers</w:t>
      </w:r>
      <w:r w:rsidRPr="00481E5F">
        <w:rPr>
          <w:rFonts w:asciiTheme="majorHAnsi" w:hAnsiTheme="majorHAnsi"/>
          <w:sz w:val="16"/>
          <w:szCs w:val="16"/>
        </w:rPr>
        <w:t xml:space="preserve">, United States, Nov. 30, 2016, para. 75 (citing U.N. Human Rights Committee, Compilation of General Comments and General Recommendations Adopted by Human Rights Treaty Bodies, HRI/GEN/1/Rev.1 (1994), General Comment 18, Non-discrimination, p. 26). </w:t>
      </w:r>
    </w:p>
  </w:footnote>
  <w:footnote w:id="92">
    <w:p w14:paraId="67C38716" w14:textId="77777777" w:rsidR="0048538A" w:rsidRPr="00080A30" w:rsidRDefault="0048538A" w:rsidP="00481E5F">
      <w:pPr>
        <w:pStyle w:val="FootnoteText"/>
        <w:jc w:val="both"/>
        <w:rPr>
          <w:rFonts w:asciiTheme="majorHAnsi" w:hAnsiTheme="majorHAnsi"/>
        </w:rPr>
      </w:pPr>
      <w:r w:rsidRPr="00481E5F">
        <w:rPr>
          <w:rStyle w:val="FootnoteReference"/>
          <w:rFonts w:asciiTheme="majorHAnsi" w:hAnsiTheme="majorHAnsi"/>
        </w:rPr>
        <w:footnoteRef/>
      </w:r>
      <w:r w:rsidRPr="007C27A7">
        <w:rPr>
          <w:rFonts w:asciiTheme="majorHAnsi" w:hAnsiTheme="majorHAnsi"/>
        </w:rPr>
        <w:t xml:space="preserve"> </w:t>
      </w:r>
      <w:r w:rsidRPr="007C27A7">
        <w:rPr>
          <w:rFonts w:asciiTheme="majorHAnsi" w:hAnsiTheme="majorHAnsi"/>
          <w:i/>
        </w:rPr>
        <w:t xml:space="preserve">See, e.g., </w:t>
      </w:r>
      <w:r w:rsidRPr="007C27A7">
        <w:rPr>
          <w:rFonts w:asciiTheme="majorHAnsi" w:hAnsiTheme="majorHAnsi"/>
        </w:rPr>
        <w:t>I/A Ct. H.R.</w:t>
      </w:r>
      <w:r w:rsidRPr="007C27A7">
        <w:rPr>
          <w:rFonts w:asciiTheme="majorHAnsi" w:eastAsia="Times New Roman" w:hAnsiTheme="majorHAnsi"/>
          <w:bCs/>
        </w:rPr>
        <w:t xml:space="preserve"> </w:t>
      </w:r>
      <w:r w:rsidRPr="00992840">
        <w:rPr>
          <w:rFonts w:asciiTheme="majorHAnsi" w:eastAsia="Times New Roman" w:hAnsiTheme="majorHAnsi"/>
          <w:bCs/>
          <w:i/>
        </w:rPr>
        <w:t>Furlán and family v. Argentina</w:t>
      </w:r>
      <w:r w:rsidRPr="00080A30">
        <w:rPr>
          <w:rFonts w:asciiTheme="majorHAnsi" w:eastAsia="Times New Roman" w:hAnsiTheme="majorHAnsi"/>
          <w:bCs/>
        </w:rPr>
        <w:t>. Judgment of Aug. 31, 2012, para. 267.</w:t>
      </w:r>
    </w:p>
  </w:footnote>
  <w:footnote w:id="93">
    <w:p w14:paraId="53223CE5" w14:textId="77777777" w:rsidR="0048538A" w:rsidRPr="00481E5F" w:rsidRDefault="0048538A" w:rsidP="00481E5F">
      <w:pPr>
        <w:pStyle w:val="Footnotes"/>
        <w:spacing w:after="0"/>
        <w:ind w:firstLine="0"/>
        <w:rPr>
          <w:rFonts w:asciiTheme="majorHAnsi" w:hAnsiTheme="majorHAnsi"/>
          <w:sz w:val="16"/>
          <w:szCs w:val="16"/>
        </w:rPr>
      </w:pPr>
      <w:r w:rsidRPr="00481E5F">
        <w:rPr>
          <w:rStyle w:val="FootnoteReference"/>
          <w:rFonts w:asciiTheme="majorHAnsi" w:hAnsiTheme="majorHAnsi"/>
          <w:sz w:val="16"/>
          <w:szCs w:val="16"/>
        </w:rPr>
        <w:footnoteRef/>
      </w:r>
      <w:r w:rsidRPr="00080A30">
        <w:rPr>
          <w:rFonts w:asciiTheme="majorHAnsi" w:hAnsiTheme="majorHAnsi"/>
          <w:sz w:val="16"/>
          <w:szCs w:val="16"/>
        </w:rPr>
        <w:t xml:space="preserve"> IACHR, Report No. 50/16, Case 12.834, Merits (Publication), </w:t>
      </w:r>
      <w:r w:rsidRPr="00992840">
        <w:rPr>
          <w:rFonts w:asciiTheme="majorHAnsi" w:hAnsiTheme="majorHAnsi"/>
          <w:i/>
          <w:sz w:val="16"/>
          <w:szCs w:val="16"/>
        </w:rPr>
        <w:t>Undocumented Workers</w:t>
      </w:r>
      <w:r w:rsidRPr="00080A30">
        <w:rPr>
          <w:rFonts w:asciiTheme="majorHAnsi" w:hAnsiTheme="majorHAnsi"/>
          <w:sz w:val="16"/>
          <w:szCs w:val="16"/>
        </w:rPr>
        <w:t xml:space="preserve">, United States, Nov. 30, 2016, para. </w:t>
      </w:r>
      <w:r w:rsidRPr="00481E5F">
        <w:rPr>
          <w:rFonts w:asciiTheme="majorHAnsi" w:hAnsiTheme="majorHAnsi"/>
          <w:sz w:val="16"/>
          <w:szCs w:val="16"/>
        </w:rPr>
        <w:t xml:space="preserve">74; IACHR, Report No. 51/01, Case 9903, </w:t>
      </w:r>
      <w:r w:rsidRPr="00481E5F">
        <w:rPr>
          <w:rFonts w:asciiTheme="majorHAnsi" w:hAnsiTheme="majorHAnsi"/>
          <w:i/>
          <w:sz w:val="16"/>
          <w:szCs w:val="16"/>
        </w:rPr>
        <w:t>Rafael Ferrer-Mazorra et al.</w:t>
      </w:r>
      <w:r w:rsidRPr="00481E5F">
        <w:rPr>
          <w:rFonts w:asciiTheme="majorHAnsi" w:hAnsiTheme="majorHAnsi"/>
          <w:sz w:val="16"/>
          <w:szCs w:val="16"/>
        </w:rPr>
        <w:t xml:space="preserve">, United States, Apr. 4, 2001, para. 238 (citing </w:t>
      </w:r>
      <w:r w:rsidRPr="00481E5F">
        <w:rPr>
          <w:rFonts w:asciiTheme="majorHAnsi" w:eastAsia="Times New Roman" w:hAnsiTheme="majorHAnsi"/>
          <w:iCs/>
          <w:color w:val="000000"/>
          <w:sz w:val="16"/>
          <w:szCs w:val="16"/>
        </w:rPr>
        <w:t xml:space="preserve">as support of its position </w:t>
      </w:r>
      <w:r w:rsidRPr="00481E5F">
        <w:rPr>
          <w:rFonts w:asciiTheme="majorHAnsi" w:eastAsia="Times New Roman" w:hAnsiTheme="majorHAnsi"/>
          <w:color w:val="000000"/>
          <w:sz w:val="16"/>
          <w:szCs w:val="16"/>
        </w:rPr>
        <w:t>Eur. Ct. H.R., </w:t>
      </w:r>
      <w:r w:rsidRPr="00481E5F">
        <w:rPr>
          <w:rFonts w:asciiTheme="majorHAnsi" w:eastAsia="Times New Roman" w:hAnsiTheme="majorHAnsi"/>
          <w:i/>
          <w:iCs/>
          <w:color w:val="000000"/>
          <w:sz w:val="16"/>
          <w:szCs w:val="16"/>
        </w:rPr>
        <w:t>Belgian Linguistics Case</w:t>
      </w:r>
      <w:r w:rsidRPr="00481E5F">
        <w:rPr>
          <w:rFonts w:asciiTheme="majorHAnsi" w:eastAsia="Times New Roman" w:hAnsiTheme="majorHAnsi"/>
          <w:color w:val="000000"/>
          <w:sz w:val="16"/>
          <w:szCs w:val="16"/>
        </w:rPr>
        <w:t xml:space="preserve">, July 23, 1968, Series A Nº 6, 1 E.H.R.R. 252, p. 35, para. 10). </w:t>
      </w:r>
    </w:p>
  </w:footnote>
  <w:footnote w:id="94">
    <w:p w14:paraId="6386F83A" w14:textId="77777777" w:rsidR="0048538A" w:rsidRPr="00CC02F1" w:rsidRDefault="0048538A" w:rsidP="00481E5F">
      <w:pPr>
        <w:pStyle w:val="FootnoteText"/>
        <w:jc w:val="both"/>
        <w:rPr>
          <w:rFonts w:asciiTheme="majorHAnsi" w:hAnsiTheme="majorHAnsi"/>
          <w:szCs w:val="16"/>
          <w:lang w:val="pt-BR"/>
        </w:rPr>
      </w:pPr>
      <w:r w:rsidRPr="00481E5F">
        <w:rPr>
          <w:rStyle w:val="FootnoteReference"/>
          <w:rFonts w:asciiTheme="majorHAnsi" w:hAnsiTheme="majorHAnsi"/>
          <w:szCs w:val="16"/>
        </w:rPr>
        <w:footnoteRef/>
      </w:r>
      <w:r w:rsidRPr="00481E5F">
        <w:rPr>
          <w:rFonts w:asciiTheme="majorHAnsi" w:hAnsiTheme="majorHAnsi"/>
          <w:szCs w:val="16"/>
        </w:rPr>
        <w:t xml:space="preserve"> IACHR, </w:t>
      </w:r>
      <w:r w:rsidRPr="00481E5F">
        <w:rPr>
          <w:rFonts w:asciiTheme="majorHAnsi" w:hAnsiTheme="majorHAnsi"/>
          <w:i/>
          <w:szCs w:val="16"/>
        </w:rPr>
        <w:t xml:space="preserve">Report on Terrorism and Human Rights </w:t>
      </w:r>
      <w:r w:rsidRPr="00481E5F">
        <w:rPr>
          <w:rFonts w:asciiTheme="majorHAnsi" w:hAnsiTheme="majorHAnsi"/>
          <w:szCs w:val="16"/>
        </w:rPr>
        <w:t>(2002), para. 338 (citing, </w:t>
      </w:r>
      <w:r w:rsidRPr="00481E5F">
        <w:rPr>
          <w:rFonts w:asciiTheme="majorHAnsi" w:hAnsiTheme="majorHAnsi"/>
          <w:i/>
          <w:iCs/>
          <w:szCs w:val="16"/>
        </w:rPr>
        <w:t>inter alia</w:t>
      </w:r>
      <w:r w:rsidRPr="00481E5F">
        <w:rPr>
          <w:rFonts w:asciiTheme="majorHAnsi" w:hAnsiTheme="majorHAnsi"/>
          <w:szCs w:val="16"/>
        </w:rPr>
        <w:t xml:space="preserve">, Repetto, Inés, Supreme Court of Justice (Argentina), November 8, 1988, Judges Petracchi and Bacqué, para. 6; Loving v. Virginia, 388 US 1, 87 (1967) Eur. Court H.R., Abdulaziz v. United Kingdom, Judgment of 28 May 1985, Ser. </w:t>
      </w:r>
      <w:r w:rsidRPr="00CC02F1">
        <w:rPr>
          <w:rFonts w:asciiTheme="majorHAnsi" w:hAnsiTheme="majorHAnsi"/>
          <w:szCs w:val="16"/>
          <w:lang w:val="pt-BR"/>
        </w:rPr>
        <w:t>A Nº 94, para. 79).</w:t>
      </w:r>
    </w:p>
  </w:footnote>
  <w:footnote w:id="95">
    <w:p w14:paraId="4BEDBD82" w14:textId="77777777" w:rsidR="0048538A" w:rsidRPr="009C3D6E" w:rsidRDefault="0048538A" w:rsidP="00481E5F">
      <w:pPr>
        <w:pStyle w:val="Footnotes"/>
        <w:spacing w:after="0"/>
        <w:ind w:firstLine="0"/>
        <w:rPr>
          <w:rFonts w:asciiTheme="majorHAnsi" w:hAnsiTheme="majorHAnsi"/>
          <w:sz w:val="16"/>
          <w:szCs w:val="16"/>
        </w:rPr>
      </w:pPr>
      <w:r w:rsidRPr="00481E5F">
        <w:rPr>
          <w:rStyle w:val="FootnoteReference"/>
          <w:rFonts w:asciiTheme="majorHAnsi" w:hAnsiTheme="majorHAnsi"/>
          <w:sz w:val="16"/>
          <w:szCs w:val="16"/>
        </w:rPr>
        <w:footnoteRef/>
      </w:r>
      <w:r w:rsidRPr="00CC02F1">
        <w:rPr>
          <w:rFonts w:asciiTheme="majorHAnsi" w:hAnsiTheme="majorHAnsi"/>
          <w:sz w:val="16"/>
          <w:szCs w:val="16"/>
          <w:lang w:val="pt-BR"/>
        </w:rPr>
        <w:t xml:space="preserve"> IACHR, Report No. 113/14, Case 11.661, Merits, </w:t>
      </w:r>
      <w:r w:rsidRPr="00CC02F1">
        <w:rPr>
          <w:rFonts w:asciiTheme="majorHAnsi" w:hAnsiTheme="majorHAnsi"/>
          <w:i/>
          <w:sz w:val="16"/>
          <w:szCs w:val="16"/>
          <w:lang w:val="pt-BR"/>
        </w:rPr>
        <w:t>Manickavasagam Suresh</w:t>
      </w:r>
      <w:r w:rsidRPr="00CC02F1">
        <w:rPr>
          <w:rFonts w:asciiTheme="majorHAnsi" w:hAnsiTheme="majorHAnsi"/>
          <w:sz w:val="16"/>
          <w:szCs w:val="16"/>
          <w:lang w:val="pt-BR"/>
        </w:rPr>
        <w:t xml:space="preserve">, Canada, Nov. 7, 2014, para. </w:t>
      </w:r>
      <w:r w:rsidRPr="007C27A7">
        <w:rPr>
          <w:rFonts w:asciiTheme="majorHAnsi" w:hAnsiTheme="majorHAnsi"/>
          <w:sz w:val="16"/>
          <w:szCs w:val="16"/>
        </w:rPr>
        <w:t xml:space="preserve">86; IACHR, Report </w:t>
      </w:r>
      <w:r w:rsidRPr="00481E5F">
        <w:rPr>
          <w:rFonts w:asciiTheme="majorHAnsi" w:hAnsiTheme="majorHAnsi"/>
          <w:sz w:val="16"/>
          <w:szCs w:val="16"/>
        </w:rPr>
        <w:t xml:space="preserve">No. 51/01, Case 9903, </w:t>
      </w:r>
      <w:r w:rsidRPr="00481E5F">
        <w:rPr>
          <w:rFonts w:asciiTheme="majorHAnsi" w:hAnsiTheme="majorHAnsi"/>
          <w:i/>
          <w:sz w:val="16"/>
          <w:szCs w:val="16"/>
        </w:rPr>
        <w:t>Rafael Ferrer-Mazorra et al.</w:t>
      </w:r>
      <w:r w:rsidRPr="00481E5F">
        <w:rPr>
          <w:rFonts w:asciiTheme="majorHAnsi" w:hAnsiTheme="majorHAnsi"/>
          <w:sz w:val="16"/>
          <w:szCs w:val="16"/>
        </w:rPr>
        <w:t xml:space="preserve">, United States, Apr. 4, 2001, para. 239. </w:t>
      </w:r>
      <w:r w:rsidRPr="00481E5F">
        <w:rPr>
          <w:rFonts w:asciiTheme="majorHAnsi" w:hAnsiTheme="majorHAnsi"/>
          <w:i/>
          <w:sz w:val="16"/>
          <w:szCs w:val="16"/>
        </w:rPr>
        <w:t>See also</w:t>
      </w:r>
      <w:r w:rsidRPr="00481E5F">
        <w:rPr>
          <w:rFonts w:asciiTheme="majorHAnsi" w:hAnsiTheme="majorHAnsi"/>
          <w:sz w:val="16"/>
          <w:szCs w:val="16"/>
        </w:rPr>
        <w:t xml:space="preserve"> IACHR, </w:t>
      </w:r>
      <w:r w:rsidRPr="00481E5F">
        <w:rPr>
          <w:rFonts w:asciiTheme="majorHAnsi" w:hAnsiTheme="majorHAnsi"/>
          <w:i/>
          <w:sz w:val="16"/>
          <w:szCs w:val="16"/>
        </w:rPr>
        <w:t>Report on the Situation of Human Rights of Asylum Seekers within the Canadian Refugee Determination System</w:t>
      </w:r>
      <w:r w:rsidRPr="00481E5F">
        <w:rPr>
          <w:rFonts w:asciiTheme="majorHAnsi" w:hAnsiTheme="majorHAnsi"/>
          <w:sz w:val="16"/>
          <w:szCs w:val="16"/>
        </w:rPr>
        <w:t xml:space="preserve"> (2000), para. </w:t>
      </w:r>
      <w:r w:rsidRPr="009C3D6E">
        <w:rPr>
          <w:rFonts w:asciiTheme="majorHAnsi" w:hAnsiTheme="majorHAnsi"/>
          <w:sz w:val="16"/>
          <w:szCs w:val="16"/>
        </w:rPr>
        <w:t xml:space="preserve">96. </w:t>
      </w:r>
    </w:p>
  </w:footnote>
  <w:footnote w:id="96">
    <w:p w14:paraId="7A8C0867" w14:textId="77777777" w:rsidR="0048538A" w:rsidRPr="001A4106"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9C3D6E">
        <w:rPr>
          <w:rFonts w:asciiTheme="majorHAnsi" w:hAnsiTheme="majorHAnsi"/>
          <w:szCs w:val="16"/>
        </w:rPr>
        <w:t xml:space="preserve"> See I/A Ct. H.R., </w:t>
      </w:r>
      <w:r w:rsidRPr="009C3D6E">
        <w:rPr>
          <w:rFonts w:asciiTheme="majorHAnsi" w:hAnsiTheme="majorHAnsi"/>
          <w:i/>
          <w:szCs w:val="16"/>
        </w:rPr>
        <w:t>Velásquez Rodríguez v. Honduras</w:t>
      </w:r>
      <w:r w:rsidRPr="009C3D6E">
        <w:rPr>
          <w:rFonts w:asciiTheme="majorHAnsi" w:hAnsiTheme="majorHAnsi"/>
          <w:szCs w:val="16"/>
        </w:rPr>
        <w:t xml:space="preserve">. </w:t>
      </w:r>
      <w:r>
        <w:rPr>
          <w:rFonts w:asciiTheme="majorHAnsi" w:hAnsiTheme="majorHAnsi"/>
          <w:szCs w:val="16"/>
        </w:rPr>
        <w:t xml:space="preserve">Merits. </w:t>
      </w:r>
      <w:r w:rsidRPr="00481E5F">
        <w:rPr>
          <w:rFonts w:asciiTheme="majorHAnsi" w:hAnsiTheme="majorHAnsi"/>
          <w:szCs w:val="16"/>
        </w:rPr>
        <w:t>Judgment of July 29, 1988, para. 154,</w:t>
      </w:r>
      <w:r>
        <w:rPr>
          <w:rFonts w:asciiTheme="majorHAnsi" w:hAnsiTheme="majorHAnsi"/>
          <w:szCs w:val="16"/>
        </w:rPr>
        <w:t xml:space="preserve"> </w:t>
      </w:r>
      <w:r w:rsidRPr="00481E5F">
        <w:rPr>
          <w:rFonts w:asciiTheme="majorHAnsi" w:hAnsiTheme="majorHAnsi"/>
          <w:szCs w:val="16"/>
        </w:rPr>
        <w:t xml:space="preserve">167; I/A Ct. H.R., </w:t>
      </w:r>
      <w:r w:rsidRPr="00080A30">
        <w:rPr>
          <w:rFonts w:asciiTheme="majorHAnsi" w:hAnsiTheme="majorHAnsi"/>
          <w:i/>
          <w:szCs w:val="16"/>
        </w:rPr>
        <w:t>Velásquez Rodríguez</w:t>
      </w:r>
      <w:r w:rsidRPr="00481E5F">
        <w:rPr>
          <w:rFonts w:asciiTheme="majorHAnsi" w:hAnsiTheme="majorHAnsi"/>
          <w:szCs w:val="16"/>
        </w:rPr>
        <w:t>, Compensatory Damages</w:t>
      </w:r>
      <w:r>
        <w:rPr>
          <w:rFonts w:asciiTheme="majorHAnsi" w:hAnsiTheme="majorHAnsi"/>
          <w:szCs w:val="16"/>
        </w:rPr>
        <w:t>.</w:t>
      </w:r>
      <w:r w:rsidRPr="00481E5F">
        <w:rPr>
          <w:rFonts w:asciiTheme="majorHAnsi" w:hAnsiTheme="majorHAnsi"/>
          <w:szCs w:val="16"/>
        </w:rPr>
        <w:t xml:space="preserve"> Judgment of July </w:t>
      </w:r>
      <w:r>
        <w:rPr>
          <w:rFonts w:asciiTheme="majorHAnsi" w:hAnsiTheme="majorHAnsi"/>
          <w:szCs w:val="16"/>
        </w:rPr>
        <w:t xml:space="preserve">21, </w:t>
      </w:r>
      <w:r w:rsidRPr="00481E5F">
        <w:rPr>
          <w:rFonts w:asciiTheme="majorHAnsi" w:hAnsiTheme="majorHAnsi"/>
          <w:szCs w:val="16"/>
        </w:rPr>
        <w:t xml:space="preserve">1989, paras. 25-26, 50-51 </w:t>
      </w:r>
      <w:r>
        <w:rPr>
          <w:rFonts w:asciiTheme="majorHAnsi" w:hAnsiTheme="majorHAnsi"/>
          <w:szCs w:val="16"/>
        </w:rPr>
        <w:t>(</w:t>
      </w:r>
      <w:r w:rsidRPr="00481E5F">
        <w:rPr>
          <w:rFonts w:asciiTheme="majorHAnsi" w:hAnsiTheme="majorHAnsi"/>
          <w:szCs w:val="16"/>
        </w:rPr>
        <w:t>citing, </w:t>
      </w:r>
      <w:r w:rsidRPr="00481E5F">
        <w:rPr>
          <w:rFonts w:asciiTheme="majorHAnsi" w:hAnsiTheme="majorHAnsi"/>
          <w:i/>
          <w:iCs/>
          <w:szCs w:val="16"/>
        </w:rPr>
        <w:t>inter alia</w:t>
      </w:r>
      <w:r w:rsidRPr="00481E5F">
        <w:rPr>
          <w:rFonts w:asciiTheme="majorHAnsi" w:hAnsiTheme="majorHAnsi"/>
          <w:szCs w:val="16"/>
        </w:rPr>
        <w:t>, Factory at Chorzów, Merits, Judgment No. 13, 1928, P.C.I.J. Series A, No. 9, p. 21; Reparation for Injuries Suffered in the Service of the United Nations, Advisory Opinion, I.C.J. Reports 1949, p. 184</w:t>
      </w:r>
      <w:r>
        <w:rPr>
          <w:rFonts w:asciiTheme="majorHAnsi" w:hAnsiTheme="majorHAnsi"/>
          <w:szCs w:val="16"/>
        </w:rPr>
        <w:t>)</w:t>
      </w:r>
      <w:r w:rsidRPr="00481E5F">
        <w:rPr>
          <w:rFonts w:asciiTheme="majorHAnsi" w:hAnsiTheme="majorHAnsi"/>
          <w:szCs w:val="16"/>
        </w:rPr>
        <w:t xml:space="preserve">; I/A </w:t>
      </w:r>
      <w:r>
        <w:rPr>
          <w:rFonts w:asciiTheme="majorHAnsi" w:hAnsiTheme="majorHAnsi"/>
          <w:szCs w:val="16"/>
        </w:rPr>
        <w:t>Ct.</w:t>
      </w:r>
      <w:r w:rsidRPr="00481E5F">
        <w:rPr>
          <w:rFonts w:asciiTheme="majorHAnsi" w:hAnsiTheme="majorHAnsi"/>
          <w:szCs w:val="16"/>
        </w:rPr>
        <w:t xml:space="preserve"> H.R</w:t>
      </w:r>
      <w:r>
        <w:rPr>
          <w:rFonts w:asciiTheme="majorHAnsi" w:hAnsiTheme="majorHAnsi"/>
          <w:szCs w:val="16"/>
        </w:rPr>
        <w:t>.</w:t>
      </w:r>
      <w:r w:rsidRPr="00481E5F">
        <w:rPr>
          <w:rFonts w:asciiTheme="majorHAnsi" w:hAnsiTheme="majorHAnsi"/>
          <w:szCs w:val="16"/>
        </w:rPr>
        <w:t>, Advisory Opinion OC-11/90, Exceptions to Exhaustion of Domestic Remedies (Articles 46.1, 46.2.a, and 46.2.b American Convention), Aug</w:t>
      </w:r>
      <w:r>
        <w:rPr>
          <w:rFonts w:asciiTheme="majorHAnsi" w:hAnsiTheme="majorHAnsi"/>
          <w:szCs w:val="16"/>
        </w:rPr>
        <w:t>.</w:t>
      </w:r>
      <w:r w:rsidRPr="00481E5F">
        <w:rPr>
          <w:rFonts w:asciiTheme="majorHAnsi" w:hAnsiTheme="majorHAnsi"/>
          <w:szCs w:val="16"/>
        </w:rPr>
        <w:t xml:space="preserve"> 10, 1990, Series A Nº 11, para. </w:t>
      </w:r>
      <w:r w:rsidRPr="009C3D6E">
        <w:rPr>
          <w:rFonts w:asciiTheme="majorHAnsi" w:hAnsiTheme="majorHAnsi"/>
          <w:szCs w:val="16"/>
          <w:lang w:val="da-DK"/>
        </w:rPr>
        <w:t xml:space="preserve">23; I/A Ct. H.R., </w:t>
      </w:r>
      <w:r w:rsidRPr="009C3D6E">
        <w:rPr>
          <w:rFonts w:asciiTheme="majorHAnsi" w:hAnsiTheme="majorHAnsi"/>
          <w:i/>
          <w:szCs w:val="16"/>
          <w:lang w:val="da-DK"/>
        </w:rPr>
        <w:t>Aloeboetoe </w:t>
      </w:r>
      <w:r w:rsidRPr="009C3D6E">
        <w:rPr>
          <w:rFonts w:asciiTheme="majorHAnsi" w:hAnsiTheme="majorHAnsi"/>
          <w:i/>
          <w:iCs/>
          <w:szCs w:val="16"/>
          <w:lang w:val="da-DK"/>
        </w:rPr>
        <w:t>et al</w:t>
      </w:r>
      <w:r w:rsidRPr="009C3D6E">
        <w:rPr>
          <w:rFonts w:asciiTheme="majorHAnsi" w:hAnsiTheme="majorHAnsi"/>
          <w:i/>
          <w:szCs w:val="16"/>
          <w:lang w:val="da-DK"/>
        </w:rPr>
        <w:t>. v. Surinam</w:t>
      </w:r>
      <w:r w:rsidRPr="009C3D6E">
        <w:rPr>
          <w:rFonts w:asciiTheme="majorHAnsi" w:hAnsiTheme="majorHAnsi"/>
          <w:szCs w:val="16"/>
          <w:lang w:val="da-DK"/>
        </w:rPr>
        <w:t xml:space="preserve">. </w:t>
      </w:r>
      <w:r w:rsidRPr="00481E5F">
        <w:rPr>
          <w:rFonts w:asciiTheme="majorHAnsi" w:hAnsiTheme="majorHAnsi"/>
          <w:szCs w:val="16"/>
        </w:rPr>
        <w:t>Reparations</w:t>
      </w:r>
      <w:r>
        <w:rPr>
          <w:rFonts w:asciiTheme="majorHAnsi" w:hAnsiTheme="majorHAnsi"/>
          <w:szCs w:val="16"/>
        </w:rPr>
        <w:t>.</w:t>
      </w:r>
      <w:r w:rsidRPr="00481E5F">
        <w:rPr>
          <w:rFonts w:asciiTheme="majorHAnsi" w:hAnsiTheme="majorHAnsi"/>
          <w:szCs w:val="16"/>
        </w:rPr>
        <w:t xml:space="preserve"> Judgment of </w:t>
      </w:r>
      <w:r>
        <w:rPr>
          <w:rFonts w:asciiTheme="majorHAnsi" w:hAnsiTheme="majorHAnsi"/>
          <w:szCs w:val="16"/>
        </w:rPr>
        <w:t xml:space="preserve">Sept. </w:t>
      </w:r>
      <w:r w:rsidRPr="00481E5F">
        <w:rPr>
          <w:rFonts w:asciiTheme="majorHAnsi" w:hAnsiTheme="majorHAnsi"/>
          <w:szCs w:val="16"/>
        </w:rPr>
        <w:t>10</w:t>
      </w:r>
      <w:r>
        <w:rPr>
          <w:rFonts w:asciiTheme="majorHAnsi" w:hAnsiTheme="majorHAnsi"/>
          <w:szCs w:val="16"/>
        </w:rPr>
        <w:t>,</w:t>
      </w:r>
      <w:r w:rsidRPr="00481E5F">
        <w:rPr>
          <w:rFonts w:asciiTheme="majorHAnsi" w:hAnsiTheme="majorHAnsi"/>
          <w:szCs w:val="16"/>
        </w:rPr>
        <w:t xml:space="preserve"> 1993</w:t>
      </w:r>
      <w:r>
        <w:rPr>
          <w:rFonts w:asciiTheme="majorHAnsi" w:hAnsiTheme="majorHAnsi"/>
          <w:szCs w:val="16"/>
        </w:rPr>
        <w:t xml:space="preserve">, </w:t>
      </w:r>
      <w:r w:rsidRPr="00481E5F">
        <w:rPr>
          <w:rFonts w:asciiTheme="majorHAnsi" w:hAnsiTheme="majorHAnsi"/>
          <w:szCs w:val="16"/>
        </w:rPr>
        <w:t xml:space="preserve">paras. </w:t>
      </w:r>
      <w:r w:rsidRPr="001A4106">
        <w:rPr>
          <w:rFonts w:asciiTheme="majorHAnsi" w:hAnsiTheme="majorHAnsi"/>
          <w:szCs w:val="16"/>
        </w:rPr>
        <w:t>51-52.</w:t>
      </w:r>
    </w:p>
  </w:footnote>
  <w:footnote w:id="97">
    <w:p w14:paraId="692B5200"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w:t>
      </w:r>
      <w:r w:rsidRPr="00481E5F">
        <w:rPr>
          <w:rFonts w:asciiTheme="majorHAnsi" w:hAnsiTheme="majorHAnsi"/>
          <w:i/>
          <w:szCs w:val="16"/>
        </w:rPr>
        <w:t>See</w:t>
      </w:r>
      <w:r w:rsidRPr="00481E5F">
        <w:rPr>
          <w:rFonts w:asciiTheme="majorHAnsi" w:hAnsiTheme="majorHAnsi"/>
          <w:szCs w:val="16"/>
        </w:rPr>
        <w:t>, among others, I/A Ct. H.R.</w:t>
      </w:r>
      <w:r w:rsidRPr="00481E5F">
        <w:rPr>
          <w:rFonts w:asciiTheme="majorHAnsi" w:hAnsiTheme="majorHAnsi"/>
          <w:i/>
          <w:szCs w:val="16"/>
        </w:rPr>
        <w:t xml:space="preserve"> Hilaire et al. v. Trinidad and Tobago</w:t>
      </w:r>
      <w:r w:rsidRPr="00481E5F">
        <w:rPr>
          <w:rFonts w:asciiTheme="majorHAnsi" w:hAnsiTheme="majorHAnsi"/>
          <w:szCs w:val="16"/>
        </w:rPr>
        <w:t xml:space="preserve">, Judgment of June 21, 2002, para. 145; </w:t>
      </w:r>
      <w:r w:rsidRPr="00481E5F">
        <w:rPr>
          <w:rFonts w:asciiTheme="majorHAnsi" w:hAnsiTheme="majorHAnsi"/>
          <w:i/>
          <w:szCs w:val="16"/>
        </w:rPr>
        <w:t>Case of 19 Merchants v. Colombia</w:t>
      </w:r>
      <w:r w:rsidRPr="00481E5F">
        <w:rPr>
          <w:rFonts w:asciiTheme="majorHAnsi" w:hAnsiTheme="majorHAnsi"/>
          <w:szCs w:val="16"/>
        </w:rPr>
        <w:t xml:space="preserve">, Judgment of July 5, 2004, para. 191; </w:t>
      </w:r>
      <w:r w:rsidRPr="00481E5F">
        <w:rPr>
          <w:rFonts w:asciiTheme="majorHAnsi" w:hAnsiTheme="majorHAnsi"/>
          <w:i/>
          <w:szCs w:val="16"/>
        </w:rPr>
        <w:t>Serrano Cruz Sisters v. El Salvador</w:t>
      </w:r>
      <w:r w:rsidRPr="00481E5F">
        <w:rPr>
          <w:rFonts w:asciiTheme="majorHAnsi" w:hAnsiTheme="majorHAnsi"/>
          <w:szCs w:val="16"/>
        </w:rPr>
        <w:t xml:space="preserve">, Judgment of Mar. 1, 2005, para. 69. </w:t>
      </w:r>
    </w:p>
  </w:footnote>
  <w:footnote w:id="98">
    <w:p w14:paraId="3DF5AA22" w14:textId="77777777" w:rsidR="0048538A" w:rsidRPr="00481E5F" w:rsidRDefault="0048538A" w:rsidP="00481E5F">
      <w:pPr>
        <w:pStyle w:val="FootnoteText"/>
        <w:jc w:val="both"/>
        <w:rPr>
          <w:rFonts w:asciiTheme="majorHAnsi" w:hAnsiTheme="majorHAnsi"/>
          <w: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w:t>
      </w:r>
      <w:r w:rsidRPr="00481E5F">
        <w:rPr>
          <w:rFonts w:asciiTheme="majorHAnsi" w:hAnsiTheme="majorHAnsi"/>
          <w:i/>
          <w:szCs w:val="16"/>
        </w:rPr>
        <w:t>See</w:t>
      </w:r>
      <w:r w:rsidRPr="00481E5F">
        <w:rPr>
          <w:rFonts w:asciiTheme="majorHAnsi" w:hAnsiTheme="majorHAnsi"/>
          <w:szCs w:val="16"/>
        </w:rPr>
        <w:t xml:space="preserve">, </w:t>
      </w:r>
      <w:r w:rsidRPr="00481E5F">
        <w:rPr>
          <w:rFonts w:asciiTheme="majorHAnsi" w:hAnsiTheme="majorHAnsi"/>
          <w:i/>
          <w:szCs w:val="16"/>
        </w:rPr>
        <w:t>e.g.</w:t>
      </w:r>
      <w:r w:rsidRPr="00481E5F">
        <w:rPr>
          <w:rFonts w:asciiTheme="majorHAnsi" w:hAnsiTheme="majorHAnsi"/>
          <w:szCs w:val="16"/>
        </w:rPr>
        <w:t xml:space="preserve">, IACHR, </w:t>
      </w:r>
      <w:r w:rsidRPr="00481E5F">
        <w:rPr>
          <w:rFonts w:asciiTheme="majorHAnsi" w:hAnsiTheme="majorHAnsi"/>
          <w:i/>
          <w:szCs w:val="16"/>
        </w:rPr>
        <w:t>Toward the Closure of Guantánamo</w:t>
      </w:r>
      <w:r w:rsidRPr="00481E5F">
        <w:rPr>
          <w:rFonts w:asciiTheme="majorHAnsi" w:hAnsiTheme="majorHAnsi"/>
          <w:szCs w:val="16"/>
        </w:rPr>
        <w:t xml:space="preserve"> (2015), para. 153; </w:t>
      </w:r>
      <w:r w:rsidRPr="00481E5F">
        <w:rPr>
          <w:rFonts w:asciiTheme="majorHAnsi" w:hAnsiTheme="majorHAnsi"/>
          <w:i/>
          <w:szCs w:val="16"/>
        </w:rPr>
        <w:t xml:space="preserve">see also </w:t>
      </w:r>
      <w:r w:rsidRPr="00481E5F">
        <w:rPr>
          <w:rFonts w:asciiTheme="majorHAnsi" w:hAnsiTheme="majorHAnsi"/>
          <w:szCs w:val="16"/>
        </w:rPr>
        <w:t xml:space="preserve">I/A Ct. H.R. </w:t>
      </w:r>
      <w:r w:rsidRPr="00481E5F">
        <w:rPr>
          <w:rFonts w:asciiTheme="majorHAnsi" w:hAnsiTheme="majorHAnsi"/>
          <w:i/>
          <w:szCs w:val="16"/>
        </w:rPr>
        <w:t>Juridical Condition and Rights of Undocumented Migrants</w:t>
      </w:r>
      <w:r w:rsidRPr="00481E5F">
        <w:rPr>
          <w:rFonts w:asciiTheme="majorHAnsi" w:hAnsiTheme="majorHAnsi"/>
          <w:szCs w:val="16"/>
        </w:rPr>
        <w:t xml:space="preserve">, Advisory Opinion OC-18/03 of Sept. 17, 2003, para. 109; IACHR, </w:t>
      </w:r>
      <w:r w:rsidRPr="00481E5F">
        <w:rPr>
          <w:rFonts w:asciiTheme="majorHAnsi" w:hAnsiTheme="majorHAnsi"/>
          <w:i/>
          <w:szCs w:val="16"/>
        </w:rPr>
        <w:t>Report on Persons Deprived of Liberty</w:t>
      </w:r>
      <w:r w:rsidRPr="00481E5F">
        <w:rPr>
          <w:rFonts w:asciiTheme="majorHAnsi" w:hAnsiTheme="majorHAnsi"/>
          <w:szCs w:val="16"/>
        </w:rPr>
        <w:t xml:space="preserve"> (2011), para. 246 (citing I/A Ct. H.R., </w:t>
      </w:r>
      <w:r w:rsidRPr="00481E5F">
        <w:rPr>
          <w:rFonts w:asciiTheme="majorHAnsi" w:hAnsiTheme="majorHAnsi"/>
          <w:i/>
          <w:szCs w:val="16"/>
        </w:rPr>
        <w:t>Velásquez Rodríguez V. Honduras</w:t>
      </w:r>
      <w:r w:rsidRPr="00481E5F">
        <w:rPr>
          <w:rFonts w:asciiTheme="majorHAnsi" w:hAnsiTheme="majorHAnsi"/>
          <w:szCs w:val="16"/>
        </w:rPr>
        <w:t xml:space="preserve">. Judgment of July 29, 1988, para. 66; </w:t>
      </w:r>
      <w:r w:rsidRPr="00481E5F">
        <w:rPr>
          <w:rFonts w:asciiTheme="majorHAnsi" w:hAnsiTheme="majorHAnsi"/>
          <w:i/>
          <w:szCs w:val="16"/>
        </w:rPr>
        <w:t>Judicial Guarantees in States of Emergency (Arts. 27(2), 25 and 8 Am. Conv. H.R.)</w:t>
      </w:r>
      <w:r w:rsidRPr="00481E5F">
        <w:rPr>
          <w:rFonts w:asciiTheme="majorHAnsi" w:hAnsiTheme="majorHAnsi"/>
          <w:szCs w:val="16"/>
        </w:rPr>
        <w:t>. Advisory Opinion OC‐9/87 of Oct. 6, 1987, para. 24).</w:t>
      </w:r>
    </w:p>
  </w:footnote>
  <w:footnote w:id="99">
    <w:p w14:paraId="148CB5EB" w14:textId="77777777" w:rsidR="0048538A" w:rsidRPr="00481E5F" w:rsidRDefault="0048538A" w:rsidP="00481E5F">
      <w:pPr>
        <w:pStyle w:val="FootnoteText"/>
        <w:jc w:val="both"/>
        <w:rPr>
          <w:rFonts w:asciiTheme="majorHAnsi" w:hAnsiTheme="majorHAns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IACHR, </w:t>
      </w:r>
      <w:r w:rsidRPr="00481E5F">
        <w:rPr>
          <w:rFonts w:asciiTheme="majorHAnsi" w:hAnsiTheme="majorHAnsi"/>
          <w:i/>
          <w:szCs w:val="16"/>
        </w:rPr>
        <w:t>Report on Persons Deprived of Liberty</w:t>
      </w:r>
      <w:r w:rsidRPr="00481E5F">
        <w:rPr>
          <w:rFonts w:asciiTheme="majorHAnsi" w:hAnsiTheme="majorHAnsi"/>
          <w:szCs w:val="16"/>
        </w:rPr>
        <w:t xml:space="preserve"> (2011), para. </w:t>
      </w:r>
      <w:r w:rsidRPr="009C3D6E">
        <w:rPr>
          <w:rFonts w:asciiTheme="majorHAnsi" w:hAnsiTheme="majorHAnsi"/>
          <w:szCs w:val="16"/>
        </w:rPr>
        <w:t xml:space="preserve">246 (citing I/A Ct. H.R. </w:t>
      </w:r>
      <w:r w:rsidRPr="009C3D6E">
        <w:rPr>
          <w:rFonts w:asciiTheme="majorHAnsi" w:hAnsiTheme="majorHAnsi"/>
          <w:i/>
          <w:szCs w:val="16"/>
        </w:rPr>
        <w:t>Velásquez Rodríguez v. Honduras</w:t>
      </w:r>
      <w:r w:rsidRPr="009C3D6E">
        <w:rPr>
          <w:rFonts w:asciiTheme="majorHAnsi" w:hAnsiTheme="majorHAnsi"/>
          <w:szCs w:val="16"/>
        </w:rPr>
        <w:t xml:space="preserve">, para. </w:t>
      </w:r>
      <w:r w:rsidRPr="00481E5F">
        <w:rPr>
          <w:rFonts w:asciiTheme="majorHAnsi" w:hAnsiTheme="majorHAnsi"/>
          <w:szCs w:val="16"/>
        </w:rPr>
        <w:t>66).</w:t>
      </w:r>
    </w:p>
  </w:footnote>
  <w:footnote w:id="100">
    <w:p w14:paraId="752BAA7F" w14:textId="77777777" w:rsidR="0048538A" w:rsidRPr="00CC02F1" w:rsidRDefault="0048538A" w:rsidP="00481E5F">
      <w:pPr>
        <w:pStyle w:val="FootnoteText"/>
        <w:jc w:val="both"/>
        <w:rPr>
          <w:rFonts w:asciiTheme="majorHAnsi" w:hAnsiTheme="majorHAnsi"/>
          <w:i/>
          <w:szCs w:val="16"/>
        </w:rPr>
      </w:pPr>
      <w:r w:rsidRPr="00481E5F">
        <w:rPr>
          <w:rStyle w:val="FootnoteReference"/>
          <w:rFonts w:asciiTheme="majorHAnsi" w:hAnsiTheme="majorHAnsi"/>
          <w:szCs w:val="16"/>
        </w:rPr>
        <w:footnoteRef/>
      </w:r>
      <w:r w:rsidRPr="00481E5F">
        <w:rPr>
          <w:rFonts w:asciiTheme="majorHAnsi" w:hAnsiTheme="majorHAnsi"/>
          <w:szCs w:val="16"/>
        </w:rPr>
        <w:t xml:space="preserve"> </w:t>
      </w:r>
      <w:r w:rsidRPr="00481E5F">
        <w:rPr>
          <w:rFonts w:asciiTheme="majorHAnsi" w:hAnsiTheme="majorHAnsi"/>
          <w:i/>
          <w:szCs w:val="16"/>
        </w:rPr>
        <w:t>See</w:t>
      </w:r>
      <w:r w:rsidRPr="00481E5F">
        <w:rPr>
          <w:rFonts w:asciiTheme="majorHAnsi" w:hAnsiTheme="majorHAnsi"/>
          <w:szCs w:val="16"/>
        </w:rPr>
        <w:t>, for example, I/A Ct. H.R.</w:t>
      </w:r>
      <w:r w:rsidRPr="00481E5F">
        <w:rPr>
          <w:rFonts w:asciiTheme="majorHAnsi" w:hAnsiTheme="majorHAnsi"/>
          <w:i/>
          <w:szCs w:val="16"/>
        </w:rPr>
        <w:t xml:space="preserve"> Case of the Constitutional Tribunal v. Peru</w:t>
      </w:r>
      <w:r w:rsidRPr="00481E5F">
        <w:rPr>
          <w:rFonts w:asciiTheme="majorHAnsi" w:hAnsiTheme="majorHAnsi"/>
          <w:szCs w:val="16"/>
        </w:rPr>
        <w:t xml:space="preserve">, Judgment of Jan. 31, 3001, paras. 73, 75; </w:t>
      </w:r>
      <w:r w:rsidRPr="00481E5F">
        <w:rPr>
          <w:rFonts w:asciiTheme="majorHAnsi" w:hAnsiTheme="majorHAnsi"/>
          <w:i/>
          <w:szCs w:val="16"/>
        </w:rPr>
        <w:t>Apitz Barbera et al. (“First Court of Administrative Disputes”) v. Venezuela</w:t>
      </w:r>
      <w:r w:rsidRPr="00481E5F">
        <w:rPr>
          <w:rFonts w:asciiTheme="majorHAnsi" w:hAnsiTheme="majorHAnsi"/>
          <w:szCs w:val="16"/>
        </w:rPr>
        <w:t xml:space="preserve">, Judgment of Aug. 5, 2008, para. </w:t>
      </w:r>
      <w:r w:rsidRPr="007C27A7">
        <w:rPr>
          <w:rFonts w:asciiTheme="majorHAnsi" w:hAnsiTheme="majorHAnsi"/>
          <w:szCs w:val="16"/>
        </w:rPr>
        <w:t xml:space="preserve">138; </w:t>
      </w:r>
      <w:r w:rsidRPr="007C27A7">
        <w:rPr>
          <w:rFonts w:asciiTheme="majorHAnsi" w:hAnsiTheme="majorHAnsi"/>
          <w:i/>
          <w:szCs w:val="16"/>
        </w:rPr>
        <w:t xml:space="preserve">see also </w:t>
      </w:r>
      <w:r>
        <w:rPr>
          <w:rFonts w:asciiTheme="majorHAnsi" w:hAnsiTheme="majorHAnsi"/>
          <w:szCs w:val="16"/>
        </w:rPr>
        <w:t>I/A Ct. H.R.</w:t>
      </w:r>
      <w:r w:rsidRPr="007C27A7">
        <w:rPr>
          <w:rFonts w:asciiTheme="majorHAnsi" w:hAnsiTheme="majorHAnsi"/>
          <w:szCs w:val="16"/>
        </w:rPr>
        <w:t xml:space="preserve"> </w:t>
      </w:r>
      <w:r w:rsidRPr="007C2AA2">
        <w:rPr>
          <w:rFonts w:asciiTheme="majorHAnsi" w:hAnsiTheme="majorHAnsi" w:cs="Times New Roman"/>
          <w:bCs/>
          <w:i/>
        </w:rPr>
        <w:t xml:space="preserve">Maldonado Ordóñez </w:t>
      </w:r>
      <w:r>
        <w:rPr>
          <w:rFonts w:asciiTheme="majorHAnsi" w:hAnsiTheme="majorHAnsi" w:cs="Times New Roman"/>
          <w:bCs/>
          <w:i/>
        </w:rPr>
        <w:t>v</w:t>
      </w:r>
      <w:r w:rsidRPr="007C2AA2">
        <w:rPr>
          <w:rFonts w:asciiTheme="majorHAnsi" w:hAnsiTheme="majorHAnsi" w:cs="Times New Roman"/>
          <w:bCs/>
          <w:i/>
        </w:rPr>
        <w:t>. Guatemala</w:t>
      </w:r>
      <w:r w:rsidRPr="007C2AA2">
        <w:rPr>
          <w:rFonts w:asciiTheme="majorHAnsi" w:hAnsiTheme="majorHAnsi" w:cs="Times New Roman"/>
          <w:bCs/>
        </w:rPr>
        <w:t xml:space="preserve">. </w:t>
      </w:r>
      <w:r w:rsidRPr="00481E5F">
        <w:rPr>
          <w:rFonts w:asciiTheme="majorHAnsi" w:hAnsiTheme="majorHAnsi"/>
          <w:szCs w:val="16"/>
        </w:rPr>
        <w:t>Judgment of</w:t>
      </w:r>
      <w:r>
        <w:rPr>
          <w:rFonts w:asciiTheme="majorHAnsi" w:hAnsiTheme="majorHAnsi"/>
          <w:szCs w:val="16"/>
        </w:rPr>
        <w:t xml:space="preserve"> May 3, </w:t>
      </w:r>
      <w:r w:rsidRPr="007C2AA2">
        <w:rPr>
          <w:rFonts w:asciiTheme="majorHAnsi" w:hAnsiTheme="majorHAnsi" w:cs="Times New Roman"/>
          <w:bCs/>
        </w:rPr>
        <w:t>2016</w:t>
      </w:r>
      <w:r>
        <w:rPr>
          <w:rFonts w:asciiTheme="majorHAnsi" w:hAnsiTheme="majorHAnsi" w:cs="Times New Roman"/>
          <w:bCs/>
        </w:rPr>
        <w:t>,</w:t>
      </w:r>
      <w:r w:rsidRPr="00CC02F1">
        <w:rPr>
          <w:rFonts w:asciiTheme="majorHAnsi" w:hAnsiTheme="majorHAnsi" w:cs="Times New Roman"/>
          <w:bCs/>
        </w:rPr>
        <w:t xml:space="preserve"> párr. 109.</w:t>
      </w:r>
    </w:p>
  </w:footnote>
  <w:footnote w:id="101">
    <w:p w14:paraId="2738B7D5" w14:textId="77777777" w:rsidR="0048538A" w:rsidRPr="00547BA6" w:rsidRDefault="0048538A" w:rsidP="00547BA6">
      <w:pPr>
        <w:pStyle w:val="FootnoteText"/>
        <w:jc w:val="both"/>
        <w:rPr>
          <w:rFonts w:asciiTheme="majorHAnsi" w:hAnsiTheme="majorHAnsi"/>
          <w:szCs w:val="16"/>
        </w:rPr>
      </w:pPr>
      <w:r w:rsidRPr="00547BA6">
        <w:rPr>
          <w:rStyle w:val="FootnoteReference"/>
          <w:rFonts w:asciiTheme="majorHAnsi" w:hAnsiTheme="majorHAnsi"/>
          <w:szCs w:val="16"/>
        </w:rPr>
        <w:footnoteRef/>
      </w:r>
      <w:r w:rsidRPr="00547BA6">
        <w:rPr>
          <w:rFonts w:asciiTheme="majorHAnsi" w:hAnsiTheme="majorHAnsi"/>
          <w:szCs w:val="16"/>
        </w:rPr>
        <w:t xml:space="preserve"> State’s observations on the merits (Jan. 22, 2007). </w:t>
      </w:r>
    </w:p>
  </w:footnote>
  <w:footnote w:id="102">
    <w:p w14:paraId="45F13D39" w14:textId="77777777" w:rsidR="0048538A" w:rsidRPr="00547BA6" w:rsidRDefault="0048538A" w:rsidP="00547BA6">
      <w:pPr>
        <w:pStyle w:val="FootnoteText"/>
        <w:jc w:val="both"/>
        <w:rPr>
          <w:rFonts w:asciiTheme="majorHAnsi" w:hAnsiTheme="majorHAnsi"/>
        </w:rPr>
      </w:pPr>
      <w:r w:rsidRPr="00547BA6">
        <w:rPr>
          <w:rStyle w:val="FootnoteReference"/>
          <w:rFonts w:asciiTheme="majorHAnsi" w:hAnsiTheme="majorHAnsi"/>
        </w:rPr>
        <w:footnoteRef/>
      </w:r>
      <w:r w:rsidRPr="00547BA6">
        <w:rPr>
          <w:rFonts w:asciiTheme="majorHAnsi" w:hAnsiTheme="majorHAnsi"/>
        </w:rPr>
        <w:t xml:space="preserve"> </w:t>
      </w:r>
      <w:r w:rsidRPr="00547BA6">
        <w:rPr>
          <w:rFonts w:asciiTheme="majorHAnsi" w:hAnsiTheme="majorHAnsi"/>
          <w:i/>
        </w:rPr>
        <w:t>See, e.g.</w:t>
      </w:r>
      <w:r w:rsidRPr="00547BA6">
        <w:rPr>
          <w:rFonts w:asciiTheme="majorHAnsi" w:hAnsiTheme="majorHAnsi"/>
        </w:rPr>
        <w:t xml:space="preserve">, IACHR, Report </w:t>
      </w:r>
      <w:r>
        <w:rPr>
          <w:rFonts w:asciiTheme="majorHAnsi" w:hAnsiTheme="majorHAnsi"/>
        </w:rPr>
        <w:t>No. 64/12. Case 12.271</w:t>
      </w:r>
      <w:r w:rsidRPr="00547BA6">
        <w:rPr>
          <w:rFonts w:asciiTheme="majorHAnsi" w:hAnsiTheme="majorHAnsi"/>
        </w:rPr>
        <w:t xml:space="preserve">. Merits. </w:t>
      </w:r>
      <w:r w:rsidRPr="00992840">
        <w:rPr>
          <w:rFonts w:asciiTheme="majorHAnsi" w:hAnsiTheme="majorHAnsi"/>
          <w:i/>
        </w:rPr>
        <w:t>Benito Tide Méndez</w:t>
      </w:r>
      <w:r w:rsidRPr="00547BA6">
        <w:rPr>
          <w:rFonts w:asciiTheme="majorHAnsi" w:hAnsiTheme="majorHAnsi"/>
        </w:rPr>
        <w:t xml:space="preserve">. Dominican Republic. </w:t>
      </w:r>
      <w:r>
        <w:rPr>
          <w:rFonts w:asciiTheme="majorHAnsi" w:hAnsiTheme="majorHAnsi"/>
        </w:rPr>
        <w:t>Mar. 29, 2012</w:t>
      </w:r>
      <w:r w:rsidRPr="00547BA6">
        <w:rPr>
          <w:rFonts w:asciiTheme="majorHAnsi" w:hAnsiTheme="majorHAnsi"/>
        </w:rPr>
        <w:t>, para. 228.</w:t>
      </w:r>
    </w:p>
  </w:footnote>
  <w:footnote w:id="103">
    <w:p w14:paraId="52C67B30" w14:textId="77777777" w:rsidR="0048538A" w:rsidRPr="00547BA6" w:rsidRDefault="0048538A" w:rsidP="00547BA6">
      <w:pPr>
        <w:pStyle w:val="FootnoteText"/>
        <w:jc w:val="both"/>
        <w:rPr>
          <w:rFonts w:asciiTheme="majorHAnsi" w:hAnsiTheme="majorHAnsi"/>
        </w:rPr>
      </w:pPr>
      <w:r w:rsidRPr="00547BA6">
        <w:rPr>
          <w:rStyle w:val="FootnoteReference"/>
          <w:rFonts w:asciiTheme="majorHAnsi" w:hAnsiTheme="majorHAnsi"/>
        </w:rPr>
        <w:footnoteRef/>
      </w:r>
      <w:r w:rsidRPr="00547BA6">
        <w:rPr>
          <w:rFonts w:asciiTheme="majorHAnsi" w:hAnsiTheme="majorHAnsi"/>
        </w:rPr>
        <w:t xml:space="preserve"> Id. at para. 229 (citing IACHR, </w:t>
      </w:r>
      <w:r w:rsidRPr="00547BA6">
        <w:rPr>
          <w:rFonts w:asciiTheme="majorHAnsi" w:hAnsiTheme="majorHAnsi"/>
          <w:i/>
        </w:rPr>
        <w:t>Access to Justice for Women Victims of Violence in the Americas</w:t>
      </w:r>
      <w:r w:rsidRPr="00547BA6">
        <w:rPr>
          <w:rFonts w:asciiTheme="majorHAnsi" w:hAnsiTheme="majorHAnsi"/>
        </w:rPr>
        <w:t xml:space="preserve"> (2007), paras. 80, 83; </w:t>
      </w:r>
      <w:r w:rsidRPr="00547BA6">
        <w:rPr>
          <w:rFonts w:asciiTheme="majorHAnsi" w:hAnsiTheme="majorHAnsi"/>
          <w:i/>
        </w:rPr>
        <w:t>Report on Terrorism and Human Rights</w:t>
      </w:r>
      <w:r w:rsidRPr="00547BA6">
        <w:rPr>
          <w:rFonts w:asciiTheme="majorHAnsi" w:hAnsiTheme="majorHAnsi"/>
        </w:rPr>
        <w:t xml:space="preserve"> (2002), para. </w:t>
      </w:r>
      <w:r w:rsidRPr="00BB421D">
        <w:rPr>
          <w:rFonts w:asciiTheme="majorHAnsi" w:hAnsiTheme="majorHAnsi"/>
        </w:rPr>
        <w:t xml:space="preserve">338; Report No. 4/01, </w:t>
      </w:r>
      <w:r w:rsidRPr="00992840">
        <w:rPr>
          <w:rFonts w:asciiTheme="majorHAnsi" w:hAnsiTheme="majorHAnsi"/>
          <w:i/>
        </w:rPr>
        <w:t>María Eugenia Morales de Sierra</w:t>
      </w:r>
      <w:r w:rsidRPr="00BB421D">
        <w:rPr>
          <w:rFonts w:asciiTheme="majorHAnsi" w:hAnsiTheme="majorHAnsi"/>
        </w:rPr>
        <w:t xml:space="preserve"> (Guatemala), Jan. 19, 2001, para. </w:t>
      </w:r>
      <w:r w:rsidRPr="00547BA6">
        <w:rPr>
          <w:rFonts w:asciiTheme="majorHAnsi" w:hAnsiTheme="majorHAnsi"/>
        </w:rPr>
        <w:t xml:space="preserve">36; Annual Report 1999, </w:t>
      </w:r>
      <w:r w:rsidRPr="00547BA6">
        <w:rPr>
          <w:rFonts w:asciiTheme="majorHAnsi" w:hAnsiTheme="majorHAnsi"/>
          <w:i/>
        </w:rPr>
        <w:t>Considerations regarding the Compatibility of Affirmative Action Measures Designed to Promote the Political Participation of Women with the Principles of Equality and Non-Discrimination</w:t>
      </w:r>
      <w:r w:rsidRPr="00547BA6">
        <w:rPr>
          <w:rFonts w:asciiTheme="majorHAnsi" w:hAnsiTheme="majorHAnsi"/>
        </w:rPr>
        <w:t>, Chapter VI; ECHR, Salgueiro da Silva Mouta v. Portugal, App</w:t>
      </w:r>
      <w:r>
        <w:rPr>
          <w:rFonts w:asciiTheme="majorHAnsi" w:hAnsiTheme="majorHAnsi"/>
        </w:rPr>
        <w:t>.</w:t>
      </w:r>
      <w:r w:rsidRPr="00547BA6">
        <w:rPr>
          <w:rFonts w:asciiTheme="majorHAnsi" w:hAnsiTheme="majorHAnsi"/>
        </w:rPr>
        <w:t xml:space="preserve"> No. 33290/96, Dec. 21, 1999, para. 29; Belgian Linguistics (Merits), Judgment of July 23, 1968, p. 34; Lustig-Prean y Beckett v. U.K., App</w:t>
      </w:r>
      <w:r>
        <w:rPr>
          <w:rFonts w:asciiTheme="majorHAnsi" w:hAnsiTheme="majorHAnsi"/>
        </w:rPr>
        <w:t>s.</w:t>
      </w:r>
      <w:r w:rsidRPr="00547BA6">
        <w:rPr>
          <w:rFonts w:asciiTheme="majorHAnsi" w:hAnsiTheme="majorHAnsi"/>
        </w:rPr>
        <w:t xml:space="preserve"> Nos. 31417/96 and 32377/96, Sept. 27, 1999, para. 80; Smith and. Grady v. U.K., Apps</w:t>
      </w:r>
      <w:r>
        <w:rPr>
          <w:rFonts w:asciiTheme="majorHAnsi" w:hAnsiTheme="majorHAnsi"/>
        </w:rPr>
        <w:t>.</w:t>
      </w:r>
      <w:r w:rsidRPr="00547BA6">
        <w:rPr>
          <w:rFonts w:asciiTheme="majorHAnsi" w:hAnsiTheme="majorHAnsi"/>
        </w:rPr>
        <w:t xml:space="preserve"> Nos. 33985/96 y 33986/96, Sept. 27, 1999, para. 87). </w:t>
      </w:r>
    </w:p>
  </w:footnote>
  <w:footnote w:id="104">
    <w:p w14:paraId="2370C538" w14:textId="77777777" w:rsidR="0048538A" w:rsidRPr="00913041" w:rsidRDefault="0048538A" w:rsidP="00913041">
      <w:pPr>
        <w:pStyle w:val="FootnoteText"/>
        <w:jc w:val="both"/>
        <w:rPr>
          <w:rFonts w:asciiTheme="majorHAnsi" w:hAnsiTheme="majorHAnsi"/>
        </w:rPr>
      </w:pPr>
      <w:r w:rsidRPr="00547BA6">
        <w:rPr>
          <w:rStyle w:val="FootnoteReference"/>
          <w:rFonts w:asciiTheme="majorHAnsi" w:hAnsiTheme="majorHAnsi"/>
        </w:rPr>
        <w:footnoteRef/>
      </w:r>
      <w:r w:rsidRPr="00547BA6">
        <w:rPr>
          <w:rFonts w:asciiTheme="majorHAnsi" w:hAnsiTheme="majorHAnsi"/>
        </w:rPr>
        <w:t xml:space="preserve"> Id. at para. 229; IACHR, Report No. 38/96, </w:t>
      </w:r>
      <w:r w:rsidRPr="007C2AA2">
        <w:rPr>
          <w:rFonts w:asciiTheme="majorHAnsi" w:hAnsiTheme="majorHAnsi"/>
          <w:i/>
        </w:rPr>
        <w:t>X and Y</w:t>
      </w:r>
      <w:r w:rsidRPr="00547BA6">
        <w:rPr>
          <w:rFonts w:asciiTheme="majorHAnsi" w:hAnsiTheme="majorHAnsi"/>
        </w:rPr>
        <w:t xml:space="preserve"> (Argentina), Oct. 15, 1996, para. 74; IACHR, </w:t>
      </w:r>
      <w:r w:rsidRPr="00547BA6">
        <w:rPr>
          <w:rFonts w:asciiTheme="majorHAnsi" w:hAnsiTheme="majorHAnsi"/>
          <w:i/>
        </w:rPr>
        <w:t>Access to Justice for Women Victims of Violence in the Americas</w:t>
      </w:r>
      <w:r w:rsidRPr="00547BA6">
        <w:rPr>
          <w:rFonts w:asciiTheme="majorHAnsi" w:hAnsiTheme="majorHAnsi"/>
        </w:rPr>
        <w:t xml:space="preserve"> (2007), para. 83. See also, ECHR, Karner v. Austria, App</w:t>
      </w:r>
      <w:r>
        <w:rPr>
          <w:rFonts w:asciiTheme="majorHAnsi" w:hAnsiTheme="majorHAnsi"/>
        </w:rPr>
        <w:t>.</w:t>
      </w:r>
      <w:r w:rsidRPr="00547BA6">
        <w:rPr>
          <w:rFonts w:asciiTheme="majorHAnsi" w:hAnsiTheme="majorHAnsi"/>
        </w:rPr>
        <w:t xml:space="preserve"> No. 40016/98, 24 July 2003, para. </w:t>
      </w:r>
      <w:r w:rsidRPr="00BB421D">
        <w:rPr>
          <w:rFonts w:asciiTheme="majorHAnsi" w:hAnsiTheme="majorHAnsi"/>
          <w:lang w:val="pt-BR"/>
        </w:rPr>
        <w:t xml:space="preserve">41; Salgueiro da Silva Mouta v. Portugal, App. No. 33290/96, Dec. 21, 1999, para. </w:t>
      </w:r>
      <w:r w:rsidRPr="00913041">
        <w:rPr>
          <w:rFonts w:asciiTheme="majorHAnsi" w:hAnsiTheme="majorHAnsi"/>
        </w:rPr>
        <w:t>29; Belgian Linguistics (Merits), Judgment of July 23, 1968, p. 34.</w:t>
      </w:r>
    </w:p>
  </w:footnote>
  <w:footnote w:id="105">
    <w:p w14:paraId="384AB496" w14:textId="77777777" w:rsidR="0048538A" w:rsidRPr="00913041" w:rsidRDefault="0048538A" w:rsidP="00913041">
      <w:pPr>
        <w:pStyle w:val="FootnoteText"/>
        <w:jc w:val="both"/>
        <w:rPr>
          <w:rFonts w:asciiTheme="majorHAnsi" w:hAnsiTheme="majorHAnsi"/>
        </w:rPr>
      </w:pPr>
      <w:r w:rsidRPr="00913041">
        <w:rPr>
          <w:rStyle w:val="FootnoteReference"/>
          <w:rFonts w:asciiTheme="majorHAnsi" w:hAnsiTheme="majorHAnsi"/>
        </w:rPr>
        <w:footnoteRef/>
      </w:r>
      <w:r w:rsidRPr="00913041">
        <w:rPr>
          <w:rFonts w:asciiTheme="majorHAnsi" w:hAnsiTheme="majorHAnsi"/>
        </w:rPr>
        <w:t xml:space="preserve"> Id. at para. 229; IACHR, Application filed with I/A Ct. H.R., </w:t>
      </w:r>
      <w:r w:rsidRPr="00913041">
        <w:rPr>
          <w:rFonts w:asciiTheme="majorHAnsi" w:hAnsiTheme="majorHAnsi"/>
          <w:i/>
        </w:rPr>
        <w:t>Case of Karen Atala and Daughters v. Chile</w:t>
      </w:r>
      <w:r w:rsidRPr="00913041">
        <w:rPr>
          <w:rFonts w:asciiTheme="majorHAnsi" w:hAnsiTheme="majorHAnsi"/>
        </w:rPr>
        <w:t>, Sept. 17, 2010, para. 89.</w:t>
      </w:r>
    </w:p>
  </w:footnote>
  <w:footnote w:id="106">
    <w:p w14:paraId="24FE9DA9" w14:textId="77777777" w:rsidR="0048538A" w:rsidRPr="00913041" w:rsidRDefault="0048538A" w:rsidP="00913041">
      <w:pPr>
        <w:pStyle w:val="FootnoteText"/>
        <w:jc w:val="both"/>
        <w:rPr>
          <w:rFonts w:asciiTheme="majorHAnsi" w:hAnsiTheme="majorHAnsi"/>
        </w:rPr>
      </w:pPr>
      <w:r w:rsidRPr="00913041">
        <w:rPr>
          <w:rStyle w:val="FootnoteReference"/>
          <w:rFonts w:asciiTheme="majorHAnsi" w:hAnsiTheme="majorHAnsi"/>
        </w:rPr>
        <w:footnoteRef/>
      </w:r>
      <w:r w:rsidRPr="00913041">
        <w:rPr>
          <w:rFonts w:asciiTheme="majorHAnsi" w:hAnsiTheme="majorHAnsi"/>
        </w:rPr>
        <w:t xml:space="preserve"> IACHR, Report No. 64/12. Case 12.271. Merits. </w:t>
      </w:r>
      <w:r w:rsidRPr="00563F07">
        <w:rPr>
          <w:rFonts w:asciiTheme="majorHAnsi" w:hAnsiTheme="majorHAnsi"/>
          <w:i/>
        </w:rPr>
        <w:t>Benito Tide Méndez</w:t>
      </w:r>
      <w:r w:rsidRPr="00563F07">
        <w:rPr>
          <w:rFonts w:asciiTheme="majorHAnsi" w:hAnsiTheme="majorHAnsi"/>
        </w:rPr>
        <w:t xml:space="preserve">. Dominican Republic. </w:t>
      </w:r>
      <w:r w:rsidRPr="00913041">
        <w:rPr>
          <w:rFonts w:asciiTheme="majorHAnsi" w:hAnsiTheme="majorHAnsi"/>
        </w:rPr>
        <w:t>Mar. 29, 2012, para. 228.</w:t>
      </w:r>
    </w:p>
  </w:footnote>
  <w:footnote w:id="107">
    <w:p w14:paraId="56F31497" w14:textId="77777777" w:rsidR="0048538A" w:rsidRPr="00913041" w:rsidRDefault="0048538A" w:rsidP="00913041">
      <w:pPr>
        <w:pStyle w:val="FootnoteText"/>
        <w:jc w:val="both"/>
        <w:rPr>
          <w:rFonts w:asciiTheme="majorHAnsi" w:hAnsiTheme="majorHAnsi"/>
        </w:rPr>
      </w:pPr>
      <w:r w:rsidRPr="00913041">
        <w:rPr>
          <w:rStyle w:val="FootnoteReference"/>
          <w:rFonts w:asciiTheme="majorHAnsi" w:hAnsiTheme="majorHAnsi"/>
        </w:rPr>
        <w:footnoteRef/>
      </w:r>
      <w:r w:rsidRPr="00913041">
        <w:rPr>
          <w:rFonts w:asciiTheme="majorHAnsi" w:hAnsiTheme="majorHAnsi"/>
        </w:rPr>
        <w:t xml:space="preserve"> </w:t>
      </w:r>
      <w:r w:rsidRPr="00913041">
        <w:rPr>
          <w:rFonts w:asciiTheme="majorHAnsi" w:hAnsiTheme="majorHAnsi"/>
          <w:i/>
        </w:rPr>
        <w:t xml:space="preserve">See, e.g., </w:t>
      </w:r>
      <w:r w:rsidRPr="00913041">
        <w:rPr>
          <w:rFonts w:asciiTheme="majorHAnsi" w:hAnsiTheme="majorHAnsi"/>
        </w:rPr>
        <w:t xml:space="preserve">IACHR, Application filed with I/A Ct. H.R., </w:t>
      </w:r>
      <w:r w:rsidRPr="00913041">
        <w:rPr>
          <w:rFonts w:asciiTheme="majorHAnsi" w:hAnsiTheme="majorHAnsi"/>
          <w:i/>
        </w:rPr>
        <w:t>Case of Karen Atala and Daughters v. Chile</w:t>
      </w:r>
      <w:r w:rsidRPr="00913041">
        <w:rPr>
          <w:rFonts w:asciiTheme="majorHAnsi" w:hAnsiTheme="majorHAnsi"/>
        </w:rPr>
        <w:t>, Sept. 17, 2010, para.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4882" w14:textId="77777777" w:rsidR="0048538A" w:rsidRDefault="0048538A" w:rsidP="00810B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C0689D" w14:textId="77777777" w:rsidR="0048538A" w:rsidRDefault="0048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6011" w14:textId="77777777" w:rsidR="0048538A" w:rsidRDefault="0048538A"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22DF8572" wp14:editId="740F2E3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A466D94" w14:textId="77777777" w:rsidR="0048538A" w:rsidRPr="00EC7D62" w:rsidRDefault="004E185A" w:rsidP="00A50FCF">
    <w:pPr>
      <w:pStyle w:val="Header"/>
      <w:tabs>
        <w:tab w:val="clear" w:pos="4320"/>
        <w:tab w:val="clear" w:pos="8640"/>
      </w:tabs>
      <w:jc w:val="center"/>
      <w:rPr>
        <w:sz w:val="22"/>
        <w:szCs w:val="22"/>
      </w:rPr>
    </w:pPr>
    <w:r>
      <w:rPr>
        <w:noProof/>
        <w:sz w:val="22"/>
        <w:szCs w:val="22"/>
        <w:bdr w:val="nil"/>
      </w:rPr>
      <w:pict w14:anchorId="056C0E7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3AE"/>
    <w:multiLevelType w:val="hybridMultilevel"/>
    <w:tmpl w:val="477013A6"/>
    <w:lvl w:ilvl="0" w:tplc="4806875E">
      <w:start w:val="1"/>
      <w:numFmt w:val="decimal"/>
      <w:pStyle w:val="Heading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EF0ACF"/>
    <w:multiLevelType w:val="hybridMultilevel"/>
    <w:tmpl w:val="D152C58E"/>
    <w:lvl w:ilvl="0" w:tplc="7C30A764">
      <w:start w:val="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8B44BC3"/>
    <w:multiLevelType w:val="hybridMultilevel"/>
    <w:tmpl w:val="6B701E20"/>
    <w:lvl w:ilvl="0" w:tplc="88CA50C6">
      <w:start w:val="63"/>
      <w:numFmt w:val="decimal"/>
      <w:lvlText w:val="%1."/>
      <w:lvlJc w:val="left"/>
      <w:pPr>
        <w:tabs>
          <w:tab w:val="num" w:pos="1125"/>
        </w:tabs>
        <w:ind w:left="1125" w:hanging="765"/>
      </w:pPr>
      <w:rPr>
        <w:rFonts w:asciiTheme="majorHAnsi" w:hAnsiTheme="majorHAnsi" w:cs="Arial" w:hint="default"/>
        <w:b w:val="0"/>
        <w:i w:val="0"/>
        <w:vanish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B68F9"/>
    <w:multiLevelType w:val="hybridMultilevel"/>
    <w:tmpl w:val="CCFC6DE0"/>
    <w:lvl w:ilvl="0" w:tplc="0E2C0DEE">
      <w:start w:val="1"/>
      <w:numFmt w:val="upperLetter"/>
      <w:pStyle w:val="Heading2"/>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A60CAB"/>
    <w:multiLevelType w:val="hybridMultilevel"/>
    <w:tmpl w:val="5DC254BE"/>
    <w:lvl w:ilvl="0" w:tplc="B8CAABE8">
      <w:start w:val="62"/>
      <w:numFmt w:val="decimal"/>
      <w:lvlText w:val="%1."/>
      <w:lvlJc w:val="left"/>
      <w:pPr>
        <w:tabs>
          <w:tab w:val="num" w:pos="1485"/>
        </w:tabs>
        <w:ind w:left="1485" w:hanging="765"/>
      </w:pPr>
      <w:rPr>
        <w:rFonts w:asciiTheme="majorHAnsi" w:hAnsiTheme="majorHAnsi" w:cs="Arial" w:hint="default"/>
        <w:b w:val="0"/>
        <w:i w:val="0"/>
        <w:vanish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2A0BA1"/>
    <w:multiLevelType w:val="hybridMultilevel"/>
    <w:tmpl w:val="634255B2"/>
    <w:lvl w:ilvl="0" w:tplc="BB94D16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3C4238"/>
    <w:multiLevelType w:val="hybridMultilevel"/>
    <w:tmpl w:val="623CF266"/>
    <w:lvl w:ilvl="0" w:tplc="66A40B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681F10"/>
    <w:multiLevelType w:val="hybridMultilevel"/>
    <w:tmpl w:val="44D2BBB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16AACD24"/>
    <w:lvl w:ilvl="0" w:tplc="3580F6B4">
      <w:start w:val="1"/>
      <w:numFmt w:val="decimal"/>
      <w:lvlText w:val="%1."/>
      <w:lvlJc w:val="left"/>
      <w:pPr>
        <w:ind w:left="99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9E47C3"/>
    <w:multiLevelType w:val="hybridMultilevel"/>
    <w:tmpl w:val="44D2BBB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A279DD"/>
    <w:multiLevelType w:val="hybridMultilevel"/>
    <w:tmpl w:val="C36CB728"/>
    <w:lvl w:ilvl="0" w:tplc="3580F6B4">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AF4442"/>
    <w:multiLevelType w:val="hybridMultilevel"/>
    <w:tmpl w:val="C1508F34"/>
    <w:lvl w:ilvl="0" w:tplc="353EF2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3"/>
  </w:num>
  <w:num w:numId="5">
    <w:abstractNumId w:val="52"/>
  </w:num>
  <w:num w:numId="6">
    <w:abstractNumId w:val="30"/>
  </w:num>
  <w:num w:numId="7">
    <w:abstractNumId w:val="6"/>
  </w:num>
  <w:num w:numId="8">
    <w:abstractNumId w:val="19"/>
  </w:num>
  <w:num w:numId="9">
    <w:abstractNumId w:val="45"/>
  </w:num>
  <w:num w:numId="10">
    <w:abstractNumId w:val="1"/>
  </w:num>
  <w:num w:numId="11">
    <w:abstractNumId w:val="40"/>
  </w:num>
  <w:num w:numId="12">
    <w:abstractNumId w:val="41"/>
  </w:num>
  <w:num w:numId="13">
    <w:abstractNumId w:val="47"/>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20"/>
  </w:num>
  <w:num w:numId="26">
    <w:abstractNumId w:val="21"/>
  </w:num>
  <w:num w:numId="27">
    <w:abstractNumId w:val="24"/>
  </w:num>
  <w:num w:numId="28">
    <w:abstractNumId w:val="25"/>
  </w:num>
  <w:num w:numId="29">
    <w:abstractNumId w:val="26"/>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1"/>
  </w:num>
  <w:num w:numId="42">
    <w:abstractNumId w:val="53"/>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4"/>
  </w:num>
  <w:num w:numId="53">
    <w:abstractNumId w:val="48"/>
  </w:num>
  <w:num w:numId="54">
    <w:abstractNumId w:val="28"/>
  </w:num>
  <w:num w:numId="55">
    <w:abstractNumId w:val="49"/>
  </w:num>
  <w:num w:numId="56">
    <w:abstractNumId w:val="0"/>
  </w:num>
  <w:num w:numId="57">
    <w:abstractNumId w:val="46"/>
  </w:num>
  <w:num w:numId="58">
    <w:abstractNumId w:val="18"/>
    <w:lvlOverride w:ilvl="0">
      <w:startOverride w:val="1"/>
    </w:lvlOverride>
  </w:num>
  <w:num w:numId="59">
    <w:abstractNumId w:val="56"/>
  </w:num>
  <w:num w:numId="60">
    <w:abstractNumId w:val="14"/>
  </w:num>
  <w:num w:numId="61">
    <w:abstractNumId w:val="18"/>
  </w:num>
  <w:num w:numId="62">
    <w:abstractNumId w:val="18"/>
    <w:lvlOverride w:ilvl="0">
      <w:startOverride w:val="2"/>
    </w:lvlOverride>
  </w:num>
  <w:num w:numId="63">
    <w:abstractNumId w:val="31"/>
  </w:num>
  <w:num w:numId="64">
    <w:abstractNumId w:val="27"/>
  </w:num>
  <w:num w:numId="65">
    <w:abstractNumId w:val="17"/>
  </w:num>
  <w:num w:numId="66">
    <w:abstractNumId w:val="50"/>
  </w:num>
  <w:num w:numId="67">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158FD"/>
    <w:rsid w:val="00016FEE"/>
    <w:rsid w:val="0001788C"/>
    <w:rsid w:val="0002553C"/>
    <w:rsid w:val="000326B5"/>
    <w:rsid w:val="00033F47"/>
    <w:rsid w:val="00040249"/>
    <w:rsid w:val="00040C3A"/>
    <w:rsid w:val="00063087"/>
    <w:rsid w:val="00064413"/>
    <w:rsid w:val="00067A5D"/>
    <w:rsid w:val="0007150B"/>
    <w:rsid w:val="000716C5"/>
    <w:rsid w:val="00075E23"/>
    <w:rsid w:val="00080A30"/>
    <w:rsid w:val="00084294"/>
    <w:rsid w:val="0008768F"/>
    <w:rsid w:val="00087D84"/>
    <w:rsid w:val="00090C1E"/>
    <w:rsid w:val="000918B8"/>
    <w:rsid w:val="0009344A"/>
    <w:rsid w:val="000A392E"/>
    <w:rsid w:val="000A575F"/>
    <w:rsid w:val="000A576A"/>
    <w:rsid w:val="000B01B7"/>
    <w:rsid w:val="000C4C2C"/>
    <w:rsid w:val="000C538E"/>
    <w:rsid w:val="000D10DB"/>
    <w:rsid w:val="000D60AE"/>
    <w:rsid w:val="000E5EB5"/>
    <w:rsid w:val="000F35ED"/>
    <w:rsid w:val="00107131"/>
    <w:rsid w:val="0010736F"/>
    <w:rsid w:val="00113F73"/>
    <w:rsid w:val="00121CC2"/>
    <w:rsid w:val="00126808"/>
    <w:rsid w:val="00126FEB"/>
    <w:rsid w:val="00133EE5"/>
    <w:rsid w:val="00150351"/>
    <w:rsid w:val="0015223B"/>
    <w:rsid w:val="00164433"/>
    <w:rsid w:val="00166189"/>
    <w:rsid w:val="00167A34"/>
    <w:rsid w:val="0017456D"/>
    <w:rsid w:val="00181F34"/>
    <w:rsid w:val="00183000"/>
    <w:rsid w:val="001971BE"/>
    <w:rsid w:val="001A1A62"/>
    <w:rsid w:val="001A4106"/>
    <w:rsid w:val="001A7870"/>
    <w:rsid w:val="001C103F"/>
    <w:rsid w:val="001C1B41"/>
    <w:rsid w:val="001D18C7"/>
    <w:rsid w:val="001D65EF"/>
    <w:rsid w:val="001E15B6"/>
    <w:rsid w:val="001E1FA8"/>
    <w:rsid w:val="001E28D1"/>
    <w:rsid w:val="001E4670"/>
    <w:rsid w:val="00204B61"/>
    <w:rsid w:val="0021098A"/>
    <w:rsid w:val="0021767C"/>
    <w:rsid w:val="0022230B"/>
    <w:rsid w:val="002250A3"/>
    <w:rsid w:val="00235217"/>
    <w:rsid w:val="00246D1F"/>
    <w:rsid w:val="00247403"/>
    <w:rsid w:val="00247542"/>
    <w:rsid w:val="00247AF5"/>
    <w:rsid w:val="00266690"/>
    <w:rsid w:val="00266B61"/>
    <w:rsid w:val="0026712A"/>
    <w:rsid w:val="002704DB"/>
    <w:rsid w:val="00276DF8"/>
    <w:rsid w:val="00277EF9"/>
    <w:rsid w:val="00281AB2"/>
    <w:rsid w:val="002827DD"/>
    <w:rsid w:val="00282A1B"/>
    <w:rsid w:val="002878D9"/>
    <w:rsid w:val="002A0AAE"/>
    <w:rsid w:val="002A2FE1"/>
    <w:rsid w:val="002A5820"/>
    <w:rsid w:val="002B2A2E"/>
    <w:rsid w:val="002C20EA"/>
    <w:rsid w:val="002C4919"/>
    <w:rsid w:val="002C52FC"/>
    <w:rsid w:val="002D2B26"/>
    <w:rsid w:val="002D53F5"/>
    <w:rsid w:val="002D588D"/>
    <w:rsid w:val="002D7EA2"/>
    <w:rsid w:val="002E187C"/>
    <w:rsid w:val="002E4AEA"/>
    <w:rsid w:val="002F47B8"/>
    <w:rsid w:val="00301EA9"/>
    <w:rsid w:val="00302733"/>
    <w:rsid w:val="00303099"/>
    <w:rsid w:val="00303D52"/>
    <w:rsid w:val="00305293"/>
    <w:rsid w:val="00307ABC"/>
    <w:rsid w:val="00314078"/>
    <w:rsid w:val="0031535D"/>
    <w:rsid w:val="0033028D"/>
    <w:rsid w:val="0033169F"/>
    <w:rsid w:val="003372D0"/>
    <w:rsid w:val="00337E8A"/>
    <w:rsid w:val="00344298"/>
    <w:rsid w:val="00346C95"/>
    <w:rsid w:val="00353E32"/>
    <w:rsid w:val="00356185"/>
    <w:rsid w:val="00360380"/>
    <w:rsid w:val="00361415"/>
    <w:rsid w:val="00365872"/>
    <w:rsid w:val="0037519E"/>
    <w:rsid w:val="00386CF0"/>
    <w:rsid w:val="003A1E02"/>
    <w:rsid w:val="003A79D3"/>
    <w:rsid w:val="003C3BDD"/>
    <w:rsid w:val="003C549A"/>
    <w:rsid w:val="003C676B"/>
    <w:rsid w:val="003D3BC2"/>
    <w:rsid w:val="003D67C7"/>
    <w:rsid w:val="003D7C03"/>
    <w:rsid w:val="003E432F"/>
    <w:rsid w:val="003E6CA1"/>
    <w:rsid w:val="00410F44"/>
    <w:rsid w:val="004165C2"/>
    <w:rsid w:val="004204C5"/>
    <w:rsid w:val="004228F5"/>
    <w:rsid w:val="00426114"/>
    <w:rsid w:val="00432289"/>
    <w:rsid w:val="00434DA4"/>
    <w:rsid w:val="00437655"/>
    <w:rsid w:val="00441ECB"/>
    <w:rsid w:val="00457E63"/>
    <w:rsid w:val="00460DEF"/>
    <w:rsid w:val="00467B7E"/>
    <w:rsid w:val="00472031"/>
    <w:rsid w:val="00477592"/>
    <w:rsid w:val="00481E5F"/>
    <w:rsid w:val="00482EC8"/>
    <w:rsid w:val="0048538A"/>
    <w:rsid w:val="00486F1C"/>
    <w:rsid w:val="004928C5"/>
    <w:rsid w:val="0049419D"/>
    <w:rsid w:val="004C20D2"/>
    <w:rsid w:val="004C4B62"/>
    <w:rsid w:val="004C54C9"/>
    <w:rsid w:val="004C790D"/>
    <w:rsid w:val="004D195F"/>
    <w:rsid w:val="004D2720"/>
    <w:rsid w:val="004D6025"/>
    <w:rsid w:val="004D6618"/>
    <w:rsid w:val="004E185A"/>
    <w:rsid w:val="004E2649"/>
    <w:rsid w:val="004E65F9"/>
    <w:rsid w:val="004F47A6"/>
    <w:rsid w:val="004F627D"/>
    <w:rsid w:val="00501399"/>
    <w:rsid w:val="0050464C"/>
    <w:rsid w:val="0050633D"/>
    <w:rsid w:val="00507BC4"/>
    <w:rsid w:val="005128E4"/>
    <w:rsid w:val="005133DB"/>
    <w:rsid w:val="005229DB"/>
    <w:rsid w:val="00525560"/>
    <w:rsid w:val="005279EB"/>
    <w:rsid w:val="00531815"/>
    <w:rsid w:val="005354F3"/>
    <w:rsid w:val="00536923"/>
    <w:rsid w:val="005430CE"/>
    <w:rsid w:val="0054340F"/>
    <w:rsid w:val="00544C49"/>
    <w:rsid w:val="00547BA6"/>
    <w:rsid w:val="00550281"/>
    <w:rsid w:val="005516A1"/>
    <w:rsid w:val="00552E50"/>
    <w:rsid w:val="00563A9A"/>
    <w:rsid w:val="00563F07"/>
    <w:rsid w:val="005650D1"/>
    <w:rsid w:val="00565744"/>
    <w:rsid w:val="0057335E"/>
    <w:rsid w:val="0057402A"/>
    <w:rsid w:val="005763CC"/>
    <w:rsid w:val="005771D0"/>
    <w:rsid w:val="00581016"/>
    <w:rsid w:val="0059191A"/>
    <w:rsid w:val="005921FF"/>
    <w:rsid w:val="005937F1"/>
    <w:rsid w:val="00595C1D"/>
    <w:rsid w:val="005A6D0E"/>
    <w:rsid w:val="005B52B0"/>
    <w:rsid w:val="005B6806"/>
    <w:rsid w:val="005C241C"/>
    <w:rsid w:val="005C4225"/>
    <w:rsid w:val="005C4CA5"/>
    <w:rsid w:val="005C7F37"/>
    <w:rsid w:val="005D0DB1"/>
    <w:rsid w:val="005D5AA7"/>
    <w:rsid w:val="005D79E6"/>
    <w:rsid w:val="005E0199"/>
    <w:rsid w:val="005E4CEB"/>
    <w:rsid w:val="005F0DAD"/>
    <w:rsid w:val="005F0F33"/>
    <w:rsid w:val="005F309E"/>
    <w:rsid w:val="005F42F9"/>
    <w:rsid w:val="00600DEB"/>
    <w:rsid w:val="006125C3"/>
    <w:rsid w:val="00623733"/>
    <w:rsid w:val="00624611"/>
    <w:rsid w:val="0062612B"/>
    <w:rsid w:val="00627C9F"/>
    <w:rsid w:val="006311E9"/>
    <w:rsid w:val="00632354"/>
    <w:rsid w:val="0063580F"/>
    <w:rsid w:val="00640DA6"/>
    <w:rsid w:val="00642810"/>
    <w:rsid w:val="00645EA3"/>
    <w:rsid w:val="00652333"/>
    <w:rsid w:val="00656E16"/>
    <w:rsid w:val="00664E14"/>
    <w:rsid w:val="00671312"/>
    <w:rsid w:val="00674350"/>
    <w:rsid w:val="00677F92"/>
    <w:rsid w:val="0068009E"/>
    <w:rsid w:val="00690386"/>
    <w:rsid w:val="00692219"/>
    <w:rsid w:val="00697B1E"/>
    <w:rsid w:val="006A17D2"/>
    <w:rsid w:val="006A4B39"/>
    <w:rsid w:val="006A5DDE"/>
    <w:rsid w:val="006A73E6"/>
    <w:rsid w:val="006B2D5C"/>
    <w:rsid w:val="006B4D40"/>
    <w:rsid w:val="006B70BC"/>
    <w:rsid w:val="006C0ACF"/>
    <w:rsid w:val="006C1A20"/>
    <w:rsid w:val="006C4EB1"/>
    <w:rsid w:val="006D5357"/>
    <w:rsid w:val="006E0166"/>
    <w:rsid w:val="006E7B34"/>
    <w:rsid w:val="006F0D8C"/>
    <w:rsid w:val="0070697F"/>
    <w:rsid w:val="0072199C"/>
    <w:rsid w:val="00721C51"/>
    <w:rsid w:val="00722C9F"/>
    <w:rsid w:val="0072423E"/>
    <w:rsid w:val="007253B8"/>
    <w:rsid w:val="0073444D"/>
    <w:rsid w:val="0073631B"/>
    <w:rsid w:val="0073741F"/>
    <w:rsid w:val="0076643F"/>
    <w:rsid w:val="00772319"/>
    <w:rsid w:val="00777F63"/>
    <w:rsid w:val="00796B30"/>
    <w:rsid w:val="007A2592"/>
    <w:rsid w:val="007A5450"/>
    <w:rsid w:val="007A5817"/>
    <w:rsid w:val="007A7DA4"/>
    <w:rsid w:val="007B4BD3"/>
    <w:rsid w:val="007B60E9"/>
    <w:rsid w:val="007B6CC3"/>
    <w:rsid w:val="007C27A7"/>
    <w:rsid w:val="007C2AA2"/>
    <w:rsid w:val="007C3334"/>
    <w:rsid w:val="007C6F9F"/>
    <w:rsid w:val="007C756A"/>
    <w:rsid w:val="007D148E"/>
    <w:rsid w:val="007D2B98"/>
    <w:rsid w:val="007D2DA3"/>
    <w:rsid w:val="007D6F4E"/>
    <w:rsid w:val="007D7711"/>
    <w:rsid w:val="007E21BC"/>
    <w:rsid w:val="007E2D55"/>
    <w:rsid w:val="007E61BE"/>
    <w:rsid w:val="007F7E9A"/>
    <w:rsid w:val="00803F1C"/>
    <w:rsid w:val="0080600E"/>
    <w:rsid w:val="00810B25"/>
    <w:rsid w:val="00815021"/>
    <w:rsid w:val="00817612"/>
    <w:rsid w:val="008217E6"/>
    <w:rsid w:val="008266A7"/>
    <w:rsid w:val="008338A4"/>
    <w:rsid w:val="00837C45"/>
    <w:rsid w:val="00844730"/>
    <w:rsid w:val="0084481C"/>
    <w:rsid w:val="008457C2"/>
    <w:rsid w:val="00857A82"/>
    <w:rsid w:val="00873836"/>
    <w:rsid w:val="00882FD9"/>
    <w:rsid w:val="00883419"/>
    <w:rsid w:val="00883FF8"/>
    <w:rsid w:val="00885737"/>
    <w:rsid w:val="00887D37"/>
    <w:rsid w:val="00890650"/>
    <w:rsid w:val="00893BD0"/>
    <w:rsid w:val="00897E12"/>
    <w:rsid w:val="008A7E0F"/>
    <w:rsid w:val="008B12F5"/>
    <w:rsid w:val="008B5FA2"/>
    <w:rsid w:val="008B692D"/>
    <w:rsid w:val="008C3098"/>
    <w:rsid w:val="008D768D"/>
    <w:rsid w:val="008E3759"/>
    <w:rsid w:val="008E3D57"/>
    <w:rsid w:val="008F1912"/>
    <w:rsid w:val="008F1B28"/>
    <w:rsid w:val="008F604B"/>
    <w:rsid w:val="008F74E3"/>
    <w:rsid w:val="009014A4"/>
    <w:rsid w:val="0090270B"/>
    <w:rsid w:val="009041DC"/>
    <w:rsid w:val="00913041"/>
    <w:rsid w:val="00917B5A"/>
    <w:rsid w:val="00920A58"/>
    <w:rsid w:val="00920A8C"/>
    <w:rsid w:val="0092111F"/>
    <w:rsid w:val="0092769D"/>
    <w:rsid w:val="0093319D"/>
    <w:rsid w:val="009346EA"/>
    <w:rsid w:val="00934A2C"/>
    <w:rsid w:val="00951CBC"/>
    <w:rsid w:val="009539FB"/>
    <w:rsid w:val="00955F6D"/>
    <w:rsid w:val="009609E8"/>
    <w:rsid w:val="00961898"/>
    <w:rsid w:val="0096706E"/>
    <w:rsid w:val="00975C4E"/>
    <w:rsid w:val="00981FBA"/>
    <w:rsid w:val="00992840"/>
    <w:rsid w:val="00994C1F"/>
    <w:rsid w:val="00996063"/>
    <w:rsid w:val="00997BC5"/>
    <w:rsid w:val="009A0BE3"/>
    <w:rsid w:val="009A4F41"/>
    <w:rsid w:val="009B381B"/>
    <w:rsid w:val="009B4E9B"/>
    <w:rsid w:val="009B5828"/>
    <w:rsid w:val="009C251B"/>
    <w:rsid w:val="009C3D6E"/>
    <w:rsid w:val="009C4EAA"/>
    <w:rsid w:val="009D1753"/>
    <w:rsid w:val="009D7611"/>
    <w:rsid w:val="009E0B61"/>
    <w:rsid w:val="009E53DE"/>
    <w:rsid w:val="009F323A"/>
    <w:rsid w:val="009F5EAF"/>
    <w:rsid w:val="00A2598E"/>
    <w:rsid w:val="00A31D71"/>
    <w:rsid w:val="00A328B3"/>
    <w:rsid w:val="00A33B1E"/>
    <w:rsid w:val="00A50FCF"/>
    <w:rsid w:val="00A528D1"/>
    <w:rsid w:val="00A5703E"/>
    <w:rsid w:val="00A610CD"/>
    <w:rsid w:val="00A75E63"/>
    <w:rsid w:val="00A814FA"/>
    <w:rsid w:val="00A82E3B"/>
    <w:rsid w:val="00A868AD"/>
    <w:rsid w:val="00AA09A2"/>
    <w:rsid w:val="00AA2450"/>
    <w:rsid w:val="00AA7996"/>
    <w:rsid w:val="00AC19CB"/>
    <w:rsid w:val="00AC55D4"/>
    <w:rsid w:val="00AD3BDC"/>
    <w:rsid w:val="00AE5488"/>
    <w:rsid w:val="00AE6F91"/>
    <w:rsid w:val="00AF000C"/>
    <w:rsid w:val="00AF5571"/>
    <w:rsid w:val="00AF5847"/>
    <w:rsid w:val="00AF7988"/>
    <w:rsid w:val="00B07184"/>
    <w:rsid w:val="00B07341"/>
    <w:rsid w:val="00B30539"/>
    <w:rsid w:val="00B314DB"/>
    <w:rsid w:val="00B32067"/>
    <w:rsid w:val="00B34CE7"/>
    <w:rsid w:val="00B361F2"/>
    <w:rsid w:val="00B3718B"/>
    <w:rsid w:val="00B405AB"/>
    <w:rsid w:val="00B4443E"/>
    <w:rsid w:val="00B4632A"/>
    <w:rsid w:val="00B513B1"/>
    <w:rsid w:val="00B516A9"/>
    <w:rsid w:val="00B530F1"/>
    <w:rsid w:val="00B54A0C"/>
    <w:rsid w:val="00B57681"/>
    <w:rsid w:val="00B632D6"/>
    <w:rsid w:val="00B67999"/>
    <w:rsid w:val="00B91BFE"/>
    <w:rsid w:val="00BA276C"/>
    <w:rsid w:val="00BA41B7"/>
    <w:rsid w:val="00BA461E"/>
    <w:rsid w:val="00BB2C95"/>
    <w:rsid w:val="00BB306F"/>
    <w:rsid w:val="00BB421D"/>
    <w:rsid w:val="00BB4867"/>
    <w:rsid w:val="00BC1180"/>
    <w:rsid w:val="00BC2DC8"/>
    <w:rsid w:val="00BC3988"/>
    <w:rsid w:val="00BD45C8"/>
    <w:rsid w:val="00BD4B89"/>
    <w:rsid w:val="00BD7433"/>
    <w:rsid w:val="00BD7E02"/>
    <w:rsid w:val="00BE21AC"/>
    <w:rsid w:val="00BF02CB"/>
    <w:rsid w:val="00BF11D3"/>
    <w:rsid w:val="00BF1664"/>
    <w:rsid w:val="00BF23BD"/>
    <w:rsid w:val="00BF6FD8"/>
    <w:rsid w:val="00C01DFB"/>
    <w:rsid w:val="00C03680"/>
    <w:rsid w:val="00C054DF"/>
    <w:rsid w:val="00C21762"/>
    <w:rsid w:val="00C24543"/>
    <w:rsid w:val="00C256A2"/>
    <w:rsid w:val="00C40789"/>
    <w:rsid w:val="00C46EE5"/>
    <w:rsid w:val="00C478CF"/>
    <w:rsid w:val="00C51260"/>
    <w:rsid w:val="00C51515"/>
    <w:rsid w:val="00C532E7"/>
    <w:rsid w:val="00C53C19"/>
    <w:rsid w:val="00C546DF"/>
    <w:rsid w:val="00C5660B"/>
    <w:rsid w:val="00C62A75"/>
    <w:rsid w:val="00C663D4"/>
    <w:rsid w:val="00C66B72"/>
    <w:rsid w:val="00C75282"/>
    <w:rsid w:val="00C810D8"/>
    <w:rsid w:val="00C837BB"/>
    <w:rsid w:val="00C944E1"/>
    <w:rsid w:val="00C9531A"/>
    <w:rsid w:val="00C9567A"/>
    <w:rsid w:val="00C96545"/>
    <w:rsid w:val="00C97129"/>
    <w:rsid w:val="00C97499"/>
    <w:rsid w:val="00CA214D"/>
    <w:rsid w:val="00CB212D"/>
    <w:rsid w:val="00CB2583"/>
    <w:rsid w:val="00CB2660"/>
    <w:rsid w:val="00CC02F1"/>
    <w:rsid w:val="00CC205D"/>
    <w:rsid w:val="00CC5E90"/>
    <w:rsid w:val="00CC63CF"/>
    <w:rsid w:val="00CD046C"/>
    <w:rsid w:val="00CD5468"/>
    <w:rsid w:val="00CE076C"/>
    <w:rsid w:val="00CE5199"/>
    <w:rsid w:val="00CE66D5"/>
    <w:rsid w:val="00CF1970"/>
    <w:rsid w:val="00CF637A"/>
    <w:rsid w:val="00D0109A"/>
    <w:rsid w:val="00D032B2"/>
    <w:rsid w:val="00D059DE"/>
    <w:rsid w:val="00D12193"/>
    <w:rsid w:val="00D13FCE"/>
    <w:rsid w:val="00D26E61"/>
    <w:rsid w:val="00D306D1"/>
    <w:rsid w:val="00D34786"/>
    <w:rsid w:val="00D37BFC"/>
    <w:rsid w:val="00D47A8E"/>
    <w:rsid w:val="00D51019"/>
    <w:rsid w:val="00D52D14"/>
    <w:rsid w:val="00D62AF9"/>
    <w:rsid w:val="00D63E03"/>
    <w:rsid w:val="00D70A13"/>
    <w:rsid w:val="00D712D3"/>
    <w:rsid w:val="00D71422"/>
    <w:rsid w:val="00D714AC"/>
    <w:rsid w:val="00D72DC6"/>
    <w:rsid w:val="00D73DBB"/>
    <w:rsid w:val="00D7558D"/>
    <w:rsid w:val="00D76498"/>
    <w:rsid w:val="00D81D92"/>
    <w:rsid w:val="00D83D73"/>
    <w:rsid w:val="00D96E66"/>
    <w:rsid w:val="00DA48A0"/>
    <w:rsid w:val="00DA6AD3"/>
    <w:rsid w:val="00DA7B5F"/>
    <w:rsid w:val="00DB1156"/>
    <w:rsid w:val="00DC11E7"/>
    <w:rsid w:val="00DC4B3B"/>
    <w:rsid w:val="00DC7023"/>
    <w:rsid w:val="00DC769A"/>
    <w:rsid w:val="00DD3D86"/>
    <w:rsid w:val="00DD629F"/>
    <w:rsid w:val="00DF1EC4"/>
    <w:rsid w:val="00E0340B"/>
    <w:rsid w:val="00E04A90"/>
    <w:rsid w:val="00E1134E"/>
    <w:rsid w:val="00E219C7"/>
    <w:rsid w:val="00E24EAD"/>
    <w:rsid w:val="00E35F22"/>
    <w:rsid w:val="00E400B9"/>
    <w:rsid w:val="00E43157"/>
    <w:rsid w:val="00E43913"/>
    <w:rsid w:val="00E45EFB"/>
    <w:rsid w:val="00E461CE"/>
    <w:rsid w:val="00E56641"/>
    <w:rsid w:val="00E720CA"/>
    <w:rsid w:val="00E810C3"/>
    <w:rsid w:val="00E84EB5"/>
    <w:rsid w:val="00E85662"/>
    <w:rsid w:val="00E8789F"/>
    <w:rsid w:val="00E909AA"/>
    <w:rsid w:val="00E93F9E"/>
    <w:rsid w:val="00E940D4"/>
    <w:rsid w:val="00E97B71"/>
    <w:rsid w:val="00EA3D34"/>
    <w:rsid w:val="00EA4839"/>
    <w:rsid w:val="00EA78CB"/>
    <w:rsid w:val="00EB27A2"/>
    <w:rsid w:val="00EB454D"/>
    <w:rsid w:val="00EC7679"/>
    <w:rsid w:val="00ED22B8"/>
    <w:rsid w:val="00ED76BE"/>
    <w:rsid w:val="00EF4984"/>
    <w:rsid w:val="00EF4CFF"/>
    <w:rsid w:val="00EF619B"/>
    <w:rsid w:val="00F00B55"/>
    <w:rsid w:val="00F0293C"/>
    <w:rsid w:val="00F02AD1"/>
    <w:rsid w:val="00F078C9"/>
    <w:rsid w:val="00F253CC"/>
    <w:rsid w:val="00F37106"/>
    <w:rsid w:val="00F379CF"/>
    <w:rsid w:val="00F449B4"/>
    <w:rsid w:val="00F519CF"/>
    <w:rsid w:val="00F56BA5"/>
    <w:rsid w:val="00F60E22"/>
    <w:rsid w:val="00F61CBA"/>
    <w:rsid w:val="00F6580B"/>
    <w:rsid w:val="00F672F1"/>
    <w:rsid w:val="00F73104"/>
    <w:rsid w:val="00F805FB"/>
    <w:rsid w:val="00F81119"/>
    <w:rsid w:val="00F81395"/>
    <w:rsid w:val="00F85986"/>
    <w:rsid w:val="00F87211"/>
    <w:rsid w:val="00F902EB"/>
    <w:rsid w:val="00F917D1"/>
    <w:rsid w:val="00F9653B"/>
    <w:rsid w:val="00FA5E63"/>
    <w:rsid w:val="00FB62CF"/>
    <w:rsid w:val="00FB7AA2"/>
    <w:rsid w:val="00FC22DD"/>
    <w:rsid w:val="00FD0A73"/>
    <w:rsid w:val="00FD1BB2"/>
    <w:rsid w:val="00FD3C3B"/>
    <w:rsid w:val="00FD5A99"/>
    <w:rsid w:val="00FE07DD"/>
    <w:rsid w:val="00FE2982"/>
    <w:rsid w:val="00FE6B45"/>
    <w:rsid w:val="00FF158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AD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Arial Unicode MS" w:hAnsi="Cambria" w:cs="Calibri"/>
        <w:color w:val="000000"/>
        <w:sz w:val="16"/>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ListParagraph"/>
    <w:next w:val="Normal"/>
    <w:link w:val="Heading1Char"/>
    <w:uiPriority w:val="9"/>
    <w:qFormat/>
    <w:rsid w:val="00C53C19"/>
    <w:pPr>
      <w:numPr>
        <w:numId w:val="54"/>
      </w:numPr>
      <w:suppressAutoHyphens/>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C53C19"/>
    <w:pPr>
      <w:numPr>
        <w:numId w:val="61"/>
      </w:numPr>
      <w:suppressAutoHyphens/>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3A1E02"/>
    <w:pPr>
      <w:numPr>
        <w:numId w:val="56"/>
      </w:numPr>
      <w:ind w:left="1440"/>
      <w:jc w:val="both"/>
      <w:outlineLvl w:val="2"/>
    </w:pPr>
    <w:rPr>
      <w:b/>
      <w:color w:val="auto"/>
      <w:sz w:val="20"/>
      <w:szCs w:val="20"/>
    </w:rPr>
  </w:style>
  <w:style w:type="paragraph" w:styleId="Heading4">
    <w:name w:val="heading 4"/>
    <w:basedOn w:val="ListParagraph"/>
    <w:next w:val="Normal"/>
    <w:link w:val="Heading4Char"/>
    <w:uiPriority w:val="9"/>
    <w:unhideWhenUsed/>
    <w:qFormat/>
    <w:rsid w:val="00BD7433"/>
    <w:pPr>
      <w:ind w:left="1800" w:hanging="360"/>
      <w:jc w:val="both"/>
      <w:outlineLvl w:val="3"/>
    </w:pPr>
    <w:rPr>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sz w:val="24"/>
      <w:szCs w:val="24"/>
    </w:rPr>
  </w:style>
  <w:style w:type="paragraph" w:styleId="Footer">
    <w:name w:val="footer"/>
    <w:link w:val="FooterChar"/>
    <w:uiPriority w:val="99"/>
    <w:pPr>
      <w:tabs>
        <w:tab w:val="center" w:pos="4513"/>
        <w:tab w:val="right" w:pos="9026"/>
      </w:tabs>
    </w:pPr>
    <w:rPr>
      <w:rFonts w:eastAsia="Cambria" w:cs="Cambria"/>
      <w:sz w:val="24"/>
      <w:szCs w:val="24"/>
      <w:lang w:val="en-US"/>
    </w:rPr>
  </w:style>
  <w:style w:type="paragraph" w:customStyle="1" w:styleId="Cuerpo">
    <w:name w:val="Cuerpo"/>
    <w:rPr>
      <w:rFonts w:eastAsia="Cambria" w:cs="Cambria"/>
      <w:sz w:val="24"/>
      <w:szCs w:val="24"/>
    </w:rPr>
  </w:style>
  <w:style w:type="paragraph" w:styleId="BodyTextIndent">
    <w:name w:val="Body Text Indent"/>
    <w:pPr>
      <w:ind w:left="2160" w:hanging="720"/>
    </w:pPr>
    <w:rPr>
      <w:rFonts w:eastAsia="Times New Roman"/>
      <w:sz w:val="24"/>
      <w:szCs w:val="24"/>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eastAsia="Cambria" w:cs="Cambria"/>
      <w:sz w:val="24"/>
      <w:szCs w:val="24"/>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53C19"/>
    <w:rPr>
      <w:rFonts w:asciiTheme="majorHAnsi" w:eastAsia="Cambria" w:hAnsiTheme="majorHAnsi" w:cs="Cambria"/>
      <w:b/>
      <w:sz w:val="2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53C19"/>
    <w:rPr>
      <w:rFonts w:asciiTheme="majorHAnsi" w:eastAsia="Cambria" w:hAnsiTheme="majorHAnsi" w:cs="Cambria"/>
      <w:b/>
      <w:sz w:val="20"/>
      <w:lang w:val="es-ES_tradnl"/>
    </w:rPr>
  </w:style>
  <w:style w:type="character" w:customStyle="1" w:styleId="Heading3Char">
    <w:name w:val="Heading 3 Char"/>
    <w:basedOn w:val="DefaultParagraphFont"/>
    <w:link w:val="Heading3"/>
    <w:rsid w:val="003A1E02"/>
    <w:rPr>
      <w:rFonts w:eastAsia="Cambria" w:cs="Cambria"/>
      <w:b/>
      <w:color w:val="auto"/>
      <w:sz w:val="20"/>
      <w:lang w:val="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BD7433"/>
    <w:rPr>
      <w:rFonts w:ascii="Cambria" w:eastAsia="Cambria" w:hAnsi="Cambria" w:cs="Cambria"/>
      <w:b/>
      <w:u w:color="000000"/>
      <w:lang w:val="en-US"/>
    </w:rPr>
  </w:style>
  <w:style w:type="paragraph" w:styleId="TOCHeading">
    <w:name w:val="TOC Heading"/>
    <w:basedOn w:val="Heading1"/>
    <w:next w:val="Normal"/>
    <w:uiPriority w:val="39"/>
    <w:unhideWhenUsed/>
    <w:qFormat/>
    <w:rsid w:val="00C53C19"/>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 w:type="character" w:styleId="Strong">
    <w:name w:val="Strong"/>
    <w:basedOn w:val="DefaultParagraphFont"/>
    <w:uiPriority w:val="22"/>
    <w:qFormat/>
    <w:rsid w:val="00A868AD"/>
    <w:rPr>
      <w:b/>
      <w:bCs/>
    </w:rPr>
  </w:style>
  <w:style w:type="paragraph" w:customStyle="1" w:styleId="Footnotes">
    <w:name w:val="Footnotes"/>
    <w:basedOn w:val="FootnoteText"/>
    <w:qFormat/>
    <w:rsid w:val="001A1A62"/>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character" w:customStyle="1" w:styleId="apple-converted-space">
    <w:name w:val="apple-converted-space"/>
    <w:basedOn w:val="DefaultParagraphFont"/>
    <w:rsid w:val="001A1A62"/>
  </w:style>
  <w:style w:type="character" w:styleId="CommentReference">
    <w:name w:val="annotation reference"/>
    <w:basedOn w:val="DefaultParagraphFont"/>
    <w:uiPriority w:val="99"/>
    <w:semiHidden/>
    <w:unhideWhenUsed/>
    <w:rsid w:val="009B5828"/>
    <w:rPr>
      <w:sz w:val="16"/>
      <w:szCs w:val="16"/>
    </w:rPr>
  </w:style>
  <w:style w:type="paragraph" w:styleId="CommentText">
    <w:name w:val="annotation text"/>
    <w:basedOn w:val="Normal"/>
    <w:link w:val="CommentTextChar"/>
    <w:uiPriority w:val="99"/>
    <w:semiHidden/>
    <w:unhideWhenUsed/>
    <w:rsid w:val="009B5828"/>
    <w:rPr>
      <w:sz w:val="20"/>
    </w:rPr>
  </w:style>
  <w:style w:type="character" w:customStyle="1" w:styleId="CommentTextChar">
    <w:name w:val="Comment Text Char"/>
    <w:basedOn w:val="DefaultParagraphFont"/>
    <w:link w:val="CommentText"/>
    <w:uiPriority w:val="99"/>
    <w:semiHidden/>
    <w:rsid w:val="009B5828"/>
    <w:rPr>
      <w:sz w:val="20"/>
    </w:rPr>
  </w:style>
  <w:style w:type="paragraph" w:styleId="CommentSubject">
    <w:name w:val="annotation subject"/>
    <w:basedOn w:val="CommentText"/>
    <w:next w:val="CommentText"/>
    <w:link w:val="CommentSubjectChar"/>
    <w:uiPriority w:val="99"/>
    <w:semiHidden/>
    <w:unhideWhenUsed/>
    <w:rsid w:val="009B5828"/>
    <w:rPr>
      <w:b/>
      <w:bCs/>
    </w:rPr>
  </w:style>
  <w:style w:type="character" w:customStyle="1" w:styleId="CommentSubjectChar">
    <w:name w:val="Comment Subject Char"/>
    <w:basedOn w:val="CommentTextChar"/>
    <w:link w:val="CommentSubject"/>
    <w:uiPriority w:val="99"/>
    <w:semiHidden/>
    <w:rsid w:val="009B5828"/>
    <w:rPr>
      <w:b/>
      <w:bCs/>
      <w:sz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E35F2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hAnsi="Times New Roman" w:cs="Times New Roman"/>
      <w:color w:val="aut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65521">
      <w:bodyDiv w:val="1"/>
      <w:marLeft w:val="0"/>
      <w:marRight w:val="0"/>
      <w:marTop w:val="0"/>
      <w:marBottom w:val="0"/>
      <w:divBdr>
        <w:top w:val="none" w:sz="0" w:space="0" w:color="auto"/>
        <w:left w:val="none" w:sz="0" w:space="0" w:color="auto"/>
        <w:bottom w:val="none" w:sz="0" w:space="0" w:color="auto"/>
        <w:right w:val="none" w:sz="0" w:space="0" w:color="auto"/>
      </w:divBdr>
    </w:div>
    <w:div w:id="1026562492">
      <w:bodyDiv w:val="1"/>
      <w:marLeft w:val="0"/>
      <w:marRight w:val="0"/>
      <w:marTop w:val="0"/>
      <w:marBottom w:val="0"/>
      <w:divBdr>
        <w:top w:val="none" w:sz="0" w:space="0" w:color="auto"/>
        <w:left w:val="none" w:sz="0" w:space="0" w:color="auto"/>
        <w:bottom w:val="none" w:sz="0" w:space="0" w:color="auto"/>
        <w:right w:val="none" w:sz="0" w:space="0" w:color="auto"/>
      </w:divBdr>
      <w:divsChild>
        <w:div w:id="129016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2556">
      <w:bodyDiv w:val="1"/>
      <w:marLeft w:val="0"/>
      <w:marRight w:val="0"/>
      <w:marTop w:val="0"/>
      <w:marBottom w:val="0"/>
      <w:divBdr>
        <w:top w:val="none" w:sz="0" w:space="0" w:color="auto"/>
        <w:left w:val="none" w:sz="0" w:space="0" w:color="auto"/>
        <w:bottom w:val="none" w:sz="0" w:space="0" w:color="auto"/>
        <w:right w:val="none" w:sz="0" w:space="0" w:color="auto"/>
      </w:divBdr>
    </w:div>
    <w:div w:id="1257129243">
      <w:bodyDiv w:val="1"/>
      <w:marLeft w:val="0"/>
      <w:marRight w:val="0"/>
      <w:marTop w:val="0"/>
      <w:marBottom w:val="0"/>
      <w:divBdr>
        <w:top w:val="none" w:sz="0" w:space="0" w:color="auto"/>
        <w:left w:val="none" w:sz="0" w:space="0" w:color="auto"/>
        <w:bottom w:val="none" w:sz="0" w:space="0" w:color="auto"/>
        <w:right w:val="none" w:sz="0" w:space="0" w:color="auto"/>
      </w:divBdr>
    </w:div>
    <w:div w:id="13462490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520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rchives.gov/research/japanese-americans/redress" TargetMode="External"/><Relationship Id="rId2" Type="http://schemas.openxmlformats.org/officeDocument/2006/relationships/hyperlink" Target="https://www.nytimes.com/2018/08/17/obituaries/isamu-shibayama-dies-at-88-his-quest-for-reparations-unfulfilled.html" TargetMode="External"/><Relationship Id="rId1" Type="http://schemas.openxmlformats.org/officeDocument/2006/relationships/hyperlink" Target="https://www.archives.gov/education/lessons/japanese-relo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B8E2-58D4-CF41-BDCA-0142CE4C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8170</Words>
  <Characters>46569</Characters>
  <Application>Microsoft Office Word</Application>
  <DocSecurity>0</DocSecurity>
  <Lines>388</Lines>
  <Paragraphs>109</Paragraphs>
  <ScaleCrop>false</ScaleCrop>
  <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2021-02-23T22:12:00Z</dcterms:created>
  <dcterms:modified xsi:type="dcterms:W3CDTF">2021-02-23T22:12:00Z</dcterms:modified>
</cp:coreProperties>
</file>