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1E474A2C" w:rsidR="00040C3A" w:rsidRPr="00ED70FC" w:rsidRDefault="00574941" w:rsidP="00627C9F">
      <w:pPr>
        <w:jc w:val="both"/>
        <w:rPr>
          <w:rFonts w:asciiTheme="majorHAnsi" w:hAnsiTheme="majorHAnsi" w:cs="Univers"/>
          <w:b/>
          <w:bCs/>
          <w:sz w:val="22"/>
          <w:szCs w:val="22"/>
          <w:lang w:val="es-ES"/>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6085824A" wp14:editId="2573CDD4">
                <wp:simplePos x="0" y="0"/>
                <wp:positionH relativeFrom="column">
                  <wp:posOffset>-346738</wp:posOffset>
                </wp:positionH>
                <wp:positionV relativeFrom="paragraph">
                  <wp:posOffset>-330228</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0B068" id="Rectangle 1" o:spid="_x0000_s1026" style="position:absolute;margin-left:-27.3pt;margin-top:-26pt;width:111pt;height:70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f8FP05gAAABEBAAAPAAAAZHJzL2Rvd25yZXYueG1s&#10;TE9NT8MwDL0j8R8iI3FBW7oxStU1nYANCZA4MHYYt6w1bUXjVE36sX+Pe4KL9Sw/v49kM5pa9Ni6&#10;ypKCxTwAgZTZvKJCweHzeRaBcF5TrmtLqOCMDjbp5UWi49wO9IH93heCRcjFWkHpfRNL6bISjXZz&#10;2yDx7du2Rnte20LmrR5Y3NRyGQShNLoidih1g08lZj/7ziiIhrfH1/78HvmX3c1huxuPX93RKnV9&#10;NW7XPB7WIDyO/u8Dpg6cH1IOdrId5U7UCmZ3q5CpE1hys4kR3q9AnBjchosIZJrI/03SXwAAAP//&#10;AwBQSwECLQAUAAYACAAAACEAtoM4kv4AAADhAQAAEwAAAAAAAAAAAAAAAAAAAAAAW0NvbnRlbnRf&#10;VHlwZXNdLnhtbFBLAQItABQABgAIAAAAIQA4/SH/1gAAAJQBAAALAAAAAAAAAAAAAAAAAC8BAABf&#10;cmVscy8ucmVsc1BLAQItABQABgAIAAAAIQCbYgmzmAIAAIYFAAAOAAAAAAAAAAAAAAAAAC4CAABk&#10;cnMvZTJvRG9jLnhtbFBLAQItABQABgAIAAAAIQBf8FP05gAAABEBAAAPAAAAAAAAAAAAAAAAAPIE&#10;AABkcnMvZG93bnJldi54bWxQSwUGAAAAAAQABADzAAAABQYAAAAA&#10;" fillcolor="#67ae3c"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6AB56B3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029C0A8" w:rsidR="00CB2660" w:rsidRDefault="00574941" w:rsidP="00AE5488">
                            <w:r>
                              <w:rPr>
                                <w:noProof/>
                              </w:rPr>
                              <w:drawing>
                                <wp:inline distT="0" distB="0" distL="0" distR="0" wp14:anchorId="1CD0B3EA" wp14:editId="0D92EB68">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4029C0A8" w:rsidR="00CB2660" w:rsidRDefault="00574941" w:rsidP="00AE5488">
                      <w:r>
                        <w:rPr>
                          <w:noProof/>
                        </w:rPr>
                        <w:drawing>
                          <wp:inline distT="0" distB="0" distL="0" distR="0" wp14:anchorId="1CD0B3EA" wp14:editId="0D92EB68">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4486D450"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B83AA38"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06822267" w:rsidR="005128E4" w:rsidRPr="00ED70FC" w:rsidRDefault="005128E4" w:rsidP="00040C3A">
      <w:pPr>
        <w:tabs>
          <w:tab w:val="center" w:pos="5400"/>
        </w:tabs>
        <w:suppressAutoHyphens/>
        <w:rPr>
          <w:rFonts w:asciiTheme="majorHAnsi" w:hAnsiTheme="majorHAnsi"/>
          <w:sz w:val="22"/>
          <w:szCs w:val="22"/>
          <w:lang w:val="es-ES"/>
        </w:rPr>
      </w:pPr>
    </w:p>
    <w:p w14:paraId="12A36B24" w14:textId="6AA90C88"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378455BB"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226F2E13"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091E82BD"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3852554A"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0E4BF7B4"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433435F2"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828EFD0" w:rsidR="005B52B0" w:rsidRPr="00D66BEA" w:rsidRDefault="00574941" w:rsidP="00997BC5">
                            <w:pPr>
                              <w:spacing w:line="276" w:lineRule="auto"/>
                              <w:rPr>
                                <w:rFonts w:asciiTheme="majorHAnsi" w:hAnsiTheme="majorHAnsi" w:cs="Arial"/>
                                <w:b/>
                                <w:bCs/>
                                <w:color w:val="0D0D0D" w:themeColor="text1" w:themeTint="F2"/>
                                <w:sz w:val="36"/>
                                <w:szCs w:val="22"/>
                              </w:rPr>
                            </w:pPr>
                            <w:r w:rsidRPr="00D66BEA">
                              <w:rPr>
                                <w:rFonts w:asciiTheme="majorHAnsi" w:hAnsiTheme="majorHAnsi" w:cs="Arial"/>
                                <w:b/>
                                <w:bCs/>
                                <w:color w:val="0D0D0D" w:themeColor="text1" w:themeTint="F2"/>
                                <w:sz w:val="36"/>
                                <w:szCs w:val="22"/>
                              </w:rPr>
                              <w:t>REPORT</w:t>
                            </w:r>
                            <w:r w:rsidR="005B52B0" w:rsidRPr="00D66BEA">
                              <w:rPr>
                                <w:rFonts w:asciiTheme="majorHAnsi" w:hAnsiTheme="majorHAnsi" w:cs="Arial"/>
                                <w:b/>
                                <w:bCs/>
                                <w:color w:val="0D0D0D" w:themeColor="text1" w:themeTint="F2"/>
                                <w:sz w:val="36"/>
                                <w:szCs w:val="22"/>
                              </w:rPr>
                              <w:t xml:space="preserve"> </w:t>
                            </w:r>
                            <w:r w:rsidR="00477592" w:rsidRPr="00D66BEA">
                              <w:rPr>
                                <w:rFonts w:asciiTheme="majorHAnsi" w:hAnsiTheme="majorHAnsi" w:cs="Arial"/>
                                <w:b/>
                                <w:bCs/>
                                <w:color w:val="0D0D0D" w:themeColor="text1" w:themeTint="F2"/>
                                <w:sz w:val="36"/>
                                <w:szCs w:val="40"/>
                              </w:rPr>
                              <w:t>No.</w:t>
                            </w:r>
                            <w:r w:rsidR="007B05C4" w:rsidRPr="00D66BEA">
                              <w:rPr>
                                <w:rFonts w:asciiTheme="majorHAnsi" w:hAnsiTheme="majorHAnsi" w:cs="Arial"/>
                                <w:b/>
                                <w:bCs/>
                                <w:color w:val="0D0D0D" w:themeColor="text1" w:themeTint="F2"/>
                                <w:sz w:val="36"/>
                                <w:szCs w:val="22"/>
                              </w:rPr>
                              <w:t xml:space="preserve"> </w:t>
                            </w:r>
                            <w:r w:rsidR="00726C40">
                              <w:rPr>
                                <w:rFonts w:asciiTheme="majorHAnsi" w:hAnsiTheme="majorHAnsi" w:cs="Arial"/>
                                <w:b/>
                                <w:bCs/>
                                <w:color w:val="0D0D0D" w:themeColor="text1" w:themeTint="F2"/>
                                <w:sz w:val="36"/>
                                <w:szCs w:val="22"/>
                              </w:rPr>
                              <w:t>282</w:t>
                            </w:r>
                            <w:r w:rsidR="007B05C4" w:rsidRPr="00D66BEA">
                              <w:rPr>
                                <w:rFonts w:asciiTheme="majorHAnsi" w:hAnsiTheme="majorHAnsi" w:cs="Arial"/>
                                <w:b/>
                                <w:bCs/>
                                <w:color w:val="0D0D0D" w:themeColor="text1" w:themeTint="F2"/>
                                <w:sz w:val="36"/>
                                <w:szCs w:val="22"/>
                              </w:rPr>
                              <w:t>/</w:t>
                            </w:r>
                            <w:r w:rsidR="00C7589C" w:rsidRPr="00D66BEA">
                              <w:rPr>
                                <w:rFonts w:asciiTheme="majorHAnsi" w:hAnsiTheme="majorHAnsi" w:cs="Arial"/>
                                <w:b/>
                                <w:bCs/>
                                <w:color w:val="0D0D0D" w:themeColor="text1" w:themeTint="F2"/>
                                <w:sz w:val="36"/>
                                <w:szCs w:val="22"/>
                              </w:rPr>
                              <w:t>2</w:t>
                            </w:r>
                            <w:r w:rsidR="00331404">
                              <w:rPr>
                                <w:rFonts w:asciiTheme="majorHAnsi" w:hAnsiTheme="majorHAnsi" w:cs="Arial"/>
                                <w:b/>
                                <w:bCs/>
                                <w:color w:val="0D0D0D" w:themeColor="text1" w:themeTint="F2"/>
                                <w:sz w:val="36"/>
                                <w:szCs w:val="22"/>
                              </w:rPr>
                              <w:t>1</w:t>
                            </w:r>
                          </w:p>
                          <w:p w14:paraId="09C54AB3" w14:textId="28D72F6B" w:rsidR="007B05C4" w:rsidRPr="00574941" w:rsidRDefault="005B52B0" w:rsidP="00997BC5">
                            <w:pPr>
                              <w:spacing w:line="276" w:lineRule="auto"/>
                              <w:rPr>
                                <w:rFonts w:asciiTheme="majorHAnsi" w:hAnsiTheme="majorHAnsi" w:cs="Arial"/>
                                <w:b/>
                                <w:color w:val="0D0D0D" w:themeColor="text1" w:themeTint="F2"/>
                                <w:sz w:val="36"/>
                                <w:szCs w:val="22"/>
                              </w:rPr>
                            </w:pPr>
                            <w:r w:rsidRPr="00574941">
                              <w:rPr>
                                <w:rFonts w:asciiTheme="majorHAnsi" w:hAnsiTheme="majorHAnsi" w:cs="Arial"/>
                                <w:b/>
                                <w:color w:val="0D0D0D" w:themeColor="text1" w:themeTint="F2"/>
                                <w:sz w:val="36"/>
                                <w:szCs w:val="22"/>
                              </w:rPr>
                              <w:t>PETI</w:t>
                            </w:r>
                            <w:r w:rsidR="00574941" w:rsidRPr="00574941">
                              <w:rPr>
                                <w:rFonts w:asciiTheme="majorHAnsi" w:hAnsiTheme="majorHAnsi" w:cs="Arial"/>
                                <w:b/>
                                <w:color w:val="0D0D0D" w:themeColor="text1" w:themeTint="F2"/>
                                <w:sz w:val="36"/>
                                <w:szCs w:val="22"/>
                              </w:rPr>
                              <w:t>TIO</w:t>
                            </w:r>
                            <w:r w:rsidRPr="00574941">
                              <w:rPr>
                                <w:rFonts w:asciiTheme="majorHAnsi" w:hAnsiTheme="majorHAnsi" w:cs="Arial"/>
                                <w:b/>
                                <w:color w:val="0D0D0D" w:themeColor="text1" w:themeTint="F2"/>
                                <w:sz w:val="36"/>
                                <w:szCs w:val="22"/>
                              </w:rPr>
                              <w:t xml:space="preserve">N </w:t>
                            </w:r>
                            <w:r w:rsidR="00331404">
                              <w:rPr>
                                <w:rFonts w:asciiTheme="majorHAnsi" w:hAnsiTheme="majorHAnsi" w:cs="Arial"/>
                                <w:b/>
                                <w:color w:val="0D0D0D" w:themeColor="text1" w:themeTint="F2"/>
                                <w:sz w:val="36"/>
                                <w:szCs w:val="22"/>
                              </w:rPr>
                              <w:t>452</w:t>
                            </w:r>
                            <w:r w:rsidR="00246D1F" w:rsidRPr="00574941">
                              <w:rPr>
                                <w:rFonts w:asciiTheme="majorHAnsi" w:hAnsiTheme="majorHAnsi" w:cs="Arial"/>
                                <w:b/>
                                <w:color w:val="0D0D0D" w:themeColor="text1" w:themeTint="F2"/>
                                <w:sz w:val="36"/>
                                <w:szCs w:val="22"/>
                              </w:rPr>
                              <w:t>-</w:t>
                            </w:r>
                            <w:r w:rsidR="00C7589C" w:rsidRPr="00574941">
                              <w:rPr>
                                <w:rFonts w:asciiTheme="majorHAnsi" w:hAnsiTheme="majorHAnsi" w:cs="Arial"/>
                                <w:b/>
                                <w:color w:val="0D0D0D" w:themeColor="text1" w:themeTint="F2"/>
                                <w:sz w:val="36"/>
                                <w:szCs w:val="22"/>
                              </w:rPr>
                              <w:t>1</w:t>
                            </w:r>
                            <w:r w:rsidR="00331404">
                              <w:rPr>
                                <w:rFonts w:asciiTheme="majorHAnsi" w:hAnsiTheme="majorHAnsi" w:cs="Arial"/>
                                <w:b/>
                                <w:color w:val="0D0D0D" w:themeColor="text1" w:themeTint="F2"/>
                                <w:sz w:val="36"/>
                                <w:szCs w:val="22"/>
                              </w:rPr>
                              <w:t>4</w:t>
                            </w:r>
                            <w:r w:rsidR="00246D1F" w:rsidRPr="00574941">
                              <w:rPr>
                                <w:rFonts w:asciiTheme="majorHAnsi" w:hAnsiTheme="majorHAnsi" w:cs="Arial"/>
                                <w:b/>
                                <w:color w:val="0D0D0D" w:themeColor="text1" w:themeTint="F2"/>
                                <w:sz w:val="36"/>
                                <w:szCs w:val="22"/>
                              </w:rPr>
                              <w:t xml:space="preserve"> </w:t>
                            </w:r>
                          </w:p>
                          <w:p w14:paraId="70CF6833" w14:textId="1189959D" w:rsidR="00CD046C" w:rsidRPr="00574941" w:rsidRDefault="00574941" w:rsidP="00997BC5">
                            <w:pPr>
                              <w:spacing w:line="276" w:lineRule="auto"/>
                              <w:rPr>
                                <w:rFonts w:asciiTheme="majorHAnsi" w:hAnsiTheme="majorHAnsi" w:cs="Arial"/>
                                <w:color w:val="0D0D0D" w:themeColor="text1" w:themeTint="F2"/>
                                <w:szCs w:val="22"/>
                              </w:rPr>
                            </w:pPr>
                            <w:r w:rsidRPr="00574941">
                              <w:rPr>
                                <w:rFonts w:asciiTheme="majorHAnsi" w:hAnsiTheme="majorHAnsi" w:cs="Arial"/>
                                <w:color w:val="0D0D0D" w:themeColor="text1" w:themeTint="F2"/>
                                <w:szCs w:val="22"/>
                              </w:rPr>
                              <w:t>REPORT ON ADMISSIBILITY</w:t>
                            </w:r>
                          </w:p>
                          <w:p w14:paraId="5FDD6F0D" w14:textId="77777777" w:rsidR="008F1912" w:rsidRPr="00574941"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F950563" w14:textId="67F759A0" w:rsidR="00331404" w:rsidRPr="00B46622" w:rsidRDefault="00331404" w:rsidP="0033140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ANTONIO RODRIGO LOBOS CORDANO AND CLAUDIA ANGÉLICA CÓRDOVA BALBOA</w:t>
                            </w:r>
                          </w:p>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828EFD0" w:rsidR="005B52B0" w:rsidRPr="00D66BEA" w:rsidRDefault="00574941" w:rsidP="00997BC5">
                      <w:pPr>
                        <w:spacing w:line="276" w:lineRule="auto"/>
                        <w:rPr>
                          <w:rFonts w:asciiTheme="majorHAnsi" w:hAnsiTheme="majorHAnsi" w:cs="Arial"/>
                          <w:b/>
                          <w:bCs/>
                          <w:color w:val="0D0D0D" w:themeColor="text1" w:themeTint="F2"/>
                          <w:sz w:val="36"/>
                          <w:szCs w:val="22"/>
                        </w:rPr>
                      </w:pPr>
                      <w:r w:rsidRPr="00D66BEA">
                        <w:rPr>
                          <w:rFonts w:asciiTheme="majorHAnsi" w:hAnsiTheme="majorHAnsi" w:cs="Arial"/>
                          <w:b/>
                          <w:bCs/>
                          <w:color w:val="0D0D0D" w:themeColor="text1" w:themeTint="F2"/>
                          <w:sz w:val="36"/>
                          <w:szCs w:val="22"/>
                        </w:rPr>
                        <w:t>REPORT</w:t>
                      </w:r>
                      <w:r w:rsidR="005B52B0" w:rsidRPr="00D66BEA">
                        <w:rPr>
                          <w:rFonts w:asciiTheme="majorHAnsi" w:hAnsiTheme="majorHAnsi" w:cs="Arial"/>
                          <w:b/>
                          <w:bCs/>
                          <w:color w:val="0D0D0D" w:themeColor="text1" w:themeTint="F2"/>
                          <w:sz w:val="36"/>
                          <w:szCs w:val="22"/>
                        </w:rPr>
                        <w:t xml:space="preserve"> </w:t>
                      </w:r>
                      <w:r w:rsidR="00477592" w:rsidRPr="00D66BEA">
                        <w:rPr>
                          <w:rFonts w:asciiTheme="majorHAnsi" w:hAnsiTheme="majorHAnsi" w:cs="Arial"/>
                          <w:b/>
                          <w:bCs/>
                          <w:color w:val="0D0D0D" w:themeColor="text1" w:themeTint="F2"/>
                          <w:sz w:val="36"/>
                          <w:szCs w:val="40"/>
                        </w:rPr>
                        <w:t>No.</w:t>
                      </w:r>
                      <w:r w:rsidR="007B05C4" w:rsidRPr="00D66BEA">
                        <w:rPr>
                          <w:rFonts w:asciiTheme="majorHAnsi" w:hAnsiTheme="majorHAnsi" w:cs="Arial"/>
                          <w:b/>
                          <w:bCs/>
                          <w:color w:val="0D0D0D" w:themeColor="text1" w:themeTint="F2"/>
                          <w:sz w:val="36"/>
                          <w:szCs w:val="22"/>
                        </w:rPr>
                        <w:t xml:space="preserve"> </w:t>
                      </w:r>
                      <w:r w:rsidR="00726C40">
                        <w:rPr>
                          <w:rFonts w:asciiTheme="majorHAnsi" w:hAnsiTheme="majorHAnsi" w:cs="Arial"/>
                          <w:b/>
                          <w:bCs/>
                          <w:color w:val="0D0D0D" w:themeColor="text1" w:themeTint="F2"/>
                          <w:sz w:val="36"/>
                          <w:szCs w:val="22"/>
                        </w:rPr>
                        <w:t>282</w:t>
                      </w:r>
                      <w:r w:rsidR="007B05C4" w:rsidRPr="00D66BEA">
                        <w:rPr>
                          <w:rFonts w:asciiTheme="majorHAnsi" w:hAnsiTheme="majorHAnsi" w:cs="Arial"/>
                          <w:b/>
                          <w:bCs/>
                          <w:color w:val="0D0D0D" w:themeColor="text1" w:themeTint="F2"/>
                          <w:sz w:val="36"/>
                          <w:szCs w:val="22"/>
                        </w:rPr>
                        <w:t>/</w:t>
                      </w:r>
                      <w:r w:rsidR="00C7589C" w:rsidRPr="00D66BEA">
                        <w:rPr>
                          <w:rFonts w:asciiTheme="majorHAnsi" w:hAnsiTheme="majorHAnsi" w:cs="Arial"/>
                          <w:b/>
                          <w:bCs/>
                          <w:color w:val="0D0D0D" w:themeColor="text1" w:themeTint="F2"/>
                          <w:sz w:val="36"/>
                          <w:szCs w:val="22"/>
                        </w:rPr>
                        <w:t>2</w:t>
                      </w:r>
                      <w:r w:rsidR="00331404">
                        <w:rPr>
                          <w:rFonts w:asciiTheme="majorHAnsi" w:hAnsiTheme="majorHAnsi" w:cs="Arial"/>
                          <w:b/>
                          <w:bCs/>
                          <w:color w:val="0D0D0D" w:themeColor="text1" w:themeTint="F2"/>
                          <w:sz w:val="36"/>
                          <w:szCs w:val="22"/>
                        </w:rPr>
                        <w:t>1</w:t>
                      </w:r>
                    </w:p>
                    <w:p w14:paraId="09C54AB3" w14:textId="28D72F6B" w:rsidR="007B05C4" w:rsidRPr="00574941" w:rsidRDefault="005B52B0" w:rsidP="00997BC5">
                      <w:pPr>
                        <w:spacing w:line="276" w:lineRule="auto"/>
                        <w:rPr>
                          <w:rFonts w:asciiTheme="majorHAnsi" w:hAnsiTheme="majorHAnsi" w:cs="Arial"/>
                          <w:b/>
                          <w:color w:val="0D0D0D" w:themeColor="text1" w:themeTint="F2"/>
                          <w:sz w:val="36"/>
                          <w:szCs w:val="22"/>
                        </w:rPr>
                      </w:pPr>
                      <w:r w:rsidRPr="00574941">
                        <w:rPr>
                          <w:rFonts w:asciiTheme="majorHAnsi" w:hAnsiTheme="majorHAnsi" w:cs="Arial"/>
                          <w:b/>
                          <w:color w:val="0D0D0D" w:themeColor="text1" w:themeTint="F2"/>
                          <w:sz w:val="36"/>
                          <w:szCs w:val="22"/>
                        </w:rPr>
                        <w:t>PETI</w:t>
                      </w:r>
                      <w:r w:rsidR="00574941" w:rsidRPr="00574941">
                        <w:rPr>
                          <w:rFonts w:asciiTheme="majorHAnsi" w:hAnsiTheme="majorHAnsi" w:cs="Arial"/>
                          <w:b/>
                          <w:color w:val="0D0D0D" w:themeColor="text1" w:themeTint="F2"/>
                          <w:sz w:val="36"/>
                          <w:szCs w:val="22"/>
                        </w:rPr>
                        <w:t>TIO</w:t>
                      </w:r>
                      <w:r w:rsidRPr="00574941">
                        <w:rPr>
                          <w:rFonts w:asciiTheme="majorHAnsi" w:hAnsiTheme="majorHAnsi" w:cs="Arial"/>
                          <w:b/>
                          <w:color w:val="0D0D0D" w:themeColor="text1" w:themeTint="F2"/>
                          <w:sz w:val="36"/>
                          <w:szCs w:val="22"/>
                        </w:rPr>
                        <w:t xml:space="preserve">N </w:t>
                      </w:r>
                      <w:r w:rsidR="00331404">
                        <w:rPr>
                          <w:rFonts w:asciiTheme="majorHAnsi" w:hAnsiTheme="majorHAnsi" w:cs="Arial"/>
                          <w:b/>
                          <w:color w:val="0D0D0D" w:themeColor="text1" w:themeTint="F2"/>
                          <w:sz w:val="36"/>
                          <w:szCs w:val="22"/>
                        </w:rPr>
                        <w:t>452</w:t>
                      </w:r>
                      <w:r w:rsidR="00246D1F" w:rsidRPr="00574941">
                        <w:rPr>
                          <w:rFonts w:asciiTheme="majorHAnsi" w:hAnsiTheme="majorHAnsi" w:cs="Arial"/>
                          <w:b/>
                          <w:color w:val="0D0D0D" w:themeColor="text1" w:themeTint="F2"/>
                          <w:sz w:val="36"/>
                          <w:szCs w:val="22"/>
                        </w:rPr>
                        <w:t>-</w:t>
                      </w:r>
                      <w:r w:rsidR="00C7589C" w:rsidRPr="00574941">
                        <w:rPr>
                          <w:rFonts w:asciiTheme="majorHAnsi" w:hAnsiTheme="majorHAnsi" w:cs="Arial"/>
                          <w:b/>
                          <w:color w:val="0D0D0D" w:themeColor="text1" w:themeTint="F2"/>
                          <w:sz w:val="36"/>
                          <w:szCs w:val="22"/>
                        </w:rPr>
                        <w:t>1</w:t>
                      </w:r>
                      <w:r w:rsidR="00331404">
                        <w:rPr>
                          <w:rFonts w:asciiTheme="majorHAnsi" w:hAnsiTheme="majorHAnsi" w:cs="Arial"/>
                          <w:b/>
                          <w:color w:val="0D0D0D" w:themeColor="text1" w:themeTint="F2"/>
                          <w:sz w:val="36"/>
                          <w:szCs w:val="22"/>
                        </w:rPr>
                        <w:t>4</w:t>
                      </w:r>
                      <w:r w:rsidR="00246D1F" w:rsidRPr="00574941">
                        <w:rPr>
                          <w:rFonts w:asciiTheme="majorHAnsi" w:hAnsiTheme="majorHAnsi" w:cs="Arial"/>
                          <w:b/>
                          <w:color w:val="0D0D0D" w:themeColor="text1" w:themeTint="F2"/>
                          <w:sz w:val="36"/>
                          <w:szCs w:val="22"/>
                        </w:rPr>
                        <w:t xml:space="preserve"> </w:t>
                      </w:r>
                    </w:p>
                    <w:p w14:paraId="70CF6833" w14:textId="1189959D" w:rsidR="00CD046C" w:rsidRPr="00574941" w:rsidRDefault="00574941" w:rsidP="00997BC5">
                      <w:pPr>
                        <w:spacing w:line="276" w:lineRule="auto"/>
                        <w:rPr>
                          <w:rFonts w:asciiTheme="majorHAnsi" w:hAnsiTheme="majorHAnsi" w:cs="Arial"/>
                          <w:color w:val="0D0D0D" w:themeColor="text1" w:themeTint="F2"/>
                          <w:szCs w:val="22"/>
                        </w:rPr>
                      </w:pPr>
                      <w:r w:rsidRPr="00574941">
                        <w:rPr>
                          <w:rFonts w:asciiTheme="majorHAnsi" w:hAnsiTheme="majorHAnsi" w:cs="Arial"/>
                          <w:color w:val="0D0D0D" w:themeColor="text1" w:themeTint="F2"/>
                          <w:szCs w:val="22"/>
                        </w:rPr>
                        <w:t>REPORT ON ADMISSIBILITY</w:t>
                      </w:r>
                    </w:p>
                    <w:p w14:paraId="5FDD6F0D" w14:textId="77777777" w:rsidR="008F1912" w:rsidRPr="00574941"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F950563" w14:textId="67F759A0" w:rsidR="00331404" w:rsidRPr="00B46622" w:rsidRDefault="00331404" w:rsidP="0033140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ANTONIO RODRIGO LOBOS CORDANO AND CLAUDIA ANGÉLICA CÓRDOVA BALBOA</w:t>
                      </w:r>
                    </w:p>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D5CDE5F"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643956C4"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726C40">
                              <w:rPr>
                                <w:rFonts w:asciiTheme="minorHAnsi" w:hAnsiTheme="minorHAnsi"/>
                                <w:color w:val="FFFFFF" w:themeColor="background1"/>
                                <w:sz w:val="22"/>
                                <w:lang w:val="pt-BR"/>
                              </w:rPr>
                              <w:t>292</w:t>
                            </w:r>
                          </w:p>
                          <w:p w14:paraId="69373ED2" w14:textId="22553EA7" w:rsidR="00627C9F" w:rsidRPr="00D66BEA" w:rsidRDefault="00726C4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12 October 2021</w:t>
                            </w:r>
                          </w:p>
                          <w:p w14:paraId="0771DB5B" w14:textId="5D2BB57C" w:rsidR="00627C9F" w:rsidRPr="00D66BEA" w:rsidRDefault="00E0340B" w:rsidP="007A5817">
                            <w:pPr>
                              <w:spacing w:line="276" w:lineRule="auto"/>
                              <w:jc w:val="right"/>
                              <w:rPr>
                                <w:rFonts w:asciiTheme="minorHAnsi" w:hAnsiTheme="minorHAnsi"/>
                                <w:color w:val="FFFFFF" w:themeColor="background1"/>
                                <w:sz w:val="22"/>
                              </w:rPr>
                            </w:pPr>
                            <w:r w:rsidRPr="00D66BEA">
                              <w:rPr>
                                <w:rFonts w:asciiTheme="minorHAnsi" w:hAnsiTheme="minorHAnsi"/>
                                <w:color w:val="FFFFFF" w:themeColor="background1"/>
                                <w:sz w:val="22"/>
                              </w:rPr>
                              <w:t xml:space="preserve">Original: </w:t>
                            </w:r>
                            <w:r w:rsidR="00574941" w:rsidRPr="00D66BE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D5CDE5F"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643956C4"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726C40">
                        <w:rPr>
                          <w:rFonts w:asciiTheme="minorHAnsi" w:hAnsiTheme="minorHAnsi"/>
                          <w:color w:val="FFFFFF" w:themeColor="background1"/>
                          <w:sz w:val="22"/>
                          <w:lang w:val="pt-BR"/>
                        </w:rPr>
                        <w:t>292</w:t>
                      </w:r>
                    </w:p>
                    <w:p w14:paraId="69373ED2" w14:textId="22553EA7" w:rsidR="00627C9F" w:rsidRPr="00D66BEA" w:rsidRDefault="00726C4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12 October 2021</w:t>
                      </w:r>
                    </w:p>
                    <w:p w14:paraId="0771DB5B" w14:textId="5D2BB57C" w:rsidR="00627C9F" w:rsidRPr="00D66BEA" w:rsidRDefault="00E0340B" w:rsidP="007A5817">
                      <w:pPr>
                        <w:spacing w:line="276" w:lineRule="auto"/>
                        <w:jc w:val="right"/>
                        <w:rPr>
                          <w:rFonts w:asciiTheme="minorHAnsi" w:hAnsiTheme="minorHAnsi"/>
                          <w:color w:val="FFFFFF" w:themeColor="background1"/>
                          <w:sz w:val="22"/>
                        </w:rPr>
                      </w:pPr>
                      <w:r w:rsidRPr="00D66BEA">
                        <w:rPr>
                          <w:rFonts w:asciiTheme="minorHAnsi" w:hAnsiTheme="minorHAnsi"/>
                          <w:color w:val="FFFFFF" w:themeColor="background1"/>
                          <w:sz w:val="22"/>
                        </w:rPr>
                        <w:t xml:space="preserve">Original: </w:t>
                      </w:r>
                      <w:r w:rsidR="00574941" w:rsidRPr="00D66BEA">
                        <w:rPr>
                          <w:rFonts w:asciiTheme="minorHAnsi" w:hAnsiTheme="minorHAnsi"/>
                          <w:color w:val="FFFFFF" w:themeColor="background1"/>
                          <w:sz w:val="22"/>
                        </w:rPr>
                        <w:t>Spanish</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372566CE"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2966B725"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17A04CF2"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2CD8FA70"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5EDC0A7A"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016A9DBA"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3E9800BD"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1E4304D1"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4A1B2811"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80D85B2"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51D69642"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0450D340"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436A1426"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2395BAFE"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05512753"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6DAAE" w14:textId="57E48854" w:rsidR="00574941" w:rsidRPr="003C32BC" w:rsidRDefault="00574941" w:rsidP="00574941">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Electronically approved by the Commission on </w:t>
                            </w:r>
                            <w:r w:rsidR="00726C40">
                              <w:rPr>
                                <w:rFonts w:asciiTheme="majorHAnsi" w:hAnsiTheme="majorHAnsi" w:cs="Univers"/>
                                <w:color w:val="0D0D0D" w:themeColor="text1" w:themeTint="F2"/>
                                <w:sz w:val="18"/>
                                <w:szCs w:val="20"/>
                              </w:rPr>
                              <w:t>October 12</w:t>
                            </w:r>
                            <w:r>
                              <w:rPr>
                                <w:rFonts w:asciiTheme="majorHAnsi" w:hAnsiTheme="majorHAnsi" w:cs="Univers"/>
                                <w:color w:val="0D0D0D" w:themeColor="text1" w:themeTint="F2"/>
                                <w:sz w:val="18"/>
                                <w:szCs w:val="20"/>
                              </w:rPr>
                              <w:t>, 202</w:t>
                            </w:r>
                            <w:r w:rsidR="00331404">
                              <w:rPr>
                                <w:rFonts w:asciiTheme="majorHAnsi" w:hAnsiTheme="majorHAnsi" w:cs="Univers"/>
                                <w:color w:val="0D0D0D" w:themeColor="text1" w:themeTint="F2"/>
                                <w:sz w:val="18"/>
                                <w:szCs w:val="20"/>
                              </w:rPr>
                              <w:t>1</w:t>
                            </w:r>
                            <w:r w:rsidR="00726C40">
                              <w:rPr>
                                <w:rFonts w:asciiTheme="majorHAnsi" w:hAnsiTheme="majorHAnsi" w:cs="Univers"/>
                                <w:color w:val="0D0D0D" w:themeColor="text1" w:themeTint="F2"/>
                                <w:sz w:val="18"/>
                                <w:szCs w:val="20"/>
                              </w:rPr>
                              <w:t>.</w:t>
                            </w:r>
                          </w:p>
                          <w:p w14:paraId="4BDF3581" w14:textId="77777777" w:rsidR="00DD3D86" w:rsidRPr="00574941"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574941"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D56DAAE" w14:textId="57E48854" w:rsidR="00574941" w:rsidRPr="003C32BC" w:rsidRDefault="00574941" w:rsidP="00574941">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Electronically approved by the Commission on </w:t>
                      </w:r>
                      <w:r w:rsidR="00726C40">
                        <w:rPr>
                          <w:rFonts w:asciiTheme="majorHAnsi" w:hAnsiTheme="majorHAnsi" w:cs="Univers"/>
                          <w:color w:val="0D0D0D" w:themeColor="text1" w:themeTint="F2"/>
                          <w:sz w:val="18"/>
                          <w:szCs w:val="20"/>
                        </w:rPr>
                        <w:t>October 12</w:t>
                      </w:r>
                      <w:r>
                        <w:rPr>
                          <w:rFonts w:asciiTheme="majorHAnsi" w:hAnsiTheme="majorHAnsi" w:cs="Univers"/>
                          <w:color w:val="0D0D0D" w:themeColor="text1" w:themeTint="F2"/>
                          <w:sz w:val="18"/>
                          <w:szCs w:val="20"/>
                        </w:rPr>
                        <w:t>, 202</w:t>
                      </w:r>
                      <w:r w:rsidR="00331404">
                        <w:rPr>
                          <w:rFonts w:asciiTheme="majorHAnsi" w:hAnsiTheme="majorHAnsi" w:cs="Univers"/>
                          <w:color w:val="0D0D0D" w:themeColor="text1" w:themeTint="F2"/>
                          <w:sz w:val="18"/>
                          <w:szCs w:val="20"/>
                        </w:rPr>
                        <w:t>1</w:t>
                      </w:r>
                      <w:r w:rsidR="00726C40">
                        <w:rPr>
                          <w:rFonts w:asciiTheme="majorHAnsi" w:hAnsiTheme="majorHAnsi" w:cs="Univers"/>
                          <w:color w:val="0D0D0D" w:themeColor="text1" w:themeTint="F2"/>
                          <w:sz w:val="18"/>
                          <w:szCs w:val="20"/>
                        </w:rPr>
                        <w:t>.</w:t>
                      </w:r>
                    </w:p>
                    <w:p w14:paraId="4BDF3581" w14:textId="77777777" w:rsidR="00DD3D86" w:rsidRPr="00574941"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574941"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25A105D" w:rsidR="00113F73" w:rsidRPr="00574941" w:rsidRDefault="00574941"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lang w:val="pt-BR"/>
                              </w:rPr>
                              <w:t xml:space="preserve">Cite </w:t>
                            </w:r>
                            <w:r>
                              <w:rPr>
                                <w:rFonts w:asciiTheme="majorHAnsi" w:hAnsiTheme="majorHAnsi"/>
                                <w:b/>
                                <w:color w:val="595959" w:themeColor="text1" w:themeTint="A6"/>
                                <w:sz w:val="18"/>
                                <w:szCs w:val="18"/>
                                <w:lang w:val="pt-BR"/>
                              </w:rPr>
                              <w:t>as</w:t>
                            </w:r>
                            <w:r w:rsidR="00113F73" w:rsidRPr="00890650">
                              <w:rPr>
                                <w:rFonts w:asciiTheme="majorHAnsi" w:hAnsiTheme="majorHAnsi"/>
                                <w:b/>
                                <w:color w:val="595959" w:themeColor="text1" w:themeTint="A6"/>
                                <w:sz w:val="18"/>
                                <w:szCs w:val="18"/>
                                <w:lang w:val="pt-BR"/>
                              </w:rPr>
                              <w:t>:</w:t>
                            </w:r>
                            <w:r w:rsidR="00113F73"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IACHR</w:t>
                            </w:r>
                            <w:r w:rsidR="00113F73" w:rsidRPr="00A82C5D">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Report</w:t>
                            </w:r>
                            <w:r w:rsidR="00113F73" w:rsidRPr="00A82C5D">
                              <w:rPr>
                                <w:rFonts w:asciiTheme="majorHAnsi" w:hAnsiTheme="majorHAnsi"/>
                                <w:color w:val="595959" w:themeColor="text1" w:themeTint="A6"/>
                                <w:sz w:val="18"/>
                                <w:szCs w:val="18"/>
                                <w:lang w:val="pt-BR"/>
                              </w:rPr>
                              <w:t xml:space="preserve"> No.</w:t>
                            </w:r>
                            <w:r w:rsidR="00726C40">
                              <w:rPr>
                                <w:rFonts w:asciiTheme="majorHAnsi" w:hAnsiTheme="majorHAnsi"/>
                                <w:color w:val="595959" w:themeColor="text1" w:themeTint="A6"/>
                                <w:sz w:val="18"/>
                                <w:szCs w:val="18"/>
                                <w:lang w:val="pt-BR"/>
                              </w:rPr>
                              <w:t xml:space="preserve"> </w:t>
                            </w:r>
                            <w:r w:rsidR="00113F73" w:rsidRPr="00A82C5D">
                              <w:rPr>
                                <w:rFonts w:asciiTheme="majorHAnsi" w:hAnsiTheme="majorHAnsi"/>
                                <w:color w:val="595959" w:themeColor="text1" w:themeTint="A6"/>
                                <w:sz w:val="18"/>
                                <w:szCs w:val="18"/>
                                <w:lang w:val="pt-BR"/>
                              </w:rPr>
                              <w:t xml:space="preserve"> </w:t>
                            </w:r>
                            <w:r w:rsidR="00726C40">
                              <w:rPr>
                                <w:rFonts w:asciiTheme="majorHAnsi" w:hAnsiTheme="majorHAnsi"/>
                                <w:color w:val="595959" w:themeColor="text1" w:themeTint="A6"/>
                                <w:sz w:val="18"/>
                                <w:szCs w:val="18"/>
                                <w:lang w:val="pt-BR"/>
                              </w:rPr>
                              <w:t>282</w:t>
                            </w:r>
                            <w:r w:rsidR="007B05C4" w:rsidRPr="00726C40">
                              <w:rPr>
                                <w:rFonts w:asciiTheme="majorHAnsi" w:hAnsiTheme="majorHAnsi"/>
                                <w:color w:val="595959" w:themeColor="text1" w:themeTint="A6"/>
                                <w:sz w:val="18"/>
                                <w:szCs w:val="18"/>
                              </w:rPr>
                              <w:t>/</w:t>
                            </w:r>
                            <w:r w:rsidR="007614A7" w:rsidRPr="00726C40">
                              <w:rPr>
                                <w:rFonts w:asciiTheme="majorHAnsi" w:hAnsiTheme="majorHAnsi"/>
                                <w:color w:val="595959" w:themeColor="text1" w:themeTint="A6"/>
                                <w:sz w:val="18"/>
                                <w:szCs w:val="18"/>
                              </w:rPr>
                              <w:t>21</w:t>
                            </w:r>
                            <w:r w:rsidR="00D03715" w:rsidRPr="00726C40">
                              <w:rPr>
                                <w:rFonts w:asciiTheme="majorHAnsi" w:hAnsiTheme="majorHAnsi"/>
                                <w:color w:val="595959" w:themeColor="text1" w:themeTint="A6"/>
                                <w:sz w:val="18"/>
                                <w:szCs w:val="18"/>
                              </w:rPr>
                              <w:t>.</w:t>
                            </w:r>
                            <w:r w:rsidR="00214755" w:rsidRPr="00726C40">
                              <w:rPr>
                                <w:color w:val="595959" w:themeColor="text1" w:themeTint="A6"/>
                              </w:rPr>
                              <w:t xml:space="preserve"> </w:t>
                            </w:r>
                            <w:proofErr w:type="spellStart"/>
                            <w:r w:rsidR="00D03715" w:rsidRPr="00726C40">
                              <w:rPr>
                                <w:rFonts w:asciiTheme="majorHAnsi" w:hAnsiTheme="majorHAnsi"/>
                                <w:color w:val="595959" w:themeColor="text1" w:themeTint="A6"/>
                                <w:sz w:val="18"/>
                                <w:szCs w:val="18"/>
                                <w:lang w:val="es-US"/>
                              </w:rPr>
                              <w:t>Peti</w:t>
                            </w:r>
                            <w:r w:rsidRPr="00726C40">
                              <w:rPr>
                                <w:rFonts w:asciiTheme="majorHAnsi" w:hAnsiTheme="majorHAnsi"/>
                                <w:color w:val="595959" w:themeColor="text1" w:themeTint="A6"/>
                                <w:sz w:val="18"/>
                                <w:szCs w:val="18"/>
                                <w:lang w:val="es-US"/>
                              </w:rPr>
                              <w:t>tio</w:t>
                            </w:r>
                            <w:r w:rsidR="00D03715" w:rsidRPr="00726C40">
                              <w:rPr>
                                <w:rFonts w:asciiTheme="majorHAnsi" w:hAnsiTheme="majorHAnsi"/>
                                <w:color w:val="595959" w:themeColor="text1" w:themeTint="A6"/>
                                <w:sz w:val="18"/>
                                <w:szCs w:val="18"/>
                                <w:lang w:val="es-US"/>
                              </w:rPr>
                              <w:t>n</w:t>
                            </w:r>
                            <w:proofErr w:type="spellEnd"/>
                            <w:r w:rsidR="00D03715" w:rsidRPr="00726C40">
                              <w:rPr>
                                <w:rFonts w:asciiTheme="majorHAnsi" w:hAnsiTheme="majorHAnsi"/>
                                <w:color w:val="595959" w:themeColor="text1" w:themeTint="A6"/>
                                <w:sz w:val="18"/>
                                <w:szCs w:val="18"/>
                                <w:lang w:val="es-US"/>
                              </w:rPr>
                              <w:t xml:space="preserve"> </w:t>
                            </w:r>
                            <w:r w:rsidR="007614A7" w:rsidRPr="00726C40">
                              <w:rPr>
                                <w:rFonts w:asciiTheme="majorHAnsi" w:hAnsiTheme="majorHAnsi"/>
                                <w:color w:val="595959" w:themeColor="text1" w:themeTint="A6"/>
                                <w:sz w:val="18"/>
                                <w:szCs w:val="18"/>
                                <w:lang w:val="es-US"/>
                              </w:rPr>
                              <w:t>452</w:t>
                            </w:r>
                            <w:r w:rsidR="00E84790" w:rsidRPr="00726C40">
                              <w:rPr>
                                <w:rFonts w:asciiTheme="majorHAnsi" w:hAnsiTheme="majorHAnsi"/>
                                <w:color w:val="595959" w:themeColor="text1" w:themeTint="A6"/>
                                <w:sz w:val="18"/>
                                <w:szCs w:val="18"/>
                                <w:lang w:val="es-US"/>
                              </w:rPr>
                              <w:t>-1</w:t>
                            </w:r>
                            <w:r w:rsidR="007614A7" w:rsidRPr="00726C40">
                              <w:rPr>
                                <w:rFonts w:asciiTheme="majorHAnsi" w:hAnsiTheme="majorHAnsi"/>
                                <w:color w:val="595959" w:themeColor="text1" w:themeTint="A6"/>
                                <w:sz w:val="18"/>
                                <w:szCs w:val="18"/>
                                <w:lang w:val="es-US"/>
                              </w:rPr>
                              <w:t>4</w:t>
                            </w:r>
                            <w:r w:rsidR="00D03715" w:rsidRPr="00726C40">
                              <w:rPr>
                                <w:rFonts w:asciiTheme="majorHAnsi" w:hAnsiTheme="majorHAnsi"/>
                                <w:color w:val="595959" w:themeColor="text1" w:themeTint="A6"/>
                                <w:sz w:val="18"/>
                                <w:szCs w:val="18"/>
                                <w:lang w:val="es-US"/>
                              </w:rPr>
                              <w:t xml:space="preserve">. </w:t>
                            </w:r>
                            <w:proofErr w:type="spellStart"/>
                            <w:r w:rsidRPr="00726C40">
                              <w:rPr>
                                <w:rFonts w:asciiTheme="majorHAnsi" w:hAnsiTheme="majorHAnsi"/>
                                <w:color w:val="595959" w:themeColor="text1" w:themeTint="A6"/>
                                <w:sz w:val="18"/>
                                <w:szCs w:val="18"/>
                                <w:lang w:val="es-US"/>
                              </w:rPr>
                              <w:t>Admissibility</w:t>
                            </w:r>
                            <w:proofErr w:type="spellEnd"/>
                            <w:r w:rsidR="00113F73" w:rsidRPr="00726C40">
                              <w:rPr>
                                <w:rFonts w:asciiTheme="majorHAnsi" w:hAnsiTheme="majorHAnsi"/>
                                <w:color w:val="595959" w:themeColor="text1" w:themeTint="A6"/>
                                <w:sz w:val="18"/>
                                <w:szCs w:val="18"/>
                                <w:lang w:val="es-US"/>
                              </w:rPr>
                              <w:t xml:space="preserve">. </w:t>
                            </w:r>
                            <w:r w:rsidR="00BB1F72" w:rsidRPr="007614A7">
                              <w:rPr>
                                <w:rFonts w:asciiTheme="majorHAnsi" w:hAnsiTheme="majorHAnsi"/>
                                <w:color w:val="595959" w:themeColor="text1" w:themeTint="A6"/>
                                <w:sz w:val="18"/>
                                <w:szCs w:val="18"/>
                                <w:lang w:val="es-ES"/>
                              </w:rPr>
                              <w:t>Antonio</w:t>
                            </w:r>
                            <w:r w:rsidR="007614A7" w:rsidRPr="007614A7">
                              <w:rPr>
                                <w:rFonts w:asciiTheme="majorHAnsi" w:hAnsiTheme="majorHAnsi"/>
                                <w:color w:val="595959" w:themeColor="text1" w:themeTint="A6"/>
                                <w:sz w:val="18"/>
                                <w:szCs w:val="18"/>
                                <w:lang w:val="es-ES"/>
                              </w:rPr>
                              <w:t xml:space="preserve"> Rodrigo Lobos Cordano and Claudia Angélica Córdova Balboa</w:t>
                            </w:r>
                            <w:r w:rsidR="00113F73" w:rsidRPr="007614A7">
                              <w:rPr>
                                <w:rFonts w:asciiTheme="majorHAnsi" w:hAnsiTheme="majorHAnsi"/>
                                <w:color w:val="595959" w:themeColor="text1" w:themeTint="A6"/>
                                <w:sz w:val="18"/>
                                <w:szCs w:val="18"/>
                                <w:lang w:val="es-ES"/>
                              </w:rPr>
                              <w:t xml:space="preserve">. </w:t>
                            </w:r>
                            <w:r w:rsidR="00C2229D" w:rsidRPr="00574941">
                              <w:rPr>
                                <w:rFonts w:asciiTheme="majorHAnsi" w:hAnsiTheme="majorHAnsi"/>
                                <w:color w:val="595959" w:themeColor="text1" w:themeTint="A6"/>
                                <w:sz w:val="18"/>
                                <w:szCs w:val="18"/>
                              </w:rPr>
                              <w:t>Chile</w:t>
                            </w:r>
                            <w:r w:rsidR="00113F73" w:rsidRPr="00574941">
                              <w:rPr>
                                <w:rFonts w:asciiTheme="majorHAnsi" w:hAnsiTheme="majorHAnsi"/>
                                <w:color w:val="595959" w:themeColor="text1" w:themeTint="A6"/>
                                <w:sz w:val="18"/>
                                <w:szCs w:val="18"/>
                              </w:rPr>
                              <w:t xml:space="preserve">. </w:t>
                            </w:r>
                            <w:r w:rsidR="00726C40">
                              <w:rPr>
                                <w:rFonts w:asciiTheme="majorHAnsi" w:hAnsiTheme="majorHAnsi"/>
                                <w:color w:val="595959" w:themeColor="text1" w:themeTint="A6"/>
                                <w:sz w:val="18"/>
                                <w:szCs w:val="18"/>
                              </w:rPr>
                              <w:t>October 12, 2021</w:t>
                            </w:r>
                            <w:r w:rsidR="00113F73" w:rsidRPr="00574941">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25A105D" w:rsidR="00113F73" w:rsidRPr="00574941" w:rsidRDefault="00574941"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lang w:val="pt-BR"/>
                        </w:rPr>
                        <w:t xml:space="preserve">Cite </w:t>
                      </w:r>
                      <w:r>
                        <w:rPr>
                          <w:rFonts w:asciiTheme="majorHAnsi" w:hAnsiTheme="majorHAnsi"/>
                          <w:b/>
                          <w:color w:val="595959" w:themeColor="text1" w:themeTint="A6"/>
                          <w:sz w:val="18"/>
                          <w:szCs w:val="18"/>
                          <w:lang w:val="pt-BR"/>
                        </w:rPr>
                        <w:t>as</w:t>
                      </w:r>
                      <w:r w:rsidR="00113F73" w:rsidRPr="00890650">
                        <w:rPr>
                          <w:rFonts w:asciiTheme="majorHAnsi" w:hAnsiTheme="majorHAnsi"/>
                          <w:b/>
                          <w:color w:val="595959" w:themeColor="text1" w:themeTint="A6"/>
                          <w:sz w:val="18"/>
                          <w:szCs w:val="18"/>
                          <w:lang w:val="pt-BR"/>
                        </w:rPr>
                        <w:t>:</w:t>
                      </w:r>
                      <w:r w:rsidR="00113F73"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IACHR</w:t>
                      </w:r>
                      <w:r w:rsidR="00113F73" w:rsidRPr="00A82C5D">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Report</w:t>
                      </w:r>
                      <w:r w:rsidR="00113F73" w:rsidRPr="00A82C5D">
                        <w:rPr>
                          <w:rFonts w:asciiTheme="majorHAnsi" w:hAnsiTheme="majorHAnsi"/>
                          <w:color w:val="595959" w:themeColor="text1" w:themeTint="A6"/>
                          <w:sz w:val="18"/>
                          <w:szCs w:val="18"/>
                          <w:lang w:val="pt-BR"/>
                        </w:rPr>
                        <w:t xml:space="preserve"> No.</w:t>
                      </w:r>
                      <w:r w:rsidR="00726C40">
                        <w:rPr>
                          <w:rFonts w:asciiTheme="majorHAnsi" w:hAnsiTheme="majorHAnsi"/>
                          <w:color w:val="595959" w:themeColor="text1" w:themeTint="A6"/>
                          <w:sz w:val="18"/>
                          <w:szCs w:val="18"/>
                          <w:lang w:val="pt-BR"/>
                        </w:rPr>
                        <w:t xml:space="preserve"> </w:t>
                      </w:r>
                      <w:r w:rsidR="00113F73" w:rsidRPr="00A82C5D">
                        <w:rPr>
                          <w:rFonts w:asciiTheme="majorHAnsi" w:hAnsiTheme="majorHAnsi"/>
                          <w:color w:val="595959" w:themeColor="text1" w:themeTint="A6"/>
                          <w:sz w:val="18"/>
                          <w:szCs w:val="18"/>
                          <w:lang w:val="pt-BR"/>
                        </w:rPr>
                        <w:t xml:space="preserve"> </w:t>
                      </w:r>
                      <w:r w:rsidR="00726C40">
                        <w:rPr>
                          <w:rFonts w:asciiTheme="majorHAnsi" w:hAnsiTheme="majorHAnsi"/>
                          <w:color w:val="595959" w:themeColor="text1" w:themeTint="A6"/>
                          <w:sz w:val="18"/>
                          <w:szCs w:val="18"/>
                          <w:lang w:val="pt-BR"/>
                        </w:rPr>
                        <w:t>282</w:t>
                      </w:r>
                      <w:r w:rsidR="007B05C4" w:rsidRPr="00726C40">
                        <w:rPr>
                          <w:rFonts w:asciiTheme="majorHAnsi" w:hAnsiTheme="majorHAnsi"/>
                          <w:color w:val="595959" w:themeColor="text1" w:themeTint="A6"/>
                          <w:sz w:val="18"/>
                          <w:szCs w:val="18"/>
                        </w:rPr>
                        <w:t>/</w:t>
                      </w:r>
                      <w:r w:rsidR="007614A7" w:rsidRPr="00726C40">
                        <w:rPr>
                          <w:rFonts w:asciiTheme="majorHAnsi" w:hAnsiTheme="majorHAnsi"/>
                          <w:color w:val="595959" w:themeColor="text1" w:themeTint="A6"/>
                          <w:sz w:val="18"/>
                          <w:szCs w:val="18"/>
                        </w:rPr>
                        <w:t>21</w:t>
                      </w:r>
                      <w:r w:rsidR="00D03715" w:rsidRPr="00726C40">
                        <w:rPr>
                          <w:rFonts w:asciiTheme="majorHAnsi" w:hAnsiTheme="majorHAnsi"/>
                          <w:color w:val="595959" w:themeColor="text1" w:themeTint="A6"/>
                          <w:sz w:val="18"/>
                          <w:szCs w:val="18"/>
                        </w:rPr>
                        <w:t>.</w:t>
                      </w:r>
                      <w:r w:rsidR="00214755" w:rsidRPr="00726C40">
                        <w:rPr>
                          <w:color w:val="595959" w:themeColor="text1" w:themeTint="A6"/>
                        </w:rPr>
                        <w:t xml:space="preserve"> </w:t>
                      </w:r>
                      <w:proofErr w:type="spellStart"/>
                      <w:r w:rsidR="00D03715" w:rsidRPr="00726C40">
                        <w:rPr>
                          <w:rFonts w:asciiTheme="majorHAnsi" w:hAnsiTheme="majorHAnsi"/>
                          <w:color w:val="595959" w:themeColor="text1" w:themeTint="A6"/>
                          <w:sz w:val="18"/>
                          <w:szCs w:val="18"/>
                          <w:lang w:val="es-US"/>
                        </w:rPr>
                        <w:t>Peti</w:t>
                      </w:r>
                      <w:r w:rsidRPr="00726C40">
                        <w:rPr>
                          <w:rFonts w:asciiTheme="majorHAnsi" w:hAnsiTheme="majorHAnsi"/>
                          <w:color w:val="595959" w:themeColor="text1" w:themeTint="A6"/>
                          <w:sz w:val="18"/>
                          <w:szCs w:val="18"/>
                          <w:lang w:val="es-US"/>
                        </w:rPr>
                        <w:t>tio</w:t>
                      </w:r>
                      <w:r w:rsidR="00D03715" w:rsidRPr="00726C40">
                        <w:rPr>
                          <w:rFonts w:asciiTheme="majorHAnsi" w:hAnsiTheme="majorHAnsi"/>
                          <w:color w:val="595959" w:themeColor="text1" w:themeTint="A6"/>
                          <w:sz w:val="18"/>
                          <w:szCs w:val="18"/>
                          <w:lang w:val="es-US"/>
                        </w:rPr>
                        <w:t>n</w:t>
                      </w:r>
                      <w:proofErr w:type="spellEnd"/>
                      <w:r w:rsidR="00D03715" w:rsidRPr="00726C40">
                        <w:rPr>
                          <w:rFonts w:asciiTheme="majorHAnsi" w:hAnsiTheme="majorHAnsi"/>
                          <w:color w:val="595959" w:themeColor="text1" w:themeTint="A6"/>
                          <w:sz w:val="18"/>
                          <w:szCs w:val="18"/>
                          <w:lang w:val="es-US"/>
                        </w:rPr>
                        <w:t xml:space="preserve"> </w:t>
                      </w:r>
                      <w:r w:rsidR="007614A7" w:rsidRPr="00726C40">
                        <w:rPr>
                          <w:rFonts w:asciiTheme="majorHAnsi" w:hAnsiTheme="majorHAnsi"/>
                          <w:color w:val="595959" w:themeColor="text1" w:themeTint="A6"/>
                          <w:sz w:val="18"/>
                          <w:szCs w:val="18"/>
                          <w:lang w:val="es-US"/>
                        </w:rPr>
                        <w:t>452</w:t>
                      </w:r>
                      <w:r w:rsidR="00E84790" w:rsidRPr="00726C40">
                        <w:rPr>
                          <w:rFonts w:asciiTheme="majorHAnsi" w:hAnsiTheme="majorHAnsi"/>
                          <w:color w:val="595959" w:themeColor="text1" w:themeTint="A6"/>
                          <w:sz w:val="18"/>
                          <w:szCs w:val="18"/>
                          <w:lang w:val="es-US"/>
                        </w:rPr>
                        <w:t>-1</w:t>
                      </w:r>
                      <w:r w:rsidR="007614A7" w:rsidRPr="00726C40">
                        <w:rPr>
                          <w:rFonts w:asciiTheme="majorHAnsi" w:hAnsiTheme="majorHAnsi"/>
                          <w:color w:val="595959" w:themeColor="text1" w:themeTint="A6"/>
                          <w:sz w:val="18"/>
                          <w:szCs w:val="18"/>
                          <w:lang w:val="es-US"/>
                        </w:rPr>
                        <w:t>4</w:t>
                      </w:r>
                      <w:r w:rsidR="00D03715" w:rsidRPr="00726C40">
                        <w:rPr>
                          <w:rFonts w:asciiTheme="majorHAnsi" w:hAnsiTheme="majorHAnsi"/>
                          <w:color w:val="595959" w:themeColor="text1" w:themeTint="A6"/>
                          <w:sz w:val="18"/>
                          <w:szCs w:val="18"/>
                          <w:lang w:val="es-US"/>
                        </w:rPr>
                        <w:t xml:space="preserve">. </w:t>
                      </w:r>
                      <w:proofErr w:type="spellStart"/>
                      <w:r w:rsidRPr="00726C40">
                        <w:rPr>
                          <w:rFonts w:asciiTheme="majorHAnsi" w:hAnsiTheme="majorHAnsi"/>
                          <w:color w:val="595959" w:themeColor="text1" w:themeTint="A6"/>
                          <w:sz w:val="18"/>
                          <w:szCs w:val="18"/>
                          <w:lang w:val="es-US"/>
                        </w:rPr>
                        <w:t>Admissibility</w:t>
                      </w:r>
                      <w:proofErr w:type="spellEnd"/>
                      <w:r w:rsidR="00113F73" w:rsidRPr="00726C40">
                        <w:rPr>
                          <w:rFonts w:asciiTheme="majorHAnsi" w:hAnsiTheme="majorHAnsi"/>
                          <w:color w:val="595959" w:themeColor="text1" w:themeTint="A6"/>
                          <w:sz w:val="18"/>
                          <w:szCs w:val="18"/>
                          <w:lang w:val="es-US"/>
                        </w:rPr>
                        <w:t xml:space="preserve">. </w:t>
                      </w:r>
                      <w:r w:rsidR="00BB1F72" w:rsidRPr="007614A7">
                        <w:rPr>
                          <w:rFonts w:asciiTheme="majorHAnsi" w:hAnsiTheme="majorHAnsi"/>
                          <w:color w:val="595959" w:themeColor="text1" w:themeTint="A6"/>
                          <w:sz w:val="18"/>
                          <w:szCs w:val="18"/>
                          <w:lang w:val="es-ES"/>
                        </w:rPr>
                        <w:t>Antonio</w:t>
                      </w:r>
                      <w:r w:rsidR="007614A7" w:rsidRPr="007614A7">
                        <w:rPr>
                          <w:rFonts w:asciiTheme="majorHAnsi" w:hAnsiTheme="majorHAnsi"/>
                          <w:color w:val="595959" w:themeColor="text1" w:themeTint="A6"/>
                          <w:sz w:val="18"/>
                          <w:szCs w:val="18"/>
                          <w:lang w:val="es-ES"/>
                        </w:rPr>
                        <w:t xml:space="preserve"> Rodrigo Lobos Cordano and Claudia Angélica Córdova Balboa</w:t>
                      </w:r>
                      <w:r w:rsidR="00113F73" w:rsidRPr="007614A7">
                        <w:rPr>
                          <w:rFonts w:asciiTheme="majorHAnsi" w:hAnsiTheme="majorHAnsi"/>
                          <w:color w:val="595959" w:themeColor="text1" w:themeTint="A6"/>
                          <w:sz w:val="18"/>
                          <w:szCs w:val="18"/>
                          <w:lang w:val="es-ES"/>
                        </w:rPr>
                        <w:t xml:space="preserve">. </w:t>
                      </w:r>
                      <w:r w:rsidR="00C2229D" w:rsidRPr="00574941">
                        <w:rPr>
                          <w:rFonts w:asciiTheme="majorHAnsi" w:hAnsiTheme="majorHAnsi"/>
                          <w:color w:val="595959" w:themeColor="text1" w:themeTint="A6"/>
                          <w:sz w:val="18"/>
                          <w:szCs w:val="18"/>
                        </w:rPr>
                        <w:t>Chile</w:t>
                      </w:r>
                      <w:r w:rsidR="00113F73" w:rsidRPr="00574941">
                        <w:rPr>
                          <w:rFonts w:asciiTheme="majorHAnsi" w:hAnsiTheme="majorHAnsi"/>
                          <w:color w:val="595959" w:themeColor="text1" w:themeTint="A6"/>
                          <w:sz w:val="18"/>
                          <w:szCs w:val="18"/>
                        </w:rPr>
                        <w:t xml:space="preserve">. </w:t>
                      </w:r>
                      <w:r w:rsidR="00726C40">
                        <w:rPr>
                          <w:rFonts w:asciiTheme="majorHAnsi" w:hAnsiTheme="majorHAnsi"/>
                          <w:color w:val="595959" w:themeColor="text1" w:themeTint="A6"/>
                          <w:sz w:val="18"/>
                          <w:szCs w:val="18"/>
                        </w:rPr>
                        <w:t>October 12, 2021</w:t>
                      </w:r>
                      <w:r w:rsidR="00113F73" w:rsidRPr="00574941">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1CAE26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920D41B" w:rsidR="00D72DC6" w:rsidRPr="00D72DC6" w:rsidRDefault="00726C40" w:rsidP="00F02AD1">
                            <w:pPr>
                              <w:rPr>
                                <w:color w:val="FFFFFF" w:themeColor="background1"/>
                                <w14:textFill>
                                  <w14:noFill/>
                                </w14:textFill>
                              </w:rPr>
                            </w:pPr>
                            <w:r>
                              <w:rPr>
                                <w:noProof/>
                                <w:color w:val="FFFFFF" w:themeColor="background1"/>
                              </w:rPr>
                              <w:drawing>
                                <wp:inline distT="0" distB="0" distL="0" distR="0" wp14:anchorId="7B76079E" wp14:editId="59509DB1">
                                  <wp:extent cx="1837690" cy="469265"/>
                                  <wp:effectExtent l="0" t="0" r="0" b="698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0"/>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920D41B" w:rsidR="00D72DC6" w:rsidRPr="00D72DC6" w:rsidRDefault="00726C40" w:rsidP="00F02AD1">
                      <w:pPr>
                        <w:rPr>
                          <w:color w:val="FFFFFF" w:themeColor="background1"/>
                          <w14:textFill>
                            <w14:noFill/>
                          </w14:textFill>
                        </w:rPr>
                      </w:pPr>
                      <w:r>
                        <w:rPr>
                          <w:noProof/>
                          <w:color w:val="FFFFFF" w:themeColor="background1"/>
                        </w:rPr>
                        <w:drawing>
                          <wp:inline distT="0" distB="0" distL="0" distR="0" wp14:anchorId="7B76079E" wp14:editId="59509DB1">
                            <wp:extent cx="1837690" cy="469265"/>
                            <wp:effectExtent l="0" t="0" r="0" b="698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0"/>
                                    <a:stretch>
                                      <a:fillRect/>
                                    </a:stretch>
                                  </pic:blipFill>
                                  <pic:spPr>
                                    <a:xfrm>
                                      <a:off x="0" y="0"/>
                                      <a:ext cx="1837690"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67687DDC"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66BEA">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D66BEA">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6EA0DBC3" w14:textId="67687DDC"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66BEA">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D66BEA">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2A3197AE" w14:textId="40FCAFD9" w:rsidR="00574941" w:rsidRPr="00574941" w:rsidRDefault="00B22AA2" w:rsidP="00796EB2">
      <w:pPr>
        <w:pStyle w:val="ListParagraph"/>
        <w:numPr>
          <w:ilvl w:val="0"/>
          <w:numId w:val="57"/>
        </w:numPr>
        <w:spacing w:after="120"/>
        <w:jc w:val="both"/>
        <w:rPr>
          <w:rFonts w:asciiTheme="majorHAnsi" w:hAnsiTheme="majorHAnsi"/>
          <w:b/>
          <w:bCs/>
          <w:sz w:val="20"/>
          <w:szCs w:val="20"/>
        </w:rPr>
      </w:pPr>
      <w:r w:rsidRPr="00574941">
        <w:rPr>
          <w:rFonts w:asciiTheme="majorHAnsi" w:hAnsiTheme="majorHAnsi"/>
          <w:b/>
          <w:bCs/>
          <w:sz w:val="20"/>
          <w:szCs w:val="20"/>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940B09" w:rsidRPr="000B6B7A" w14:paraId="7F9CE0A4" w14:textId="77777777" w:rsidTr="00C27B17">
        <w:tc>
          <w:tcPr>
            <w:tcW w:w="2790" w:type="dxa"/>
            <w:tcBorders>
              <w:top w:val="single" w:sz="4" w:space="0" w:color="auto"/>
              <w:bottom w:val="single" w:sz="6" w:space="0" w:color="auto"/>
            </w:tcBorders>
            <w:shd w:val="clear" w:color="auto" w:fill="67AE3C"/>
            <w:vAlign w:val="center"/>
          </w:tcPr>
          <w:p w14:paraId="2F87F8C5" w14:textId="77777777" w:rsidR="00940B09" w:rsidRPr="00C355B4" w:rsidRDefault="00940B09" w:rsidP="00940B0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E5F7875" w14:textId="3FBC574B" w:rsidR="00940B09" w:rsidRPr="00C722A8" w:rsidRDefault="00940B09" w:rsidP="00940B09">
            <w:pPr>
              <w:jc w:val="both"/>
              <w:rPr>
                <w:rFonts w:ascii="Cambria" w:hAnsi="Cambria"/>
                <w:bCs/>
                <w:sz w:val="19"/>
                <w:szCs w:val="19"/>
              </w:rPr>
            </w:pPr>
            <w:r w:rsidRPr="00E420B3">
              <w:rPr>
                <w:rFonts w:asciiTheme="majorHAnsi" w:hAnsiTheme="majorHAnsi"/>
                <w:bCs/>
                <w:sz w:val="20"/>
                <w:szCs w:val="20"/>
                <w:lang w:val="es-ES"/>
              </w:rPr>
              <w:t>Gustavo Adolfo Bassaletti Ortega</w:t>
            </w:r>
          </w:p>
        </w:tc>
      </w:tr>
      <w:tr w:rsidR="00940B09" w:rsidRPr="00726C40" w14:paraId="031E49A5" w14:textId="77777777" w:rsidTr="00C27B17">
        <w:tc>
          <w:tcPr>
            <w:tcW w:w="2790" w:type="dxa"/>
            <w:tcBorders>
              <w:top w:val="single" w:sz="6" w:space="0" w:color="auto"/>
              <w:bottom w:val="single" w:sz="6" w:space="0" w:color="auto"/>
            </w:tcBorders>
            <w:shd w:val="clear" w:color="auto" w:fill="67AE3C"/>
            <w:vAlign w:val="center"/>
          </w:tcPr>
          <w:p w14:paraId="4062E000" w14:textId="77777777" w:rsidR="00940B09" w:rsidRPr="00C355B4" w:rsidRDefault="00940B09" w:rsidP="00940B0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2C38338C" w14:textId="07C491A1" w:rsidR="00940B09" w:rsidRPr="0001454A" w:rsidRDefault="00940B09" w:rsidP="00940B09">
            <w:pPr>
              <w:jc w:val="both"/>
              <w:rPr>
                <w:rFonts w:ascii="Cambria" w:hAnsi="Cambria"/>
                <w:bCs/>
                <w:sz w:val="19"/>
                <w:szCs w:val="19"/>
                <w:lang w:val="es-ES"/>
              </w:rPr>
            </w:pPr>
            <w:r w:rsidRPr="00E420B3">
              <w:rPr>
                <w:rFonts w:asciiTheme="majorHAnsi" w:hAnsiTheme="majorHAnsi"/>
                <w:bCs/>
                <w:sz w:val="20"/>
                <w:szCs w:val="20"/>
                <w:lang w:val="es-ES"/>
              </w:rPr>
              <w:t>Antonio Rodrigo Lobos Cordano y Claudia Angélica Córdova Balboa</w:t>
            </w:r>
          </w:p>
        </w:tc>
      </w:tr>
      <w:tr w:rsidR="00940B09" w:rsidRPr="000B6B7A" w14:paraId="7B1A743B" w14:textId="77777777" w:rsidTr="00C27B17">
        <w:tc>
          <w:tcPr>
            <w:tcW w:w="2790" w:type="dxa"/>
            <w:tcBorders>
              <w:top w:val="single" w:sz="6" w:space="0" w:color="auto"/>
              <w:bottom w:val="single" w:sz="6" w:space="0" w:color="auto"/>
            </w:tcBorders>
            <w:shd w:val="clear" w:color="auto" w:fill="67AE3C"/>
            <w:vAlign w:val="center"/>
          </w:tcPr>
          <w:p w14:paraId="3BFBF2DE" w14:textId="77777777" w:rsidR="00940B09" w:rsidRPr="00C355B4" w:rsidRDefault="00940B09" w:rsidP="00940B0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Pr>
                <w:rFonts w:ascii="Cambria" w:hAnsi="Cambria"/>
                <w:bCs/>
                <w:color w:val="FFFFFF" w:themeColor="background1"/>
                <w:sz w:val="19"/>
                <w:szCs w:val="19"/>
              </w:rPr>
              <w:t>State</w:t>
            </w:r>
          </w:p>
        </w:tc>
        <w:tc>
          <w:tcPr>
            <w:tcW w:w="6570" w:type="dxa"/>
            <w:vAlign w:val="center"/>
          </w:tcPr>
          <w:p w14:paraId="4BA103C5" w14:textId="3333B279" w:rsidR="00940B09" w:rsidRPr="00C355B4" w:rsidRDefault="00940B09" w:rsidP="00940B09">
            <w:pPr>
              <w:jc w:val="both"/>
              <w:rPr>
                <w:rFonts w:ascii="Cambria" w:hAnsi="Cambria"/>
                <w:bCs/>
                <w:sz w:val="19"/>
                <w:szCs w:val="19"/>
              </w:rPr>
            </w:pPr>
            <w:r w:rsidRPr="0019517D">
              <w:rPr>
                <w:rFonts w:ascii="Cambria" w:hAnsi="Cambria"/>
                <w:bCs/>
                <w:sz w:val="19"/>
                <w:szCs w:val="19"/>
                <w:lang w:val="es-ES"/>
              </w:rPr>
              <w:t>Chile</w:t>
            </w:r>
            <w:r w:rsidRPr="0019517D">
              <w:rPr>
                <w:rStyle w:val="FootnoteReference"/>
                <w:rFonts w:ascii="Cambria" w:hAnsi="Cambria"/>
                <w:bCs/>
                <w:sz w:val="19"/>
                <w:szCs w:val="19"/>
                <w:lang w:val="es-ES"/>
              </w:rPr>
              <w:footnoteReference w:id="2"/>
            </w:r>
          </w:p>
        </w:tc>
      </w:tr>
      <w:tr w:rsidR="00940B09" w:rsidRPr="0001454A" w14:paraId="024895A0" w14:textId="77777777" w:rsidTr="00C27B17">
        <w:tc>
          <w:tcPr>
            <w:tcW w:w="2790" w:type="dxa"/>
            <w:tcBorders>
              <w:top w:val="single" w:sz="6" w:space="0" w:color="auto"/>
              <w:bottom w:val="single" w:sz="6" w:space="0" w:color="auto"/>
            </w:tcBorders>
            <w:shd w:val="clear" w:color="auto" w:fill="67AE3C"/>
            <w:vAlign w:val="center"/>
          </w:tcPr>
          <w:p w14:paraId="40E9E934" w14:textId="77777777" w:rsidR="00940B09" w:rsidRPr="00C355B4" w:rsidRDefault="00940B09" w:rsidP="00940B0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Pr>
                <w:rFonts w:ascii="Cambria" w:hAnsi="Cambria"/>
                <w:bCs/>
                <w:color w:val="FFFFFF" w:themeColor="background1"/>
                <w:sz w:val="19"/>
                <w:szCs w:val="19"/>
              </w:rPr>
              <w:t>invoked</w:t>
            </w:r>
          </w:p>
        </w:tc>
        <w:tc>
          <w:tcPr>
            <w:tcW w:w="6570" w:type="dxa"/>
            <w:vAlign w:val="center"/>
          </w:tcPr>
          <w:p w14:paraId="68A44DC6" w14:textId="422C2FF5" w:rsidR="00940B09" w:rsidRPr="00B320E2" w:rsidRDefault="00940B09" w:rsidP="00940B09">
            <w:pPr>
              <w:jc w:val="both"/>
              <w:rPr>
                <w:rFonts w:ascii="Cambria" w:hAnsi="Cambria"/>
                <w:bCs/>
                <w:sz w:val="20"/>
                <w:szCs w:val="20"/>
              </w:rPr>
            </w:pPr>
            <w:r>
              <w:rPr>
                <w:rFonts w:ascii="Cambria" w:hAnsi="Cambria"/>
                <w:bCs/>
                <w:sz w:val="20"/>
                <w:szCs w:val="20"/>
              </w:rPr>
              <w:t>Articles 8 (fair trial), 11 (privacy), 24 (right to equal protection), 25 (judicial protection) and 26 (progressive development) of the American Convention on Human Rights</w:t>
            </w:r>
            <w:r w:rsidRPr="0019517D">
              <w:rPr>
                <w:rStyle w:val="FootnoteReference"/>
                <w:rFonts w:ascii="Cambria" w:hAnsi="Cambria"/>
                <w:bCs/>
                <w:sz w:val="19"/>
                <w:szCs w:val="19"/>
                <w:lang w:val="es-ES"/>
              </w:rPr>
              <w:footnoteReference w:id="3"/>
            </w:r>
            <w:r>
              <w:rPr>
                <w:rFonts w:ascii="Cambria" w:hAnsi="Cambria"/>
                <w:bCs/>
                <w:sz w:val="20"/>
                <w:szCs w:val="20"/>
              </w:rPr>
              <w:t>, in relation to its articles 1.1 (obligation to respect rights) and 2 (domestic legal effects).</w:t>
            </w:r>
          </w:p>
        </w:tc>
      </w:tr>
    </w:tbl>
    <w:p w14:paraId="20263696" w14:textId="13766D43" w:rsidR="003239B8" w:rsidRPr="00574941" w:rsidRDefault="00B22AA2" w:rsidP="00796EB2">
      <w:pPr>
        <w:pStyle w:val="ListParagraph"/>
        <w:numPr>
          <w:ilvl w:val="0"/>
          <w:numId w:val="57"/>
        </w:numPr>
        <w:spacing w:before="120" w:after="120"/>
        <w:jc w:val="both"/>
        <w:rPr>
          <w:rFonts w:asciiTheme="majorHAnsi" w:hAnsiTheme="majorHAnsi"/>
          <w:b/>
          <w:bCs/>
          <w:sz w:val="20"/>
          <w:szCs w:val="20"/>
        </w:rPr>
      </w:pPr>
      <w:r w:rsidRPr="00574941">
        <w:rPr>
          <w:rFonts w:asciiTheme="majorHAnsi" w:hAnsiTheme="majorHAnsi"/>
          <w:b/>
          <w:bCs/>
          <w:sz w:val="20"/>
          <w:szCs w:val="20"/>
        </w:rPr>
        <w:t>PROCEEDINGS BEFORE THE IACHR</w:t>
      </w:r>
      <w:r w:rsidR="008E3BFE" w:rsidRPr="00ED70FC">
        <w:rPr>
          <w:rStyle w:val="FootnoteReference"/>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74941" w:rsidRPr="000B6B7A" w14:paraId="1157DDC2" w14:textId="77777777" w:rsidTr="00C27B17">
        <w:tc>
          <w:tcPr>
            <w:tcW w:w="2790" w:type="dxa"/>
            <w:tcBorders>
              <w:top w:val="single" w:sz="6" w:space="0" w:color="auto"/>
              <w:bottom w:val="single" w:sz="6" w:space="0" w:color="auto"/>
            </w:tcBorders>
            <w:shd w:val="clear" w:color="auto" w:fill="67AE3C"/>
            <w:vAlign w:val="center"/>
          </w:tcPr>
          <w:p w14:paraId="0D32808A" w14:textId="77777777" w:rsidR="00574941" w:rsidRPr="00C355B4" w:rsidRDefault="00574941" w:rsidP="00C27B1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6579EBCC" w14:textId="03042B89" w:rsidR="00574941" w:rsidRPr="00C355B4" w:rsidRDefault="00940B09" w:rsidP="00C27B17">
            <w:pPr>
              <w:jc w:val="both"/>
              <w:rPr>
                <w:rFonts w:ascii="Cambria" w:hAnsi="Cambria"/>
                <w:bCs/>
                <w:sz w:val="19"/>
                <w:szCs w:val="19"/>
              </w:rPr>
            </w:pPr>
            <w:r>
              <w:rPr>
                <w:rFonts w:ascii="Cambria" w:hAnsi="Cambria"/>
                <w:bCs/>
                <w:sz w:val="19"/>
                <w:szCs w:val="19"/>
              </w:rPr>
              <w:t>March 25, 2014</w:t>
            </w:r>
          </w:p>
        </w:tc>
      </w:tr>
      <w:tr w:rsidR="00940B09" w:rsidRPr="000B6B7A" w14:paraId="121F838E" w14:textId="77777777" w:rsidTr="00C27B17">
        <w:tc>
          <w:tcPr>
            <w:tcW w:w="2790" w:type="dxa"/>
            <w:tcBorders>
              <w:top w:val="single" w:sz="6" w:space="0" w:color="auto"/>
              <w:bottom w:val="single" w:sz="6" w:space="0" w:color="auto"/>
            </w:tcBorders>
            <w:shd w:val="clear" w:color="auto" w:fill="67AE3C"/>
            <w:vAlign w:val="center"/>
          </w:tcPr>
          <w:p w14:paraId="1FAE4CDE" w14:textId="1C919E23" w:rsidR="00940B09" w:rsidRPr="00C355B4" w:rsidRDefault="00940B09" w:rsidP="00C27B17">
            <w:pPr>
              <w:jc w:val="center"/>
              <w:rPr>
                <w:rFonts w:ascii="Cambria" w:hAnsi="Cambria"/>
                <w:bCs/>
                <w:color w:val="FFFFFF" w:themeColor="background1"/>
                <w:sz w:val="19"/>
                <w:szCs w:val="19"/>
              </w:rPr>
            </w:pPr>
            <w:r>
              <w:rPr>
                <w:rFonts w:ascii="Cambria" w:hAnsi="Cambria"/>
                <w:bCs/>
                <w:color w:val="FFFFFF" w:themeColor="background1"/>
                <w:sz w:val="19"/>
                <w:szCs w:val="19"/>
              </w:rPr>
              <w:t>Additional information received during the study stage</w:t>
            </w:r>
          </w:p>
        </w:tc>
        <w:tc>
          <w:tcPr>
            <w:tcW w:w="6570" w:type="dxa"/>
            <w:vAlign w:val="center"/>
          </w:tcPr>
          <w:p w14:paraId="7CC7A55B" w14:textId="3F94B361" w:rsidR="00940B09" w:rsidRDefault="00940B09" w:rsidP="00C27B17">
            <w:pPr>
              <w:jc w:val="both"/>
              <w:rPr>
                <w:rFonts w:ascii="Cambria" w:hAnsi="Cambria"/>
                <w:bCs/>
                <w:sz w:val="19"/>
                <w:szCs w:val="19"/>
              </w:rPr>
            </w:pPr>
            <w:r>
              <w:rPr>
                <w:rFonts w:ascii="Cambria" w:hAnsi="Cambria"/>
                <w:bCs/>
                <w:sz w:val="19"/>
                <w:szCs w:val="19"/>
              </w:rPr>
              <w:t>April 4 and 14, 2014 and June 24, 2016</w:t>
            </w:r>
          </w:p>
        </w:tc>
      </w:tr>
      <w:tr w:rsidR="00574941" w:rsidRPr="000B6B7A" w14:paraId="73E2B0BE" w14:textId="77777777" w:rsidTr="00C27B17">
        <w:tc>
          <w:tcPr>
            <w:tcW w:w="2790" w:type="dxa"/>
            <w:tcBorders>
              <w:top w:val="single" w:sz="6" w:space="0" w:color="auto"/>
              <w:bottom w:val="single" w:sz="6" w:space="0" w:color="auto"/>
            </w:tcBorders>
            <w:shd w:val="clear" w:color="auto" w:fill="67AE3C"/>
            <w:vAlign w:val="center"/>
          </w:tcPr>
          <w:p w14:paraId="3B3BEDB4" w14:textId="39E40C6C" w:rsidR="00574941" w:rsidRPr="00C355B4" w:rsidRDefault="00574941" w:rsidP="00C27B17">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r w:rsidR="00940B09">
              <w:rPr>
                <w:rFonts w:ascii="Cambria" w:hAnsi="Cambria"/>
                <w:color w:val="FFFFFF" w:themeColor="background1"/>
                <w:sz w:val="19"/>
                <w:szCs w:val="19"/>
              </w:rPr>
              <w:t xml:space="preserve"> to the State</w:t>
            </w:r>
          </w:p>
        </w:tc>
        <w:tc>
          <w:tcPr>
            <w:tcW w:w="6570" w:type="dxa"/>
            <w:vAlign w:val="center"/>
          </w:tcPr>
          <w:p w14:paraId="051AE57D" w14:textId="26B3BB11" w:rsidR="00574941" w:rsidRPr="00C355B4" w:rsidRDefault="00940B09" w:rsidP="00C27B17">
            <w:pPr>
              <w:jc w:val="both"/>
              <w:rPr>
                <w:rFonts w:ascii="Cambria" w:hAnsi="Cambria"/>
                <w:bCs/>
                <w:sz w:val="19"/>
                <w:szCs w:val="19"/>
              </w:rPr>
            </w:pPr>
            <w:r>
              <w:rPr>
                <w:rFonts w:ascii="Cambria" w:hAnsi="Cambria"/>
                <w:bCs/>
                <w:sz w:val="19"/>
                <w:szCs w:val="19"/>
              </w:rPr>
              <w:t>May 14, 2019</w:t>
            </w:r>
          </w:p>
        </w:tc>
      </w:tr>
      <w:tr w:rsidR="00574941" w:rsidRPr="000B6B7A" w14:paraId="78B21086" w14:textId="77777777" w:rsidTr="00C27B17">
        <w:trPr>
          <w:trHeight w:val="264"/>
        </w:trPr>
        <w:tc>
          <w:tcPr>
            <w:tcW w:w="2790" w:type="dxa"/>
            <w:tcBorders>
              <w:top w:val="single" w:sz="6" w:space="0" w:color="auto"/>
              <w:bottom w:val="single" w:sz="6" w:space="0" w:color="auto"/>
            </w:tcBorders>
            <w:shd w:val="clear" w:color="auto" w:fill="67AE3C"/>
            <w:vAlign w:val="center"/>
          </w:tcPr>
          <w:p w14:paraId="5AA35C09" w14:textId="77777777" w:rsidR="00574941" w:rsidRPr="00C355B4" w:rsidRDefault="00574941" w:rsidP="00C27B17">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480EBE94" w14:textId="7A44A309" w:rsidR="00574941" w:rsidRPr="00C355B4" w:rsidRDefault="00940B09" w:rsidP="00C27B17">
            <w:pPr>
              <w:jc w:val="both"/>
              <w:rPr>
                <w:rFonts w:ascii="Cambria" w:hAnsi="Cambria"/>
                <w:bCs/>
                <w:sz w:val="19"/>
                <w:szCs w:val="19"/>
              </w:rPr>
            </w:pPr>
            <w:r>
              <w:rPr>
                <w:rFonts w:ascii="Cambria" w:hAnsi="Cambria"/>
                <w:bCs/>
                <w:sz w:val="19"/>
                <w:szCs w:val="19"/>
              </w:rPr>
              <w:t>June 10, 2020</w:t>
            </w:r>
          </w:p>
        </w:tc>
      </w:tr>
      <w:tr w:rsidR="00574941" w:rsidRPr="000B6B7A" w14:paraId="47ACAF68" w14:textId="77777777" w:rsidTr="00C27B17">
        <w:tc>
          <w:tcPr>
            <w:tcW w:w="2790" w:type="dxa"/>
            <w:tcBorders>
              <w:top w:val="single" w:sz="6" w:space="0" w:color="auto"/>
              <w:bottom w:val="single" w:sz="6" w:space="0" w:color="auto"/>
            </w:tcBorders>
            <w:shd w:val="clear" w:color="auto" w:fill="67AE3C"/>
            <w:vAlign w:val="center"/>
          </w:tcPr>
          <w:p w14:paraId="6230DFEF" w14:textId="77777777" w:rsidR="00574941" w:rsidRPr="00C355B4" w:rsidRDefault="00574941" w:rsidP="00C27B1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080BCC63" w14:textId="2EF45468" w:rsidR="00574941" w:rsidRPr="00C355B4" w:rsidRDefault="00940B09" w:rsidP="00C27B17">
            <w:pPr>
              <w:jc w:val="both"/>
              <w:rPr>
                <w:rFonts w:ascii="Cambria" w:hAnsi="Cambria"/>
                <w:bCs/>
                <w:sz w:val="19"/>
                <w:szCs w:val="19"/>
              </w:rPr>
            </w:pPr>
            <w:r>
              <w:rPr>
                <w:rFonts w:ascii="Cambria" w:hAnsi="Cambria"/>
                <w:bCs/>
                <w:sz w:val="19"/>
                <w:szCs w:val="19"/>
              </w:rPr>
              <w:t xml:space="preserve">August 15, </w:t>
            </w:r>
            <w:proofErr w:type="gramStart"/>
            <w:r>
              <w:rPr>
                <w:rFonts w:ascii="Cambria" w:hAnsi="Cambria"/>
                <w:bCs/>
                <w:sz w:val="19"/>
                <w:szCs w:val="19"/>
              </w:rPr>
              <w:t>2019</w:t>
            </w:r>
            <w:proofErr w:type="gramEnd"/>
            <w:r>
              <w:rPr>
                <w:rFonts w:ascii="Cambria" w:hAnsi="Cambria"/>
                <w:bCs/>
                <w:sz w:val="19"/>
                <w:szCs w:val="19"/>
              </w:rPr>
              <w:t xml:space="preserve"> and September 7, 2020</w:t>
            </w:r>
          </w:p>
        </w:tc>
      </w:tr>
    </w:tbl>
    <w:p w14:paraId="21DAA666" w14:textId="5244DE68" w:rsidR="003239B8" w:rsidRPr="00574941" w:rsidRDefault="003239B8" w:rsidP="00796EB2">
      <w:pPr>
        <w:pStyle w:val="ListParagraph"/>
        <w:numPr>
          <w:ilvl w:val="0"/>
          <w:numId w:val="57"/>
        </w:numPr>
        <w:spacing w:before="120" w:after="120"/>
        <w:jc w:val="both"/>
        <w:rPr>
          <w:rFonts w:asciiTheme="majorHAnsi" w:hAnsiTheme="majorHAnsi"/>
          <w:b/>
          <w:bCs/>
          <w:sz w:val="20"/>
          <w:szCs w:val="20"/>
          <w:lang w:val="es-ES"/>
        </w:rPr>
      </w:pPr>
      <w:r w:rsidRPr="00574941">
        <w:rPr>
          <w:rFonts w:asciiTheme="majorHAnsi" w:hAnsiTheme="majorHAnsi"/>
          <w:b/>
          <w:bCs/>
          <w:sz w:val="20"/>
          <w:szCs w:val="20"/>
          <w:lang w:val="es-ES"/>
        </w:rPr>
        <w:t>COMPETENC</w:t>
      </w:r>
      <w:r w:rsidR="00B22AA2" w:rsidRPr="00574941">
        <w:rPr>
          <w:rFonts w:asciiTheme="majorHAnsi" w:hAnsiTheme="majorHAnsi"/>
          <w:b/>
          <w:bCs/>
          <w:sz w:val="20"/>
          <w:szCs w:val="20"/>
          <w:lang w:val="es-ES"/>
        </w:rPr>
        <w:t>E</w:t>
      </w:r>
      <w:r w:rsidR="00EE00E9" w:rsidRPr="0057494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574941" w:rsidRPr="000B6B7A" w14:paraId="25EDBE1B" w14:textId="77777777" w:rsidTr="00C27B17">
        <w:trPr>
          <w:cantSplit/>
        </w:trPr>
        <w:tc>
          <w:tcPr>
            <w:tcW w:w="2790" w:type="dxa"/>
            <w:tcBorders>
              <w:top w:val="single" w:sz="4" w:space="0" w:color="auto"/>
              <w:bottom w:val="single" w:sz="6" w:space="0" w:color="auto"/>
            </w:tcBorders>
            <w:shd w:val="clear" w:color="auto" w:fill="67AE3C"/>
            <w:vAlign w:val="center"/>
          </w:tcPr>
          <w:p w14:paraId="004A437C" w14:textId="77777777" w:rsidR="00574941" w:rsidRPr="00C355B4" w:rsidRDefault="00574941" w:rsidP="00C27B17">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14:paraId="3C0BA60B" w14:textId="77777777" w:rsidR="00574941" w:rsidRPr="00C355B4" w:rsidRDefault="00574941" w:rsidP="00C27B17">
            <w:pPr>
              <w:rPr>
                <w:rFonts w:asciiTheme="majorHAnsi" w:hAnsiTheme="majorHAnsi"/>
                <w:bCs/>
                <w:sz w:val="19"/>
                <w:szCs w:val="19"/>
              </w:rPr>
            </w:pPr>
            <w:r>
              <w:rPr>
                <w:rFonts w:asciiTheme="majorHAnsi" w:hAnsiTheme="majorHAnsi"/>
                <w:bCs/>
                <w:sz w:val="19"/>
                <w:szCs w:val="19"/>
              </w:rPr>
              <w:t>Yes</w:t>
            </w:r>
          </w:p>
        </w:tc>
      </w:tr>
      <w:tr w:rsidR="00574941" w:rsidRPr="000B6B7A" w14:paraId="0C391136" w14:textId="77777777" w:rsidTr="00C27B17">
        <w:trPr>
          <w:cantSplit/>
        </w:trPr>
        <w:tc>
          <w:tcPr>
            <w:tcW w:w="2790" w:type="dxa"/>
            <w:tcBorders>
              <w:top w:val="single" w:sz="6" w:space="0" w:color="auto"/>
              <w:bottom w:val="single" w:sz="6" w:space="0" w:color="auto"/>
            </w:tcBorders>
            <w:shd w:val="clear" w:color="auto" w:fill="67AE3C"/>
            <w:vAlign w:val="center"/>
          </w:tcPr>
          <w:p w14:paraId="2CA2C5F6" w14:textId="77777777" w:rsidR="00574941" w:rsidRPr="00C355B4" w:rsidRDefault="00574941" w:rsidP="00C27B17">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14:paraId="7B913206" w14:textId="77777777" w:rsidR="00574941" w:rsidRPr="00C355B4" w:rsidRDefault="00574941" w:rsidP="00C27B17">
            <w:pPr>
              <w:rPr>
                <w:rFonts w:asciiTheme="majorHAnsi" w:hAnsiTheme="majorHAnsi"/>
                <w:bCs/>
                <w:sz w:val="19"/>
                <w:szCs w:val="19"/>
              </w:rPr>
            </w:pPr>
            <w:r>
              <w:rPr>
                <w:rFonts w:asciiTheme="majorHAnsi" w:hAnsiTheme="majorHAnsi"/>
                <w:bCs/>
                <w:sz w:val="19"/>
                <w:szCs w:val="19"/>
              </w:rPr>
              <w:t>Yes</w:t>
            </w:r>
          </w:p>
        </w:tc>
      </w:tr>
      <w:tr w:rsidR="00574941" w:rsidRPr="000B6B7A" w14:paraId="41B16387" w14:textId="77777777" w:rsidTr="00C27B17">
        <w:trPr>
          <w:cantSplit/>
        </w:trPr>
        <w:tc>
          <w:tcPr>
            <w:tcW w:w="2790" w:type="dxa"/>
            <w:tcBorders>
              <w:top w:val="single" w:sz="6" w:space="0" w:color="auto"/>
              <w:bottom w:val="single" w:sz="6" w:space="0" w:color="auto"/>
            </w:tcBorders>
            <w:shd w:val="clear" w:color="auto" w:fill="67AE3C"/>
            <w:vAlign w:val="center"/>
          </w:tcPr>
          <w:p w14:paraId="0455F001" w14:textId="77777777" w:rsidR="00574941" w:rsidRPr="00C355B4" w:rsidRDefault="00574941" w:rsidP="00C27B17">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14:paraId="6FE5105B" w14:textId="77777777" w:rsidR="00574941" w:rsidRPr="00C355B4" w:rsidRDefault="00574941" w:rsidP="00C27B17">
            <w:pPr>
              <w:rPr>
                <w:rFonts w:asciiTheme="majorHAnsi" w:hAnsiTheme="majorHAnsi"/>
                <w:bCs/>
                <w:sz w:val="19"/>
                <w:szCs w:val="19"/>
              </w:rPr>
            </w:pPr>
            <w:r>
              <w:rPr>
                <w:rFonts w:asciiTheme="majorHAnsi" w:hAnsiTheme="majorHAnsi"/>
                <w:bCs/>
                <w:sz w:val="19"/>
                <w:szCs w:val="19"/>
              </w:rPr>
              <w:t>Yes</w:t>
            </w:r>
          </w:p>
        </w:tc>
      </w:tr>
      <w:tr w:rsidR="00574941" w:rsidRPr="000B6B7A" w14:paraId="1E967339" w14:textId="77777777" w:rsidTr="00574941">
        <w:trPr>
          <w:cantSplit/>
          <w:trHeight w:val="336"/>
        </w:trPr>
        <w:tc>
          <w:tcPr>
            <w:tcW w:w="2790" w:type="dxa"/>
            <w:tcBorders>
              <w:top w:val="single" w:sz="6" w:space="0" w:color="auto"/>
              <w:bottom w:val="single" w:sz="6" w:space="0" w:color="auto"/>
            </w:tcBorders>
            <w:shd w:val="clear" w:color="auto" w:fill="67AE3C"/>
            <w:vAlign w:val="center"/>
          </w:tcPr>
          <w:p w14:paraId="4D43FE3F" w14:textId="77777777" w:rsidR="00574941" w:rsidRPr="00C355B4" w:rsidRDefault="00574941" w:rsidP="00C27B17">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14:paraId="447D8650" w14:textId="546C250D" w:rsidR="00574941" w:rsidRPr="00C355B4" w:rsidRDefault="00574941" w:rsidP="00C27B17">
            <w:pPr>
              <w:jc w:val="both"/>
              <w:rPr>
                <w:rFonts w:asciiTheme="majorHAnsi" w:hAnsiTheme="majorHAnsi"/>
                <w:bCs/>
                <w:sz w:val="19"/>
                <w:szCs w:val="19"/>
              </w:rPr>
            </w:pPr>
            <w:r>
              <w:rPr>
                <w:rFonts w:asciiTheme="majorHAnsi" w:hAnsiTheme="majorHAnsi"/>
                <w:bCs/>
                <w:sz w:val="19"/>
                <w:szCs w:val="19"/>
              </w:rPr>
              <w:t>Yes, American Convention (instrument of ratification deposited on August 21, 1990).</w:t>
            </w:r>
          </w:p>
        </w:tc>
      </w:tr>
    </w:tbl>
    <w:p w14:paraId="4E92C444" w14:textId="42644DC7" w:rsidR="003239B8" w:rsidRPr="00574941" w:rsidRDefault="00574941" w:rsidP="00796EB2">
      <w:pPr>
        <w:pStyle w:val="ListParagraph"/>
        <w:numPr>
          <w:ilvl w:val="0"/>
          <w:numId w:val="57"/>
        </w:numPr>
        <w:spacing w:before="120" w:after="120"/>
        <w:jc w:val="both"/>
        <w:rPr>
          <w:rFonts w:asciiTheme="majorHAnsi" w:hAnsiTheme="majorHAnsi"/>
          <w:b/>
          <w:bCs/>
          <w:sz w:val="20"/>
          <w:szCs w:val="20"/>
        </w:rPr>
      </w:pPr>
      <w:r w:rsidRPr="00574941">
        <w:rPr>
          <w:rFonts w:asciiTheme="majorHAnsi" w:hAnsiTheme="majorHAnsi"/>
          <w:b/>
          <w:bCs/>
          <w:sz w:val="20"/>
          <w:szCs w:val="20"/>
        </w:rPr>
        <w:t xml:space="preserve">DUPLICATION OF PROCEDURES AND INTERNATIONAL </w:t>
      </w:r>
      <w:r w:rsidRPr="00574941">
        <w:rPr>
          <w:rFonts w:asciiTheme="majorHAnsi" w:hAnsiTheme="majorHAnsi"/>
          <w:b/>
          <w:bCs/>
          <w:i/>
          <w:sz w:val="20"/>
          <w:szCs w:val="20"/>
        </w:rPr>
        <w:t>RES JUDICATA</w:t>
      </w:r>
      <w:r w:rsidRPr="00574941">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574941" w:rsidRPr="000B6B7A" w14:paraId="49427E65" w14:textId="77777777" w:rsidTr="00C27B17">
        <w:trPr>
          <w:cantSplit/>
        </w:trPr>
        <w:tc>
          <w:tcPr>
            <w:tcW w:w="2790" w:type="dxa"/>
            <w:tcBorders>
              <w:top w:val="single" w:sz="4" w:space="0" w:color="auto"/>
              <w:bottom w:val="single" w:sz="6" w:space="0" w:color="auto"/>
            </w:tcBorders>
            <w:shd w:val="clear" w:color="auto" w:fill="67AE3C"/>
            <w:vAlign w:val="center"/>
          </w:tcPr>
          <w:p w14:paraId="48D84FFA" w14:textId="77777777" w:rsidR="00574941" w:rsidRPr="00C355B4" w:rsidRDefault="00574941" w:rsidP="00C27B1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2D810250" w14:textId="77777777" w:rsidR="00574941" w:rsidRPr="00C355B4" w:rsidRDefault="00574941" w:rsidP="00C27B17">
            <w:pPr>
              <w:jc w:val="both"/>
              <w:rPr>
                <w:rFonts w:ascii="Cambria" w:hAnsi="Cambria"/>
                <w:bCs/>
                <w:sz w:val="19"/>
                <w:szCs w:val="19"/>
              </w:rPr>
            </w:pPr>
            <w:r>
              <w:rPr>
                <w:rFonts w:ascii="Cambria" w:hAnsi="Cambria"/>
                <w:bCs/>
                <w:sz w:val="19"/>
                <w:szCs w:val="19"/>
              </w:rPr>
              <w:t>No</w:t>
            </w:r>
          </w:p>
        </w:tc>
      </w:tr>
      <w:tr w:rsidR="00574941" w:rsidRPr="0001454A" w14:paraId="59722607" w14:textId="77777777" w:rsidTr="00C27B17">
        <w:trPr>
          <w:cantSplit/>
        </w:trPr>
        <w:tc>
          <w:tcPr>
            <w:tcW w:w="2790" w:type="dxa"/>
            <w:tcBorders>
              <w:top w:val="single" w:sz="6" w:space="0" w:color="auto"/>
              <w:bottom w:val="single" w:sz="6" w:space="0" w:color="auto"/>
            </w:tcBorders>
            <w:shd w:val="clear" w:color="auto" w:fill="67AE3C"/>
            <w:vAlign w:val="center"/>
          </w:tcPr>
          <w:p w14:paraId="16F7BF89" w14:textId="77777777" w:rsidR="00574941" w:rsidRPr="00C355B4" w:rsidRDefault="00574941" w:rsidP="00C27B17">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397BB240" w14:textId="326E8519" w:rsidR="00574941" w:rsidRPr="00B320E2" w:rsidRDefault="00940B09" w:rsidP="00C27B17">
            <w:pPr>
              <w:jc w:val="both"/>
              <w:rPr>
                <w:rFonts w:ascii="Cambria" w:hAnsi="Cambria"/>
                <w:bCs/>
                <w:sz w:val="20"/>
                <w:szCs w:val="20"/>
              </w:rPr>
            </w:pPr>
            <w:r>
              <w:rPr>
                <w:rFonts w:ascii="Cambria" w:hAnsi="Cambria"/>
                <w:bCs/>
                <w:sz w:val="20"/>
                <w:szCs w:val="20"/>
              </w:rPr>
              <w:t xml:space="preserve">Articles 8 (fair trial), 11 (privacy), </w:t>
            </w:r>
            <w:r w:rsidR="00464FC9">
              <w:rPr>
                <w:rFonts w:ascii="Cambria" w:hAnsi="Cambria"/>
                <w:bCs/>
                <w:sz w:val="20"/>
                <w:szCs w:val="20"/>
              </w:rPr>
              <w:t xml:space="preserve">23 (right to participate in government), </w:t>
            </w:r>
            <w:r>
              <w:rPr>
                <w:rFonts w:ascii="Cambria" w:hAnsi="Cambria"/>
                <w:bCs/>
                <w:sz w:val="20"/>
                <w:szCs w:val="20"/>
              </w:rPr>
              <w:t>24 (right to equal protection), 25 (judicial protection) and 26 (progressive development) of the American Convention on Human Rights, in relation to its articles 1.1 (obligation to respect rights) and 2 (domestic legal effects).</w:t>
            </w:r>
          </w:p>
        </w:tc>
      </w:tr>
      <w:tr w:rsidR="00574941" w:rsidRPr="00B320E2" w14:paraId="040C78A8" w14:textId="77777777" w:rsidTr="00C27B17">
        <w:trPr>
          <w:cantSplit/>
        </w:trPr>
        <w:tc>
          <w:tcPr>
            <w:tcW w:w="2790" w:type="dxa"/>
            <w:tcBorders>
              <w:top w:val="single" w:sz="6" w:space="0" w:color="auto"/>
              <w:bottom w:val="single" w:sz="6" w:space="0" w:color="auto"/>
            </w:tcBorders>
            <w:shd w:val="clear" w:color="auto" w:fill="67AE3C"/>
            <w:vAlign w:val="center"/>
          </w:tcPr>
          <w:p w14:paraId="0B29C026" w14:textId="77777777" w:rsidR="00574941" w:rsidRPr="00C355B4" w:rsidRDefault="00574941" w:rsidP="00C27B1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5BBD30F8" w14:textId="78FC12E7" w:rsidR="00574941" w:rsidRPr="00B320E2" w:rsidRDefault="00574941" w:rsidP="00C27B17">
            <w:pPr>
              <w:rPr>
                <w:rFonts w:ascii="Cambria" w:hAnsi="Cambria"/>
                <w:bCs/>
                <w:sz w:val="20"/>
                <w:szCs w:val="20"/>
              </w:rPr>
            </w:pPr>
            <w:r>
              <w:rPr>
                <w:rFonts w:ascii="Cambria" w:hAnsi="Cambria"/>
                <w:bCs/>
                <w:sz w:val="20"/>
                <w:szCs w:val="20"/>
              </w:rPr>
              <w:t xml:space="preserve">Yes, on </w:t>
            </w:r>
            <w:r w:rsidR="00464FC9">
              <w:rPr>
                <w:rFonts w:ascii="Cambria" w:hAnsi="Cambria"/>
                <w:bCs/>
                <w:sz w:val="20"/>
                <w:szCs w:val="20"/>
              </w:rPr>
              <w:t>June 9, 2015</w:t>
            </w:r>
          </w:p>
        </w:tc>
      </w:tr>
      <w:tr w:rsidR="00574941" w:rsidRPr="00B320E2" w14:paraId="36C2F40B" w14:textId="77777777" w:rsidTr="00C27B17">
        <w:trPr>
          <w:cantSplit/>
        </w:trPr>
        <w:tc>
          <w:tcPr>
            <w:tcW w:w="2790" w:type="dxa"/>
            <w:tcBorders>
              <w:top w:val="single" w:sz="6" w:space="0" w:color="auto"/>
              <w:bottom w:val="single" w:sz="6" w:space="0" w:color="auto"/>
            </w:tcBorders>
            <w:shd w:val="clear" w:color="auto" w:fill="67AE3C"/>
            <w:vAlign w:val="center"/>
          </w:tcPr>
          <w:p w14:paraId="6D7D8159" w14:textId="77777777" w:rsidR="00574941" w:rsidRPr="00C355B4" w:rsidRDefault="00574941" w:rsidP="00C27B17">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02D815A4" w14:textId="3CAF76D4" w:rsidR="00574941" w:rsidRPr="00B320E2" w:rsidRDefault="00574941" w:rsidP="00C27B17">
            <w:pPr>
              <w:rPr>
                <w:rFonts w:asciiTheme="majorHAnsi" w:hAnsiTheme="majorHAnsi"/>
                <w:bCs/>
                <w:sz w:val="19"/>
                <w:szCs w:val="19"/>
              </w:rPr>
            </w:pPr>
            <w:r>
              <w:rPr>
                <w:rFonts w:ascii="Cambria" w:hAnsi="Cambria"/>
                <w:bCs/>
                <w:sz w:val="20"/>
                <w:szCs w:val="20"/>
              </w:rPr>
              <w:t>Ye</w:t>
            </w:r>
            <w:r w:rsidR="00464FC9">
              <w:rPr>
                <w:rFonts w:ascii="Cambria" w:hAnsi="Cambria"/>
                <w:bCs/>
                <w:sz w:val="20"/>
                <w:szCs w:val="20"/>
              </w:rPr>
              <w:t>s</w:t>
            </w:r>
          </w:p>
        </w:tc>
      </w:tr>
    </w:tbl>
    <w:p w14:paraId="18E6423B" w14:textId="74C717BD" w:rsidR="003239B8" w:rsidRPr="007614A7" w:rsidRDefault="0033667A" w:rsidP="007614A7">
      <w:pPr>
        <w:pStyle w:val="ListParagraph"/>
        <w:numPr>
          <w:ilvl w:val="0"/>
          <w:numId w:val="57"/>
        </w:numPr>
        <w:spacing w:before="120" w:after="120"/>
        <w:jc w:val="both"/>
        <w:rPr>
          <w:rFonts w:asciiTheme="majorHAnsi" w:hAnsiTheme="majorHAnsi"/>
          <w:b/>
          <w:sz w:val="20"/>
          <w:szCs w:val="20"/>
        </w:rPr>
      </w:pPr>
      <w:r w:rsidRPr="007614A7">
        <w:rPr>
          <w:rFonts w:asciiTheme="majorHAnsi" w:hAnsiTheme="majorHAnsi"/>
          <w:b/>
          <w:sz w:val="20"/>
          <w:szCs w:val="20"/>
        </w:rPr>
        <w:t>ALLEGED FACTS</w:t>
      </w:r>
    </w:p>
    <w:p w14:paraId="5552D7C5" w14:textId="1496D20E" w:rsidR="007614A7" w:rsidRPr="007614A7" w:rsidRDefault="007614A7" w:rsidP="007614A7">
      <w:pPr>
        <w:pStyle w:val="ListParagraph"/>
        <w:tabs>
          <w:tab w:val="num" w:pos="720"/>
        </w:tabs>
        <w:suppressAutoHyphens/>
        <w:spacing w:before="240" w:after="240"/>
        <w:ind w:left="0" w:firstLine="720"/>
        <w:jc w:val="both"/>
        <w:rPr>
          <w:bCs/>
          <w:sz w:val="20"/>
          <w:szCs w:val="20"/>
        </w:rPr>
      </w:pPr>
      <w:r w:rsidRPr="007614A7">
        <w:rPr>
          <w:bCs/>
          <w:sz w:val="20"/>
          <w:szCs w:val="20"/>
        </w:rPr>
        <w:t xml:space="preserve">1. </w:t>
      </w:r>
      <w:r w:rsidR="00BB1F72">
        <w:rPr>
          <w:bCs/>
          <w:sz w:val="20"/>
          <w:szCs w:val="20"/>
        </w:rPr>
        <w:tab/>
      </w:r>
      <w:r w:rsidRPr="007614A7">
        <w:rPr>
          <w:bCs/>
          <w:sz w:val="20"/>
          <w:szCs w:val="20"/>
        </w:rPr>
        <w:t xml:space="preserve">The petitioner denounces that the alleged victims were subjected to workplace harassment for </w:t>
      </w:r>
      <w:r>
        <w:rPr>
          <w:bCs/>
          <w:sz w:val="20"/>
          <w:szCs w:val="20"/>
        </w:rPr>
        <w:t>trying</w:t>
      </w:r>
      <w:r w:rsidRPr="007614A7">
        <w:rPr>
          <w:bCs/>
          <w:sz w:val="20"/>
          <w:szCs w:val="20"/>
        </w:rPr>
        <w:t xml:space="preserve"> to stop irregular acts in the public institution where they worked; and that they were unlawfully dis</w:t>
      </w:r>
      <w:r>
        <w:rPr>
          <w:bCs/>
          <w:sz w:val="20"/>
          <w:szCs w:val="20"/>
        </w:rPr>
        <w:t>missed</w:t>
      </w:r>
      <w:r w:rsidRPr="007614A7">
        <w:rPr>
          <w:bCs/>
          <w:sz w:val="20"/>
          <w:szCs w:val="20"/>
        </w:rPr>
        <w:t>, without access to effective judicial protection. He also claims that the court ruling in favor</w:t>
      </w:r>
      <w:r>
        <w:rPr>
          <w:bCs/>
          <w:sz w:val="20"/>
          <w:szCs w:val="20"/>
        </w:rPr>
        <w:t xml:space="preserve"> of the alleged victims</w:t>
      </w:r>
      <w:r w:rsidRPr="007614A7">
        <w:rPr>
          <w:bCs/>
          <w:sz w:val="20"/>
          <w:szCs w:val="20"/>
        </w:rPr>
        <w:t xml:space="preserve"> has been left unfulfilled.</w:t>
      </w:r>
    </w:p>
    <w:p w14:paraId="662C81F9" w14:textId="7905112A" w:rsidR="007614A7" w:rsidRPr="00067ED1" w:rsidRDefault="007614A7" w:rsidP="007614A7">
      <w:pPr>
        <w:pStyle w:val="ListParagraph"/>
        <w:tabs>
          <w:tab w:val="num" w:pos="720"/>
        </w:tabs>
        <w:suppressAutoHyphens/>
        <w:spacing w:before="240" w:after="240"/>
        <w:ind w:left="0" w:firstLine="720"/>
        <w:jc w:val="both"/>
        <w:rPr>
          <w:bCs/>
          <w:sz w:val="20"/>
          <w:szCs w:val="20"/>
        </w:rPr>
      </w:pPr>
      <w:r w:rsidRPr="00930A71">
        <w:rPr>
          <w:bCs/>
          <w:sz w:val="20"/>
          <w:szCs w:val="20"/>
        </w:rPr>
        <w:t xml:space="preserve">2. </w:t>
      </w:r>
      <w:r w:rsidR="00BB1F72">
        <w:rPr>
          <w:bCs/>
          <w:sz w:val="20"/>
          <w:szCs w:val="20"/>
        </w:rPr>
        <w:tab/>
      </w:r>
      <w:r w:rsidRPr="00930A71">
        <w:rPr>
          <w:bCs/>
          <w:sz w:val="20"/>
          <w:szCs w:val="20"/>
        </w:rPr>
        <w:t xml:space="preserve">The petitioner narrates that the alleged victims worked for the Administrative Corporation of the Judicial Power, a division of the Judicial Power exclusively in charge of adopting and executing the administrative decisions of that institution and whose highest authority is a Superior Council </w:t>
      </w:r>
      <w:r w:rsidR="00464FC9">
        <w:rPr>
          <w:bCs/>
          <w:sz w:val="20"/>
          <w:szCs w:val="20"/>
        </w:rPr>
        <w:t>formed by</w:t>
      </w:r>
      <w:r w:rsidRPr="00930A71">
        <w:rPr>
          <w:bCs/>
          <w:sz w:val="20"/>
          <w:szCs w:val="20"/>
        </w:rPr>
        <w:t xml:space="preserve"> whoever holds the presidency of the Supreme Court, and four more people selected from among those who </w:t>
      </w:r>
      <w:r w:rsidR="00464FC9">
        <w:rPr>
          <w:bCs/>
          <w:sz w:val="20"/>
          <w:szCs w:val="20"/>
        </w:rPr>
        <w:lastRenderedPageBreak/>
        <w:t>formed</w:t>
      </w:r>
      <w:r w:rsidRPr="00930A71">
        <w:rPr>
          <w:bCs/>
          <w:sz w:val="20"/>
          <w:szCs w:val="20"/>
        </w:rPr>
        <w:t xml:space="preserve"> the Supreme Court by </w:t>
      </w:r>
      <w:r w:rsidR="00930A71">
        <w:rPr>
          <w:bCs/>
          <w:sz w:val="20"/>
          <w:szCs w:val="20"/>
        </w:rPr>
        <w:t xml:space="preserve">the </w:t>
      </w:r>
      <w:r w:rsidRPr="00930A71">
        <w:rPr>
          <w:bCs/>
          <w:sz w:val="20"/>
          <w:szCs w:val="20"/>
        </w:rPr>
        <w:t xml:space="preserve">internal vote of </w:t>
      </w:r>
      <w:r w:rsidR="00930A71">
        <w:rPr>
          <w:bCs/>
          <w:sz w:val="20"/>
          <w:szCs w:val="20"/>
        </w:rPr>
        <w:t>said</w:t>
      </w:r>
      <w:r w:rsidRPr="00930A71">
        <w:rPr>
          <w:bCs/>
          <w:sz w:val="20"/>
          <w:szCs w:val="20"/>
        </w:rPr>
        <w:t xml:space="preserve"> body. </w:t>
      </w:r>
      <w:r w:rsidRPr="00BB1F72">
        <w:rPr>
          <w:bCs/>
          <w:sz w:val="20"/>
          <w:szCs w:val="20"/>
        </w:rPr>
        <w:t xml:space="preserve">The alleged victims held the positions of Deputy Chief of the Department of Finance and Budget and Head of the Subdepartment of Programs and Management Control. </w:t>
      </w:r>
      <w:r w:rsidRPr="002E7F43">
        <w:rPr>
          <w:bCs/>
          <w:sz w:val="20"/>
          <w:szCs w:val="20"/>
        </w:rPr>
        <w:t xml:space="preserve">According to </w:t>
      </w:r>
      <w:r w:rsidR="002E7F43" w:rsidRPr="002E7F43">
        <w:rPr>
          <w:bCs/>
          <w:sz w:val="20"/>
          <w:szCs w:val="20"/>
        </w:rPr>
        <w:t>the petitioner</w:t>
      </w:r>
      <w:r w:rsidRPr="002E7F43">
        <w:rPr>
          <w:bCs/>
          <w:sz w:val="20"/>
          <w:szCs w:val="20"/>
        </w:rPr>
        <w:t xml:space="preserve">, between January and June 2013 the alleged victims became aware of a series of irregularities in the administration of economic resources by the Judiciary, which affected administrative </w:t>
      </w:r>
      <w:r w:rsidR="0093084D">
        <w:rPr>
          <w:bCs/>
          <w:sz w:val="20"/>
          <w:szCs w:val="20"/>
        </w:rPr>
        <w:t>integrity</w:t>
      </w:r>
      <w:r w:rsidRPr="002E7F43">
        <w:rPr>
          <w:bCs/>
          <w:sz w:val="20"/>
          <w:szCs w:val="20"/>
        </w:rPr>
        <w:t xml:space="preserve"> and could cause the State to lose money. </w:t>
      </w:r>
      <w:r w:rsidR="002E7F43">
        <w:rPr>
          <w:bCs/>
          <w:sz w:val="20"/>
          <w:szCs w:val="20"/>
        </w:rPr>
        <w:t>The petitioner</w:t>
      </w:r>
      <w:r w:rsidRPr="002E7F43">
        <w:rPr>
          <w:bCs/>
          <w:sz w:val="20"/>
          <w:szCs w:val="20"/>
        </w:rPr>
        <w:t xml:space="preserve"> a</w:t>
      </w:r>
      <w:r w:rsidR="00067ED1">
        <w:rPr>
          <w:bCs/>
          <w:sz w:val="20"/>
          <w:szCs w:val="20"/>
        </w:rPr>
        <w:t>ffirms</w:t>
      </w:r>
      <w:r w:rsidRPr="002E7F43">
        <w:rPr>
          <w:bCs/>
          <w:sz w:val="20"/>
          <w:szCs w:val="20"/>
        </w:rPr>
        <w:t xml:space="preserve"> that the alleged victims began to </w:t>
      </w:r>
      <w:r w:rsidR="00D928E2">
        <w:rPr>
          <w:bCs/>
          <w:sz w:val="20"/>
          <w:szCs w:val="20"/>
        </w:rPr>
        <w:t>“</w:t>
      </w:r>
      <w:r w:rsidRPr="002E7F43">
        <w:rPr>
          <w:bCs/>
          <w:sz w:val="20"/>
          <w:szCs w:val="20"/>
        </w:rPr>
        <w:t>put obstacles</w:t>
      </w:r>
      <w:r w:rsidR="00D928E2">
        <w:rPr>
          <w:bCs/>
          <w:sz w:val="20"/>
          <w:szCs w:val="20"/>
        </w:rPr>
        <w:t>”</w:t>
      </w:r>
      <w:r w:rsidRPr="002E7F43">
        <w:rPr>
          <w:bCs/>
          <w:sz w:val="20"/>
          <w:szCs w:val="20"/>
        </w:rPr>
        <w:t xml:space="preserve"> in the execution of these irregular acts, which would have led to acts of persecution and workplace harassment against them. </w:t>
      </w:r>
      <w:r w:rsidR="00067ED1" w:rsidRPr="00067ED1">
        <w:rPr>
          <w:bCs/>
          <w:sz w:val="20"/>
          <w:szCs w:val="20"/>
        </w:rPr>
        <w:t>The petitioner</w:t>
      </w:r>
      <w:r w:rsidRPr="00067ED1">
        <w:rPr>
          <w:bCs/>
          <w:sz w:val="20"/>
          <w:szCs w:val="20"/>
        </w:rPr>
        <w:t xml:space="preserve"> points out that the alleged victims could not bear the harassment, so in June 2013 they went to </w:t>
      </w:r>
      <w:r w:rsidR="00067ED1">
        <w:rPr>
          <w:bCs/>
          <w:sz w:val="20"/>
          <w:szCs w:val="20"/>
        </w:rPr>
        <w:t xml:space="preserve">see </w:t>
      </w:r>
      <w:r w:rsidRPr="00067ED1">
        <w:rPr>
          <w:bCs/>
          <w:sz w:val="20"/>
          <w:szCs w:val="20"/>
        </w:rPr>
        <w:t xml:space="preserve">psychiatrists who extended </w:t>
      </w:r>
      <w:r w:rsidR="00067ED1">
        <w:rPr>
          <w:bCs/>
          <w:sz w:val="20"/>
          <w:szCs w:val="20"/>
        </w:rPr>
        <w:t xml:space="preserve">a </w:t>
      </w:r>
      <w:r w:rsidRPr="00067ED1">
        <w:rPr>
          <w:bCs/>
          <w:sz w:val="20"/>
          <w:szCs w:val="20"/>
        </w:rPr>
        <w:t>six-month medical leave until December 2013.</w:t>
      </w:r>
    </w:p>
    <w:p w14:paraId="54830C64" w14:textId="52706D4C" w:rsidR="007614A7" w:rsidRPr="00067ED1" w:rsidRDefault="007614A7" w:rsidP="007614A7">
      <w:pPr>
        <w:pStyle w:val="ListParagraph"/>
        <w:tabs>
          <w:tab w:val="num" w:pos="720"/>
        </w:tabs>
        <w:suppressAutoHyphens/>
        <w:spacing w:before="240" w:after="240"/>
        <w:ind w:left="0" w:firstLine="720"/>
        <w:jc w:val="both"/>
        <w:rPr>
          <w:bCs/>
          <w:sz w:val="20"/>
          <w:szCs w:val="20"/>
        </w:rPr>
      </w:pPr>
      <w:r w:rsidRPr="00067ED1">
        <w:rPr>
          <w:bCs/>
          <w:sz w:val="20"/>
          <w:szCs w:val="20"/>
        </w:rPr>
        <w:t xml:space="preserve">3. </w:t>
      </w:r>
      <w:r w:rsidR="00BB1F72">
        <w:rPr>
          <w:bCs/>
          <w:sz w:val="20"/>
          <w:szCs w:val="20"/>
        </w:rPr>
        <w:tab/>
      </w:r>
      <w:r w:rsidRPr="00067ED1">
        <w:rPr>
          <w:bCs/>
          <w:sz w:val="20"/>
          <w:szCs w:val="20"/>
        </w:rPr>
        <w:t>In July 2013, the alleged victims filed appeals for the protection of constitutional guarantees in which they denounced the harassment they were suffering for having prevented</w:t>
      </w:r>
      <w:r w:rsidR="00067ED1" w:rsidRPr="00067ED1">
        <w:rPr>
          <w:bCs/>
          <w:sz w:val="20"/>
          <w:szCs w:val="20"/>
        </w:rPr>
        <w:t xml:space="preserve"> the</w:t>
      </w:r>
      <w:r w:rsidRPr="00067ED1">
        <w:rPr>
          <w:bCs/>
          <w:sz w:val="20"/>
          <w:szCs w:val="20"/>
        </w:rPr>
        <w:t xml:space="preserve"> illegal acts. </w:t>
      </w:r>
      <w:r w:rsidRPr="00BB1F72">
        <w:rPr>
          <w:bCs/>
          <w:sz w:val="20"/>
          <w:szCs w:val="20"/>
        </w:rPr>
        <w:t xml:space="preserve">These appeals were rejected by the Santiago Court of Appeals. </w:t>
      </w:r>
      <w:r w:rsidRPr="00067ED1">
        <w:rPr>
          <w:bCs/>
          <w:sz w:val="20"/>
          <w:szCs w:val="20"/>
        </w:rPr>
        <w:t>The petition</w:t>
      </w:r>
      <w:r w:rsidR="00067ED1" w:rsidRPr="00067ED1">
        <w:rPr>
          <w:bCs/>
          <w:sz w:val="20"/>
          <w:szCs w:val="20"/>
        </w:rPr>
        <w:t>er</w:t>
      </w:r>
      <w:r w:rsidRPr="00067ED1">
        <w:rPr>
          <w:bCs/>
          <w:sz w:val="20"/>
          <w:szCs w:val="20"/>
        </w:rPr>
        <w:t xml:space="preserve"> party claims that the Superior Council of the Administrative Corporation, </w:t>
      </w:r>
      <w:r w:rsidR="007073D6">
        <w:rPr>
          <w:bCs/>
          <w:sz w:val="20"/>
          <w:szCs w:val="20"/>
        </w:rPr>
        <w:t>formed by</w:t>
      </w:r>
      <w:r w:rsidRPr="00067ED1">
        <w:rPr>
          <w:bCs/>
          <w:sz w:val="20"/>
          <w:szCs w:val="20"/>
        </w:rPr>
        <w:t xml:space="preserve"> hierarchical superiors of the Court of Appeals, had approved granting defense and institutional advice to the superiors of the alleged victims who had been denounced by them. The petition</w:t>
      </w:r>
      <w:r w:rsidR="00067ED1" w:rsidRPr="00067ED1">
        <w:rPr>
          <w:bCs/>
          <w:sz w:val="20"/>
          <w:szCs w:val="20"/>
        </w:rPr>
        <w:t>er</w:t>
      </w:r>
      <w:r w:rsidRPr="00067ED1">
        <w:rPr>
          <w:bCs/>
          <w:sz w:val="20"/>
          <w:szCs w:val="20"/>
        </w:rPr>
        <w:t xml:space="preserve"> party considers that this violated the right to equality of the alleged victims who did not receive the same institutional support despite working for the same institution, and that it was also an act by which the Superior Council expressed its inclination in favor of re</w:t>
      </w:r>
      <w:r w:rsidR="00067ED1">
        <w:rPr>
          <w:bCs/>
          <w:sz w:val="20"/>
          <w:szCs w:val="20"/>
        </w:rPr>
        <w:t>jecting</w:t>
      </w:r>
      <w:r w:rsidRPr="00067ED1">
        <w:rPr>
          <w:bCs/>
          <w:sz w:val="20"/>
          <w:szCs w:val="20"/>
        </w:rPr>
        <w:t xml:space="preserve"> the resources </w:t>
      </w:r>
      <w:r w:rsidR="00067ED1">
        <w:rPr>
          <w:bCs/>
          <w:sz w:val="20"/>
          <w:szCs w:val="20"/>
        </w:rPr>
        <w:t>submitted by</w:t>
      </w:r>
      <w:r w:rsidRPr="00067ED1">
        <w:rPr>
          <w:bCs/>
          <w:sz w:val="20"/>
          <w:szCs w:val="20"/>
        </w:rPr>
        <w:t xml:space="preserve"> the alleged victims, compromising the impartiality of the Court of Appeals, which could not go against the will of its hierarchical superiors. Later, the alleged victims challenged the rejections of their appeals before the Supreme Court.</w:t>
      </w:r>
    </w:p>
    <w:p w14:paraId="7A836261" w14:textId="27E03CC2" w:rsidR="00B040D4" w:rsidRPr="00B040D4" w:rsidRDefault="007614A7" w:rsidP="00B040D4">
      <w:pPr>
        <w:pStyle w:val="ListParagraph"/>
        <w:tabs>
          <w:tab w:val="num" w:pos="720"/>
        </w:tabs>
        <w:suppressAutoHyphens/>
        <w:spacing w:before="240" w:after="240"/>
        <w:ind w:left="0" w:firstLine="720"/>
        <w:jc w:val="both"/>
        <w:rPr>
          <w:bCs/>
          <w:sz w:val="20"/>
          <w:szCs w:val="20"/>
        </w:rPr>
      </w:pPr>
      <w:r w:rsidRPr="00B040D4">
        <w:rPr>
          <w:bCs/>
          <w:sz w:val="20"/>
          <w:szCs w:val="20"/>
        </w:rPr>
        <w:t xml:space="preserve">4. </w:t>
      </w:r>
      <w:r w:rsidR="00BB1F72">
        <w:rPr>
          <w:bCs/>
          <w:sz w:val="20"/>
          <w:szCs w:val="20"/>
        </w:rPr>
        <w:tab/>
      </w:r>
      <w:r w:rsidRPr="00B040D4">
        <w:rPr>
          <w:bCs/>
          <w:sz w:val="20"/>
          <w:szCs w:val="20"/>
        </w:rPr>
        <w:t xml:space="preserve">The petitioner explains that while the decision on their appeals was pending before the Supreme Court, the alleged victims were submitted to an evaluation commission that classified them as deficient in order to remove them from the institution. He points out that in the past the alleged victims had received outstanding grades and that they had never received demerit notes or been subjected to disciplinary investigations. He also alleges that submitting them for evaluation was illegal because it contravened article 79 of the personnel regulations of the Administrative Corporation, which prevented persons from carrying out qualifying acts for persons who had made complaints against their superiors related to possible violations of administrative </w:t>
      </w:r>
      <w:r w:rsidR="007073D6">
        <w:rPr>
          <w:bCs/>
          <w:sz w:val="20"/>
          <w:szCs w:val="20"/>
        </w:rPr>
        <w:t>integrity</w:t>
      </w:r>
      <w:r w:rsidRPr="00B040D4">
        <w:rPr>
          <w:bCs/>
          <w:sz w:val="20"/>
          <w:szCs w:val="20"/>
        </w:rPr>
        <w:t xml:space="preserve">. </w:t>
      </w:r>
      <w:r w:rsidRPr="0052287C">
        <w:rPr>
          <w:bCs/>
          <w:sz w:val="20"/>
          <w:szCs w:val="20"/>
        </w:rPr>
        <w:t xml:space="preserve">Faced with this situation, the alleged victims asked the Chamber of the Supreme Court, which was hearing their appeals, to issue </w:t>
      </w:r>
      <w:r w:rsidR="0052287C" w:rsidRPr="00B040D4">
        <w:rPr>
          <w:bCs/>
          <w:sz w:val="20"/>
          <w:szCs w:val="20"/>
        </w:rPr>
        <w:t>temporary injunction against further process</w:t>
      </w:r>
      <w:r w:rsidRPr="0052287C">
        <w:rPr>
          <w:bCs/>
          <w:sz w:val="20"/>
          <w:szCs w:val="20"/>
        </w:rPr>
        <w:t xml:space="preserve">, arguing that the qualification was an illegal act included within the object of the appeal for protection. This request was rejected; </w:t>
      </w:r>
      <w:r w:rsidR="0052287C" w:rsidRPr="0052287C">
        <w:rPr>
          <w:bCs/>
          <w:sz w:val="20"/>
          <w:szCs w:val="20"/>
        </w:rPr>
        <w:t>a</w:t>
      </w:r>
      <w:r w:rsidRPr="0052287C">
        <w:rPr>
          <w:bCs/>
          <w:sz w:val="20"/>
          <w:szCs w:val="20"/>
        </w:rPr>
        <w:t xml:space="preserve">gainst this rejection, an appeal for reconsideration was presented, with respect to which the Court decided that what would be resolved in the final judgment should be followed. </w:t>
      </w:r>
      <w:r w:rsidRPr="00B040D4">
        <w:rPr>
          <w:bCs/>
          <w:sz w:val="20"/>
          <w:szCs w:val="20"/>
        </w:rPr>
        <w:t>Additionally, the alleged victims presented before the Plenary of the Supreme Court, and in subsidy before the Superior Council of the Administrative Corporation, an appeal for invalidation of the qualifying act in subsidy with an appeal against the same act.</w:t>
      </w:r>
    </w:p>
    <w:p w14:paraId="6FAF48D9" w14:textId="6087A9A1" w:rsidR="00B040D4" w:rsidRPr="00B040D4" w:rsidRDefault="00B040D4" w:rsidP="00B040D4">
      <w:pPr>
        <w:pStyle w:val="ListParagraph"/>
        <w:tabs>
          <w:tab w:val="num" w:pos="720"/>
        </w:tabs>
        <w:suppressAutoHyphens/>
        <w:spacing w:before="240" w:after="240"/>
        <w:ind w:left="0" w:firstLine="720"/>
        <w:jc w:val="both"/>
        <w:rPr>
          <w:bCs/>
          <w:sz w:val="20"/>
          <w:szCs w:val="20"/>
        </w:rPr>
      </w:pPr>
      <w:r w:rsidRPr="00B040D4">
        <w:rPr>
          <w:bCs/>
          <w:sz w:val="20"/>
          <w:szCs w:val="20"/>
        </w:rPr>
        <w:t xml:space="preserve">5. </w:t>
      </w:r>
      <w:r w:rsidR="00BB1F72">
        <w:rPr>
          <w:bCs/>
          <w:sz w:val="20"/>
          <w:szCs w:val="20"/>
        </w:rPr>
        <w:tab/>
      </w:r>
      <w:r w:rsidRPr="00B040D4">
        <w:rPr>
          <w:bCs/>
          <w:sz w:val="20"/>
          <w:szCs w:val="20"/>
        </w:rPr>
        <w:t xml:space="preserve">On December 24, 2013, the Third Constitutional Chamber of the Supreme Court of Justice decided to revoke the ruling of the Santiago Court of Appeals and accept the </w:t>
      </w:r>
      <w:r w:rsidR="00867E17">
        <w:rPr>
          <w:bCs/>
          <w:sz w:val="20"/>
          <w:szCs w:val="20"/>
        </w:rPr>
        <w:t>appeal for protection</w:t>
      </w:r>
      <w:r w:rsidRPr="00B040D4">
        <w:rPr>
          <w:bCs/>
          <w:sz w:val="20"/>
          <w:szCs w:val="20"/>
        </w:rPr>
        <w:t xml:space="preserve"> presented by the alleged victims. </w:t>
      </w:r>
      <w:r w:rsidR="00187832">
        <w:rPr>
          <w:bCs/>
          <w:sz w:val="20"/>
          <w:szCs w:val="20"/>
        </w:rPr>
        <w:t>The petitioner provides</w:t>
      </w:r>
      <w:r w:rsidRPr="00B040D4">
        <w:rPr>
          <w:bCs/>
          <w:sz w:val="20"/>
          <w:szCs w:val="20"/>
        </w:rPr>
        <w:t xml:space="preserve"> a copy of the rulings in which it is observed that the Court determined that the right to equality of the alleged victims had been violated through arbitrary actions such as revoking their access to the institution's computer systems while they were on medical leave, without </w:t>
      </w:r>
      <w:r w:rsidR="00187832">
        <w:rPr>
          <w:bCs/>
          <w:sz w:val="20"/>
          <w:szCs w:val="20"/>
        </w:rPr>
        <w:t>this being</w:t>
      </w:r>
      <w:r w:rsidRPr="00B040D4">
        <w:rPr>
          <w:bCs/>
          <w:sz w:val="20"/>
          <w:szCs w:val="20"/>
        </w:rPr>
        <w:t xml:space="preserve"> a general practice with respect to persons on leave and without special circumstances to justify it; and assigning them to functions other than those </w:t>
      </w:r>
      <w:r w:rsidR="00187832">
        <w:rPr>
          <w:bCs/>
          <w:sz w:val="20"/>
          <w:szCs w:val="20"/>
        </w:rPr>
        <w:t xml:space="preserve">specifically </w:t>
      </w:r>
      <w:r w:rsidRPr="00B040D4">
        <w:rPr>
          <w:bCs/>
          <w:sz w:val="20"/>
          <w:szCs w:val="20"/>
        </w:rPr>
        <w:t xml:space="preserve">of their positions, without due motivation and without </w:t>
      </w:r>
      <w:r w:rsidR="00EE6A83">
        <w:rPr>
          <w:bCs/>
          <w:sz w:val="20"/>
          <w:szCs w:val="20"/>
        </w:rPr>
        <w:t xml:space="preserve">them being able </w:t>
      </w:r>
      <w:r w:rsidRPr="00B040D4">
        <w:rPr>
          <w:bCs/>
          <w:sz w:val="20"/>
          <w:szCs w:val="20"/>
        </w:rPr>
        <w:t xml:space="preserve"> </w:t>
      </w:r>
      <w:r w:rsidR="00EE6A83">
        <w:rPr>
          <w:bCs/>
          <w:sz w:val="20"/>
          <w:szCs w:val="20"/>
        </w:rPr>
        <w:t>to continue</w:t>
      </w:r>
      <w:r w:rsidRPr="00B040D4">
        <w:rPr>
          <w:bCs/>
          <w:sz w:val="20"/>
          <w:szCs w:val="20"/>
        </w:rPr>
        <w:t xml:space="preserve"> fulfill</w:t>
      </w:r>
      <w:r w:rsidR="00EE6A83">
        <w:rPr>
          <w:bCs/>
          <w:sz w:val="20"/>
          <w:szCs w:val="20"/>
        </w:rPr>
        <w:t>ing,</w:t>
      </w:r>
      <w:r w:rsidRPr="00B040D4">
        <w:rPr>
          <w:bCs/>
          <w:sz w:val="20"/>
          <w:szCs w:val="20"/>
        </w:rPr>
        <w:t xml:space="preserve"> in the new assignment</w:t>
      </w:r>
      <w:r w:rsidR="00EE6A83">
        <w:rPr>
          <w:bCs/>
          <w:sz w:val="20"/>
          <w:szCs w:val="20"/>
        </w:rPr>
        <w:t>,</w:t>
      </w:r>
      <w:r w:rsidRPr="00B040D4">
        <w:rPr>
          <w:bCs/>
          <w:sz w:val="20"/>
          <w:szCs w:val="20"/>
        </w:rPr>
        <w:t xml:space="preserve"> functions of the same hierarchy as those of the positions for which they had been appointed.</w:t>
      </w:r>
    </w:p>
    <w:p w14:paraId="328AA877" w14:textId="4F836672" w:rsidR="00B040D4" w:rsidRPr="00B040D4" w:rsidRDefault="00B040D4" w:rsidP="00B040D4">
      <w:pPr>
        <w:pStyle w:val="ListParagraph"/>
        <w:tabs>
          <w:tab w:val="num" w:pos="720"/>
        </w:tabs>
        <w:suppressAutoHyphens/>
        <w:spacing w:before="240" w:after="240"/>
        <w:ind w:left="0" w:firstLine="720"/>
        <w:jc w:val="both"/>
        <w:rPr>
          <w:bCs/>
          <w:sz w:val="20"/>
          <w:szCs w:val="20"/>
        </w:rPr>
      </w:pPr>
      <w:r w:rsidRPr="00B040D4">
        <w:rPr>
          <w:bCs/>
          <w:sz w:val="20"/>
          <w:szCs w:val="20"/>
        </w:rPr>
        <w:t xml:space="preserve">6. </w:t>
      </w:r>
      <w:r w:rsidR="00BB1F72">
        <w:rPr>
          <w:bCs/>
          <w:sz w:val="20"/>
          <w:szCs w:val="20"/>
        </w:rPr>
        <w:tab/>
      </w:r>
      <w:r w:rsidRPr="00B040D4">
        <w:rPr>
          <w:bCs/>
          <w:sz w:val="20"/>
          <w:szCs w:val="20"/>
        </w:rPr>
        <w:t xml:space="preserve">Consequently, the Court ordered that the alleged victims be reinstated to their positions, that their computer access be reactivated, and that the defendant authorities cease all conduct that would impede the performance of the duties of their positions. The petitioner points out that, in protest against these rulings, 4 </w:t>
      </w:r>
      <w:r w:rsidR="00867E17">
        <w:rPr>
          <w:bCs/>
          <w:sz w:val="20"/>
          <w:szCs w:val="20"/>
        </w:rPr>
        <w:t xml:space="preserve">out </w:t>
      </w:r>
      <w:r w:rsidRPr="00B040D4">
        <w:rPr>
          <w:bCs/>
          <w:sz w:val="20"/>
          <w:szCs w:val="20"/>
        </w:rPr>
        <w:t>of the 5 members of the Superior Council resigned from their positions; and that the remaining member could not do so because his position on the Council was due to his capacity as President of the Supreme Court. However, the full Court would have rejected the resignations and initiated an institutional blockade against the alleged victims in order to expel them from the Judiciary.</w:t>
      </w:r>
    </w:p>
    <w:p w14:paraId="0C6DABFC" w14:textId="501FDA68" w:rsidR="00B040D4" w:rsidRPr="00B040D4" w:rsidRDefault="00B040D4" w:rsidP="00B040D4">
      <w:pPr>
        <w:pStyle w:val="ListParagraph"/>
        <w:tabs>
          <w:tab w:val="num" w:pos="720"/>
        </w:tabs>
        <w:suppressAutoHyphens/>
        <w:spacing w:before="240" w:after="240"/>
        <w:ind w:left="0" w:firstLine="720"/>
        <w:jc w:val="both"/>
        <w:rPr>
          <w:bCs/>
          <w:sz w:val="20"/>
          <w:szCs w:val="20"/>
        </w:rPr>
      </w:pPr>
      <w:r w:rsidRPr="00B040D4">
        <w:rPr>
          <w:bCs/>
          <w:sz w:val="20"/>
          <w:szCs w:val="20"/>
        </w:rPr>
        <w:lastRenderedPageBreak/>
        <w:t xml:space="preserve">7. </w:t>
      </w:r>
      <w:r w:rsidR="00BB1F72">
        <w:rPr>
          <w:bCs/>
          <w:sz w:val="20"/>
          <w:szCs w:val="20"/>
        </w:rPr>
        <w:tab/>
      </w:r>
      <w:r w:rsidRPr="00B040D4">
        <w:rPr>
          <w:bCs/>
          <w:sz w:val="20"/>
          <w:szCs w:val="20"/>
        </w:rPr>
        <w:t xml:space="preserve">The petitioner explains that after the favorable rulings of the Third Chamber, the alleged victims asked the Plenary of the Supreme Court not to continue hearing their remedies for invalidation and appeal in subsidy; considering that the object of that controversy had already been resolved by the decision of the Third Chamber. However, the Supreme Court did not rule on this request. When the alleged victims prepared to return to their posts, as ordered by the Third Chamber, they were expelled from the facilities, indicating that they could not return to work because the President of the Supreme Court had so ordered. Subsequently, on January 2, 2014, the Court rejected the appeal for invalidation of the alleged victims and decided that the Superior Council of the Corporation hear the appeal that had been presented as a subsidy. </w:t>
      </w:r>
      <w:r w:rsidR="0060433E">
        <w:rPr>
          <w:bCs/>
          <w:sz w:val="20"/>
          <w:szCs w:val="20"/>
        </w:rPr>
        <w:t>The petitioner</w:t>
      </w:r>
      <w:r w:rsidRPr="00B040D4">
        <w:rPr>
          <w:bCs/>
          <w:sz w:val="20"/>
          <w:szCs w:val="20"/>
        </w:rPr>
        <w:t xml:space="preserve"> indicates that the Superior Council determined that the applicable regulations did not prohibit the application of qualifications to the alleged victims because they had only presented their complaints within the framework of their protection action, they had not formally presented them to the authorities provided for in the regulations. For this reason, the Council conducted a new evaluation of the alleged victims, once again rating them as </w:t>
      </w:r>
      <w:r w:rsidRPr="00867E17">
        <w:rPr>
          <w:bCs/>
          <w:sz w:val="20"/>
          <w:szCs w:val="20"/>
        </w:rPr>
        <w:t>deficient.</w:t>
      </w:r>
      <w:r w:rsidRPr="00B040D4">
        <w:rPr>
          <w:bCs/>
          <w:sz w:val="20"/>
          <w:szCs w:val="20"/>
        </w:rPr>
        <w:t xml:space="preserve"> The petition</w:t>
      </w:r>
      <w:r w:rsidR="00A91BAA">
        <w:rPr>
          <w:bCs/>
          <w:sz w:val="20"/>
          <w:szCs w:val="20"/>
        </w:rPr>
        <w:t>er</w:t>
      </w:r>
      <w:r w:rsidRPr="00B040D4">
        <w:rPr>
          <w:bCs/>
          <w:sz w:val="20"/>
          <w:szCs w:val="20"/>
        </w:rPr>
        <w:t xml:space="preserve"> party emphasizes that two ministers participated in this new classification, who had already publicly expressed their dissatisfaction with the ruling issued by the Third Chamber in favor of the alleged victims and had resigned in protest, in addition to the fact that one </w:t>
      </w:r>
      <w:r w:rsidR="00A91BAA">
        <w:rPr>
          <w:bCs/>
          <w:sz w:val="20"/>
          <w:szCs w:val="20"/>
        </w:rPr>
        <w:t xml:space="preserve">of the </w:t>
      </w:r>
      <w:r w:rsidRPr="00B040D4">
        <w:rPr>
          <w:bCs/>
          <w:sz w:val="20"/>
          <w:szCs w:val="20"/>
        </w:rPr>
        <w:t xml:space="preserve">officials who had </w:t>
      </w:r>
      <w:r w:rsidR="00867E17">
        <w:rPr>
          <w:bCs/>
          <w:sz w:val="20"/>
          <w:szCs w:val="20"/>
        </w:rPr>
        <w:t xml:space="preserve">been </w:t>
      </w:r>
      <w:r w:rsidRPr="00B040D4">
        <w:rPr>
          <w:bCs/>
          <w:sz w:val="20"/>
          <w:szCs w:val="20"/>
        </w:rPr>
        <w:t>ordered to cease the harassment behavior against the alleged victims</w:t>
      </w:r>
      <w:r w:rsidR="00A91BAA">
        <w:rPr>
          <w:bCs/>
          <w:sz w:val="20"/>
          <w:szCs w:val="20"/>
        </w:rPr>
        <w:t xml:space="preserve"> intervened as secretary</w:t>
      </w:r>
      <w:r w:rsidRPr="00B040D4">
        <w:rPr>
          <w:bCs/>
          <w:sz w:val="20"/>
          <w:szCs w:val="20"/>
        </w:rPr>
        <w:t xml:space="preserve">. With this qualification pronounced by resolution of January 7, 2014, the alleged victims would be automatically separated from the Judicial </w:t>
      </w:r>
      <w:r w:rsidR="00BB1F72" w:rsidRPr="00B040D4">
        <w:rPr>
          <w:bCs/>
          <w:sz w:val="20"/>
          <w:szCs w:val="20"/>
        </w:rPr>
        <w:t>Power and</w:t>
      </w:r>
      <w:r w:rsidRPr="00B040D4">
        <w:rPr>
          <w:bCs/>
          <w:sz w:val="20"/>
          <w:szCs w:val="20"/>
        </w:rPr>
        <w:t xml:space="preserve"> </w:t>
      </w:r>
      <w:r w:rsidR="00867E17">
        <w:rPr>
          <w:bCs/>
          <w:sz w:val="20"/>
          <w:szCs w:val="20"/>
        </w:rPr>
        <w:t xml:space="preserve">prohibited from </w:t>
      </w:r>
      <w:r w:rsidR="00A91BAA">
        <w:rPr>
          <w:bCs/>
          <w:sz w:val="20"/>
          <w:szCs w:val="20"/>
        </w:rPr>
        <w:t>working in</w:t>
      </w:r>
      <w:r w:rsidRPr="00B040D4">
        <w:rPr>
          <w:bCs/>
          <w:sz w:val="20"/>
          <w:szCs w:val="20"/>
        </w:rPr>
        <w:t xml:space="preserve"> </w:t>
      </w:r>
      <w:r w:rsidR="00A404F9">
        <w:rPr>
          <w:bCs/>
          <w:sz w:val="20"/>
          <w:szCs w:val="20"/>
        </w:rPr>
        <w:t>the public sector</w:t>
      </w:r>
      <w:r w:rsidRPr="00B040D4">
        <w:rPr>
          <w:bCs/>
          <w:sz w:val="20"/>
          <w:szCs w:val="20"/>
        </w:rPr>
        <w:t xml:space="preserve"> for five years.</w:t>
      </w:r>
    </w:p>
    <w:p w14:paraId="6865F801" w14:textId="7128B570" w:rsidR="00B040D4" w:rsidRPr="00B040D4" w:rsidRDefault="00B040D4" w:rsidP="00A91BAA">
      <w:pPr>
        <w:pStyle w:val="ListParagraph"/>
        <w:tabs>
          <w:tab w:val="num" w:pos="720"/>
        </w:tabs>
        <w:suppressAutoHyphens/>
        <w:spacing w:before="240" w:after="240"/>
        <w:ind w:left="0" w:firstLine="720"/>
        <w:jc w:val="both"/>
        <w:rPr>
          <w:bCs/>
          <w:sz w:val="20"/>
          <w:szCs w:val="20"/>
        </w:rPr>
      </w:pPr>
      <w:r w:rsidRPr="00B040D4">
        <w:rPr>
          <w:bCs/>
          <w:sz w:val="20"/>
          <w:szCs w:val="20"/>
        </w:rPr>
        <w:t xml:space="preserve">8. </w:t>
      </w:r>
      <w:r w:rsidR="00BB1F72">
        <w:rPr>
          <w:bCs/>
          <w:sz w:val="20"/>
          <w:szCs w:val="20"/>
        </w:rPr>
        <w:tab/>
      </w:r>
      <w:r w:rsidRPr="00B040D4">
        <w:rPr>
          <w:bCs/>
          <w:sz w:val="20"/>
          <w:szCs w:val="20"/>
        </w:rPr>
        <w:t xml:space="preserve">The alleged victims asked the Superior Council to reconsider their qualifications and submitted their resignations from their positions, both of which were denied. They also presented an extraordinary appeal for review before the plenary session of the Supreme Court of Justice, requesting that their requalification by the Superior Council be reviewed because one of the directors of the Administrative Corporation had been dismissed for reasons related to irregularities in his performance. The director </w:t>
      </w:r>
      <w:proofErr w:type="spellStart"/>
      <w:r w:rsidRPr="00B040D4">
        <w:rPr>
          <w:bCs/>
          <w:sz w:val="20"/>
          <w:szCs w:val="20"/>
        </w:rPr>
        <w:t>in</w:t>
      </w:r>
      <w:r w:rsidR="00867E17">
        <w:rPr>
          <w:bCs/>
          <w:sz w:val="20"/>
          <w:szCs w:val="20"/>
        </w:rPr>
        <w:t>Fsn</w:t>
      </w:r>
      <w:proofErr w:type="spellEnd"/>
      <w:r w:rsidRPr="00B040D4">
        <w:rPr>
          <w:bCs/>
          <w:sz w:val="20"/>
          <w:szCs w:val="20"/>
        </w:rPr>
        <w:t xml:space="preserve"> question was one of the people who were denounced for harassment by the alleged victims and had participated in </w:t>
      </w:r>
      <w:r w:rsidR="00A404F9">
        <w:rPr>
          <w:bCs/>
          <w:sz w:val="20"/>
          <w:szCs w:val="20"/>
        </w:rPr>
        <w:t>the alleged victim’s</w:t>
      </w:r>
      <w:r w:rsidRPr="00B040D4">
        <w:rPr>
          <w:bCs/>
          <w:sz w:val="20"/>
          <w:szCs w:val="20"/>
        </w:rPr>
        <w:t xml:space="preserve"> requalification as secretary. The appeal was rejected on June 9, 2015, after the Plenary of the Court considered that it was not proven that the qualifying act of the alleged victims was vitiated by the same irregularities that led to the dismissal of the director. The alleged victims also judicially requested compliance with the judgments issued in their favor by the Third Chamber, to which the requested authority replied that the </w:t>
      </w:r>
      <w:r w:rsidR="00A404F9">
        <w:rPr>
          <w:bCs/>
          <w:sz w:val="20"/>
          <w:szCs w:val="20"/>
        </w:rPr>
        <w:t>judgement</w:t>
      </w:r>
      <w:r w:rsidRPr="00B040D4">
        <w:rPr>
          <w:bCs/>
          <w:sz w:val="20"/>
          <w:szCs w:val="20"/>
        </w:rPr>
        <w:t xml:space="preserve"> could not be complied with because the alleged victims had been dismissed.</w:t>
      </w:r>
      <w:r w:rsidR="00A91BAA">
        <w:rPr>
          <w:bCs/>
          <w:sz w:val="20"/>
          <w:szCs w:val="20"/>
        </w:rPr>
        <w:t xml:space="preserve"> </w:t>
      </w:r>
      <w:r w:rsidRPr="00B040D4">
        <w:rPr>
          <w:bCs/>
          <w:sz w:val="20"/>
          <w:szCs w:val="20"/>
        </w:rPr>
        <w:t>On April 16, 2015, the request for compliance with the judgment was rejected by the Santiago Court of Appeals. Against this decision, the alleged victims filed an appeal for reconsideration, which was rejected, and as a subsidy they appealed to the Supreme Court, which also rejected the appeal on June 12, 2015.</w:t>
      </w:r>
    </w:p>
    <w:p w14:paraId="2AE827A4" w14:textId="3EB95003" w:rsidR="00B040D4" w:rsidRPr="00B040D4" w:rsidRDefault="00B040D4" w:rsidP="00B040D4">
      <w:pPr>
        <w:pStyle w:val="ListParagraph"/>
        <w:tabs>
          <w:tab w:val="num" w:pos="720"/>
        </w:tabs>
        <w:suppressAutoHyphens/>
        <w:spacing w:before="240" w:after="240"/>
        <w:ind w:left="0" w:firstLine="720"/>
        <w:jc w:val="both"/>
        <w:rPr>
          <w:bCs/>
          <w:sz w:val="20"/>
          <w:szCs w:val="20"/>
        </w:rPr>
      </w:pPr>
      <w:r w:rsidRPr="00B040D4">
        <w:rPr>
          <w:bCs/>
          <w:sz w:val="20"/>
          <w:szCs w:val="20"/>
        </w:rPr>
        <w:t xml:space="preserve">9. </w:t>
      </w:r>
      <w:r w:rsidR="00BB1F72">
        <w:rPr>
          <w:bCs/>
          <w:sz w:val="20"/>
          <w:szCs w:val="20"/>
        </w:rPr>
        <w:tab/>
      </w:r>
      <w:r w:rsidRPr="00B040D4">
        <w:rPr>
          <w:bCs/>
          <w:sz w:val="20"/>
          <w:szCs w:val="20"/>
        </w:rPr>
        <w:t xml:space="preserve">The </w:t>
      </w:r>
      <w:r w:rsidR="00A404F9">
        <w:rPr>
          <w:bCs/>
          <w:sz w:val="20"/>
          <w:szCs w:val="20"/>
        </w:rPr>
        <w:t>petitioner</w:t>
      </w:r>
      <w:r w:rsidRPr="00B040D4">
        <w:rPr>
          <w:bCs/>
          <w:sz w:val="20"/>
          <w:szCs w:val="20"/>
        </w:rPr>
        <w:t xml:space="preserve"> </w:t>
      </w:r>
      <w:r w:rsidR="00A404F9">
        <w:rPr>
          <w:bCs/>
          <w:sz w:val="20"/>
          <w:szCs w:val="20"/>
        </w:rPr>
        <w:t>affirms</w:t>
      </w:r>
      <w:r w:rsidRPr="00B040D4">
        <w:rPr>
          <w:bCs/>
          <w:sz w:val="20"/>
          <w:szCs w:val="20"/>
        </w:rPr>
        <w:t xml:space="preserve"> that the alleged victims have been seriously affected by the loss of their jobs, and that the impediment to work in the public sector is especially burdensome for them because their professional and academic specialization is aimed at public service. Regarding Mr. Lobos Cordano, he reports that he obtained a job in the Ministry of Education, but that later the Office of the Comptroller General of the Republic determined that he was disqualified from holding that position. </w:t>
      </w:r>
      <w:r w:rsidR="00A404F9">
        <w:rPr>
          <w:bCs/>
          <w:sz w:val="20"/>
          <w:szCs w:val="20"/>
        </w:rPr>
        <w:t>The petitioner</w:t>
      </w:r>
      <w:r w:rsidRPr="00B040D4">
        <w:rPr>
          <w:bCs/>
          <w:sz w:val="20"/>
          <w:szCs w:val="20"/>
        </w:rPr>
        <w:t xml:space="preserve"> considers that said decision was illegal because the Comptroller's Office could not assume judicial functions and because </w:t>
      </w:r>
      <w:r w:rsidR="00A404F9">
        <w:rPr>
          <w:bCs/>
          <w:sz w:val="20"/>
          <w:szCs w:val="20"/>
        </w:rPr>
        <w:t xml:space="preserve">the </w:t>
      </w:r>
      <w:r w:rsidR="00A404F9" w:rsidRPr="00BB1F72">
        <w:rPr>
          <w:bCs/>
          <w:sz w:val="20"/>
          <w:szCs w:val="20"/>
        </w:rPr>
        <w:t>alleged victim</w:t>
      </w:r>
      <w:r w:rsidRPr="00BB1F72">
        <w:rPr>
          <w:bCs/>
          <w:sz w:val="20"/>
          <w:szCs w:val="20"/>
        </w:rPr>
        <w:t xml:space="preserve"> could</w:t>
      </w:r>
      <w:r w:rsidRPr="00B040D4">
        <w:rPr>
          <w:bCs/>
          <w:sz w:val="20"/>
          <w:szCs w:val="20"/>
        </w:rPr>
        <w:t xml:space="preserve"> not be denied the opportunity to work in the State administration due to a bad qualification that was awarded to it by an institution that is not part of that administration. </w:t>
      </w:r>
      <w:r w:rsidR="00A404F9">
        <w:rPr>
          <w:bCs/>
          <w:sz w:val="20"/>
          <w:szCs w:val="20"/>
        </w:rPr>
        <w:t>The petitioner</w:t>
      </w:r>
      <w:r w:rsidRPr="00B040D4">
        <w:rPr>
          <w:bCs/>
          <w:sz w:val="20"/>
          <w:szCs w:val="20"/>
        </w:rPr>
        <w:t xml:space="preserve"> also claims that the Comptroller's Office arbitrarily ordered that Mr. Cordano's five-year disqualification would run from the moment that</w:t>
      </w:r>
      <w:r w:rsidR="002122E4">
        <w:rPr>
          <w:bCs/>
          <w:sz w:val="20"/>
          <w:szCs w:val="20"/>
        </w:rPr>
        <w:t xml:space="preserve"> the</w:t>
      </w:r>
      <w:r w:rsidRPr="00B040D4">
        <w:rPr>
          <w:bCs/>
          <w:sz w:val="20"/>
          <w:szCs w:val="20"/>
        </w:rPr>
        <w:t xml:space="preserve"> institution issued its decision, arbitrarily extending the sanction that had been imposed on him, since this was five years from the moment the Superior</w:t>
      </w:r>
      <w:r w:rsidR="00A404F9">
        <w:rPr>
          <w:bCs/>
          <w:sz w:val="20"/>
          <w:szCs w:val="20"/>
        </w:rPr>
        <w:t xml:space="preserve"> Council</w:t>
      </w:r>
      <w:r w:rsidRPr="00B040D4">
        <w:rPr>
          <w:bCs/>
          <w:sz w:val="20"/>
          <w:szCs w:val="20"/>
        </w:rPr>
        <w:t xml:space="preserve"> rated him deficient. As for Ms. Córdova Balboa, he points out that she submitted a request to the Superior Council to review the qualifying acts issued against her, given the impact they had had on her professional life. However, this request was rejected on April 21, 2016.</w:t>
      </w:r>
    </w:p>
    <w:p w14:paraId="274579EC" w14:textId="52B74EA7" w:rsidR="00B040D4" w:rsidRPr="00B040D4" w:rsidRDefault="00B040D4" w:rsidP="00B040D4">
      <w:pPr>
        <w:pStyle w:val="ListParagraph"/>
        <w:tabs>
          <w:tab w:val="num" w:pos="720"/>
        </w:tabs>
        <w:suppressAutoHyphens/>
        <w:spacing w:before="240" w:after="240"/>
        <w:ind w:left="0" w:firstLine="720"/>
        <w:jc w:val="both"/>
        <w:rPr>
          <w:bCs/>
          <w:sz w:val="20"/>
          <w:szCs w:val="20"/>
        </w:rPr>
      </w:pPr>
      <w:r w:rsidRPr="00B040D4">
        <w:rPr>
          <w:bCs/>
          <w:sz w:val="20"/>
          <w:szCs w:val="20"/>
        </w:rPr>
        <w:t xml:space="preserve">10. </w:t>
      </w:r>
      <w:r w:rsidR="00BB1F72">
        <w:rPr>
          <w:bCs/>
          <w:sz w:val="20"/>
          <w:szCs w:val="20"/>
        </w:rPr>
        <w:tab/>
      </w:r>
      <w:r w:rsidRPr="00B040D4">
        <w:rPr>
          <w:bCs/>
          <w:sz w:val="20"/>
          <w:szCs w:val="20"/>
        </w:rPr>
        <w:t xml:space="preserve">The petitioner argues that the alleged victims have not had access to independent and impartial justice for the protection of their rights; since the Administrative Corporation of the Judicial Power, the Supreme Court, and the other courts of the country are part of the same state power and have complex hierarchical relationships among themselves, being largely </w:t>
      </w:r>
      <w:r w:rsidR="002122E4">
        <w:rPr>
          <w:bCs/>
          <w:sz w:val="20"/>
          <w:szCs w:val="20"/>
        </w:rPr>
        <w:t>formed by</w:t>
      </w:r>
      <w:r w:rsidRPr="00B040D4">
        <w:rPr>
          <w:bCs/>
          <w:sz w:val="20"/>
          <w:szCs w:val="20"/>
        </w:rPr>
        <w:t xml:space="preserve"> the same people.</w:t>
      </w:r>
    </w:p>
    <w:p w14:paraId="2F63272E" w14:textId="5D51383B" w:rsidR="00B040D4" w:rsidRPr="00B040D4" w:rsidRDefault="00B040D4" w:rsidP="00B040D4">
      <w:pPr>
        <w:pStyle w:val="ListParagraph"/>
        <w:tabs>
          <w:tab w:val="num" w:pos="720"/>
        </w:tabs>
        <w:suppressAutoHyphens/>
        <w:spacing w:before="240" w:after="240"/>
        <w:ind w:left="0" w:firstLine="720"/>
        <w:jc w:val="both"/>
        <w:rPr>
          <w:bCs/>
          <w:sz w:val="20"/>
          <w:szCs w:val="20"/>
        </w:rPr>
      </w:pPr>
      <w:r w:rsidRPr="00B040D4">
        <w:rPr>
          <w:bCs/>
          <w:sz w:val="20"/>
          <w:szCs w:val="20"/>
        </w:rPr>
        <w:lastRenderedPageBreak/>
        <w:t xml:space="preserve">11. </w:t>
      </w:r>
      <w:r w:rsidR="00BB1F72">
        <w:rPr>
          <w:bCs/>
          <w:sz w:val="20"/>
          <w:szCs w:val="20"/>
        </w:rPr>
        <w:tab/>
      </w:r>
      <w:r w:rsidRPr="00B040D4">
        <w:rPr>
          <w:bCs/>
          <w:sz w:val="20"/>
          <w:szCs w:val="20"/>
        </w:rPr>
        <w:t xml:space="preserve">The State, for its part, considers that the petition should be inadmissible because it seeks to establish the Commission as a court of </w:t>
      </w:r>
      <w:r w:rsidR="002122E4">
        <w:rPr>
          <w:bCs/>
          <w:sz w:val="20"/>
          <w:szCs w:val="20"/>
        </w:rPr>
        <w:t>“</w:t>
      </w:r>
      <w:r w:rsidRPr="00B040D4">
        <w:rPr>
          <w:bCs/>
          <w:sz w:val="20"/>
          <w:szCs w:val="20"/>
        </w:rPr>
        <w:t>fourth instance”; because the facts alleged by the petitioner do not constitute</w:t>
      </w:r>
      <w:r w:rsidR="00E00BE7">
        <w:rPr>
          <w:bCs/>
          <w:sz w:val="20"/>
          <w:szCs w:val="20"/>
        </w:rPr>
        <w:t>,</w:t>
      </w:r>
      <w:r w:rsidRPr="00B040D4">
        <w:rPr>
          <w:bCs/>
          <w:sz w:val="20"/>
          <w:szCs w:val="20"/>
        </w:rPr>
        <w:t xml:space="preserve"> </w:t>
      </w:r>
      <w:r w:rsidR="00BB1F72">
        <w:rPr>
          <w:bCs/>
          <w:sz w:val="20"/>
          <w:szCs w:val="20"/>
        </w:rPr>
        <w:t>firsthand</w:t>
      </w:r>
      <w:r w:rsidR="00E00BE7">
        <w:rPr>
          <w:bCs/>
          <w:sz w:val="20"/>
          <w:szCs w:val="20"/>
        </w:rPr>
        <w:t>,</w:t>
      </w:r>
      <w:r w:rsidRPr="00B040D4">
        <w:rPr>
          <w:bCs/>
          <w:sz w:val="20"/>
          <w:szCs w:val="20"/>
        </w:rPr>
        <w:t xml:space="preserve"> violations of the American Convention; and because, in </w:t>
      </w:r>
      <w:r w:rsidR="00E00BE7">
        <w:rPr>
          <w:bCs/>
          <w:sz w:val="20"/>
          <w:szCs w:val="20"/>
        </w:rPr>
        <w:t>its</w:t>
      </w:r>
      <w:r w:rsidRPr="00B040D4">
        <w:rPr>
          <w:bCs/>
          <w:sz w:val="20"/>
          <w:szCs w:val="20"/>
        </w:rPr>
        <w:t xml:space="preserve"> opinion, the Commission lacks competence </w:t>
      </w:r>
      <w:r w:rsidRPr="00E00BE7">
        <w:rPr>
          <w:bCs/>
          <w:i/>
          <w:iCs/>
          <w:sz w:val="20"/>
          <w:szCs w:val="20"/>
        </w:rPr>
        <w:t>ratione materiae</w:t>
      </w:r>
      <w:r w:rsidRPr="00B040D4">
        <w:rPr>
          <w:bCs/>
          <w:sz w:val="20"/>
          <w:szCs w:val="20"/>
        </w:rPr>
        <w:t xml:space="preserve"> to hear it.</w:t>
      </w:r>
    </w:p>
    <w:p w14:paraId="09E2DE64" w14:textId="0FE707ED" w:rsidR="00B040D4" w:rsidRPr="00B040D4" w:rsidRDefault="00B040D4" w:rsidP="00B040D4">
      <w:pPr>
        <w:pStyle w:val="ListParagraph"/>
        <w:tabs>
          <w:tab w:val="num" w:pos="720"/>
        </w:tabs>
        <w:suppressAutoHyphens/>
        <w:spacing w:before="240" w:after="240"/>
        <w:ind w:left="0" w:firstLine="720"/>
        <w:jc w:val="both"/>
        <w:rPr>
          <w:bCs/>
          <w:sz w:val="20"/>
          <w:szCs w:val="20"/>
        </w:rPr>
      </w:pPr>
      <w:r w:rsidRPr="00B040D4">
        <w:rPr>
          <w:bCs/>
          <w:sz w:val="20"/>
          <w:szCs w:val="20"/>
        </w:rPr>
        <w:t xml:space="preserve">12. </w:t>
      </w:r>
      <w:r w:rsidR="00BB1F72">
        <w:rPr>
          <w:bCs/>
          <w:sz w:val="20"/>
          <w:szCs w:val="20"/>
        </w:rPr>
        <w:tab/>
      </w:r>
      <w:r w:rsidRPr="00B040D4">
        <w:rPr>
          <w:bCs/>
          <w:sz w:val="20"/>
          <w:szCs w:val="20"/>
        </w:rPr>
        <w:t xml:space="preserve">Chile argues that the petitioner has limited himself to expressing his disagreement with the administrative and judicial pronouncements of the domestic authorities, without arguing in what way these would constitute an international offense that could compromise the international responsibility of the State in matters of human rights. </w:t>
      </w:r>
      <w:r w:rsidR="00E00BE7">
        <w:rPr>
          <w:bCs/>
          <w:sz w:val="20"/>
          <w:szCs w:val="20"/>
        </w:rPr>
        <w:t>It</w:t>
      </w:r>
      <w:r w:rsidRPr="00B040D4">
        <w:rPr>
          <w:bCs/>
          <w:sz w:val="20"/>
          <w:szCs w:val="20"/>
        </w:rPr>
        <w:t xml:space="preserve"> considers that the petition</w:t>
      </w:r>
      <w:r w:rsidR="00E00BE7">
        <w:rPr>
          <w:bCs/>
          <w:sz w:val="20"/>
          <w:szCs w:val="20"/>
        </w:rPr>
        <w:t>er</w:t>
      </w:r>
      <w:r w:rsidRPr="00B040D4">
        <w:rPr>
          <w:bCs/>
          <w:sz w:val="20"/>
          <w:szCs w:val="20"/>
        </w:rPr>
        <w:t xml:space="preserve"> party wrongly intends to appeal at the national level to annul a domestic qualification act and for the Commission to hear the facts that led to the filing of appeals at the domestic level as a court of fourth instance.</w:t>
      </w:r>
    </w:p>
    <w:p w14:paraId="700BDE4C" w14:textId="2D27D66E" w:rsidR="00B040D4" w:rsidRDefault="00B040D4" w:rsidP="00B040D4">
      <w:pPr>
        <w:pStyle w:val="ListParagraph"/>
        <w:tabs>
          <w:tab w:val="num" w:pos="720"/>
        </w:tabs>
        <w:suppressAutoHyphens/>
        <w:spacing w:before="240" w:after="240"/>
        <w:ind w:left="0" w:firstLine="720"/>
        <w:jc w:val="both"/>
        <w:rPr>
          <w:bCs/>
          <w:sz w:val="20"/>
          <w:szCs w:val="20"/>
        </w:rPr>
      </w:pPr>
      <w:r w:rsidRPr="00B040D4">
        <w:rPr>
          <w:bCs/>
          <w:sz w:val="20"/>
          <w:szCs w:val="20"/>
        </w:rPr>
        <w:t xml:space="preserve">13. </w:t>
      </w:r>
      <w:r w:rsidR="00BB1F72">
        <w:rPr>
          <w:bCs/>
          <w:sz w:val="20"/>
          <w:szCs w:val="20"/>
        </w:rPr>
        <w:tab/>
      </w:r>
      <w:r w:rsidRPr="00B040D4">
        <w:rPr>
          <w:bCs/>
          <w:sz w:val="20"/>
          <w:szCs w:val="20"/>
        </w:rPr>
        <w:t xml:space="preserve">The State also highlights that the petitioner himself has provided information on the multiple steps taken by the alleged victims to assert their allegations and defenses regarding the qualifying process, which contradicts the allegation regarding lack of access to justice. </w:t>
      </w:r>
      <w:r w:rsidR="00E00BE7">
        <w:rPr>
          <w:bCs/>
          <w:sz w:val="20"/>
          <w:szCs w:val="20"/>
        </w:rPr>
        <w:t>It</w:t>
      </w:r>
      <w:r w:rsidRPr="00B040D4">
        <w:rPr>
          <w:bCs/>
          <w:sz w:val="20"/>
          <w:szCs w:val="20"/>
        </w:rPr>
        <w:t xml:space="preserve"> adds that </w:t>
      </w:r>
      <w:r w:rsidR="00E00BE7">
        <w:rPr>
          <w:bCs/>
          <w:sz w:val="20"/>
          <w:szCs w:val="20"/>
        </w:rPr>
        <w:t>the petitioner</w:t>
      </w:r>
      <w:r w:rsidRPr="00B040D4">
        <w:rPr>
          <w:bCs/>
          <w:sz w:val="20"/>
          <w:szCs w:val="20"/>
        </w:rPr>
        <w:t xml:space="preserve"> has not presented specific evidence or information to substantiate his allegations regarding the lack of independence or compromised interests with respect to those who </w:t>
      </w:r>
      <w:r w:rsidR="002122E4">
        <w:rPr>
          <w:bCs/>
          <w:sz w:val="20"/>
          <w:szCs w:val="20"/>
        </w:rPr>
        <w:t>were part of</w:t>
      </w:r>
      <w:r w:rsidRPr="00B040D4">
        <w:rPr>
          <w:bCs/>
          <w:sz w:val="20"/>
          <w:szCs w:val="20"/>
        </w:rPr>
        <w:t xml:space="preserve"> the Supreme Court at the time of the events; that the director of the Administrative Corporation of the Judiciary treated the alleged victims in a humiliating manner by denying them their alleged reinstatement; or that institutional legal advice was granted to the superiors of the alleged victims to the detriment of their right to equality. In addition, it indicates that the petitioner does not substantiate the alleged illegalities to avoid complying with the ruling issued by the Third Chamber, and that the </w:t>
      </w:r>
      <w:r w:rsidRPr="002122E4">
        <w:rPr>
          <w:bCs/>
          <w:sz w:val="20"/>
          <w:szCs w:val="20"/>
        </w:rPr>
        <w:t>incorrectness</w:t>
      </w:r>
      <w:r w:rsidRPr="00B040D4">
        <w:rPr>
          <w:bCs/>
          <w:sz w:val="20"/>
          <w:szCs w:val="20"/>
        </w:rPr>
        <w:t xml:space="preserve"> of this information is demonstrated by the fact that the alleged victims were reevaluated by the Superior Council and again included in the list of deficient.</w:t>
      </w:r>
    </w:p>
    <w:p w14:paraId="0F45A76E" w14:textId="6C5A10CD" w:rsidR="00B040D4" w:rsidRPr="00B040D4" w:rsidRDefault="00B040D4" w:rsidP="00B040D4">
      <w:pPr>
        <w:pStyle w:val="ListParagraph"/>
        <w:tabs>
          <w:tab w:val="num" w:pos="720"/>
        </w:tabs>
        <w:suppressAutoHyphens/>
        <w:spacing w:before="240" w:after="240"/>
        <w:ind w:left="0" w:firstLine="720"/>
        <w:jc w:val="both"/>
        <w:rPr>
          <w:bCs/>
          <w:sz w:val="20"/>
          <w:szCs w:val="20"/>
        </w:rPr>
      </w:pPr>
      <w:r w:rsidRPr="00B040D4">
        <w:rPr>
          <w:bCs/>
          <w:sz w:val="20"/>
          <w:szCs w:val="20"/>
        </w:rPr>
        <w:t xml:space="preserve">14. </w:t>
      </w:r>
      <w:r w:rsidR="00BB1F72">
        <w:rPr>
          <w:bCs/>
          <w:sz w:val="20"/>
          <w:szCs w:val="20"/>
        </w:rPr>
        <w:tab/>
      </w:r>
      <w:r w:rsidRPr="00B040D4">
        <w:rPr>
          <w:bCs/>
          <w:sz w:val="20"/>
          <w:szCs w:val="20"/>
        </w:rPr>
        <w:t xml:space="preserve">It also states that the petition refers to rights contemplated in Articles 6 and 7 of the Protocol of San Salvador. It highlights that said instrument has not been ratified by Chile and that, in any case, it does not grant the IACHR competence to hear petitions regarding rights other than </w:t>
      </w:r>
      <w:r w:rsidR="00C2189D">
        <w:rPr>
          <w:bCs/>
          <w:sz w:val="20"/>
          <w:szCs w:val="20"/>
        </w:rPr>
        <w:t xml:space="preserve">the right to </w:t>
      </w:r>
      <w:r w:rsidRPr="00B040D4">
        <w:rPr>
          <w:bCs/>
          <w:sz w:val="20"/>
          <w:szCs w:val="20"/>
        </w:rPr>
        <w:t xml:space="preserve">education or trade union rights. It also cites and shares the criteria issued by Judge Sierra Porto of the Inter-American Court in his concurring vote in the case of Poblete Vilches et al. </w:t>
      </w:r>
      <w:r w:rsidR="00C2189D">
        <w:rPr>
          <w:bCs/>
          <w:sz w:val="20"/>
          <w:szCs w:val="20"/>
        </w:rPr>
        <w:t>v.</w:t>
      </w:r>
      <w:r w:rsidRPr="00B040D4">
        <w:rPr>
          <w:bCs/>
          <w:sz w:val="20"/>
          <w:szCs w:val="20"/>
        </w:rPr>
        <w:t xml:space="preserve"> Chile, in the sense that Article 26 of the American Convention does not contain a catalog of clear and precise rights that allows the derivation of obligations enforceable from the States through the </w:t>
      </w:r>
      <w:r w:rsidR="00C2189D">
        <w:rPr>
          <w:bCs/>
          <w:sz w:val="20"/>
          <w:szCs w:val="20"/>
        </w:rPr>
        <w:t xml:space="preserve">individual </w:t>
      </w:r>
      <w:r w:rsidRPr="00B040D4">
        <w:rPr>
          <w:bCs/>
          <w:sz w:val="20"/>
          <w:szCs w:val="20"/>
        </w:rPr>
        <w:t>petitions</w:t>
      </w:r>
      <w:r w:rsidR="00C2189D">
        <w:rPr>
          <w:bCs/>
          <w:sz w:val="20"/>
          <w:szCs w:val="20"/>
        </w:rPr>
        <w:t xml:space="preserve"> system</w:t>
      </w:r>
      <w:r w:rsidRPr="00B040D4">
        <w:rPr>
          <w:bCs/>
          <w:sz w:val="20"/>
          <w:szCs w:val="20"/>
        </w:rPr>
        <w:t xml:space="preserve">. It maintains that the petition should be inadmissible due to the lack of competence </w:t>
      </w:r>
      <w:r w:rsidRPr="00C2189D">
        <w:rPr>
          <w:bCs/>
          <w:i/>
          <w:iCs/>
          <w:sz w:val="20"/>
          <w:szCs w:val="20"/>
        </w:rPr>
        <w:t>ratione materiae</w:t>
      </w:r>
      <w:r w:rsidRPr="00B040D4">
        <w:rPr>
          <w:bCs/>
          <w:sz w:val="20"/>
          <w:szCs w:val="20"/>
        </w:rPr>
        <w:t xml:space="preserve"> of the IACHR to hear alleged violations of Article 26 of the American Convention.</w:t>
      </w:r>
    </w:p>
    <w:p w14:paraId="3FE6F5AE" w14:textId="34467C71" w:rsidR="004C616A" w:rsidRPr="00D66BEA"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rPr>
      </w:pPr>
      <w:r w:rsidRPr="00D66BEA">
        <w:rPr>
          <w:rFonts w:asciiTheme="majorHAnsi" w:hAnsiTheme="majorHAnsi"/>
          <w:b/>
          <w:bCs/>
          <w:sz w:val="20"/>
          <w:szCs w:val="20"/>
        </w:rPr>
        <w:t xml:space="preserve">VI. </w:t>
      </w:r>
      <w:r w:rsidRPr="00D66BEA">
        <w:rPr>
          <w:rFonts w:asciiTheme="majorHAnsi" w:hAnsiTheme="majorHAnsi"/>
          <w:b/>
          <w:bCs/>
          <w:sz w:val="20"/>
          <w:szCs w:val="20"/>
        </w:rPr>
        <w:tab/>
      </w:r>
      <w:r w:rsidR="00F52E62" w:rsidRPr="00D66BEA">
        <w:rPr>
          <w:rFonts w:asciiTheme="majorHAnsi" w:hAnsiTheme="majorHAnsi"/>
          <w:b/>
          <w:bCs/>
          <w:sz w:val="20"/>
          <w:szCs w:val="20"/>
        </w:rPr>
        <w:t>EXHAUSTION OF DOMESTIC REMEDIES AND TIMELINESS OF THE PETITION</w:t>
      </w:r>
    </w:p>
    <w:p w14:paraId="34BA7ECF" w14:textId="56437651" w:rsidR="00C2189D" w:rsidRDefault="00C2189D" w:rsidP="00C2189D">
      <w:pPr>
        <w:pStyle w:val="ListParagraph"/>
        <w:tabs>
          <w:tab w:val="num" w:pos="720"/>
        </w:tabs>
        <w:suppressAutoHyphens/>
        <w:spacing w:before="240" w:after="240"/>
        <w:ind w:left="0" w:firstLine="720"/>
        <w:jc w:val="both"/>
        <w:rPr>
          <w:bCs/>
          <w:sz w:val="20"/>
          <w:szCs w:val="20"/>
        </w:rPr>
      </w:pPr>
      <w:r>
        <w:rPr>
          <w:bCs/>
          <w:sz w:val="20"/>
          <w:szCs w:val="20"/>
        </w:rPr>
        <w:t xml:space="preserve">15. </w:t>
      </w:r>
      <w:r w:rsidR="00BB1F72">
        <w:rPr>
          <w:bCs/>
          <w:sz w:val="20"/>
          <w:szCs w:val="20"/>
        </w:rPr>
        <w:tab/>
      </w:r>
      <w:r w:rsidRPr="00C2189D">
        <w:rPr>
          <w:bCs/>
          <w:sz w:val="20"/>
          <w:szCs w:val="20"/>
        </w:rPr>
        <w:t xml:space="preserve">The petitioner has detailed various remedies filed in the domestic sphere to remedy the grievances he denounces. In turn, the State has not submitted observations regarding compliance with the requirements of exhaustion of domestic remedies and </w:t>
      </w:r>
      <w:r>
        <w:rPr>
          <w:bCs/>
          <w:sz w:val="20"/>
          <w:szCs w:val="20"/>
        </w:rPr>
        <w:t xml:space="preserve">its </w:t>
      </w:r>
      <w:r w:rsidRPr="00C2189D">
        <w:rPr>
          <w:bCs/>
          <w:sz w:val="20"/>
          <w:szCs w:val="20"/>
        </w:rPr>
        <w:t xml:space="preserve">submission within the </w:t>
      </w:r>
      <w:r w:rsidR="002122E4">
        <w:rPr>
          <w:bCs/>
          <w:sz w:val="20"/>
          <w:szCs w:val="20"/>
        </w:rPr>
        <w:t xml:space="preserve">set </w:t>
      </w:r>
      <w:r w:rsidRPr="00C2189D">
        <w:rPr>
          <w:bCs/>
          <w:sz w:val="20"/>
          <w:szCs w:val="20"/>
        </w:rPr>
        <w:t>term.</w:t>
      </w:r>
    </w:p>
    <w:p w14:paraId="70D9DD87" w14:textId="751EE65A" w:rsidR="00C2189D" w:rsidRPr="00C2189D" w:rsidRDefault="00C2189D" w:rsidP="00C2189D">
      <w:pPr>
        <w:pStyle w:val="ListParagraph"/>
        <w:tabs>
          <w:tab w:val="num" w:pos="720"/>
        </w:tabs>
        <w:suppressAutoHyphens/>
        <w:spacing w:before="240" w:after="240"/>
        <w:ind w:left="0" w:firstLine="720"/>
        <w:jc w:val="both"/>
        <w:rPr>
          <w:bCs/>
          <w:sz w:val="20"/>
          <w:szCs w:val="20"/>
        </w:rPr>
      </w:pPr>
      <w:r>
        <w:rPr>
          <w:bCs/>
          <w:sz w:val="20"/>
          <w:szCs w:val="20"/>
        </w:rPr>
        <w:t xml:space="preserve">16. </w:t>
      </w:r>
      <w:r w:rsidR="00BB1F72">
        <w:rPr>
          <w:bCs/>
          <w:sz w:val="20"/>
          <w:szCs w:val="20"/>
        </w:rPr>
        <w:tab/>
      </w:r>
      <w:r w:rsidRPr="00C2189D">
        <w:rPr>
          <w:bCs/>
          <w:sz w:val="20"/>
          <w:szCs w:val="20"/>
        </w:rPr>
        <w:t>The alleged victims presented a</w:t>
      </w:r>
      <w:r w:rsidR="002122E4">
        <w:rPr>
          <w:bCs/>
          <w:sz w:val="20"/>
          <w:szCs w:val="20"/>
        </w:rPr>
        <w:t>n appeal for protection</w:t>
      </w:r>
      <w:r w:rsidRPr="00C2189D">
        <w:rPr>
          <w:bCs/>
          <w:sz w:val="20"/>
          <w:szCs w:val="20"/>
        </w:rPr>
        <w:t xml:space="preserve"> to denounce acts of labor harassment against them, a remedy that was rejected in the first instance, but later granted in the last instance. However, before said favorable judgment was issued, the alleged victims were subjected to an evaluation where they received a poor rating that would result in their dismissal from the position they held, and a temporary disqualification from exercising public service.</w:t>
      </w:r>
    </w:p>
    <w:p w14:paraId="71147AA7" w14:textId="3D77FE3C" w:rsidR="00C2189D" w:rsidRPr="00C2189D" w:rsidRDefault="00C2189D" w:rsidP="00C2189D">
      <w:pPr>
        <w:pStyle w:val="ListParagraph"/>
        <w:tabs>
          <w:tab w:val="num" w:pos="720"/>
        </w:tabs>
        <w:suppressAutoHyphens/>
        <w:spacing w:before="240" w:after="240"/>
        <w:ind w:left="0" w:firstLine="720"/>
        <w:jc w:val="both"/>
        <w:rPr>
          <w:bCs/>
          <w:sz w:val="20"/>
          <w:szCs w:val="20"/>
        </w:rPr>
      </w:pPr>
      <w:r w:rsidRPr="00C2189D">
        <w:rPr>
          <w:bCs/>
          <w:sz w:val="20"/>
          <w:szCs w:val="20"/>
        </w:rPr>
        <w:t xml:space="preserve">17. </w:t>
      </w:r>
      <w:r w:rsidR="00BB1F72">
        <w:rPr>
          <w:bCs/>
          <w:sz w:val="20"/>
          <w:szCs w:val="20"/>
        </w:rPr>
        <w:tab/>
      </w:r>
      <w:r w:rsidRPr="00C2189D">
        <w:rPr>
          <w:bCs/>
          <w:sz w:val="20"/>
          <w:szCs w:val="20"/>
        </w:rPr>
        <w:t xml:space="preserve">The alleged victims tried to avoid these consequences, which they considered </w:t>
      </w:r>
      <w:r>
        <w:rPr>
          <w:bCs/>
          <w:sz w:val="20"/>
          <w:szCs w:val="20"/>
        </w:rPr>
        <w:t>violated</w:t>
      </w:r>
      <w:r w:rsidRPr="00C2189D">
        <w:rPr>
          <w:bCs/>
          <w:sz w:val="20"/>
          <w:szCs w:val="20"/>
        </w:rPr>
        <w:t xml:space="preserve"> their rights, in two ways. On the one hand, they challenged the qualifying act by means of invalidation appeals with subsidy appeal; and finally, by means of an extraordinary appeal for review that was rejected by the plenary session of the Supreme Court of Justice on June 9, 2015. On the other hand, they requested compliance with the judgment in their favor with the argument that the qualification and subsequent </w:t>
      </w:r>
      <w:r>
        <w:rPr>
          <w:bCs/>
          <w:sz w:val="20"/>
          <w:szCs w:val="20"/>
        </w:rPr>
        <w:t>dismissal</w:t>
      </w:r>
      <w:r w:rsidRPr="00C2189D">
        <w:rPr>
          <w:bCs/>
          <w:sz w:val="20"/>
          <w:szCs w:val="20"/>
        </w:rPr>
        <w:t xml:space="preserve"> were contrary to the provisions of said judgment; </w:t>
      </w:r>
      <w:r>
        <w:rPr>
          <w:bCs/>
          <w:sz w:val="20"/>
          <w:szCs w:val="20"/>
        </w:rPr>
        <w:t>t</w:t>
      </w:r>
      <w:r w:rsidRPr="00C2189D">
        <w:rPr>
          <w:bCs/>
          <w:sz w:val="20"/>
          <w:szCs w:val="20"/>
        </w:rPr>
        <w:t>he request was definitively rejected by the Supreme Court of Justice on June 12, 2015. The State has not disputed, nor does it appear from the file, that the remedies filed by the alleged victims were not appropriate to raise their claims in the domestic sphere</w:t>
      </w:r>
      <w:r>
        <w:rPr>
          <w:bCs/>
          <w:sz w:val="20"/>
          <w:szCs w:val="20"/>
        </w:rPr>
        <w:t>,</w:t>
      </w:r>
      <w:r w:rsidRPr="00C2189D">
        <w:rPr>
          <w:bCs/>
          <w:sz w:val="20"/>
          <w:szCs w:val="20"/>
        </w:rPr>
        <w:t xml:space="preserve"> nor that there were additional unexpired resources that could be suitable for this purpose. Consequently, the IACHR considers that domestic remedies </w:t>
      </w:r>
      <w:r w:rsidRPr="00C2189D">
        <w:rPr>
          <w:bCs/>
          <w:sz w:val="20"/>
          <w:szCs w:val="20"/>
        </w:rPr>
        <w:lastRenderedPageBreak/>
        <w:t>have been exhausted with respect to the subject of this petition with the decision that definitively rejected the request for compliance with the judgment.</w:t>
      </w:r>
    </w:p>
    <w:p w14:paraId="082D7B43" w14:textId="3F61213C" w:rsidR="008C5751" w:rsidRPr="00C2189D" w:rsidRDefault="00C2189D" w:rsidP="00C2189D">
      <w:pPr>
        <w:pStyle w:val="ListParagraph"/>
        <w:tabs>
          <w:tab w:val="num" w:pos="720"/>
        </w:tabs>
        <w:suppressAutoHyphens/>
        <w:spacing w:before="240" w:after="240"/>
        <w:ind w:left="0" w:firstLine="720"/>
        <w:jc w:val="both"/>
        <w:rPr>
          <w:bCs/>
          <w:sz w:val="20"/>
          <w:szCs w:val="20"/>
        </w:rPr>
      </w:pPr>
      <w:r w:rsidRPr="00C2189D">
        <w:rPr>
          <w:bCs/>
          <w:sz w:val="20"/>
          <w:szCs w:val="20"/>
        </w:rPr>
        <w:t xml:space="preserve">18. </w:t>
      </w:r>
      <w:r w:rsidR="00BB1F72">
        <w:rPr>
          <w:bCs/>
          <w:sz w:val="20"/>
          <w:szCs w:val="20"/>
        </w:rPr>
        <w:tab/>
      </w:r>
      <w:r w:rsidRPr="00C2189D">
        <w:rPr>
          <w:bCs/>
          <w:sz w:val="20"/>
          <w:szCs w:val="20"/>
        </w:rPr>
        <w:t xml:space="preserve">Given that the final decision of the domestic jurisdiction was issued on June 12, 2015, and the petition was filed on March 25, 2014, the IACHR concludes that the petition meets the requirements of Article 46.1 (a) and </w:t>
      </w:r>
      <w:r w:rsidR="002122E4">
        <w:rPr>
          <w:bCs/>
          <w:sz w:val="20"/>
          <w:szCs w:val="20"/>
        </w:rPr>
        <w:t>(</w:t>
      </w:r>
      <w:r w:rsidRPr="00C2189D">
        <w:rPr>
          <w:bCs/>
          <w:sz w:val="20"/>
          <w:szCs w:val="20"/>
        </w:rPr>
        <w:t>b) of the American Convention.</w:t>
      </w:r>
    </w:p>
    <w:p w14:paraId="7090A929" w14:textId="35ABA0D3" w:rsidR="00F04591" w:rsidRPr="00601198" w:rsidRDefault="00F04591" w:rsidP="00647756">
      <w:pPr>
        <w:pStyle w:val="ListParagraph"/>
        <w:spacing w:before="120" w:after="120"/>
        <w:jc w:val="both"/>
        <w:rPr>
          <w:rFonts w:asciiTheme="majorHAnsi" w:hAnsiTheme="majorHAnsi"/>
          <w:b/>
          <w:bCs/>
          <w:sz w:val="20"/>
          <w:szCs w:val="20"/>
        </w:rPr>
      </w:pPr>
      <w:r w:rsidRPr="00601198">
        <w:rPr>
          <w:rFonts w:asciiTheme="majorHAnsi" w:hAnsiTheme="majorHAnsi"/>
          <w:b/>
          <w:bCs/>
          <w:sz w:val="20"/>
          <w:szCs w:val="20"/>
        </w:rPr>
        <w:t>V</w:t>
      </w:r>
      <w:r w:rsidR="000E2789" w:rsidRPr="00601198">
        <w:rPr>
          <w:rFonts w:asciiTheme="majorHAnsi" w:hAnsiTheme="majorHAnsi"/>
          <w:b/>
          <w:bCs/>
          <w:sz w:val="20"/>
          <w:szCs w:val="20"/>
        </w:rPr>
        <w:t>I</w:t>
      </w:r>
      <w:r w:rsidRPr="00601198">
        <w:rPr>
          <w:rFonts w:asciiTheme="majorHAnsi" w:hAnsiTheme="majorHAnsi"/>
          <w:b/>
          <w:bCs/>
          <w:sz w:val="20"/>
          <w:szCs w:val="20"/>
        </w:rPr>
        <w:t xml:space="preserve">I. </w:t>
      </w:r>
      <w:r w:rsidRPr="00601198">
        <w:rPr>
          <w:rFonts w:asciiTheme="majorHAnsi" w:hAnsiTheme="majorHAnsi"/>
          <w:b/>
          <w:bCs/>
          <w:sz w:val="20"/>
          <w:szCs w:val="20"/>
        </w:rPr>
        <w:tab/>
      </w:r>
      <w:r w:rsidR="006537FD" w:rsidRPr="00601198">
        <w:rPr>
          <w:rFonts w:asciiTheme="majorHAnsi" w:hAnsiTheme="majorHAnsi"/>
          <w:b/>
          <w:bCs/>
          <w:sz w:val="20"/>
          <w:szCs w:val="20"/>
        </w:rPr>
        <w:t>COLORABLE CLAIM</w:t>
      </w:r>
    </w:p>
    <w:p w14:paraId="4B6C9607" w14:textId="0C44C1AF" w:rsidR="00601198" w:rsidRPr="00601198" w:rsidRDefault="00601198" w:rsidP="00601198">
      <w:pPr>
        <w:pStyle w:val="ListParagraph"/>
        <w:tabs>
          <w:tab w:val="num" w:pos="720"/>
        </w:tabs>
        <w:suppressAutoHyphens/>
        <w:spacing w:before="240" w:after="240"/>
        <w:ind w:left="0" w:firstLine="720"/>
        <w:jc w:val="both"/>
        <w:rPr>
          <w:bCs/>
          <w:sz w:val="20"/>
          <w:szCs w:val="20"/>
        </w:rPr>
      </w:pPr>
      <w:r w:rsidRPr="00601198">
        <w:rPr>
          <w:bCs/>
          <w:sz w:val="20"/>
          <w:szCs w:val="20"/>
        </w:rPr>
        <w:t xml:space="preserve">19. </w:t>
      </w:r>
      <w:r w:rsidR="00BB1F72">
        <w:rPr>
          <w:bCs/>
          <w:sz w:val="20"/>
          <w:szCs w:val="20"/>
        </w:rPr>
        <w:tab/>
      </w:r>
      <w:r w:rsidRPr="00601198">
        <w:rPr>
          <w:bCs/>
          <w:sz w:val="20"/>
          <w:szCs w:val="20"/>
        </w:rPr>
        <w:t>Regarding the allegations of the State, it has presented allegations referring to the so-called “fourth instance</w:t>
      </w:r>
      <w:r w:rsidR="000403DC">
        <w:rPr>
          <w:bCs/>
          <w:sz w:val="20"/>
          <w:szCs w:val="20"/>
        </w:rPr>
        <w:t xml:space="preserve"> formula</w:t>
      </w:r>
      <w:r w:rsidRPr="00601198">
        <w:rPr>
          <w:bCs/>
          <w:sz w:val="20"/>
          <w:szCs w:val="20"/>
        </w:rPr>
        <w:t>”</w:t>
      </w:r>
      <w:r w:rsidR="000403DC">
        <w:rPr>
          <w:bCs/>
          <w:sz w:val="20"/>
          <w:szCs w:val="20"/>
        </w:rPr>
        <w:t>,</w:t>
      </w:r>
      <w:r w:rsidRPr="00601198">
        <w:rPr>
          <w:bCs/>
          <w:sz w:val="20"/>
          <w:szCs w:val="20"/>
        </w:rPr>
        <w:t xml:space="preserve"> for the purposes of admissibility, the Inter-American Commission must decide whether the alleged facts may characterize a</w:t>
      </w:r>
      <w:r w:rsidR="000403DC">
        <w:rPr>
          <w:bCs/>
          <w:sz w:val="20"/>
          <w:szCs w:val="20"/>
        </w:rPr>
        <w:t>s</w:t>
      </w:r>
      <w:r w:rsidRPr="00601198">
        <w:rPr>
          <w:bCs/>
          <w:sz w:val="20"/>
          <w:szCs w:val="20"/>
        </w:rPr>
        <w:t xml:space="preserve"> violation of rights</w:t>
      </w:r>
      <w:r w:rsidR="000403DC">
        <w:rPr>
          <w:bCs/>
          <w:sz w:val="20"/>
          <w:szCs w:val="20"/>
        </w:rPr>
        <w:t xml:space="preserve"> according to</w:t>
      </w:r>
      <w:r w:rsidRPr="00601198">
        <w:rPr>
          <w:bCs/>
          <w:sz w:val="20"/>
          <w:szCs w:val="20"/>
        </w:rPr>
        <w:t xml:space="preserve"> Article 47 (b) of the American Convention, or if the petition is manifestly unfounded or its total inadmissibility is evident, pursuant to subsection (c) of said article. The criter</w:t>
      </w:r>
      <w:r w:rsidR="00293644">
        <w:rPr>
          <w:bCs/>
          <w:sz w:val="20"/>
          <w:szCs w:val="20"/>
        </w:rPr>
        <w:t>ion</w:t>
      </w:r>
      <w:r w:rsidRPr="00601198">
        <w:rPr>
          <w:bCs/>
          <w:sz w:val="20"/>
          <w:szCs w:val="20"/>
        </w:rPr>
        <w:t xml:space="preserve"> for evaluating these requirements differs from th</w:t>
      </w:r>
      <w:r w:rsidR="00293644">
        <w:rPr>
          <w:bCs/>
          <w:sz w:val="20"/>
          <w:szCs w:val="20"/>
        </w:rPr>
        <w:t>at</w:t>
      </w:r>
      <w:r w:rsidRPr="00601198">
        <w:rPr>
          <w:bCs/>
          <w:sz w:val="20"/>
          <w:szCs w:val="20"/>
        </w:rPr>
        <w:t xml:space="preserve"> used to rule on the merits of a petition. Likewise, within the framework of its mandate, the IACHR is competent to declare a petition admissible when it refers to internal proceedings that could violate rights guaranteed by the American Convention. In other words, according to the aforementioned conventional norms, in accordance with Article 34 of its Regulations, the admissibility analysis focuses on the verification of such requirements, which refer to the existence of elements that, if true, could constitute </w:t>
      </w:r>
      <w:r w:rsidRPr="000403DC">
        <w:rPr>
          <w:bCs/>
          <w:i/>
          <w:iCs/>
          <w:sz w:val="20"/>
          <w:szCs w:val="20"/>
        </w:rPr>
        <w:t>prima facie</w:t>
      </w:r>
      <w:r w:rsidRPr="00601198">
        <w:rPr>
          <w:bCs/>
          <w:sz w:val="20"/>
          <w:szCs w:val="20"/>
        </w:rPr>
        <w:t xml:space="preserve"> violations of the American Convention.</w:t>
      </w:r>
      <w:r w:rsidR="000403DC">
        <w:rPr>
          <w:rStyle w:val="FootnoteReference"/>
          <w:bCs/>
          <w:sz w:val="20"/>
          <w:szCs w:val="20"/>
        </w:rPr>
        <w:footnoteReference w:id="5"/>
      </w:r>
    </w:p>
    <w:p w14:paraId="60E8BA5E" w14:textId="44C7039B" w:rsidR="00836A5A" w:rsidRDefault="00601198" w:rsidP="00601198">
      <w:pPr>
        <w:pStyle w:val="ListParagraph"/>
        <w:tabs>
          <w:tab w:val="num" w:pos="720"/>
        </w:tabs>
        <w:suppressAutoHyphens/>
        <w:spacing w:before="240" w:after="240"/>
        <w:ind w:left="0" w:firstLine="720"/>
        <w:jc w:val="both"/>
        <w:rPr>
          <w:bCs/>
          <w:sz w:val="20"/>
          <w:szCs w:val="20"/>
        </w:rPr>
      </w:pPr>
      <w:r w:rsidRPr="00601198">
        <w:rPr>
          <w:bCs/>
          <w:sz w:val="20"/>
          <w:szCs w:val="20"/>
        </w:rPr>
        <w:t xml:space="preserve">20. </w:t>
      </w:r>
      <w:r w:rsidR="00BB1F72">
        <w:rPr>
          <w:bCs/>
          <w:sz w:val="20"/>
          <w:szCs w:val="20"/>
        </w:rPr>
        <w:tab/>
      </w:r>
      <w:r w:rsidRPr="00601198">
        <w:rPr>
          <w:bCs/>
          <w:sz w:val="20"/>
          <w:szCs w:val="20"/>
        </w:rPr>
        <w:t xml:space="preserve">The petitioner denounces that the alleged victims were subjected to workplace harassment, </w:t>
      </w:r>
      <w:r w:rsidR="000403DC">
        <w:rPr>
          <w:bCs/>
          <w:sz w:val="20"/>
          <w:szCs w:val="20"/>
        </w:rPr>
        <w:t xml:space="preserve">to </w:t>
      </w:r>
      <w:r w:rsidRPr="00601198">
        <w:rPr>
          <w:bCs/>
          <w:sz w:val="20"/>
          <w:szCs w:val="20"/>
        </w:rPr>
        <w:t xml:space="preserve">humiliating and discriminatory treatment, </w:t>
      </w:r>
      <w:r w:rsidR="000403DC">
        <w:rPr>
          <w:bCs/>
          <w:sz w:val="20"/>
          <w:szCs w:val="20"/>
        </w:rPr>
        <w:t xml:space="preserve">were </w:t>
      </w:r>
      <w:r w:rsidRPr="00601198">
        <w:rPr>
          <w:bCs/>
          <w:sz w:val="20"/>
          <w:szCs w:val="20"/>
        </w:rPr>
        <w:t>dismis</w:t>
      </w:r>
      <w:r w:rsidR="000403DC">
        <w:rPr>
          <w:bCs/>
          <w:sz w:val="20"/>
          <w:szCs w:val="20"/>
        </w:rPr>
        <w:t>sed</w:t>
      </w:r>
      <w:r w:rsidRPr="00601198">
        <w:rPr>
          <w:bCs/>
          <w:sz w:val="20"/>
          <w:szCs w:val="20"/>
        </w:rPr>
        <w:t xml:space="preserve"> from their positions and </w:t>
      </w:r>
      <w:r w:rsidR="000403DC">
        <w:rPr>
          <w:bCs/>
          <w:sz w:val="20"/>
          <w:szCs w:val="20"/>
        </w:rPr>
        <w:t>suffer</w:t>
      </w:r>
      <w:r w:rsidR="00293644">
        <w:rPr>
          <w:bCs/>
          <w:sz w:val="20"/>
          <w:szCs w:val="20"/>
        </w:rPr>
        <w:t>ed</w:t>
      </w:r>
      <w:r w:rsidR="000403DC">
        <w:rPr>
          <w:bCs/>
          <w:sz w:val="20"/>
          <w:szCs w:val="20"/>
        </w:rPr>
        <w:t xml:space="preserve"> </w:t>
      </w:r>
      <w:r w:rsidRPr="00601198">
        <w:rPr>
          <w:bCs/>
          <w:sz w:val="20"/>
          <w:szCs w:val="20"/>
        </w:rPr>
        <w:t xml:space="preserve">temporary disqualification from exercising public service in retaliation for having obstructed the commission of irregular acts in the institution for which they worked. That explains the reasons why </w:t>
      </w:r>
      <w:r w:rsidR="000403DC">
        <w:rPr>
          <w:bCs/>
          <w:sz w:val="20"/>
          <w:szCs w:val="20"/>
        </w:rPr>
        <w:t>the petitioner</w:t>
      </w:r>
      <w:r w:rsidRPr="00601198">
        <w:rPr>
          <w:bCs/>
          <w:sz w:val="20"/>
          <w:szCs w:val="20"/>
        </w:rPr>
        <w:t xml:space="preserve"> considers that the authorities that heard the remedies filed by the alleged victims did not comply with the objective guarantees of impartiality, reasons that the Inter-American Commission does not find manifestly unfounded either.</w:t>
      </w:r>
    </w:p>
    <w:p w14:paraId="18235898" w14:textId="76FEA46A" w:rsidR="00AE4153" w:rsidRPr="00940B09" w:rsidRDefault="00774D6A" w:rsidP="00940B09">
      <w:pPr>
        <w:pStyle w:val="ListParagraph"/>
        <w:tabs>
          <w:tab w:val="num" w:pos="720"/>
        </w:tabs>
        <w:suppressAutoHyphens/>
        <w:spacing w:before="240" w:after="240"/>
        <w:ind w:left="0" w:firstLine="720"/>
        <w:jc w:val="both"/>
        <w:rPr>
          <w:bCs/>
          <w:sz w:val="20"/>
          <w:szCs w:val="20"/>
        </w:rPr>
      </w:pPr>
      <w:r>
        <w:rPr>
          <w:bCs/>
          <w:sz w:val="20"/>
          <w:szCs w:val="20"/>
        </w:rPr>
        <w:t xml:space="preserve">21. </w:t>
      </w:r>
      <w:r w:rsidR="00BB1F72">
        <w:rPr>
          <w:bCs/>
          <w:sz w:val="20"/>
          <w:szCs w:val="20"/>
        </w:rPr>
        <w:tab/>
      </w:r>
      <w:r w:rsidRPr="00774D6A">
        <w:rPr>
          <w:bCs/>
          <w:sz w:val="20"/>
          <w:szCs w:val="20"/>
        </w:rPr>
        <w:t xml:space="preserve">When </w:t>
      </w:r>
      <w:r w:rsidR="00BB1F72" w:rsidRPr="00774D6A">
        <w:rPr>
          <w:bCs/>
          <w:sz w:val="20"/>
          <w:szCs w:val="20"/>
        </w:rPr>
        <w:t>considering</w:t>
      </w:r>
      <w:r w:rsidRPr="00774D6A">
        <w:rPr>
          <w:bCs/>
          <w:sz w:val="20"/>
          <w:szCs w:val="20"/>
        </w:rPr>
        <w:t xml:space="preserve"> the information provided by the parties and analyzing the context in which the events denounced would have occurred in light of sound criticism, the Inter-American Commission establishes </w:t>
      </w:r>
      <w:r w:rsidRPr="00293644">
        <w:rPr>
          <w:bCs/>
          <w:i/>
          <w:iCs/>
          <w:sz w:val="20"/>
          <w:szCs w:val="20"/>
        </w:rPr>
        <w:t>prima facie</w:t>
      </w:r>
      <w:r w:rsidRPr="00774D6A">
        <w:rPr>
          <w:bCs/>
          <w:sz w:val="20"/>
          <w:szCs w:val="20"/>
        </w:rPr>
        <w:t xml:space="preserve"> that the events are not manifestly unfounded and require an analysis o</w:t>
      </w:r>
      <w:r>
        <w:rPr>
          <w:bCs/>
          <w:sz w:val="20"/>
          <w:szCs w:val="20"/>
        </w:rPr>
        <w:t>n the merits</w:t>
      </w:r>
      <w:r w:rsidRPr="00774D6A">
        <w:rPr>
          <w:bCs/>
          <w:sz w:val="20"/>
          <w:szCs w:val="20"/>
        </w:rPr>
        <w:t>. In this sense, the IACHR agrees with the criter</w:t>
      </w:r>
      <w:r w:rsidR="00293644">
        <w:rPr>
          <w:bCs/>
          <w:sz w:val="20"/>
          <w:szCs w:val="20"/>
        </w:rPr>
        <w:t>ion</w:t>
      </w:r>
      <w:r w:rsidRPr="00774D6A">
        <w:rPr>
          <w:bCs/>
          <w:sz w:val="20"/>
          <w:szCs w:val="20"/>
        </w:rPr>
        <w:t xml:space="preserve"> according to which, persons who disclose information on violations of laws or serious cases of mismanagement of public bodies</w:t>
      </w:r>
      <w:r w:rsidR="009479E1">
        <w:rPr>
          <w:bCs/>
          <w:sz w:val="20"/>
          <w:szCs w:val="20"/>
        </w:rPr>
        <w:t xml:space="preserve"> “</w:t>
      </w:r>
      <w:r w:rsidR="009479E1" w:rsidRPr="00AE4153">
        <w:rPr>
          <w:bCs/>
          <w:sz w:val="20"/>
          <w:szCs w:val="20"/>
        </w:rPr>
        <w:t>should be protected against legal, administrative or employment-related sanctions if they act in “good faith”.</w:t>
      </w:r>
      <w:r w:rsidR="009479E1" w:rsidRPr="00AE4153">
        <w:rPr>
          <w:bCs/>
          <w:sz w:val="20"/>
          <w:szCs w:val="20"/>
          <w:vertAlign w:val="superscript"/>
        </w:rPr>
        <w:footnoteReference w:id="6"/>
      </w:r>
      <w:r w:rsidR="004965CD" w:rsidRPr="00AE4153">
        <w:rPr>
          <w:bCs/>
          <w:sz w:val="20"/>
          <w:szCs w:val="20"/>
        </w:rPr>
        <w:t xml:space="preserve"> On the other hand, the Inter-American Court has determined that the right to an impartial tribunal requires that it offer “</w:t>
      </w:r>
      <w:r w:rsidR="004965CD" w:rsidRPr="004965CD">
        <w:rPr>
          <w:bCs/>
          <w:sz w:val="20"/>
          <w:szCs w:val="20"/>
        </w:rPr>
        <w:t>objective guarantees to exclude any doubt the parties or the community might entertain as to his or her lack of impartiality</w:t>
      </w:r>
      <w:r w:rsidR="004965CD" w:rsidRPr="00AE4153">
        <w:rPr>
          <w:bCs/>
          <w:sz w:val="20"/>
          <w:szCs w:val="20"/>
        </w:rPr>
        <w:t>”</w:t>
      </w:r>
      <w:r w:rsidR="004965CD" w:rsidRPr="00AE4153">
        <w:rPr>
          <w:bCs/>
          <w:sz w:val="20"/>
          <w:szCs w:val="20"/>
          <w:vertAlign w:val="superscript"/>
        </w:rPr>
        <w:footnoteReference w:id="7"/>
      </w:r>
      <w:r w:rsidR="00AE4153">
        <w:rPr>
          <w:bCs/>
          <w:sz w:val="20"/>
          <w:szCs w:val="20"/>
        </w:rPr>
        <w:t>.</w:t>
      </w:r>
      <w:r w:rsidR="00AE4153" w:rsidRPr="00AE4153">
        <w:rPr>
          <w:bCs/>
          <w:sz w:val="20"/>
          <w:szCs w:val="20"/>
          <w:vertAlign w:val="superscript"/>
        </w:rPr>
        <w:t xml:space="preserve"> </w:t>
      </w:r>
      <w:r w:rsidR="00AE4153" w:rsidRPr="00AE4153">
        <w:rPr>
          <w:bCs/>
          <w:sz w:val="20"/>
          <w:szCs w:val="20"/>
        </w:rPr>
        <w:t>The Inter-American Commission also notes that it was concluded in final judgments of the domestic jurisdiction that the alleged victims suffered violations of their right to equality before the law, and that it does not appear from the file that the corresponding reparation was provided</w:t>
      </w:r>
    </w:p>
    <w:p w14:paraId="5317F697" w14:textId="21F664BB" w:rsidR="00B32116" w:rsidRPr="00940B09" w:rsidRDefault="00AE4153" w:rsidP="00940B09">
      <w:pPr>
        <w:pStyle w:val="ListParagraph"/>
        <w:tabs>
          <w:tab w:val="num" w:pos="720"/>
        </w:tabs>
        <w:suppressAutoHyphens/>
        <w:spacing w:before="240" w:after="240"/>
        <w:ind w:left="0" w:firstLine="720"/>
        <w:jc w:val="both"/>
        <w:rPr>
          <w:bCs/>
          <w:sz w:val="20"/>
          <w:szCs w:val="20"/>
        </w:rPr>
      </w:pPr>
      <w:r w:rsidRPr="00940B09">
        <w:rPr>
          <w:bCs/>
          <w:sz w:val="20"/>
          <w:szCs w:val="20"/>
        </w:rPr>
        <w:t xml:space="preserve">22. </w:t>
      </w:r>
      <w:r w:rsidR="00BB1F72">
        <w:rPr>
          <w:bCs/>
          <w:sz w:val="20"/>
          <w:szCs w:val="20"/>
        </w:rPr>
        <w:tab/>
      </w:r>
      <w:r w:rsidRPr="00940B09">
        <w:rPr>
          <w:bCs/>
          <w:sz w:val="20"/>
          <w:szCs w:val="20"/>
        </w:rPr>
        <w:t xml:space="preserve">Based on these considerations, the IACHR concludes that the petition is not manifestly unfounded and requires </w:t>
      </w:r>
      <w:r w:rsidR="00722AAB" w:rsidRPr="00940B09">
        <w:rPr>
          <w:bCs/>
          <w:sz w:val="20"/>
          <w:szCs w:val="20"/>
        </w:rPr>
        <w:t>a merits examination</w:t>
      </w:r>
      <w:r w:rsidRPr="00940B09">
        <w:rPr>
          <w:bCs/>
          <w:sz w:val="20"/>
          <w:szCs w:val="20"/>
        </w:rPr>
        <w:t>, since the alleged facts, if corroborated as true, could constitute violations of the rights enshrined in Articles 8 (</w:t>
      </w:r>
      <w:r w:rsidR="00722AAB" w:rsidRPr="00940B09">
        <w:rPr>
          <w:bCs/>
          <w:sz w:val="20"/>
          <w:szCs w:val="20"/>
        </w:rPr>
        <w:t>fair trial</w:t>
      </w:r>
      <w:r w:rsidRPr="00940B09">
        <w:rPr>
          <w:bCs/>
          <w:sz w:val="20"/>
          <w:szCs w:val="20"/>
        </w:rPr>
        <w:t>), 11 (</w:t>
      </w:r>
      <w:r w:rsidR="00722AAB" w:rsidRPr="00940B09">
        <w:rPr>
          <w:bCs/>
          <w:sz w:val="20"/>
          <w:szCs w:val="20"/>
        </w:rPr>
        <w:t>privacy</w:t>
      </w:r>
      <w:r w:rsidRPr="00940B09">
        <w:rPr>
          <w:bCs/>
          <w:sz w:val="20"/>
          <w:szCs w:val="20"/>
        </w:rPr>
        <w:t>), 23 (</w:t>
      </w:r>
      <w:r w:rsidR="00722AAB" w:rsidRPr="00940B09">
        <w:rPr>
          <w:bCs/>
          <w:sz w:val="20"/>
          <w:szCs w:val="20"/>
        </w:rPr>
        <w:t>right to participate in government</w:t>
      </w:r>
      <w:r w:rsidRPr="00940B09">
        <w:rPr>
          <w:bCs/>
          <w:sz w:val="20"/>
          <w:szCs w:val="20"/>
        </w:rPr>
        <w:t>), 24 (</w:t>
      </w:r>
      <w:r w:rsidR="00722AAB" w:rsidRPr="00940B09">
        <w:rPr>
          <w:bCs/>
          <w:sz w:val="20"/>
          <w:szCs w:val="20"/>
        </w:rPr>
        <w:t>right to equal protection</w:t>
      </w:r>
      <w:r w:rsidRPr="00940B09">
        <w:rPr>
          <w:bCs/>
          <w:sz w:val="20"/>
          <w:szCs w:val="20"/>
        </w:rPr>
        <w:t>), 25 (judicial protection) and 26 (</w:t>
      </w:r>
      <w:r w:rsidR="00722AAB" w:rsidRPr="00940B09">
        <w:rPr>
          <w:bCs/>
          <w:sz w:val="20"/>
          <w:szCs w:val="20"/>
        </w:rPr>
        <w:t>progressive development</w:t>
      </w:r>
      <w:r w:rsidRPr="00940B09">
        <w:rPr>
          <w:bCs/>
          <w:sz w:val="20"/>
          <w:szCs w:val="20"/>
        </w:rPr>
        <w:t>) of the American Convention, in relation to its articles 1.1 (obligation to respect rights) and 2 (</w:t>
      </w:r>
      <w:r w:rsidR="00722AAB" w:rsidRPr="00940B09">
        <w:rPr>
          <w:bCs/>
          <w:sz w:val="20"/>
          <w:szCs w:val="20"/>
        </w:rPr>
        <w:t>domestic legal effects</w:t>
      </w:r>
      <w:r w:rsidRPr="00940B09">
        <w:rPr>
          <w:bCs/>
          <w:sz w:val="20"/>
          <w:szCs w:val="20"/>
        </w:rPr>
        <w:t>).</w:t>
      </w:r>
    </w:p>
    <w:p w14:paraId="2A3C727E" w14:textId="048314E8" w:rsidR="009479E1" w:rsidRPr="00940B09" w:rsidRDefault="00B32116" w:rsidP="00940B09">
      <w:pPr>
        <w:pStyle w:val="ListParagraph"/>
        <w:tabs>
          <w:tab w:val="num" w:pos="720"/>
        </w:tabs>
        <w:suppressAutoHyphens/>
        <w:spacing w:before="240" w:after="240"/>
        <w:ind w:left="0" w:firstLine="720"/>
        <w:jc w:val="both"/>
        <w:rPr>
          <w:bCs/>
          <w:sz w:val="20"/>
          <w:szCs w:val="20"/>
        </w:rPr>
      </w:pPr>
      <w:r w:rsidRPr="00940B09">
        <w:rPr>
          <w:bCs/>
          <w:sz w:val="20"/>
          <w:szCs w:val="20"/>
        </w:rPr>
        <w:t xml:space="preserve">23. </w:t>
      </w:r>
      <w:r w:rsidR="00BB1F72">
        <w:rPr>
          <w:bCs/>
          <w:sz w:val="20"/>
          <w:szCs w:val="20"/>
        </w:rPr>
        <w:tab/>
      </w:r>
      <w:r w:rsidRPr="00940B09">
        <w:rPr>
          <w:bCs/>
          <w:sz w:val="20"/>
          <w:szCs w:val="20"/>
        </w:rPr>
        <w:t xml:space="preserve">On the other hand, the Inter-American Commission recognizes that it lacks competence to rule on possible violations of the Protocol of San Salvador with respect to this petition, since said instrument has not been ratified by Chile. However, this does not affect the competence of the Inter-American Commission to </w:t>
      </w:r>
      <w:r w:rsidRPr="00940B09">
        <w:rPr>
          <w:bCs/>
          <w:sz w:val="20"/>
          <w:szCs w:val="20"/>
        </w:rPr>
        <w:lastRenderedPageBreak/>
        <w:t>hear the petition in what could be related to Article 26 of the American Convention. As indicated by the Inter-American Court, Article 26 of the American Convention</w:t>
      </w:r>
      <w:r w:rsidR="00AF3D65" w:rsidRPr="00940B09">
        <w:rPr>
          <w:bCs/>
          <w:sz w:val="20"/>
          <w:szCs w:val="20"/>
        </w:rPr>
        <w:t xml:space="preserve"> “</w:t>
      </w:r>
      <w:r w:rsidR="00940B09" w:rsidRPr="00940B09">
        <w:rPr>
          <w:bCs/>
          <w:sz w:val="20"/>
          <w:szCs w:val="20"/>
        </w:rPr>
        <w:t xml:space="preserve">is subject to the general obligations contained in Articles 1(1) and 2 mentioned in chapter I (entitled “General Obligations”), as well as Articles 3 to 25 mentioned in chapter II (entitled “Civil and Political Rights”)”. </w:t>
      </w:r>
      <w:r w:rsidR="00940B09" w:rsidRPr="00293644">
        <w:rPr>
          <w:bCs/>
          <w:sz w:val="20"/>
          <w:szCs w:val="20"/>
          <w:vertAlign w:val="superscript"/>
        </w:rPr>
        <w:footnoteReference w:id="8"/>
      </w:r>
    </w:p>
    <w:p w14:paraId="29BB41F5" w14:textId="77A76E50" w:rsidR="003239B8" w:rsidRDefault="00EC72AB" w:rsidP="00BB1F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w:t>
      </w:r>
      <w:r w:rsidR="00293644">
        <w:rPr>
          <w:rFonts w:asciiTheme="majorHAnsi" w:hAnsiTheme="majorHAnsi"/>
          <w:b/>
          <w:bCs/>
          <w:sz w:val="20"/>
          <w:szCs w:val="20"/>
          <w:lang w:val="es-ES"/>
        </w:rPr>
        <w:t>O</w:t>
      </w:r>
      <w:r w:rsidR="003239B8" w:rsidRPr="00ED70FC">
        <w:rPr>
          <w:rFonts w:asciiTheme="majorHAnsi" w:hAnsiTheme="majorHAnsi"/>
          <w:b/>
          <w:bCs/>
          <w:sz w:val="20"/>
          <w:szCs w:val="20"/>
          <w:lang w:val="es-ES"/>
        </w:rPr>
        <w:t>N</w:t>
      </w:r>
    </w:p>
    <w:p w14:paraId="6D3FDBCF" w14:textId="77777777" w:rsidR="00BB1F72" w:rsidRPr="00ED70FC" w:rsidRDefault="00BB1F72" w:rsidP="00BB1F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786CBE28" w14:textId="499F4C91" w:rsidR="00B22AA2" w:rsidRPr="00D66BEA" w:rsidRDefault="00B22AA2" w:rsidP="00BB1F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D66BEA">
        <w:rPr>
          <w:rFonts w:asciiTheme="majorHAnsi" w:hAnsiTheme="majorHAnsi"/>
          <w:sz w:val="20"/>
          <w:szCs w:val="20"/>
        </w:rPr>
        <w:t xml:space="preserve">To find the instant petition admissible in relation to </w:t>
      </w:r>
      <w:r w:rsidR="00B244E1">
        <w:rPr>
          <w:rFonts w:asciiTheme="majorHAnsi" w:hAnsiTheme="majorHAnsi"/>
          <w:sz w:val="20"/>
          <w:szCs w:val="20"/>
        </w:rPr>
        <w:t>A</w:t>
      </w:r>
      <w:r w:rsidRPr="00D66BEA">
        <w:rPr>
          <w:rFonts w:asciiTheme="majorHAnsi" w:hAnsiTheme="majorHAnsi"/>
          <w:sz w:val="20"/>
          <w:szCs w:val="20"/>
        </w:rPr>
        <w:t>rticles 8</w:t>
      </w:r>
      <w:r w:rsidR="00940B09">
        <w:rPr>
          <w:rFonts w:asciiTheme="majorHAnsi" w:hAnsiTheme="majorHAnsi"/>
          <w:sz w:val="20"/>
          <w:szCs w:val="20"/>
        </w:rPr>
        <w:t>, 11, 23, 24,</w:t>
      </w:r>
      <w:r w:rsidRPr="00D66BEA">
        <w:rPr>
          <w:rFonts w:asciiTheme="majorHAnsi" w:hAnsiTheme="majorHAnsi"/>
          <w:sz w:val="20"/>
          <w:szCs w:val="20"/>
        </w:rPr>
        <w:t xml:space="preserve"> 25</w:t>
      </w:r>
      <w:r w:rsidR="00940B09">
        <w:rPr>
          <w:rFonts w:asciiTheme="majorHAnsi" w:hAnsiTheme="majorHAnsi"/>
          <w:sz w:val="20"/>
          <w:szCs w:val="20"/>
        </w:rPr>
        <w:t xml:space="preserve"> and 26</w:t>
      </w:r>
      <w:r w:rsidRPr="00D66BEA">
        <w:rPr>
          <w:rFonts w:asciiTheme="majorHAnsi" w:hAnsiTheme="majorHAnsi"/>
          <w:sz w:val="20"/>
          <w:szCs w:val="20"/>
        </w:rPr>
        <w:t xml:space="preserve"> of the American Convention, in </w:t>
      </w:r>
      <w:r w:rsidR="00B244E1">
        <w:rPr>
          <w:rFonts w:asciiTheme="majorHAnsi" w:hAnsiTheme="majorHAnsi"/>
          <w:sz w:val="20"/>
          <w:szCs w:val="20"/>
        </w:rPr>
        <w:t>connection</w:t>
      </w:r>
      <w:r w:rsidRPr="00D66BEA">
        <w:rPr>
          <w:rFonts w:asciiTheme="majorHAnsi" w:hAnsiTheme="majorHAnsi"/>
          <w:sz w:val="20"/>
          <w:szCs w:val="20"/>
        </w:rPr>
        <w:t xml:space="preserve"> to its </w:t>
      </w:r>
      <w:proofErr w:type="gramStart"/>
      <w:r w:rsidR="00B244E1">
        <w:rPr>
          <w:rFonts w:asciiTheme="majorHAnsi" w:hAnsiTheme="majorHAnsi"/>
          <w:sz w:val="20"/>
          <w:szCs w:val="20"/>
        </w:rPr>
        <w:t>A</w:t>
      </w:r>
      <w:r w:rsidRPr="00D66BEA">
        <w:rPr>
          <w:rFonts w:asciiTheme="majorHAnsi" w:hAnsiTheme="majorHAnsi"/>
          <w:sz w:val="20"/>
          <w:szCs w:val="20"/>
        </w:rPr>
        <w:t>rticles</w:t>
      </w:r>
      <w:proofErr w:type="gramEnd"/>
      <w:r w:rsidRPr="00D66BEA">
        <w:rPr>
          <w:rFonts w:asciiTheme="majorHAnsi" w:hAnsiTheme="majorHAnsi"/>
          <w:sz w:val="20"/>
          <w:szCs w:val="20"/>
        </w:rPr>
        <w:t xml:space="preserve"> 1.1 and 2</w:t>
      </w:r>
      <w:r w:rsidR="00BB1F72">
        <w:rPr>
          <w:rFonts w:asciiTheme="majorHAnsi" w:hAnsiTheme="majorHAnsi"/>
          <w:sz w:val="20"/>
          <w:szCs w:val="20"/>
        </w:rPr>
        <w:t>.</w:t>
      </w:r>
    </w:p>
    <w:p w14:paraId="534E094D" w14:textId="77777777" w:rsidR="00BB1F72" w:rsidRPr="00BB1F72" w:rsidRDefault="00BB1F72" w:rsidP="00BB1F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CD4DFBD" w14:textId="04BE84F1" w:rsidR="003239B8" w:rsidRPr="00726C40" w:rsidRDefault="00B22AA2" w:rsidP="00BB1F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1F1902">
        <w:rPr>
          <w:rFonts w:asciiTheme="majorHAnsi" w:hAnsiTheme="majorHAnsi"/>
          <w:sz w:val="20"/>
          <w:szCs w:val="20"/>
        </w:rPr>
        <w:t xml:space="preserve">To notify the parties of this decision; </w:t>
      </w:r>
      <w:r w:rsidRPr="00BA7ACA">
        <w:rPr>
          <w:rFonts w:asciiTheme="majorHAnsi" w:hAnsiTheme="majorHAnsi"/>
          <w:sz w:val="20"/>
          <w:szCs w:val="20"/>
        </w:rPr>
        <w:t>to continue with the analysis on the merits</w:t>
      </w:r>
      <w:r w:rsidRPr="001F1902">
        <w:rPr>
          <w:rFonts w:asciiTheme="majorHAnsi" w:hAnsiTheme="majorHAnsi"/>
          <w:sz w:val="20"/>
          <w:szCs w:val="20"/>
        </w:rPr>
        <w:t xml:space="preserve">;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4DADBEFC" w14:textId="77777777" w:rsidR="00726C40" w:rsidRDefault="00726C40" w:rsidP="00726C40">
      <w:pPr>
        <w:pStyle w:val="ListParagraph"/>
        <w:rPr>
          <w:sz w:val="20"/>
          <w:szCs w:val="20"/>
        </w:rPr>
      </w:pPr>
    </w:p>
    <w:p w14:paraId="1D84B1A0" w14:textId="2A85C8E9" w:rsidR="00726C40" w:rsidRPr="004A7F23" w:rsidRDefault="00726C40" w:rsidP="00726C40">
      <w:pPr>
        <w:pStyle w:val="ListParagraph"/>
        <w:tabs>
          <w:tab w:val="center" w:pos="720"/>
        </w:tabs>
        <w:suppressAutoHyphens/>
        <w:ind w:left="0" w:firstLine="720"/>
        <w:jc w:val="both"/>
        <w:rPr>
          <w:sz w:val="20"/>
          <w:szCs w:val="20"/>
        </w:rPr>
      </w:pPr>
      <w:r w:rsidRPr="004A7F23">
        <w:rPr>
          <w:sz w:val="20"/>
          <w:szCs w:val="20"/>
        </w:rPr>
        <w:t xml:space="preserve">Approved by the Inter-American Commission on Human Rights on </w:t>
      </w:r>
      <w:r>
        <w:rPr>
          <w:sz w:val="20"/>
          <w:szCs w:val="20"/>
        </w:rPr>
        <w:t xml:space="preserve">the </w:t>
      </w:r>
      <w:r>
        <w:rPr>
          <w:sz w:val="20"/>
          <w:szCs w:val="20"/>
        </w:rPr>
        <w:t>12</w:t>
      </w:r>
      <w:r w:rsidRPr="004A7F23">
        <w:rPr>
          <w:sz w:val="20"/>
          <w:szCs w:val="20"/>
          <w:vertAlign w:val="superscript"/>
        </w:rPr>
        <w:t>th</w:t>
      </w:r>
      <w:r>
        <w:rPr>
          <w:sz w:val="20"/>
          <w:szCs w:val="20"/>
        </w:rPr>
        <w:t xml:space="preserve"> day of the month of </w:t>
      </w:r>
      <w:r>
        <w:rPr>
          <w:sz w:val="20"/>
          <w:szCs w:val="20"/>
        </w:rPr>
        <w:t>October</w:t>
      </w:r>
      <w:r w:rsidRPr="004A7F23">
        <w:rPr>
          <w:sz w:val="20"/>
          <w:szCs w:val="20"/>
        </w:rPr>
        <w:t xml:space="preserve"> 2021. (Signed): Julissa Mantilla Falcón, First Vice-President; Flavia </w:t>
      </w:r>
      <w:proofErr w:type="spellStart"/>
      <w:r w:rsidRPr="004A7F23">
        <w:rPr>
          <w:sz w:val="20"/>
          <w:szCs w:val="20"/>
        </w:rPr>
        <w:t>Piovesan</w:t>
      </w:r>
      <w:proofErr w:type="spellEnd"/>
      <w:r w:rsidRPr="004A7F23">
        <w:rPr>
          <w:sz w:val="20"/>
          <w:szCs w:val="20"/>
        </w:rPr>
        <w:t xml:space="preserve">, Second Vice-President; Margarette May Macaulay; Esmeralda E. </w:t>
      </w:r>
      <w:proofErr w:type="spellStart"/>
      <w:r w:rsidRPr="004A7F23">
        <w:rPr>
          <w:sz w:val="20"/>
          <w:szCs w:val="20"/>
        </w:rPr>
        <w:t>Arosemena</w:t>
      </w:r>
      <w:proofErr w:type="spellEnd"/>
      <w:r w:rsidRPr="004A7F23">
        <w:rPr>
          <w:sz w:val="20"/>
          <w:szCs w:val="20"/>
        </w:rPr>
        <w:t xml:space="preserve"> Bernal de </w:t>
      </w:r>
      <w:proofErr w:type="spellStart"/>
      <w:r w:rsidRPr="004A7F23">
        <w:rPr>
          <w:sz w:val="20"/>
          <w:szCs w:val="20"/>
        </w:rPr>
        <w:t>Troitiño</w:t>
      </w:r>
      <w:proofErr w:type="spellEnd"/>
      <w:r w:rsidRPr="004A7F23">
        <w:rPr>
          <w:sz w:val="20"/>
          <w:szCs w:val="20"/>
        </w:rPr>
        <w:t xml:space="preserve">; Joel Hernández García and Edgar </w:t>
      </w:r>
      <w:proofErr w:type="spellStart"/>
      <w:r w:rsidRPr="004A7F23">
        <w:rPr>
          <w:sz w:val="20"/>
          <w:szCs w:val="20"/>
        </w:rPr>
        <w:t>Stuardo</w:t>
      </w:r>
      <w:proofErr w:type="spellEnd"/>
      <w:r w:rsidRPr="004A7F23">
        <w:rPr>
          <w:sz w:val="20"/>
          <w:szCs w:val="20"/>
        </w:rPr>
        <w:t xml:space="preserve"> </w:t>
      </w:r>
      <w:proofErr w:type="spellStart"/>
      <w:r w:rsidRPr="004A7F23">
        <w:rPr>
          <w:sz w:val="20"/>
          <w:szCs w:val="20"/>
        </w:rPr>
        <w:t>Ralón</w:t>
      </w:r>
      <w:proofErr w:type="spellEnd"/>
      <w:r w:rsidRPr="004A7F23">
        <w:rPr>
          <w:sz w:val="20"/>
          <w:szCs w:val="20"/>
        </w:rPr>
        <w:t xml:space="preserve"> Orellana, Members of the Commission.</w:t>
      </w:r>
    </w:p>
    <w:p w14:paraId="1BFECBC6" w14:textId="77777777" w:rsidR="00726C40" w:rsidRPr="00B22AA2" w:rsidRDefault="00726C40" w:rsidP="00726C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sectPr w:rsidR="00726C40" w:rsidRPr="00B22AA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C394" w14:textId="77777777" w:rsidR="000C0B77" w:rsidRDefault="000C0B77">
      <w:r>
        <w:separator/>
      </w:r>
    </w:p>
  </w:endnote>
  <w:endnote w:type="continuationSeparator" w:id="0">
    <w:p w14:paraId="15FCB40D" w14:textId="77777777" w:rsidR="000C0B77" w:rsidRDefault="000C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5BC24B7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A2DFB">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30A1" w14:textId="77777777" w:rsidR="000C0B77" w:rsidRPr="000F35ED" w:rsidRDefault="000C0B7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96656C" w14:textId="77777777" w:rsidR="000C0B77" w:rsidRPr="000F35ED" w:rsidRDefault="000C0B77" w:rsidP="000F35ED">
      <w:pPr>
        <w:rPr>
          <w:rFonts w:asciiTheme="majorHAnsi" w:hAnsiTheme="majorHAnsi"/>
          <w:sz w:val="16"/>
          <w:szCs w:val="16"/>
        </w:rPr>
      </w:pPr>
      <w:r w:rsidRPr="000F35ED">
        <w:rPr>
          <w:rFonts w:asciiTheme="majorHAnsi" w:hAnsiTheme="majorHAnsi"/>
          <w:sz w:val="16"/>
          <w:szCs w:val="16"/>
        </w:rPr>
        <w:separator/>
      </w:r>
    </w:p>
    <w:p w14:paraId="37BD9AE7" w14:textId="77777777" w:rsidR="000C0B77" w:rsidRPr="000F35ED" w:rsidRDefault="000C0B7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CEC9A47" w14:textId="77777777" w:rsidR="000C0B77" w:rsidRPr="000F35ED" w:rsidRDefault="000C0B7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5298FB" w14:textId="7E1CC8D6" w:rsidR="00940B09" w:rsidRPr="00820235" w:rsidRDefault="00940B09" w:rsidP="00BB1F72">
      <w:pPr>
        <w:pStyle w:val="FootnoteText"/>
        <w:spacing w:after="120"/>
        <w:ind w:firstLine="720"/>
        <w:jc w:val="both"/>
        <w:rPr>
          <w:rFonts w:asciiTheme="majorHAnsi" w:hAnsiTheme="majorHAnsi"/>
          <w:color w:val="auto"/>
          <w:sz w:val="16"/>
          <w:szCs w:val="16"/>
        </w:rPr>
      </w:pPr>
      <w:r w:rsidRPr="007D4106">
        <w:rPr>
          <w:rStyle w:val="FootnoteReference"/>
          <w:rFonts w:asciiTheme="majorHAnsi" w:hAnsiTheme="majorHAnsi"/>
          <w:color w:val="auto"/>
          <w:sz w:val="16"/>
          <w:szCs w:val="16"/>
        </w:rPr>
        <w:footnoteRef/>
      </w:r>
      <w:r w:rsidRPr="00820235">
        <w:rPr>
          <w:rFonts w:asciiTheme="majorHAnsi" w:hAnsiTheme="majorHAnsi"/>
          <w:color w:val="auto"/>
          <w:sz w:val="16"/>
          <w:szCs w:val="16"/>
        </w:rPr>
        <w:t xml:space="preserve"> As established in article 17.2.a of the Rules of Procedure of the Commission, Commissioner Antonia Urrejola Noguera, a Chilean national, did not take part </w:t>
      </w:r>
      <w:r>
        <w:rPr>
          <w:rFonts w:asciiTheme="majorHAnsi" w:hAnsiTheme="majorHAnsi"/>
          <w:color w:val="auto"/>
          <w:sz w:val="16"/>
          <w:szCs w:val="16"/>
        </w:rPr>
        <w:t>in the debate or decision of the instant matter.</w:t>
      </w:r>
    </w:p>
  </w:footnote>
  <w:footnote w:id="3">
    <w:p w14:paraId="72076E03" w14:textId="064534F9" w:rsidR="00940B09" w:rsidRPr="00820235" w:rsidRDefault="00940B09" w:rsidP="00BB1F72">
      <w:pPr>
        <w:pStyle w:val="FootnoteText"/>
        <w:spacing w:after="120"/>
        <w:ind w:firstLine="720"/>
        <w:jc w:val="both"/>
        <w:rPr>
          <w:rFonts w:asciiTheme="majorHAnsi" w:hAnsiTheme="majorHAnsi"/>
          <w:sz w:val="16"/>
          <w:szCs w:val="16"/>
        </w:rPr>
      </w:pPr>
      <w:r w:rsidRPr="00734BF3">
        <w:rPr>
          <w:rStyle w:val="FootnoteReference"/>
          <w:rFonts w:asciiTheme="majorHAnsi" w:hAnsiTheme="majorHAnsi"/>
          <w:sz w:val="16"/>
          <w:szCs w:val="16"/>
        </w:rPr>
        <w:footnoteRef/>
      </w:r>
      <w:r w:rsidRPr="00820235">
        <w:rPr>
          <w:rFonts w:asciiTheme="majorHAnsi" w:hAnsiTheme="majorHAnsi"/>
          <w:sz w:val="16"/>
          <w:szCs w:val="16"/>
        </w:rPr>
        <w:t xml:space="preserve"> Hereinafter, “the American Convention” or </w:t>
      </w:r>
      <w:r>
        <w:rPr>
          <w:rFonts w:asciiTheme="majorHAnsi" w:hAnsiTheme="majorHAnsi"/>
          <w:sz w:val="16"/>
          <w:szCs w:val="16"/>
        </w:rPr>
        <w:t>“the Convention”.</w:t>
      </w:r>
    </w:p>
  </w:footnote>
  <w:footnote w:id="4">
    <w:p w14:paraId="79F07139" w14:textId="00703D4D" w:rsidR="008E3BFE" w:rsidRPr="00820235" w:rsidRDefault="008E3BFE" w:rsidP="00BB1F72">
      <w:pPr>
        <w:pStyle w:val="FootnoteText"/>
        <w:spacing w:after="120"/>
        <w:ind w:firstLine="720"/>
        <w:jc w:val="both"/>
        <w:rPr>
          <w:rFonts w:asciiTheme="majorHAnsi" w:hAnsiTheme="majorHAnsi"/>
          <w:sz w:val="16"/>
          <w:szCs w:val="16"/>
        </w:rPr>
      </w:pPr>
      <w:r w:rsidRPr="00734BF3">
        <w:rPr>
          <w:rStyle w:val="FootnoteReference"/>
          <w:rFonts w:asciiTheme="majorHAnsi" w:hAnsiTheme="majorHAnsi"/>
          <w:sz w:val="16"/>
          <w:szCs w:val="16"/>
        </w:rPr>
        <w:footnoteRef/>
      </w:r>
      <w:r w:rsidRPr="00820235">
        <w:rPr>
          <w:rFonts w:asciiTheme="majorHAnsi" w:hAnsiTheme="majorHAnsi"/>
          <w:sz w:val="16"/>
          <w:szCs w:val="16"/>
        </w:rPr>
        <w:t xml:space="preserve"> </w:t>
      </w:r>
      <w:r w:rsidR="00820235" w:rsidRPr="00820235">
        <w:rPr>
          <w:rFonts w:asciiTheme="majorHAnsi" w:hAnsiTheme="majorHAnsi"/>
          <w:sz w:val="16"/>
          <w:szCs w:val="16"/>
        </w:rPr>
        <w:t>The observations from each party were duly notified to the other party</w:t>
      </w:r>
      <w:r w:rsidRPr="00820235">
        <w:rPr>
          <w:rFonts w:asciiTheme="majorHAnsi" w:hAnsiTheme="majorHAnsi"/>
          <w:sz w:val="16"/>
          <w:szCs w:val="16"/>
        </w:rPr>
        <w:t>.</w:t>
      </w:r>
    </w:p>
  </w:footnote>
  <w:footnote w:id="5">
    <w:p w14:paraId="11049A16" w14:textId="433C5BBA" w:rsidR="000403DC" w:rsidRPr="00293644" w:rsidRDefault="000403DC" w:rsidP="00BB1F72">
      <w:pPr>
        <w:spacing w:after="120"/>
        <w:ind w:firstLine="720"/>
        <w:rPr>
          <w:rFonts w:ascii="Cambria" w:eastAsia="Times New Roman" w:hAnsi="Cambria"/>
          <w:sz w:val="16"/>
          <w:szCs w:val="16"/>
          <w:bdr w:val="none" w:sz="0" w:space="0" w:color="auto"/>
        </w:rPr>
      </w:pPr>
      <w:r w:rsidRPr="00293644">
        <w:rPr>
          <w:rStyle w:val="FootnoteReference"/>
          <w:rFonts w:ascii="Cambria" w:hAnsi="Cambria"/>
          <w:sz w:val="16"/>
          <w:szCs w:val="16"/>
        </w:rPr>
        <w:footnoteRef/>
      </w:r>
      <w:r w:rsidRPr="00293644">
        <w:rPr>
          <w:rFonts w:ascii="Cambria" w:hAnsi="Cambria"/>
          <w:sz w:val="16"/>
          <w:szCs w:val="16"/>
        </w:rPr>
        <w:t xml:space="preserve"> </w:t>
      </w:r>
      <w:r w:rsidR="00293644" w:rsidRPr="00293644">
        <w:rPr>
          <w:rFonts w:ascii="Cambria" w:hAnsi="Cambria"/>
          <w:sz w:val="16"/>
          <w:szCs w:val="16"/>
        </w:rPr>
        <w:t xml:space="preserve">IACHR, Report N. 143/18, Petition 143/18. </w:t>
      </w:r>
      <w:r w:rsidR="00293644" w:rsidRPr="00BB1F72">
        <w:rPr>
          <w:rFonts w:ascii="Cambria" w:hAnsi="Cambria"/>
          <w:sz w:val="16"/>
          <w:szCs w:val="16"/>
        </w:rPr>
        <w:t xml:space="preserve">Admissibility. </w:t>
      </w:r>
      <w:r w:rsidR="00293644" w:rsidRPr="00293644">
        <w:rPr>
          <w:rFonts w:ascii="Cambria" w:hAnsi="Cambria"/>
          <w:sz w:val="16"/>
          <w:szCs w:val="16"/>
          <w:lang w:val="es-ES"/>
        </w:rPr>
        <w:t xml:space="preserve">Luis Américo Ayala Gonzales. </w:t>
      </w:r>
      <w:r w:rsidR="00293644" w:rsidRPr="00BB1F72">
        <w:rPr>
          <w:rFonts w:ascii="Cambria" w:hAnsi="Cambria"/>
          <w:sz w:val="16"/>
          <w:szCs w:val="16"/>
          <w:lang w:val="es-PY"/>
        </w:rPr>
        <w:t xml:space="preserve">Peru. </w:t>
      </w:r>
      <w:r w:rsidR="00293644" w:rsidRPr="00293644">
        <w:rPr>
          <w:rFonts w:ascii="Cambria" w:hAnsi="Cambria"/>
          <w:sz w:val="16"/>
          <w:szCs w:val="16"/>
        </w:rPr>
        <w:t xml:space="preserve">December 4, 2018, par. 12. </w:t>
      </w:r>
    </w:p>
  </w:footnote>
  <w:footnote w:id="6">
    <w:p w14:paraId="7E1922BC" w14:textId="503E6809" w:rsidR="009479E1" w:rsidRPr="00293644" w:rsidRDefault="009479E1" w:rsidP="00BB1F72">
      <w:pPr>
        <w:pStyle w:val="FootnoteText"/>
        <w:spacing w:after="120"/>
        <w:ind w:firstLine="720"/>
        <w:rPr>
          <w:rFonts w:ascii="Cambria" w:hAnsi="Cambria"/>
          <w:color w:val="auto"/>
          <w:sz w:val="16"/>
          <w:szCs w:val="16"/>
        </w:rPr>
      </w:pPr>
      <w:r w:rsidRPr="00293644">
        <w:rPr>
          <w:rStyle w:val="FootnoteReference"/>
          <w:rFonts w:ascii="Cambria" w:hAnsi="Cambria"/>
          <w:color w:val="auto"/>
          <w:sz w:val="16"/>
          <w:szCs w:val="16"/>
        </w:rPr>
        <w:footnoteRef/>
      </w:r>
      <w:r w:rsidRPr="00293644">
        <w:rPr>
          <w:rFonts w:ascii="Cambria" w:hAnsi="Cambria"/>
          <w:color w:val="auto"/>
          <w:sz w:val="16"/>
          <w:szCs w:val="16"/>
        </w:rPr>
        <w:t xml:space="preserve"> </w:t>
      </w:r>
      <w:r w:rsidRPr="00293644">
        <w:rPr>
          <w:rFonts w:ascii="Cambria" w:eastAsia="Times New Roman" w:hAnsi="Cambria" w:cs="Tahoma"/>
          <w:color w:val="auto"/>
          <w:sz w:val="16"/>
          <w:szCs w:val="16"/>
          <w:bdr w:val="none" w:sz="0" w:space="0" w:color="auto"/>
          <w:shd w:val="clear" w:color="auto" w:fill="FFFFFF"/>
        </w:rPr>
        <w:t>International Mechanisms for Promoting Freedom of Expression. Joint Declaration on Access to information and secrecy legislation. Declaration of December 6, 2004.</w:t>
      </w:r>
    </w:p>
  </w:footnote>
  <w:footnote w:id="7">
    <w:p w14:paraId="428AB369" w14:textId="77777777" w:rsidR="004965CD" w:rsidRPr="004965CD" w:rsidRDefault="004965CD" w:rsidP="00BB1F72">
      <w:pPr>
        <w:spacing w:after="120"/>
        <w:ind w:firstLine="720"/>
        <w:rPr>
          <w:rFonts w:eastAsia="Times New Roman"/>
          <w:bdr w:val="none" w:sz="0" w:space="0" w:color="auto"/>
        </w:rPr>
      </w:pPr>
      <w:r w:rsidRPr="00293644">
        <w:rPr>
          <w:rStyle w:val="FootnoteReference"/>
          <w:rFonts w:ascii="Cambria" w:hAnsi="Cambria"/>
          <w:sz w:val="16"/>
          <w:szCs w:val="16"/>
        </w:rPr>
        <w:footnoteRef/>
      </w:r>
      <w:r w:rsidRPr="00293644">
        <w:rPr>
          <w:rFonts w:ascii="Cambria" w:hAnsi="Cambria"/>
          <w:sz w:val="16"/>
          <w:szCs w:val="16"/>
        </w:rPr>
        <w:t xml:space="preserve"> </w:t>
      </w:r>
      <w:r w:rsidRPr="00293644">
        <w:rPr>
          <w:rFonts w:ascii="Cambria" w:eastAsia="Times New Roman" w:hAnsi="Cambria" w:cs="Open Sans"/>
          <w:sz w:val="16"/>
          <w:szCs w:val="16"/>
          <w:bdr w:val="none" w:sz="0" w:space="0" w:color="auto"/>
          <w:shd w:val="clear" w:color="auto" w:fill="FFFFFF"/>
        </w:rPr>
        <w:t>I/A Court H.R., Case of Apitz Barbera et al. (“First Court of Administrative Disputes”) v. Venezuela. Preliminary Objection, Merits, Reparations and Costs. Judgment of August 5, 2008. Series C No. 182, par.56</w:t>
      </w:r>
    </w:p>
  </w:footnote>
  <w:footnote w:id="8">
    <w:p w14:paraId="72DAC73D" w14:textId="77777777" w:rsidR="00940B09" w:rsidRPr="00293644" w:rsidRDefault="00940B09" w:rsidP="00BB1F72">
      <w:pPr>
        <w:spacing w:after="120"/>
        <w:ind w:firstLine="720"/>
        <w:rPr>
          <w:rFonts w:ascii="Cambria" w:eastAsia="Times New Roman" w:hAnsi="Cambria"/>
          <w:sz w:val="16"/>
          <w:szCs w:val="16"/>
          <w:bdr w:val="none" w:sz="0" w:space="0" w:color="auto"/>
        </w:rPr>
      </w:pPr>
      <w:r w:rsidRPr="00293644">
        <w:rPr>
          <w:rStyle w:val="FootnoteReference"/>
          <w:rFonts w:ascii="Cambria" w:hAnsi="Cambria"/>
          <w:sz w:val="16"/>
          <w:szCs w:val="16"/>
        </w:rPr>
        <w:footnoteRef/>
      </w:r>
      <w:r w:rsidRPr="00293644">
        <w:rPr>
          <w:rFonts w:ascii="Cambria" w:hAnsi="Cambria"/>
          <w:sz w:val="16"/>
          <w:szCs w:val="16"/>
        </w:rPr>
        <w:t xml:space="preserve"> </w:t>
      </w:r>
      <w:r w:rsidRPr="00293644">
        <w:rPr>
          <w:rFonts w:ascii="Cambria" w:eastAsia="Times New Roman" w:hAnsi="Cambria" w:cs="Open Sans"/>
          <w:sz w:val="16"/>
          <w:szCs w:val="16"/>
          <w:bdr w:val="none" w:sz="0" w:space="0" w:color="auto"/>
          <w:shd w:val="clear" w:color="auto" w:fill="FFFFFF"/>
        </w:rPr>
        <w:t xml:space="preserve">I/A Court H.R., Case of Acevedo </w:t>
      </w:r>
      <w:proofErr w:type="spellStart"/>
      <w:r w:rsidRPr="00293644">
        <w:rPr>
          <w:rFonts w:ascii="Cambria" w:eastAsia="Times New Roman" w:hAnsi="Cambria" w:cs="Open Sans"/>
          <w:sz w:val="16"/>
          <w:szCs w:val="16"/>
          <w:bdr w:val="none" w:sz="0" w:space="0" w:color="auto"/>
          <w:shd w:val="clear" w:color="auto" w:fill="FFFFFF"/>
        </w:rPr>
        <w:t>Buendía</w:t>
      </w:r>
      <w:proofErr w:type="spellEnd"/>
      <w:r w:rsidRPr="00293644">
        <w:rPr>
          <w:rFonts w:ascii="Cambria" w:eastAsia="Times New Roman" w:hAnsi="Cambria" w:cs="Open Sans"/>
          <w:sz w:val="16"/>
          <w:szCs w:val="16"/>
          <w:bdr w:val="none" w:sz="0" w:space="0" w:color="auto"/>
          <w:shd w:val="clear" w:color="auto" w:fill="FFFFFF"/>
        </w:rPr>
        <w:t xml:space="preserve"> et al. (“Discharged and Retired Employees of the Comptroller”) v. Peru. Preliminary Objection, Merits, Reparations and Costs. Judgment of July 1, 2009. Series C No. 198, par.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C0B77"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61146C"/>
    <w:multiLevelType w:val="hybridMultilevel"/>
    <w:tmpl w:val="DF846136"/>
    <w:lvl w:ilvl="0" w:tplc="CAD024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1"/>
  </w:num>
  <w:num w:numId="5">
    <w:abstractNumId w:val="45"/>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3"/>
  </w:num>
  <w:num w:numId="55">
    <w:abstractNumId w:val="4"/>
  </w:num>
  <w:num w:numId="56">
    <w:abstractNumId w:val="41"/>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3DC"/>
    <w:rsid w:val="00040C3A"/>
    <w:rsid w:val="00041822"/>
    <w:rsid w:val="000419AD"/>
    <w:rsid w:val="00050A02"/>
    <w:rsid w:val="000535D1"/>
    <w:rsid w:val="00067ED1"/>
    <w:rsid w:val="000716C5"/>
    <w:rsid w:val="00075E23"/>
    <w:rsid w:val="00087017"/>
    <w:rsid w:val="00090CA4"/>
    <w:rsid w:val="0009344A"/>
    <w:rsid w:val="000A3254"/>
    <w:rsid w:val="000A392E"/>
    <w:rsid w:val="000A575F"/>
    <w:rsid w:val="000A78C5"/>
    <w:rsid w:val="000B0579"/>
    <w:rsid w:val="000B4E5A"/>
    <w:rsid w:val="000C0B77"/>
    <w:rsid w:val="000C1933"/>
    <w:rsid w:val="000C1C69"/>
    <w:rsid w:val="000D10DB"/>
    <w:rsid w:val="000E0841"/>
    <w:rsid w:val="000E2789"/>
    <w:rsid w:val="000E5EB5"/>
    <w:rsid w:val="000F1C1E"/>
    <w:rsid w:val="000F35ED"/>
    <w:rsid w:val="000F5101"/>
    <w:rsid w:val="00107131"/>
    <w:rsid w:val="0010736F"/>
    <w:rsid w:val="00111A8A"/>
    <w:rsid w:val="00111B37"/>
    <w:rsid w:val="00113F73"/>
    <w:rsid w:val="00121CC2"/>
    <w:rsid w:val="00127AF2"/>
    <w:rsid w:val="00127B2C"/>
    <w:rsid w:val="00131D8B"/>
    <w:rsid w:val="00133EE5"/>
    <w:rsid w:val="00136E3D"/>
    <w:rsid w:val="00143EFE"/>
    <w:rsid w:val="001479C0"/>
    <w:rsid w:val="001501F9"/>
    <w:rsid w:val="0015330B"/>
    <w:rsid w:val="00160299"/>
    <w:rsid w:val="00167A34"/>
    <w:rsid w:val="001761CF"/>
    <w:rsid w:val="00177EEF"/>
    <w:rsid w:val="00187408"/>
    <w:rsid w:val="00187832"/>
    <w:rsid w:val="0019517D"/>
    <w:rsid w:val="001A7870"/>
    <w:rsid w:val="001B36D5"/>
    <w:rsid w:val="001B3A00"/>
    <w:rsid w:val="001B5141"/>
    <w:rsid w:val="001C1B41"/>
    <w:rsid w:val="001C22CD"/>
    <w:rsid w:val="001C6E86"/>
    <w:rsid w:val="001C77FC"/>
    <w:rsid w:val="001D65EF"/>
    <w:rsid w:val="001E0500"/>
    <w:rsid w:val="001E141F"/>
    <w:rsid w:val="001E49E7"/>
    <w:rsid w:val="001F271B"/>
    <w:rsid w:val="001F7201"/>
    <w:rsid w:val="00201E85"/>
    <w:rsid w:val="00202B0A"/>
    <w:rsid w:val="00202C77"/>
    <w:rsid w:val="00203BD4"/>
    <w:rsid w:val="00204931"/>
    <w:rsid w:val="002122E4"/>
    <w:rsid w:val="00214755"/>
    <w:rsid w:val="002155A7"/>
    <w:rsid w:val="00223A29"/>
    <w:rsid w:val="002250A3"/>
    <w:rsid w:val="00231294"/>
    <w:rsid w:val="00235217"/>
    <w:rsid w:val="00235741"/>
    <w:rsid w:val="00241BF2"/>
    <w:rsid w:val="002441DA"/>
    <w:rsid w:val="0024534C"/>
    <w:rsid w:val="00246D1F"/>
    <w:rsid w:val="00247403"/>
    <w:rsid w:val="00247542"/>
    <w:rsid w:val="00260F5B"/>
    <w:rsid w:val="00265314"/>
    <w:rsid w:val="00266B61"/>
    <w:rsid w:val="0026712A"/>
    <w:rsid w:val="002704DB"/>
    <w:rsid w:val="00274BF4"/>
    <w:rsid w:val="00277BDA"/>
    <w:rsid w:val="00285743"/>
    <w:rsid w:val="00293644"/>
    <w:rsid w:val="0029575A"/>
    <w:rsid w:val="002A0AAE"/>
    <w:rsid w:val="002A304F"/>
    <w:rsid w:val="002A3053"/>
    <w:rsid w:val="002A5820"/>
    <w:rsid w:val="002B2C87"/>
    <w:rsid w:val="002C3350"/>
    <w:rsid w:val="002D1EAA"/>
    <w:rsid w:val="002D2B26"/>
    <w:rsid w:val="002D7EA2"/>
    <w:rsid w:val="002E187C"/>
    <w:rsid w:val="002E1ED4"/>
    <w:rsid w:val="002E5993"/>
    <w:rsid w:val="002E7512"/>
    <w:rsid w:val="002E7F43"/>
    <w:rsid w:val="002F7F5F"/>
    <w:rsid w:val="00302733"/>
    <w:rsid w:val="00303802"/>
    <w:rsid w:val="00303AFC"/>
    <w:rsid w:val="003121D5"/>
    <w:rsid w:val="00314078"/>
    <w:rsid w:val="0031535D"/>
    <w:rsid w:val="00317CF8"/>
    <w:rsid w:val="00320094"/>
    <w:rsid w:val="003239B8"/>
    <w:rsid w:val="00325BBC"/>
    <w:rsid w:val="00331404"/>
    <w:rsid w:val="0033169F"/>
    <w:rsid w:val="00332E1B"/>
    <w:rsid w:val="0033667A"/>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A55"/>
    <w:rsid w:val="003D225D"/>
    <w:rsid w:val="003D3BC2"/>
    <w:rsid w:val="003D5EA8"/>
    <w:rsid w:val="003E1AD8"/>
    <w:rsid w:val="003E673E"/>
    <w:rsid w:val="003E6CA1"/>
    <w:rsid w:val="003E6D8B"/>
    <w:rsid w:val="003F2A8F"/>
    <w:rsid w:val="004015D9"/>
    <w:rsid w:val="00405929"/>
    <w:rsid w:val="004065A8"/>
    <w:rsid w:val="004165C2"/>
    <w:rsid w:val="00416A7F"/>
    <w:rsid w:val="00417C80"/>
    <w:rsid w:val="00421739"/>
    <w:rsid w:val="00423172"/>
    <w:rsid w:val="004304AD"/>
    <w:rsid w:val="00432B8C"/>
    <w:rsid w:val="00440CA4"/>
    <w:rsid w:val="00441ECB"/>
    <w:rsid w:val="00445193"/>
    <w:rsid w:val="00447333"/>
    <w:rsid w:val="00447CCF"/>
    <w:rsid w:val="00454B04"/>
    <w:rsid w:val="004565BA"/>
    <w:rsid w:val="0045707F"/>
    <w:rsid w:val="00462C1B"/>
    <w:rsid w:val="00464FC9"/>
    <w:rsid w:val="00466655"/>
    <w:rsid w:val="00467B7E"/>
    <w:rsid w:val="00467E03"/>
    <w:rsid w:val="0047127C"/>
    <w:rsid w:val="00473BB4"/>
    <w:rsid w:val="00477592"/>
    <w:rsid w:val="004842AD"/>
    <w:rsid w:val="00484D16"/>
    <w:rsid w:val="00486F1C"/>
    <w:rsid w:val="0049419D"/>
    <w:rsid w:val="004965CD"/>
    <w:rsid w:val="004A59CC"/>
    <w:rsid w:val="004A6A54"/>
    <w:rsid w:val="004A6EF1"/>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6D03"/>
    <w:rsid w:val="00501399"/>
    <w:rsid w:val="00501652"/>
    <w:rsid w:val="0050633D"/>
    <w:rsid w:val="00507BC4"/>
    <w:rsid w:val="005128E4"/>
    <w:rsid w:val="005133DB"/>
    <w:rsid w:val="00515D9A"/>
    <w:rsid w:val="00520703"/>
    <w:rsid w:val="0052287C"/>
    <w:rsid w:val="005229A4"/>
    <w:rsid w:val="00525560"/>
    <w:rsid w:val="005328A7"/>
    <w:rsid w:val="005415E6"/>
    <w:rsid w:val="00541D91"/>
    <w:rsid w:val="00544216"/>
    <w:rsid w:val="00544C49"/>
    <w:rsid w:val="005516A1"/>
    <w:rsid w:val="00560CE3"/>
    <w:rsid w:val="00563557"/>
    <w:rsid w:val="00567A1A"/>
    <w:rsid w:val="0057402A"/>
    <w:rsid w:val="00574881"/>
    <w:rsid w:val="0057494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600DEB"/>
    <w:rsid w:val="00601198"/>
    <w:rsid w:val="00601DD9"/>
    <w:rsid w:val="0060313F"/>
    <w:rsid w:val="0060433E"/>
    <w:rsid w:val="00615B5B"/>
    <w:rsid w:val="00623420"/>
    <w:rsid w:val="006277DE"/>
    <w:rsid w:val="00627C9F"/>
    <w:rsid w:val="006311E9"/>
    <w:rsid w:val="00632354"/>
    <w:rsid w:val="00642810"/>
    <w:rsid w:val="00647756"/>
    <w:rsid w:val="006509DA"/>
    <w:rsid w:val="00652333"/>
    <w:rsid w:val="006537FD"/>
    <w:rsid w:val="00660AE7"/>
    <w:rsid w:val="006760AE"/>
    <w:rsid w:val="0068009E"/>
    <w:rsid w:val="006819E9"/>
    <w:rsid w:val="00686471"/>
    <w:rsid w:val="00690AAB"/>
    <w:rsid w:val="00691BBE"/>
    <w:rsid w:val="00692219"/>
    <w:rsid w:val="006A17D2"/>
    <w:rsid w:val="006A2DFB"/>
    <w:rsid w:val="006A3AE4"/>
    <w:rsid w:val="006A4D5D"/>
    <w:rsid w:val="006A70DA"/>
    <w:rsid w:val="006A73E6"/>
    <w:rsid w:val="006B2D5C"/>
    <w:rsid w:val="006C4EB1"/>
    <w:rsid w:val="006C7AE8"/>
    <w:rsid w:val="006E0166"/>
    <w:rsid w:val="006E4FDC"/>
    <w:rsid w:val="006E7B34"/>
    <w:rsid w:val="006F2F1D"/>
    <w:rsid w:val="006F5EE9"/>
    <w:rsid w:val="006F67A1"/>
    <w:rsid w:val="00701306"/>
    <w:rsid w:val="0070697F"/>
    <w:rsid w:val="007073D6"/>
    <w:rsid w:val="0071444F"/>
    <w:rsid w:val="00715EFA"/>
    <w:rsid w:val="0072199C"/>
    <w:rsid w:val="00722AAB"/>
    <w:rsid w:val="00722C9F"/>
    <w:rsid w:val="007245EF"/>
    <w:rsid w:val="00724891"/>
    <w:rsid w:val="007253B8"/>
    <w:rsid w:val="00726C40"/>
    <w:rsid w:val="00734BF3"/>
    <w:rsid w:val="0073598C"/>
    <w:rsid w:val="0073741F"/>
    <w:rsid w:val="00744470"/>
    <w:rsid w:val="00744590"/>
    <w:rsid w:val="00753794"/>
    <w:rsid w:val="007570CD"/>
    <w:rsid w:val="007614A7"/>
    <w:rsid w:val="0076643F"/>
    <w:rsid w:val="0076799F"/>
    <w:rsid w:val="00774D6A"/>
    <w:rsid w:val="007751BE"/>
    <w:rsid w:val="00777F63"/>
    <w:rsid w:val="00781854"/>
    <w:rsid w:val="007852B5"/>
    <w:rsid w:val="007941B3"/>
    <w:rsid w:val="00796EB2"/>
    <w:rsid w:val="00797038"/>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1001"/>
    <w:rsid w:val="00802748"/>
    <w:rsid w:val="00803F1C"/>
    <w:rsid w:val="0080600E"/>
    <w:rsid w:val="00806FBB"/>
    <w:rsid w:val="00817612"/>
    <w:rsid w:val="00820235"/>
    <w:rsid w:val="0082682E"/>
    <w:rsid w:val="008338A4"/>
    <w:rsid w:val="00834D49"/>
    <w:rsid w:val="00836A5A"/>
    <w:rsid w:val="00836D82"/>
    <w:rsid w:val="00837C45"/>
    <w:rsid w:val="008411F0"/>
    <w:rsid w:val="00844730"/>
    <w:rsid w:val="008457C2"/>
    <w:rsid w:val="00854BC5"/>
    <w:rsid w:val="008561B9"/>
    <w:rsid w:val="00856730"/>
    <w:rsid w:val="00856ECA"/>
    <w:rsid w:val="00857A82"/>
    <w:rsid w:val="00867E17"/>
    <w:rsid w:val="00870539"/>
    <w:rsid w:val="00871526"/>
    <w:rsid w:val="00873836"/>
    <w:rsid w:val="008778AD"/>
    <w:rsid w:val="00885737"/>
    <w:rsid w:val="00890650"/>
    <w:rsid w:val="0089300F"/>
    <w:rsid w:val="00897E12"/>
    <w:rsid w:val="008A0F81"/>
    <w:rsid w:val="008A7E0F"/>
    <w:rsid w:val="008B12F5"/>
    <w:rsid w:val="008B5932"/>
    <w:rsid w:val="008C10F1"/>
    <w:rsid w:val="008C5751"/>
    <w:rsid w:val="008D768D"/>
    <w:rsid w:val="008E328A"/>
    <w:rsid w:val="008E3759"/>
    <w:rsid w:val="008E3BFE"/>
    <w:rsid w:val="008E64ED"/>
    <w:rsid w:val="008E7900"/>
    <w:rsid w:val="008F1020"/>
    <w:rsid w:val="008F1912"/>
    <w:rsid w:val="0090270B"/>
    <w:rsid w:val="009041DC"/>
    <w:rsid w:val="0091126E"/>
    <w:rsid w:val="0091381C"/>
    <w:rsid w:val="00917B5A"/>
    <w:rsid w:val="00920874"/>
    <w:rsid w:val="00920A58"/>
    <w:rsid w:val="00920A8C"/>
    <w:rsid w:val="0093084D"/>
    <w:rsid w:val="00930A71"/>
    <w:rsid w:val="00934A2C"/>
    <w:rsid w:val="00935F06"/>
    <w:rsid w:val="00936942"/>
    <w:rsid w:val="00937B3A"/>
    <w:rsid w:val="00940B09"/>
    <w:rsid w:val="00941B3B"/>
    <w:rsid w:val="00943C8E"/>
    <w:rsid w:val="009479E1"/>
    <w:rsid w:val="00954B82"/>
    <w:rsid w:val="00962436"/>
    <w:rsid w:val="0096706E"/>
    <w:rsid w:val="00967678"/>
    <w:rsid w:val="00974491"/>
    <w:rsid w:val="00975C4E"/>
    <w:rsid w:val="00981FBA"/>
    <w:rsid w:val="00996D90"/>
    <w:rsid w:val="00997BC5"/>
    <w:rsid w:val="009A216A"/>
    <w:rsid w:val="009A4F41"/>
    <w:rsid w:val="009B381B"/>
    <w:rsid w:val="009C0048"/>
    <w:rsid w:val="009C2FC5"/>
    <w:rsid w:val="009D1753"/>
    <w:rsid w:val="009D20FB"/>
    <w:rsid w:val="009D33C7"/>
    <w:rsid w:val="009D5BEB"/>
    <w:rsid w:val="009D6502"/>
    <w:rsid w:val="009D7611"/>
    <w:rsid w:val="009D78A5"/>
    <w:rsid w:val="009E0B61"/>
    <w:rsid w:val="009E0CA1"/>
    <w:rsid w:val="009E53DE"/>
    <w:rsid w:val="009E5F63"/>
    <w:rsid w:val="009E7C00"/>
    <w:rsid w:val="00A0691C"/>
    <w:rsid w:val="00A11E44"/>
    <w:rsid w:val="00A1312C"/>
    <w:rsid w:val="00A145B6"/>
    <w:rsid w:val="00A16B7B"/>
    <w:rsid w:val="00A22397"/>
    <w:rsid w:val="00A26886"/>
    <w:rsid w:val="00A328B3"/>
    <w:rsid w:val="00A404F9"/>
    <w:rsid w:val="00A50FCF"/>
    <w:rsid w:val="00A528D1"/>
    <w:rsid w:val="00A56478"/>
    <w:rsid w:val="00A610CD"/>
    <w:rsid w:val="00A62508"/>
    <w:rsid w:val="00A625E0"/>
    <w:rsid w:val="00A74947"/>
    <w:rsid w:val="00A758AA"/>
    <w:rsid w:val="00A800EA"/>
    <w:rsid w:val="00A82C5D"/>
    <w:rsid w:val="00A8681B"/>
    <w:rsid w:val="00A91BAA"/>
    <w:rsid w:val="00A93FE6"/>
    <w:rsid w:val="00A97404"/>
    <w:rsid w:val="00AA04D9"/>
    <w:rsid w:val="00AA09A2"/>
    <w:rsid w:val="00AA1FC9"/>
    <w:rsid w:val="00AA247F"/>
    <w:rsid w:val="00AA45EE"/>
    <w:rsid w:val="00AA7996"/>
    <w:rsid w:val="00AB39E7"/>
    <w:rsid w:val="00AC19CB"/>
    <w:rsid w:val="00AC6154"/>
    <w:rsid w:val="00AD1886"/>
    <w:rsid w:val="00AD7CF5"/>
    <w:rsid w:val="00AE4153"/>
    <w:rsid w:val="00AE5488"/>
    <w:rsid w:val="00AE6F91"/>
    <w:rsid w:val="00AE7F18"/>
    <w:rsid w:val="00AF05D4"/>
    <w:rsid w:val="00AF0F3D"/>
    <w:rsid w:val="00AF3D65"/>
    <w:rsid w:val="00AF4C02"/>
    <w:rsid w:val="00AF5571"/>
    <w:rsid w:val="00AF6D17"/>
    <w:rsid w:val="00B02959"/>
    <w:rsid w:val="00B040D4"/>
    <w:rsid w:val="00B06B4E"/>
    <w:rsid w:val="00B07341"/>
    <w:rsid w:val="00B16B79"/>
    <w:rsid w:val="00B202B5"/>
    <w:rsid w:val="00B22AA2"/>
    <w:rsid w:val="00B244E1"/>
    <w:rsid w:val="00B30539"/>
    <w:rsid w:val="00B314DB"/>
    <w:rsid w:val="00B31FAB"/>
    <w:rsid w:val="00B32116"/>
    <w:rsid w:val="00B361F2"/>
    <w:rsid w:val="00B3718B"/>
    <w:rsid w:val="00B42859"/>
    <w:rsid w:val="00B4632A"/>
    <w:rsid w:val="00B5067D"/>
    <w:rsid w:val="00B530F1"/>
    <w:rsid w:val="00B56DA5"/>
    <w:rsid w:val="00B736AF"/>
    <w:rsid w:val="00B82FC6"/>
    <w:rsid w:val="00B97946"/>
    <w:rsid w:val="00BA276C"/>
    <w:rsid w:val="00BA5544"/>
    <w:rsid w:val="00BA5EE5"/>
    <w:rsid w:val="00BB1B05"/>
    <w:rsid w:val="00BB1F72"/>
    <w:rsid w:val="00BB306F"/>
    <w:rsid w:val="00BB3FBD"/>
    <w:rsid w:val="00BB709A"/>
    <w:rsid w:val="00BC6CD0"/>
    <w:rsid w:val="00BD2D61"/>
    <w:rsid w:val="00BD4B89"/>
    <w:rsid w:val="00BD5922"/>
    <w:rsid w:val="00BD76D9"/>
    <w:rsid w:val="00BF02CB"/>
    <w:rsid w:val="00BF1FB2"/>
    <w:rsid w:val="00BF514A"/>
    <w:rsid w:val="00BF6FD8"/>
    <w:rsid w:val="00BF775D"/>
    <w:rsid w:val="00C03680"/>
    <w:rsid w:val="00C054DF"/>
    <w:rsid w:val="00C10AFC"/>
    <w:rsid w:val="00C21562"/>
    <w:rsid w:val="00C21762"/>
    <w:rsid w:val="00C2189D"/>
    <w:rsid w:val="00C21FEF"/>
    <w:rsid w:val="00C2229D"/>
    <w:rsid w:val="00C24543"/>
    <w:rsid w:val="00C256A2"/>
    <w:rsid w:val="00C35A26"/>
    <w:rsid w:val="00C46104"/>
    <w:rsid w:val="00C51515"/>
    <w:rsid w:val="00C53910"/>
    <w:rsid w:val="00C5660B"/>
    <w:rsid w:val="00C56854"/>
    <w:rsid w:val="00C5788A"/>
    <w:rsid w:val="00C66B72"/>
    <w:rsid w:val="00C7589C"/>
    <w:rsid w:val="00C764E1"/>
    <w:rsid w:val="00C87AC4"/>
    <w:rsid w:val="00C938F8"/>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2D14"/>
    <w:rsid w:val="00D55256"/>
    <w:rsid w:val="00D5551D"/>
    <w:rsid w:val="00D62438"/>
    <w:rsid w:val="00D63926"/>
    <w:rsid w:val="00D64647"/>
    <w:rsid w:val="00D66BEA"/>
    <w:rsid w:val="00D712D3"/>
    <w:rsid w:val="00D71422"/>
    <w:rsid w:val="00D72DC6"/>
    <w:rsid w:val="00D73A49"/>
    <w:rsid w:val="00D73F5E"/>
    <w:rsid w:val="00D7558D"/>
    <w:rsid w:val="00D77503"/>
    <w:rsid w:val="00D81D92"/>
    <w:rsid w:val="00D84CD7"/>
    <w:rsid w:val="00D876F9"/>
    <w:rsid w:val="00D877B6"/>
    <w:rsid w:val="00D928E2"/>
    <w:rsid w:val="00DA009E"/>
    <w:rsid w:val="00DA7B5F"/>
    <w:rsid w:val="00DB20DA"/>
    <w:rsid w:val="00DB3D5F"/>
    <w:rsid w:val="00DC11E7"/>
    <w:rsid w:val="00DC46AF"/>
    <w:rsid w:val="00DC7023"/>
    <w:rsid w:val="00DC769A"/>
    <w:rsid w:val="00DD3D86"/>
    <w:rsid w:val="00DD3F6C"/>
    <w:rsid w:val="00DD619C"/>
    <w:rsid w:val="00DE12F0"/>
    <w:rsid w:val="00DE32FE"/>
    <w:rsid w:val="00DE6C92"/>
    <w:rsid w:val="00DF1EC4"/>
    <w:rsid w:val="00DF295D"/>
    <w:rsid w:val="00DF2C49"/>
    <w:rsid w:val="00E00BE7"/>
    <w:rsid w:val="00E01943"/>
    <w:rsid w:val="00E0340B"/>
    <w:rsid w:val="00E04A90"/>
    <w:rsid w:val="00E0551F"/>
    <w:rsid w:val="00E0767D"/>
    <w:rsid w:val="00E110DA"/>
    <w:rsid w:val="00E170D0"/>
    <w:rsid w:val="00E17EF6"/>
    <w:rsid w:val="00E219C7"/>
    <w:rsid w:val="00E23117"/>
    <w:rsid w:val="00E26CCA"/>
    <w:rsid w:val="00E31586"/>
    <w:rsid w:val="00E4118C"/>
    <w:rsid w:val="00E43157"/>
    <w:rsid w:val="00E44F5E"/>
    <w:rsid w:val="00E461CE"/>
    <w:rsid w:val="00E479A2"/>
    <w:rsid w:val="00E50345"/>
    <w:rsid w:val="00E55DFC"/>
    <w:rsid w:val="00E720CA"/>
    <w:rsid w:val="00E7475F"/>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E6A83"/>
    <w:rsid w:val="00EF35AB"/>
    <w:rsid w:val="00EF4C44"/>
    <w:rsid w:val="00EF5DB8"/>
    <w:rsid w:val="00EF619B"/>
    <w:rsid w:val="00F00B55"/>
    <w:rsid w:val="00F024BC"/>
    <w:rsid w:val="00F02AD1"/>
    <w:rsid w:val="00F035E2"/>
    <w:rsid w:val="00F037F5"/>
    <w:rsid w:val="00F04591"/>
    <w:rsid w:val="00F06354"/>
    <w:rsid w:val="00F124BF"/>
    <w:rsid w:val="00F157A3"/>
    <w:rsid w:val="00F20214"/>
    <w:rsid w:val="00F21A08"/>
    <w:rsid w:val="00F25323"/>
    <w:rsid w:val="00F253CC"/>
    <w:rsid w:val="00F332EF"/>
    <w:rsid w:val="00F37106"/>
    <w:rsid w:val="00F40618"/>
    <w:rsid w:val="00F42E88"/>
    <w:rsid w:val="00F4378E"/>
    <w:rsid w:val="00F50554"/>
    <w:rsid w:val="00F519CF"/>
    <w:rsid w:val="00F52E62"/>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62CF"/>
    <w:rsid w:val="00FC0F4A"/>
    <w:rsid w:val="00FC3140"/>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med1">
    <w:name w:val="med1"/>
    <w:basedOn w:val="DefaultParagraphFont"/>
    <w:rsid w:val="0052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0407">
      <w:bodyDiv w:val="1"/>
      <w:marLeft w:val="0"/>
      <w:marRight w:val="0"/>
      <w:marTop w:val="0"/>
      <w:marBottom w:val="0"/>
      <w:divBdr>
        <w:top w:val="none" w:sz="0" w:space="0" w:color="auto"/>
        <w:left w:val="none" w:sz="0" w:space="0" w:color="auto"/>
        <w:bottom w:val="none" w:sz="0" w:space="0" w:color="auto"/>
        <w:right w:val="none" w:sz="0" w:space="0" w:color="auto"/>
      </w:divBdr>
    </w:div>
    <w:div w:id="446241521">
      <w:bodyDiv w:val="1"/>
      <w:marLeft w:val="0"/>
      <w:marRight w:val="0"/>
      <w:marTop w:val="0"/>
      <w:marBottom w:val="0"/>
      <w:divBdr>
        <w:top w:val="none" w:sz="0" w:space="0" w:color="auto"/>
        <w:left w:val="none" w:sz="0" w:space="0" w:color="auto"/>
        <w:bottom w:val="none" w:sz="0" w:space="0" w:color="auto"/>
        <w:right w:val="none" w:sz="0" w:space="0" w:color="auto"/>
      </w:divBdr>
    </w:div>
    <w:div w:id="458843771">
      <w:bodyDiv w:val="1"/>
      <w:marLeft w:val="0"/>
      <w:marRight w:val="0"/>
      <w:marTop w:val="0"/>
      <w:marBottom w:val="0"/>
      <w:divBdr>
        <w:top w:val="none" w:sz="0" w:space="0" w:color="auto"/>
        <w:left w:val="none" w:sz="0" w:space="0" w:color="auto"/>
        <w:bottom w:val="none" w:sz="0" w:space="0" w:color="auto"/>
        <w:right w:val="none" w:sz="0" w:space="0" w:color="auto"/>
      </w:divBdr>
    </w:div>
    <w:div w:id="459570308">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688028845">
      <w:bodyDiv w:val="1"/>
      <w:marLeft w:val="0"/>
      <w:marRight w:val="0"/>
      <w:marTop w:val="0"/>
      <w:marBottom w:val="0"/>
      <w:divBdr>
        <w:top w:val="none" w:sz="0" w:space="0" w:color="auto"/>
        <w:left w:val="none" w:sz="0" w:space="0" w:color="auto"/>
        <w:bottom w:val="none" w:sz="0" w:space="0" w:color="auto"/>
        <w:right w:val="none" w:sz="0" w:space="0" w:color="auto"/>
      </w:divBdr>
    </w:div>
    <w:div w:id="689264600">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250240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B4EB-2D36-42CE-9D5B-A41B3097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3583</Words>
  <Characters>19385</Characters>
  <Application>Microsoft Office Word</Application>
  <DocSecurity>0</DocSecurity>
  <Lines>365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282/21</dc:title>
  <dc:creator/>
  <cp:keywords/>
  <cp:lastModifiedBy/>
  <cp:revision>1</cp:revision>
  <dcterms:created xsi:type="dcterms:W3CDTF">2022-02-07T18:51:00Z</dcterms:created>
  <dcterms:modified xsi:type="dcterms:W3CDTF">2022-02-07T18:52:00Z</dcterms:modified>
</cp:coreProperties>
</file>