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2C74163" w14:textId="0EA935CE" w:rsidR="00040C3A" w:rsidRPr="0090270B" w:rsidRDefault="00981E2C"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85888" behindDoc="1" locked="0" layoutInCell="1" allowOverlap="1" wp14:anchorId="6A99870A" wp14:editId="3965BA4F">
                <wp:simplePos x="0" y="0"/>
                <wp:positionH relativeFrom="column">
                  <wp:posOffset>-418011</wp:posOffset>
                </wp:positionH>
                <wp:positionV relativeFrom="paragraph">
                  <wp:posOffset>-437606</wp:posOffset>
                </wp:positionV>
                <wp:extent cx="1409700" cy="8977630"/>
                <wp:effectExtent l="0" t="0" r="12700" b="0"/>
                <wp:wrapNone/>
                <wp:docPr id="19" name="Rectangle 19"/>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24FD4E" id="Rectangle 19" o:spid="_x0000_s1026" style="position:absolute;margin-left:-32.9pt;margin-top:-34.45pt;width:111pt;height:706.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" fillcolor="#67ae3c" stroked="f" strokeweight="2pt"/>
            </w:pict>
          </mc:Fallback>
        </mc:AlternateContent>
      </w:r>
      <w:r>
        <w:rPr>
          <w:noProof/>
        </w:rPr>
        <w:drawing>
          <wp:anchor distT="0" distB="0" distL="114300" distR="114300" simplePos="0" relativeHeight="251683840" behindDoc="0" locked="0" layoutInCell="1" allowOverlap="1" wp14:anchorId="182F8338" wp14:editId="64D11D7E">
            <wp:simplePos x="0" y="0"/>
            <wp:positionH relativeFrom="column">
              <wp:posOffset>1384663</wp:posOffset>
            </wp:positionH>
            <wp:positionV relativeFrom="paragraph">
              <wp:posOffset>-346165</wp:posOffset>
            </wp:positionV>
            <wp:extent cx="2522763" cy="485775"/>
            <wp:effectExtent l="0" t="0" r="5080" b="0"/>
            <wp:wrapNone/>
            <wp:docPr id="18" name="Picture 18"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2763"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246023"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3B88EB24"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0EB1A869"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0967FF0"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8B6F21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D71C593"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0B59036"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06A5278"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09EA79F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0355F7A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0AE83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7AA7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979FB09"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011F351" wp14:editId="1BB02D7D">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EFDF48" w14:textId="546C5040" w:rsidR="00263A40" w:rsidRPr="006C4116" w:rsidRDefault="00CB2312" w:rsidP="00997BC5">
                            <w:pPr>
                              <w:spacing w:line="276" w:lineRule="auto"/>
                              <w:rPr>
                                <w:rFonts w:asciiTheme="majorHAnsi" w:hAnsiTheme="majorHAnsi" w:cs="Arial"/>
                                <w:b/>
                                <w:bCs/>
                                <w:color w:val="0D0D0D" w:themeColor="text1" w:themeTint="F2"/>
                                <w:sz w:val="36"/>
                                <w:szCs w:val="22"/>
                              </w:rPr>
                            </w:pPr>
                            <w:r w:rsidRPr="006C4116">
                              <w:rPr>
                                <w:rFonts w:asciiTheme="majorHAnsi" w:hAnsiTheme="majorHAnsi" w:cs="Arial"/>
                                <w:b/>
                                <w:bCs/>
                                <w:color w:val="0D0D0D" w:themeColor="text1" w:themeTint="F2"/>
                                <w:sz w:val="36"/>
                                <w:szCs w:val="22"/>
                              </w:rPr>
                              <w:t>REPORT</w:t>
                            </w:r>
                            <w:r w:rsidR="00263A40" w:rsidRPr="006C4116">
                              <w:rPr>
                                <w:rFonts w:asciiTheme="majorHAnsi" w:hAnsiTheme="majorHAnsi" w:cs="Arial"/>
                                <w:b/>
                                <w:bCs/>
                                <w:color w:val="0D0D0D" w:themeColor="text1" w:themeTint="F2"/>
                                <w:sz w:val="36"/>
                                <w:szCs w:val="22"/>
                              </w:rPr>
                              <w:t xml:space="preserve"> </w:t>
                            </w:r>
                            <w:r w:rsidR="00263A40" w:rsidRPr="006C4116">
                              <w:rPr>
                                <w:rFonts w:asciiTheme="majorHAnsi" w:hAnsiTheme="majorHAnsi" w:cs="Arial"/>
                                <w:b/>
                                <w:bCs/>
                                <w:color w:val="0D0D0D" w:themeColor="text1" w:themeTint="F2"/>
                                <w:sz w:val="36"/>
                                <w:szCs w:val="40"/>
                              </w:rPr>
                              <w:t>No.</w:t>
                            </w:r>
                            <w:r w:rsidR="00263A40" w:rsidRPr="006C4116">
                              <w:rPr>
                                <w:rFonts w:asciiTheme="majorHAnsi" w:hAnsiTheme="majorHAnsi" w:cs="Arial"/>
                                <w:b/>
                                <w:bCs/>
                                <w:color w:val="0D0D0D" w:themeColor="text1" w:themeTint="F2"/>
                                <w:sz w:val="36"/>
                                <w:szCs w:val="22"/>
                              </w:rPr>
                              <w:t xml:space="preserve"> </w:t>
                            </w:r>
                            <w:r w:rsidR="00331988">
                              <w:rPr>
                                <w:rFonts w:asciiTheme="majorHAnsi" w:hAnsiTheme="majorHAnsi" w:cs="Arial"/>
                                <w:b/>
                                <w:bCs/>
                                <w:color w:val="0D0D0D" w:themeColor="text1" w:themeTint="F2"/>
                                <w:sz w:val="36"/>
                                <w:szCs w:val="22"/>
                              </w:rPr>
                              <w:t>115</w:t>
                            </w:r>
                            <w:r w:rsidR="00263A40" w:rsidRPr="006C4116">
                              <w:rPr>
                                <w:rFonts w:asciiTheme="majorHAnsi" w:hAnsiTheme="majorHAnsi" w:cs="Arial"/>
                                <w:b/>
                                <w:bCs/>
                                <w:color w:val="0D0D0D" w:themeColor="text1" w:themeTint="F2"/>
                                <w:sz w:val="36"/>
                                <w:szCs w:val="22"/>
                              </w:rPr>
                              <w:t>/2</w:t>
                            </w:r>
                            <w:r w:rsidR="00A42196">
                              <w:rPr>
                                <w:rFonts w:asciiTheme="majorHAnsi" w:hAnsiTheme="majorHAnsi" w:cs="Arial"/>
                                <w:b/>
                                <w:bCs/>
                                <w:color w:val="0D0D0D" w:themeColor="text1" w:themeTint="F2"/>
                                <w:sz w:val="36"/>
                                <w:szCs w:val="22"/>
                              </w:rPr>
                              <w:t>1</w:t>
                            </w:r>
                          </w:p>
                          <w:p w14:paraId="0E55D00F" w14:textId="089BFAF6" w:rsidR="00263A40" w:rsidRPr="00CB2312" w:rsidRDefault="00263A40" w:rsidP="00997BC5">
                            <w:pPr>
                              <w:spacing w:line="276" w:lineRule="auto"/>
                              <w:rPr>
                                <w:rFonts w:asciiTheme="majorHAnsi" w:hAnsiTheme="majorHAnsi" w:cs="Arial"/>
                                <w:b/>
                                <w:color w:val="0D0D0D" w:themeColor="text1" w:themeTint="F2"/>
                                <w:sz w:val="36"/>
                                <w:szCs w:val="22"/>
                              </w:rPr>
                            </w:pPr>
                            <w:r w:rsidRPr="00CB2312">
                              <w:rPr>
                                <w:rFonts w:asciiTheme="majorHAnsi" w:hAnsiTheme="majorHAnsi" w:cs="Arial"/>
                                <w:b/>
                                <w:color w:val="0D0D0D" w:themeColor="text1" w:themeTint="F2"/>
                                <w:sz w:val="36"/>
                                <w:szCs w:val="22"/>
                              </w:rPr>
                              <w:t>CAS</w:t>
                            </w:r>
                            <w:r w:rsidR="00CB2312" w:rsidRPr="00CB2312">
                              <w:rPr>
                                <w:rFonts w:asciiTheme="majorHAnsi" w:hAnsiTheme="majorHAnsi" w:cs="Arial"/>
                                <w:b/>
                                <w:color w:val="0D0D0D" w:themeColor="text1" w:themeTint="F2"/>
                                <w:sz w:val="36"/>
                                <w:szCs w:val="22"/>
                              </w:rPr>
                              <w:t>E</w:t>
                            </w:r>
                            <w:r w:rsidRPr="00CB2312">
                              <w:rPr>
                                <w:rFonts w:asciiTheme="majorHAnsi" w:hAnsiTheme="majorHAnsi" w:cs="Arial"/>
                                <w:b/>
                                <w:color w:val="0D0D0D" w:themeColor="text1" w:themeTint="F2"/>
                                <w:sz w:val="36"/>
                                <w:szCs w:val="22"/>
                              </w:rPr>
                              <w:t xml:space="preserve"> </w:t>
                            </w:r>
                            <w:r w:rsidR="00A42196" w:rsidRPr="00A42196">
                              <w:rPr>
                                <w:rFonts w:asciiTheme="majorHAnsi" w:hAnsiTheme="majorHAnsi" w:cs="Arial"/>
                                <w:b/>
                                <w:color w:val="0D0D0D" w:themeColor="text1" w:themeTint="F2"/>
                                <w:sz w:val="36"/>
                                <w:szCs w:val="22"/>
                              </w:rPr>
                              <w:t>13.171</w:t>
                            </w:r>
                          </w:p>
                          <w:p w14:paraId="0D1B8F84" w14:textId="5F259FA1" w:rsidR="00263A40" w:rsidRDefault="00CB2312" w:rsidP="00997BC5">
                            <w:pPr>
                              <w:spacing w:line="276" w:lineRule="auto"/>
                              <w:rPr>
                                <w:rFonts w:asciiTheme="majorHAnsi" w:hAnsiTheme="majorHAnsi" w:cs="Arial"/>
                                <w:color w:val="0D0D0D" w:themeColor="text1" w:themeTint="F2"/>
                                <w:szCs w:val="22"/>
                              </w:rPr>
                            </w:pPr>
                            <w:bookmarkStart w:id="1" w:name="_ftnref1"/>
                            <w:r w:rsidRPr="00CB2312">
                              <w:rPr>
                                <w:rFonts w:asciiTheme="majorHAnsi" w:hAnsiTheme="majorHAnsi" w:cs="Arial"/>
                                <w:color w:val="0D0D0D" w:themeColor="text1" w:themeTint="F2"/>
                                <w:szCs w:val="22"/>
                              </w:rPr>
                              <w:t>FRIENDLY SETT</w:t>
                            </w:r>
                            <w:r>
                              <w:rPr>
                                <w:rFonts w:asciiTheme="majorHAnsi" w:hAnsiTheme="majorHAnsi" w:cs="Arial"/>
                                <w:color w:val="0D0D0D" w:themeColor="text1" w:themeTint="F2"/>
                                <w:szCs w:val="22"/>
                              </w:rPr>
                              <w:t>LEMENT</w:t>
                            </w:r>
                          </w:p>
                          <w:p w14:paraId="4169D41B" w14:textId="77777777" w:rsidR="00A42196" w:rsidRPr="00CB2312" w:rsidRDefault="00A42196" w:rsidP="00997BC5">
                            <w:pPr>
                              <w:spacing w:line="276" w:lineRule="auto"/>
                              <w:rPr>
                                <w:rFonts w:asciiTheme="majorHAnsi" w:hAnsiTheme="majorHAnsi" w:cs="Arial"/>
                                <w:color w:val="0D0D0D" w:themeColor="text1" w:themeTint="F2"/>
                                <w:szCs w:val="22"/>
                              </w:rPr>
                            </w:pPr>
                          </w:p>
                          <w:bookmarkEnd w:id="1"/>
                          <w:p w14:paraId="13FAE9E0" w14:textId="77777777" w:rsidR="00A42196" w:rsidRPr="00D20406" w:rsidRDefault="00A42196" w:rsidP="00A42196">
                            <w:pPr>
                              <w:spacing w:line="276" w:lineRule="auto"/>
                              <w:rPr>
                                <w:rFonts w:asciiTheme="majorHAnsi" w:hAnsiTheme="majorHAnsi" w:cs="Arial"/>
                                <w:color w:val="0D0D0D" w:themeColor="text1" w:themeTint="F2"/>
                                <w:szCs w:val="22"/>
                              </w:rPr>
                            </w:pPr>
                            <w:r w:rsidRPr="00D20406">
                              <w:rPr>
                                <w:rFonts w:asciiTheme="majorHAnsi" w:hAnsiTheme="majorHAnsi" w:cs="Arial"/>
                                <w:color w:val="0D0D0D" w:themeColor="text1" w:themeTint="F2"/>
                                <w:szCs w:val="22"/>
                              </w:rPr>
                              <w:t>LUIS ARGEMIRO GÓMEZ ATEHORTUA</w:t>
                            </w:r>
                          </w:p>
                          <w:p w14:paraId="1BEAF697" w14:textId="77777777" w:rsidR="00A42196" w:rsidRPr="00AE5488" w:rsidRDefault="00A42196" w:rsidP="00A42196">
                            <w:pPr>
                              <w:rPr>
                                <w:color w:val="0D0D0D" w:themeColor="text1" w:themeTint="F2"/>
                                <w:lang w:val="es-ES_tradnl"/>
                              </w:rPr>
                            </w:pPr>
                            <w:r>
                              <w:rPr>
                                <w:rFonts w:asciiTheme="majorHAnsi" w:hAnsiTheme="majorHAnsi" w:cs="Arial"/>
                                <w:color w:val="0D0D0D" w:themeColor="text1" w:themeTint="F2"/>
                                <w:szCs w:val="22"/>
                                <w:lang w:val="es-ES_tradnl"/>
                              </w:rPr>
                              <w:t>COLOMBIA</w:t>
                            </w:r>
                          </w:p>
                          <w:p w14:paraId="456B945E" w14:textId="77777777" w:rsidR="00263A40" w:rsidRPr="00CB2312" w:rsidRDefault="00263A40"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11F351" id="_x0000_t202" coordsize="21600,21600" o:spt="202" path="m,l,21600r21600,l21600,xe">
                <v:stroke joinstyle="miter"/>
                <v:path gradientshapeok="t" o:connecttype="rect"/>
              </v:shapetype>
              <v:shape id="Text Box 5" o:spid="_x0000_s1026"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" filled="f" stroked="f" strokeweight=".5pt">
                <v:textbox>
                  <w:txbxContent>
                    <w:p w14:paraId="75EFDF48" w14:textId="546C5040" w:rsidR="00263A40" w:rsidRPr="006C4116" w:rsidRDefault="00CB2312" w:rsidP="00997BC5">
                      <w:pPr>
                        <w:spacing w:line="276" w:lineRule="auto"/>
                        <w:rPr>
                          <w:rFonts w:asciiTheme="majorHAnsi" w:hAnsiTheme="majorHAnsi" w:cs="Arial"/>
                          <w:b/>
                          <w:bCs/>
                          <w:color w:val="0D0D0D" w:themeColor="text1" w:themeTint="F2"/>
                          <w:sz w:val="36"/>
                          <w:szCs w:val="22"/>
                        </w:rPr>
                      </w:pPr>
                      <w:r w:rsidRPr="006C4116">
                        <w:rPr>
                          <w:rFonts w:asciiTheme="majorHAnsi" w:hAnsiTheme="majorHAnsi" w:cs="Arial"/>
                          <w:b/>
                          <w:bCs/>
                          <w:color w:val="0D0D0D" w:themeColor="text1" w:themeTint="F2"/>
                          <w:sz w:val="36"/>
                          <w:szCs w:val="22"/>
                        </w:rPr>
                        <w:t>REPORT</w:t>
                      </w:r>
                      <w:r w:rsidR="00263A40" w:rsidRPr="006C4116">
                        <w:rPr>
                          <w:rFonts w:asciiTheme="majorHAnsi" w:hAnsiTheme="majorHAnsi" w:cs="Arial"/>
                          <w:b/>
                          <w:bCs/>
                          <w:color w:val="0D0D0D" w:themeColor="text1" w:themeTint="F2"/>
                          <w:sz w:val="36"/>
                          <w:szCs w:val="22"/>
                        </w:rPr>
                        <w:t xml:space="preserve"> </w:t>
                      </w:r>
                      <w:r w:rsidR="00263A40" w:rsidRPr="006C4116">
                        <w:rPr>
                          <w:rFonts w:asciiTheme="majorHAnsi" w:hAnsiTheme="majorHAnsi" w:cs="Arial"/>
                          <w:b/>
                          <w:bCs/>
                          <w:color w:val="0D0D0D" w:themeColor="text1" w:themeTint="F2"/>
                          <w:sz w:val="36"/>
                          <w:szCs w:val="40"/>
                        </w:rPr>
                        <w:t>No.</w:t>
                      </w:r>
                      <w:r w:rsidR="00263A40" w:rsidRPr="006C4116">
                        <w:rPr>
                          <w:rFonts w:asciiTheme="majorHAnsi" w:hAnsiTheme="majorHAnsi" w:cs="Arial"/>
                          <w:b/>
                          <w:bCs/>
                          <w:color w:val="0D0D0D" w:themeColor="text1" w:themeTint="F2"/>
                          <w:sz w:val="36"/>
                          <w:szCs w:val="22"/>
                        </w:rPr>
                        <w:t xml:space="preserve"> </w:t>
                      </w:r>
                      <w:r w:rsidR="00331988">
                        <w:rPr>
                          <w:rFonts w:asciiTheme="majorHAnsi" w:hAnsiTheme="majorHAnsi" w:cs="Arial"/>
                          <w:b/>
                          <w:bCs/>
                          <w:color w:val="0D0D0D" w:themeColor="text1" w:themeTint="F2"/>
                          <w:sz w:val="36"/>
                          <w:szCs w:val="22"/>
                        </w:rPr>
                        <w:t>115</w:t>
                      </w:r>
                      <w:r w:rsidR="00263A40" w:rsidRPr="006C4116">
                        <w:rPr>
                          <w:rFonts w:asciiTheme="majorHAnsi" w:hAnsiTheme="majorHAnsi" w:cs="Arial"/>
                          <w:b/>
                          <w:bCs/>
                          <w:color w:val="0D0D0D" w:themeColor="text1" w:themeTint="F2"/>
                          <w:sz w:val="36"/>
                          <w:szCs w:val="22"/>
                        </w:rPr>
                        <w:t>/2</w:t>
                      </w:r>
                      <w:r w:rsidR="00A42196">
                        <w:rPr>
                          <w:rFonts w:asciiTheme="majorHAnsi" w:hAnsiTheme="majorHAnsi" w:cs="Arial"/>
                          <w:b/>
                          <w:bCs/>
                          <w:color w:val="0D0D0D" w:themeColor="text1" w:themeTint="F2"/>
                          <w:sz w:val="36"/>
                          <w:szCs w:val="22"/>
                        </w:rPr>
                        <w:t>1</w:t>
                      </w:r>
                    </w:p>
                    <w:p w14:paraId="0E55D00F" w14:textId="089BFAF6" w:rsidR="00263A40" w:rsidRPr="00CB2312" w:rsidRDefault="00263A40" w:rsidP="00997BC5">
                      <w:pPr>
                        <w:spacing w:line="276" w:lineRule="auto"/>
                        <w:rPr>
                          <w:rFonts w:asciiTheme="majorHAnsi" w:hAnsiTheme="majorHAnsi" w:cs="Arial"/>
                          <w:b/>
                          <w:color w:val="0D0D0D" w:themeColor="text1" w:themeTint="F2"/>
                          <w:sz w:val="36"/>
                          <w:szCs w:val="22"/>
                        </w:rPr>
                      </w:pPr>
                      <w:r w:rsidRPr="00CB2312">
                        <w:rPr>
                          <w:rFonts w:asciiTheme="majorHAnsi" w:hAnsiTheme="majorHAnsi" w:cs="Arial"/>
                          <w:b/>
                          <w:color w:val="0D0D0D" w:themeColor="text1" w:themeTint="F2"/>
                          <w:sz w:val="36"/>
                          <w:szCs w:val="22"/>
                        </w:rPr>
                        <w:t>CAS</w:t>
                      </w:r>
                      <w:r w:rsidR="00CB2312" w:rsidRPr="00CB2312">
                        <w:rPr>
                          <w:rFonts w:asciiTheme="majorHAnsi" w:hAnsiTheme="majorHAnsi" w:cs="Arial"/>
                          <w:b/>
                          <w:color w:val="0D0D0D" w:themeColor="text1" w:themeTint="F2"/>
                          <w:sz w:val="36"/>
                          <w:szCs w:val="22"/>
                        </w:rPr>
                        <w:t>E</w:t>
                      </w:r>
                      <w:r w:rsidRPr="00CB2312">
                        <w:rPr>
                          <w:rFonts w:asciiTheme="majorHAnsi" w:hAnsiTheme="majorHAnsi" w:cs="Arial"/>
                          <w:b/>
                          <w:color w:val="0D0D0D" w:themeColor="text1" w:themeTint="F2"/>
                          <w:sz w:val="36"/>
                          <w:szCs w:val="22"/>
                        </w:rPr>
                        <w:t xml:space="preserve"> </w:t>
                      </w:r>
                      <w:r w:rsidR="00A42196" w:rsidRPr="00A42196">
                        <w:rPr>
                          <w:rFonts w:asciiTheme="majorHAnsi" w:hAnsiTheme="majorHAnsi" w:cs="Arial"/>
                          <w:b/>
                          <w:color w:val="0D0D0D" w:themeColor="text1" w:themeTint="F2"/>
                          <w:sz w:val="36"/>
                          <w:szCs w:val="22"/>
                        </w:rPr>
                        <w:t>13.171</w:t>
                      </w:r>
                    </w:p>
                    <w:p w14:paraId="0D1B8F84" w14:textId="5F259FA1" w:rsidR="00263A40" w:rsidRDefault="00CB2312" w:rsidP="00997BC5">
                      <w:pPr>
                        <w:spacing w:line="276" w:lineRule="auto"/>
                        <w:rPr>
                          <w:rFonts w:asciiTheme="majorHAnsi" w:hAnsiTheme="majorHAnsi" w:cs="Arial"/>
                          <w:color w:val="0D0D0D" w:themeColor="text1" w:themeTint="F2"/>
                          <w:szCs w:val="22"/>
                        </w:rPr>
                      </w:pPr>
                      <w:bookmarkStart w:id="1" w:name="_ftnref1"/>
                      <w:r w:rsidRPr="00CB2312">
                        <w:rPr>
                          <w:rFonts w:asciiTheme="majorHAnsi" w:hAnsiTheme="majorHAnsi" w:cs="Arial"/>
                          <w:color w:val="0D0D0D" w:themeColor="text1" w:themeTint="F2"/>
                          <w:szCs w:val="22"/>
                        </w:rPr>
                        <w:t>FRIENDLY SETT</w:t>
                      </w:r>
                      <w:r>
                        <w:rPr>
                          <w:rFonts w:asciiTheme="majorHAnsi" w:hAnsiTheme="majorHAnsi" w:cs="Arial"/>
                          <w:color w:val="0D0D0D" w:themeColor="text1" w:themeTint="F2"/>
                          <w:szCs w:val="22"/>
                        </w:rPr>
                        <w:t>LEMENT</w:t>
                      </w:r>
                    </w:p>
                    <w:p w14:paraId="4169D41B" w14:textId="77777777" w:rsidR="00A42196" w:rsidRPr="00CB2312" w:rsidRDefault="00A42196" w:rsidP="00997BC5">
                      <w:pPr>
                        <w:spacing w:line="276" w:lineRule="auto"/>
                        <w:rPr>
                          <w:rFonts w:asciiTheme="majorHAnsi" w:hAnsiTheme="majorHAnsi" w:cs="Arial"/>
                          <w:color w:val="0D0D0D" w:themeColor="text1" w:themeTint="F2"/>
                          <w:szCs w:val="22"/>
                        </w:rPr>
                      </w:pPr>
                    </w:p>
                    <w:bookmarkEnd w:id="1"/>
                    <w:p w14:paraId="13FAE9E0" w14:textId="77777777" w:rsidR="00A42196" w:rsidRPr="00D20406" w:rsidRDefault="00A42196" w:rsidP="00A42196">
                      <w:pPr>
                        <w:spacing w:line="276" w:lineRule="auto"/>
                        <w:rPr>
                          <w:rFonts w:asciiTheme="majorHAnsi" w:hAnsiTheme="majorHAnsi" w:cs="Arial"/>
                          <w:color w:val="0D0D0D" w:themeColor="text1" w:themeTint="F2"/>
                          <w:szCs w:val="22"/>
                        </w:rPr>
                      </w:pPr>
                      <w:r w:rsidRPr="00D20406">
                        <w:rPr>
                          <w:rFonts w:asciiTheme="majorHAnsi" w:hAnsiTheme="majorHAnsi" w:cs="Arial"/>
                          <w:color w:val="0D0D0D" w:themeColor="text1" w:themeTint="F2"/>
                          <w:szCs w:val="22"/>
                        </w:rPr>
                        <w:t>LUIS ARGEMIRO GÓMEZ ATEHORTUA</w:t>
                      </w:r>
                    </w:p>
                    <w:p w14:paraId="1BEAF697" w14:textId="77777777" w:rsidR="00A42196" w:rsidRPr="00AE5488" w:rsidRDefault="00A42196" w:rsidP="00A42196">
                      <w:pPr>
                        <w:rPr>
                          <w:color w:val="0D0D0D" w:themeColor="text1" w:themeTint="F2"/>
                          <w:lang w:val="es-ES_tradnl"/>
                        </w:rPr>
                      </w:pPr>
                      <w:r>
                        <w:rPr>
                          <w:rFonts w:asciiTheme="majorHAnsi" w:hAnsiTheme="majorHAnsi" w:cs="Arial"/>
                          <w:color w:val="0D0D0D" w:themeColor="text1" w:themeTint="F2"/>
                          <w:szCs w:val="22"/>
                          <w:lang w:val="es-ES_tradnl"/>
                        </w:rPr>
                        <w:t>COLOMBIA</w:t>
                      </w:r>
                    </w:p>
                    <w:p w14:paraId="456B945E" w14:textId="77777777" w:rsidR="00263A40" w:rsidRPr="00CB2312" w:rsidRDefault="00263A40" w:rsidP="007A5817">
                      <w:pPr>
                        <w:rPr>
                          <w:color w:val="0D0D0D" w:themeColor="text1" w:themeTint="F2"/>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CDDDB0" wp14:editId="04BE9B8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28896" w14:textId="12D57EBB" w:rsidR="00263A40" w:rsidRPr="004E2649" w:rsidRDefault="00263A40"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77EECB8A" w14:textId="462EBF6C" w:rsidR="00263A40" w:rsidRPr="004E2649" w:rsidRDefault="00263A40"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331988">
                              <w:rPr>
                                <w:rFonts w:asciiTheme="minorHAnsi" w:hAnsiTheme="minorHAnsi"/>
                                <w:color w:val="FFFFFF" w:themeColor="background1"/>
                                <w:sz w:val="22"/>
                                <w:lang w:val="pt-BR"/>
                              </w:rPr>
                              <w:t>123</w:t>
                            </w:r>
                          </w:p>
                          <w:p w14:paraId="1F03604D" w14:textId="3A20C1A7" w:rsidR="00263A40" w:rsidRPr="006C4116" w:rsidRDefault="00331988"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13</w:t>
                            </w:r>
                            <w:r w:rsidR="00A72610">
                              <w:rPr>
                                <w:rFonts w:asciiTheme="minorHAnsi" w:hAnsiTheme="minorHAnsi"/>
                                <w:color w:val="FFFFFF" w:themeColor="background1"/>
                                <w:sz w:val="22"/>
                              </w:rPr>
                              <w:t xml:space="preserve"> Ju</w:t>
                            </w:r>
                            <w:r>
                              <w:rPr>
                                <w:rFonts w:asciiTheme="minorHAnsi" w:hAnsiTheme="minorHAnsi"/>
                                <w:color w:val="FFFFFF" w:themeColor="background1"/>
                                <w:sz w:val="22"/>
                              </w:rPr>
                              <w:t>ne</w:t>
                            </w:r>
                            <w:r w:rsidR="00981E2C" w:rsidRPr="006C4116">
                              <w:rPr>
                                <w:rFonts w:asciiTheme="minorHAnsi" w:hAnsiTheme="minorHAnsi"/>
                                <w:color w:val="FFFFFF" w:themeColor="background1"/>
                                <w:sz w:val="22"/>
                              </w:rPr>
                              <w:t xml:space="preserve"> </w:t>
                            </w:r>
                            <w:r w:rsidR="00263A40" w:rsidRPr="006C4116">
                              <w:rPr>
                                <w:rFonts w:asciiTheme="minorHAnsi" w:hAnsiTheme="minorHAnsi"/>
                                <w:color w:val="FFFFFF" w:themeColor="background1"/>
                                <w:sz w:val="22"/>
                              </w:rPr>
                              <w:t>202</w:t>
                            </w:r>
                            <w:r>
                              <w:rPr>
                                <w:rFonts w:asciiTheme="minorHAnsi" w:hAnsiTheme="minorHAnsi"/>
                                <w:color w:val="FFFFFF" w:themeColor="background1"/>
                                <w:sz w:val="22"/>
                              </w:rPr>
                              <w:t>1</w:t>
                            </w:r>
                          </w:p>
                          <w:p w14:paraId="5F92247D" w14:textId="694A9C74" w:rsidR="00263A40" w:rsidRPr="006C4116" w:rsidRDefault="00263A40" w:rsidP="007A5817">
                            <w:pPr>
                              <w:spacing w:line="276" w:lineRule="auto"/>
                              <w:jc w:val="right"/>
                              <w:rPr>
                                <w:rFonts w:asciiTheme="minorHAnsi" w:hAnsiTheme="minorHAnsi"/>
                                <w:color w:val="FFFFFF" w:themeColor="background1"/>
                                <w:sz w:val="22"/>
                              </w:rPr>
                            </w:pPr>
                            <w:r w:rsidRPr="006C4116">
                              <w:rPr>
                                <w:rFonts w:asciiTheme="minorHAnsi" w:hAnsiTheme="minorHAnsi"/>
                                <w:color w:val="FFFFFF" w:themeColor="background1"/>
                                <w:sz w:val="22"/>
                              </w:rPr>
                              <w:t xml:space="preserve">Original: </w:t>
                            </w:r>
                            <w:r w:rsidR="00981E2C" w:rsidRPr="006C4116">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CDDDB0" id="Text Box 8" o:spid="_x0000_s1027"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" filled="f" stroked="f" strokeweight=".5pt">
                <v:textbox>
                  <w:txbxContent>
                    <w:p w14:paraId="4F728896" w14:textId="12D57EBB" w:rsidR="00263A40" w:rsidRPr="004E2649" w:rsidRDefault="00263A40"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77EECB8A" w14:textId="462EBF6C" w:rsidR="00263A40" w:rsidRPr="004E2649" w:rsidRDefault="00263A40"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331988">
                        <w:rPr>
                          <w:rFonts w:asciiTheme="minorHAnsi" w:hAnsiTheme="minorHAnsi"/>
                          <w:color w:val="FFFFFF" w:themeColor="background1"/>
                          <w:sz w:val="22"/>
                          <w:lang w:val="pt-BR"/>
                        </w:rPr>
                        <w:t>123</w:t>
                      </w:r>
                    </w:p>
                    <w:p w14:paraId="1F03604D" w14:textId="3A20C1A7" w:rsidR="00263A40" w:rsidRPr="006C4116" w:rsidRDefault="00331988"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13</w:t>
                      </w:r>
                      <w:r w:rsidR="00A72610">
                        <w:rPr>
                          <w:rFonts w:asciiTheme="minorHAnsi" w:hAnsiTheme="minorHAnsi"/>
                          <w:color w:val="FFFFFF" w:themeColor="background1"/>
                          <w:sz w:val="22"/>
                        </w:rPr>
                        <w:t xml:space="preserve"> Ju</w:t>
                      </w:r>
                      <w:r>
                        <w:rPr>
                          <w:rFonts w:asciiTheme="minorHAnsi" w:hAnsiTheme="minorHAnsi"/>
                          <w:color w:val="FFFFFF" w:themeColor="background1"/>
                          <w:sz w:val="22"/>
                        </w:rPr>
                        <w:t>ne</w:t>
                      </w:r>
                      <w:r w:rsidR="00981E2C" w:rsidRPr="006C4116">
                        <w:rPr>
                          <w:rFonts w:asciiTheme="minorHAnsi" w:hAnsiTheme="minorHAnsi"/>
                          <w:color w:val="FFFFFF" w:themeColor="background1"/>
                          <w:sz w:val="22"/>
                        </w:rPr>
                        <w:t xml:space="preserve"> </w:t>
                      </w:r>
                      <w:r w:rsidR="00263A40" w:rsidRPr="006C4116">
                        <w:rPr>
                          <w:rFonts w:asciiTheme="minorHAnsi" w:hAnsiTheme="minorHAnsi"/>
                          <w:color w:val="FFFFFF" w:themeColor="background1"/>
                          <w:sz w:val="22"/>
                        </w:rPr>
                        <w:t>202</w:t>
                      </w:r>
                      <w:r>
                        <w:rPr>
                          <w:rFonts w:asciiTheme="minorHAnsi" w:hAnsiTheme="minorHAnsi"/>
                          <w:color w:val="FFFFFF" w:themeColor="background1"/>
                          <w:sz w:val="22"/>
                        </w:rPr>
                        <w:t>1</w:t>
                      </w:r>
                    </w:p>
                    <w:p w14:paraId="5F92247D" w14:textId="694A9C74" w:rsidR="00263A40" w:rsidRPr="006C4116" w:rsidRDefault="00263A40" w:rsidP="007A5817">
                      <w:pPr>
                        <w:spacing w:line="276" w:lineRule="auto"/>
                        <w:jc w:val="right"/>
                        <w:rPr>
                          <w:rFonts w:asciiTheme="minorHAnsi" w:hAnsiTheme="minorHAnsi"/>
                          <w:color w:val="FFFFFF" w:themeColor="background1"/>
                          <w:sz w:val="22"/>
                        </w:rPr>
                      </w:pPr>
                      <w:r w:rsidRPr="006C4116">
                        <w:rPr>
                          <w:rFonts w:asciiTheme="minorHAnsi" w:hAnsiTheme="minorHAnsi"/>
                          <w:color w:val="FFFFFF" w:themeColor="background1"/>
                          <w:sz w:val="22"/>
                        </w:rPr>
                        <w:t xml:space="preserve">Original: </w:t>
                      </w:r>
                      <w:r w:rsidR="00981E2C" w:rsidRPr="006C4116">
                        <w:rPr>
                          <w:rFonts w:asciiTheme="minorHAnsi" w:hAnsiTheme="minorHAnsi"/>
                          <w:color w:val="FFFFFF" w:themeColor="background1"/>
                          <w:sz w:val="22"/>
                        </w:rPr>
                        <w:t>Spanish</w:t>
                      </w:r>
                    </w:p>
                  </w:txbxContent>
                </v:textbox>
              </v:shape>
            </w:pict>
          </mc:Fallback>
        </mc:AlternateContent>
      </w:r>
    </w:p>
    <w:p w14:paraId="37A07CA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DBAB8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04F1F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66E943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B39FEF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AF8226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C4C91E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0850AA6"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AF67F1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D754CED"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814D7D8"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2A958B5"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5BCC61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60711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82522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B2ADC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C0EA6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BED66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D7206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6A728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B96C7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4837B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2CA99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73B8F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8C8A4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FA2248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A613619" w14:textId="4B0D3B7C" w:rsidR="00A50FCF" w:rsidRPr="0090270B" w:rsidRDefault="001D79ED"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F60734A" wp14:editId="6B8A567A">
                <wp:simplePos x="0" y="0"/>
                <wp:positionH relativeFrom="column">
                  <wp:posOffset>1373229</wp:posOffset>
                </wp:positionH>
                <wp:positionV relativeFrom="paragraph">
                  <wp:posOffset>4527</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66B36C" w14:textId="2138B0AA" w:rsidR="00263A40" w:rsidRPr="006C4116" w:rsidRDefault="00CB2312" w:rsidP="0059191A">
                            <w:pPr>
                              <w:tabs>
                                <w:tab w:val="center" w:pos="5400"/>
                              </w:tabs>
                              <w:suppressAutoHyphens/>
                              <w:spacing w:before="60"/>
                              <w:rPr>
                                <w:rFonts w:ascii="Calibri" w:hAnsi="Calibri"/>
                                <w:color w:val="FFFFFF" w:themeColor="background1"/>
                                <w:spacing w:val="-2"/>
                                <w:sz w:val="16"/>
                              </w:rPr>
                            </w:pPr>
                            <w:r w:rsidRPr="00CB2312">
                              <w:rPr>
                                <w:rFonts w:asciiTheme="majorHAnsi" w:hAnsiTheme="majorHAnsi"/>
                                <w:color w:val="0D0D0D" w:themeColor="text1" w:themeTint="F2"/>
                                <w:sz w:val="18"/>
                                <w:szCs w:val="22"/>
                              </w:rPr>
                              <w:t xml:space="preserve">Electronically approved by the Commission on </w:t>
                            </w:r>
                            <w:r w:rsidR="00331988">
                              <w:rPr>
                                <w:rFonts w:asciiTheme="majorHAnsi" w:hAnsiTheme="majorHAnsi"/>
                                <w:color w:val="0D0D0D" w:themeColor="text1" w:themeTint="F2"/>
                                <w:sz w:val="18"/>
                                <w:szCs w:val="22"/>
                              </w:rPr>
                              <w:t>June</w:t>
                            </w:r>
                            <w:r w:rsidRPr="00CB2312">
                              <w:rPr>
                                <w:rFonts w:asciiTheme="majorHAnsi" w:hAnsiTheme="majorHAnsi"/>
                                <w:color w:val="0D0D0D" w:themeColor="text1" w:themeTint="F2"/>
                                <w:sz w:val="18"/>
                                <w:szCs w:val="22"/>
                              </w:rPr>
                              <w:t xml:space="preserve"> </w:t>
                            </w:r>
                            <w:r w:rsidR="00331988">
                              <w:rPr>
                                <w:rFonts w:asciiTheme="majorHAnsi" w:hAnsiTheme="majorHAnsi"/>
                                <w:color w:val="0D0D0D" w:themeColor="text1" w:themeTint="F2"/>
                                <w:sz w:val="18"/>
                                <w:szCs w:val="22"/>
                              </w:rPr>
                              <w:t>13</w:t>
                            </w:r>
                            <w:r w:rsidRPr="00CB2312">
                              <w:rPr>
                                <w:rFonts w:asciiTheme="majorHAnsi" w:hAnsiTheme="majorHAnsi"/>
                                <w:color w:val="0D0D0D" w:themeColor="text1" w:themeTint="F2"/>
                                <w:sz w:val="18"/>
                                <w:szCs w:val="22"/>
                              </w:rPr>
                              <w:t xml:space="preserve">, </w:t>
                            </w:r>
                            <w:r w:rsidR="00331988" w:rsidRPr="00CB2312">
                              <w:rPr>
                                <w:rFonts w:asciiTheme="majorHAnsi" w:hAnsiTheme="majorHAnsi"/>
                                <w:color w:val="0D0D0D" w:themeColor="text1" w:themeTint="F2"/>
                                <w:sz w:val="18"/>
                                <w:szCs w:val="22"/>
                              </w:rPr>
                              <w:t>202</w:t>
                            </w:r>
                            <w:r w:rsidR="00331988">
                              <w:rPr>
                                <w:rFonts w:asciiTheme="majorHAnsi" w:hAnsiTheme="majorHAnsi"/>
                                <w:color w:val="0D0D0D" w:themeColor="text1" w:themeTint="F2"/>
                                <w:sz w:val="18"/>
                                <w:szCs w:val="2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60734A" id="Text Box 7" o:spid="_x0000_s1028" type="#_x0000_t202" style="position:absolute;left:0;text-align:left;margin-left:108.15pt;margin-top:.35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" filled="f" stroked="f" strokeweight=".5pt">
                <v:textbox>
                  <w:txbxContent>
                    <w:p w14:paraId="0F66B36C" w14:textId="2138B0AA" w:rsidR="00263A40" w:rsidRPr="006C4116" w:rsidRDefault="00CB2312" w:rsidP="0059191A">
                      <w:pPr>
                        <w:tabs>
                          <w:tab w:val="center" w:pos="5400"/>
                        </w:tabs>
                        <w:suppressAutoHyphens/>
                        <w:spacing w:before="60"/>
                        <w:rPr>
                          <w:rFonts w:ascii="Calibri" w:hAnsi="Calibri"/>
                          <w:color w:val="FFFFFF" w:themeColor="background1"/>
                          <w:spacing w:val="-2"/>
                          <w:sz w:val="16"/>
                        </w:rPr>
                      </w:pPr>
                      <w:r w:rsidRPr="00CB2312">
                        <w:rPr>
                          <w:rFonts w:asciiTheme="majorHAnsi" w:hAnsiTheme="majorHAnsi"/>
                          <w:color w:val="0D0D0D" w:themeColor="text1" w:themeTint="F2"/>
                          <w:sz w:val="18"/>
                          <w:szCs w:val="22"/>
                        </w:rPr>
                        <w:t xml:space="preserve">Electronically approved by the Commission on </w:t>
                      </w:r>
                      <w:r w:rsidR="00331988">
                        <w:rPr>
                          <w:rFonts w:asciiTheme="majorHAnsi" w:hAnsiTheme="majorHAnsi"/>
                          <w:color w:val="0D0D0D" w:themeColor="text1" w:themeTint="F2"/>
                          <w:sz w:val="18"/>
                          <w:szCs w:val="22"/>
                        </w:rPr>
                        <w:t>June</w:t>
                      </w:r>
                      <w:r w:rsidRPr="00CB2312">
                        <w:rPr>
                          <w:rFonts w:asciiTheme="majorHAnsi" w:hAnsiTheme="majorHAnsi"/>
                          <w:color w:val="0D0D0D" w:themeColor="text1" w:themeTint="F2"/>
                          <w:sz w:val="18"/>
                          <w:szCs w:val="22"/>
                        </w:rPr>
                        <w:t xml:space="preserve"> </w:t>
                      </w:r>
                      <w:r w:rsidR="00331988">
                        <w:rPr>
                          <w:rFonts w:asciiTheme="majorHAnsi" w:hAnsiTheme="majorHAnsi"/>
                          <w:color w:val="0D0D0D" w:themeColor="text1" w:themeTint="F2"/>
                          <w:sz w:val="18"/>
                          <w:szCs w:val="22"/>
                        </w:rPr>
                        <w:t>13</w:t>
                      </w:r>
                      <w:r w:rsidRPr="00CB2312">
                        <w:rPr>
                          <w:rFonts w:asciiTheme="majorHAnsi" w:hAnsiTheme="majorHAnsi"/>
                          <w:color w:val="0D0D0D" w:themeColor="text1" w:themeTint="F2"/>
                          <w:sz w:val="18"/>
                          <w:szCs w:val="22"/>
                        </w:rPr>
                        <w:t xml:space="preserve">, </w:t>
                      </w:r>
                      <w:r w:rsidR="00331988" w:rsidRPr="00CB2312">
                        <w:rPr>
                          <w:rFonts w:asciiTheme="majorHAnsi" w:hAnsiTheme="majorHAnsi"/>
                          <w:color w:val="0D0D0D" w:themeColor="text1" w:themeTint="F2"/>
                          <w:sz w:val="18"/>
                          <w:szCs w:val="22"/>
                        </w:rPr>
                        <w:t>202</w:t>
                      </w:r>
                      <w:r w:rsidR="00331988">
                        <w:rPr>
                          <w:rFonts w:asciiTheme="majorHAnsi" w:hAnsiTheme="majorHAnsi"/>
                          <w:color w:val="0D0D0D" w:themeColor="text1" w:themeTint="F2"/>
                          <w:sz w:val="18"/>
                          <w:szCs w:val="22"/>
                        </w:rPr>
                        <w:t>1.</w:t>
                      </w:r>
                    </w:p>
                  </w:txbxContent>
                </v:textbox>
              </v:shape>
            </w:pict>
          </mc:Fallback>
        </mc:AlternateContent>
      </w:r>
    </w:p>
    <w:p w14:paraId="0E65471C" w14:textId="253A5CF7" w:rsidR="00A50FCF" w:rsidRPr="0090270B" w:rsidRDefault="00A50FCF" w:rsidP="00040C3A">
      <w:pPr>
        <w:tabs>
          <w:tab w:val="center" w:pos="5400"/>
        </w:tabs>
        <w:suppressAutoHyphens/>
        <w:jc w:val="center"/>
        <w:rPr>
          <w:rFonts w:asciiTheme="majorHAnsi" w:hAnsiTheme="majorHAnsi"/>
          <w:sz w:val="18"/>
          <w:szCs w:val="22"/>
          <w:lang w:val="es-ES_tradnl"/>
        </w:rPr>
      </w:pPr>
    </w:p>
    <w:p w14:paraId="5E65B178" w14:textId="4C9313B6" w:rsidR="00A50FCF" w:rsidRPr="0090270B" w:rsidRDefault="00A50FCF" w:rsidP="00040C3A">
      <w:pPr>
        <w:tabs>
          <w:tab w:val="center" w:pos="5400"/>
        </w:tabs>
        <w:suppressAutoHyphens/>
        <w:jc w:val="center"/>
        <w:rPr>
          <w:rFonts w:asciiTheme="majorHAnsi" w:hAnsiTheme="majorHAnsi"/>
          <w:sz w:val="18"/>
          <w:szCs w:val="22"/>
          <w:lang w:val="es-ES_tradnl"/>
        </w:rPr>
      </w:pPr>
    </w:p>
    <w:p w14:paraId="7E56408D" w14:textId="6D7CCC36" w:rsidR="00A50FCF" w:rsidRPr="0090270B" w:rsidRDefault="00A50FCF" w:rsidP="00040C3A">
      <w:pPr>
        <w:tabs>
          <w:tab w:val="center" w:pos="5400"/>
        </w:tabs>
        <w:suppressAutoHyphens/>
        <w:jc w:val="center"/>
        <w:rPr>
          <w:rFonts w:asciiTheme="majorHAnsi" w:hAnsiTheme="majorHAnsi"/>
          <w:sz w:val="18"/>
          <w:szCs w:val="22"/>
          <w:lang w:val="es-ES_tradnl"/>
        </w:rPr>
      </w:pPr>
    </w:p>
    <w:p w14:paraId="4DF75A02" w14:textId="300C2E32" w:rsidR="00A50FCF" w:rsidRPr="0090270B" w:rsidRDefault="00A50FCF" w:rsidP="00040C3A">
      <w:pPr>
        <w:tabs>
          <w:tab w:val="center" w:pos="5400"/>
        </w:tabs>
        <w:suppressAutoHyphens/>
        <w:jc w:val="center"/>
        <w:rPr>
          <w:rFonts w:asciiTheme="majorHAnsi" w:hAnsiTheme="majorHAnsi"/>
          <w:sz w:val="18"/>
          <w:szCs w:val="22"/>
          <w:lang w:val="es-ES_tradnl"/>
        </w:rPr>
      </w:pPr>
    </w:p>
    <w:p w14:paraId="2544D113" w14:textId="529ADB43" w:rsidR="00A50FCF" w:rsidRPr="0090270B" w:rsidRDefault="00CB2312"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275A467" wp14:editId="139AE386">
                <wp:simplePos x="0" y="0"/>
                <wp:positionH relativeFrom="column">
                  <wp:posOffset>1349920</wp:posOffset>
                </wp:positionH>
                <wp:positionV relativeFrom="paragraph">
                  <wp:posOffset>12065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DD3418" w14:textId="15B1F9D7" w:rsidR="00263A40" w:rsidRPr="00A42196" w:rsidRDefault="00263A40" w:rsidP="00A42196">
                            <w:pPr>
                              <w:spacing w:line="276" w:lineRule="auto"/>
                              <w:rPr>
                                <w:rFonts w:asciiTheme="majorHAnsi" w:hAnsiTheme="majorHAnsi"/>
                                <w:color w:val="595959" w:themeColor="text1" w:themeTint="A6"/>
                                <w:sz w:val="18"/>
                                <w:szCs w:val="18"/>
                              </w:rPr>
                            </w:pPr>
                            <w:r w:rsidRPr="00AB5F28">
                              <w:rPr>
                                <w:rFonts w:asciiTheme="majorHAnsi" w:hAnsiTheme="majorHAnsi"/>
                                <w:b/>
                                <w:color w:val="595959" w:themeColor="text1" w:themeTint="A6"/>
                                <w:sz w:val="18"/>
                                <w:szCs w:val="18"/>
                              </w:rPr>
                              <w:t>Cit</w:t>
                            </w:r>
                            <w:r w:rsidR="00CB2312" w:rsidRPr="00AB5F28">
                              <w:rPr>
                                <w:rFonts w:asciiTheme="majorHAnsi" w:hAnsiTheme="majorHAnsi"/>
                                <w:b/>
                                <w:color w:val="595959" w:themeColor="text1" w:themeTint="A6"/>
                                <w:sz w:val="18"/>
                                <w:szCs w:val="18"/>
                              </w:rPr>
                              <w:t>e as</w:t>
                            </w:r>
                            <w:r w:rsidRPr="00AB5F28">
                              <w:rPr>
                                <w:rFonts w:asciiTheme="majorHAnsi" w:hAnsiTheme="majorHAnsi"/>
                                <w:b/>
                                <w:color w:val="595959" w:themeColor="text1" w:themeTint="A6"/>
                                <w:sz w:val="18"/>
                                <w:szCs w:val="18"/>
                              </w:rPr>
                              <w:t>:</w:t>
                            </w:r>
                            <w:r w:rsidRPr="00AB5F28">
                              <w:rPr>
                                <w:rFonts w:asciiTheme="majorHAnsi" w:hAnsiTheme="majorHAnsi"/>
                                <w:color w:val="595959" w:themeColor="text1" w:themeTint="A6"/>
                                <w:sz w:val="18"/>
                                <w:szCs w:val="18"/>
                              </w:rPr>
                              <w:t xml:space="preserve"> </w:t>
                            </w:r>
                            <w:r w:rsidR="00CB2312" w:rsidRPr="00AB5F28">
                              <w:rPr>
                                <w:rFonts w:asciiTheme="majorHAnsi" w:hAnsiTheme="majorHAnsi"/>
                                <w:color w:val="595959" w:themeColor="text1" w:themeTint="A6"/>
                                <w:sz w:val="18"/>
                                <w:szCs w:val="18"/>
                              </w:rPr>
                              <w:t>IACHR</w:t>
                            </w:r>
                            <w:r w:rsidRPr="00AB5F28">
                              <w:rPr>
                                <w:rFonts w:asciiTheme="majorHAnsi" w:hAnsiTheme="majorHAnsi"/>
                                <w:color w:val="595959" w:themeColor="text1" w:themeTint="A6"/>
                                <w:sz w:val="18"/>
                                <w:szCs w:val="18"/>
                              </w:rPr>
                              <w:t xml:space="preserve">, </w:t>
                            </w:r>
                            <w:r w:rsidR="00CB2312" w:rsidRPr="00AB5F28">
                              <w:rPr>
                                <w:rFonts w:asciiTheme="majorHAnsi" w:hAnsiTheme="majorHAnsi"/>
                                <w:color w:val="595959" w:themeColor="text1" w:themeTint="A6"/>
                                <w:sz w:val="18"/>
                                <w:szCs w:val="18"/>
                              </w:rPr>
                              <w:t>Report</w:t>
                            </w:r>
                            <w:r w:rsidRPr="00AB5F28">
                              <w:rPr>
                                <w:rFonts w:asciiTheme="majorHAnsi" w:hAnsiTheme="majorHAnsi"/>
                                <w:color w:val="595959" w:themeColor="text1" w:themeTint="A6"/>
                                <w:sz w:val="18"/>
                                <w:szCs w:val="18"/>
                              </w:rPr>
                              <w:t xml:space="preserve"> No. </w:t>
                            </w:r>
                            <w:r w:rsidR="00331988">
                              <w:rPr>
                                <w:rFonts w:asciiTheme="majorHAnsi" w:hAnsiTheme="majorHAnsi"/>
                                <w:color w:val="595959" w:themeColor="text1" w:themeTint="A6"/>
                                <w:sz w:val="18"/>
                                <w:szCs w:val="18"/>
                              </w:rPr>
                              <w:t>115</w:t>
                            </w:r>
                            <w:r w:rsidRPr="00CB2312">
                              <w:rPr>
                                <w:rFonts w:asciiTheme="majorHAnsi" w:hAnsiTheme="majorHAnsi"/>
                                <w:color w:val="595959" w:themeColor="text1" w:themeTint="A6"/>
                                <w:sz w:val="18"/>
                                <w:szCs w:val="18"/>
                              </w:rPr>
                              <w:t>/</w:t>
                            </w:r>
                            <w:r w:rsidR="00A42196">
                              <w:rPr>
                                <w:rFonts w:asciiTheme="majorHAnsi" w:hAnsiTheme="majorHAnsi"/>
                                <w:color w:val="595959" w:themeColor="text1" w:themeTint="A6"/>
                                <w:sz w:val="18"/>
                                <w:szCs w:val="18"/>
                              </w:rPr>
                              <w:t>21</w:t>
                            </w:r>
                            <w:r w:rsidRPr="00CB2312">
                              <w:rPr>
                                <w:rFonts w:asciiTheme="majorHAnsi" w:hAnsiTheme="majorHAnsi"/>
                                <w:color w:val="595959" w:themeColor="text1" w:themeTint="A6"/>
                                <w:sz w:val="18"/>
                                <w:szCs w:val="18"/>
                              </w:rPr>
                              <w:t xml:space="preserve"> Cas</w:t>
                            </w:r>
                            <w:r w:rsidR="00CB2312" w:rsidRPr="00CB2312">
                              <w:rPr>
                                <w:rFonts w:asciiTheme="majorHAnsi" w:hAnsiTheme="majorHAnsi"/>
                                <w:color w:val="595959" w:themeColor="text1" w:themeTint="A6"/>
                                <w:sz w:val="18"/>
                                <w:szCs w:val="18"/>
                              </w:rPr>
                              <w:t>e</w:t>
                            </w:r>
                            <w:r w:rsidRPr="00CB2312">
                              <w:rPr>
                                <w:rFonts w:asciiTheme="majorHAnsi" w:hAnsiTheme="majorHAnsi"/>
                                <w:color w:val="595959" w:themeColor="text1" w:themeTint="A6"/>
                                <w:sz w:val="18"/>
                                <w:szCs w:val="18"/>
                              </w:rPr>
                              <w:t xml:space="preserve"> </w:t>
                            </w:r>
                            <w:r w:rsidR="00A42196" w:rsidRPr="00A42196">
                              <w:rPr>
                                <w:rFonts w:asciiTheme="majorHAnsi" w:hAnsiTheme="majorHAnsi"/>
                                <w:color w:val="595959" w:themeColor="text1" w:themeTint="A6"/>
                                <w:sz w:val="18"/>
                                <w:szCs w:val="18"/>
                              </w:rPr>
                              <w:t>13.171</w:t>
                            </w:r>
                            <w:r w:rsidRPr="00CB2312">
                              <w:rPr>
                                <w:rFonts w:asciiTheme="majorHAnsi" w:hAnsiTheme="majorHAnsi"/>
                                <w:color w:val="595959" w:themeColor="text1" w:themeTint="A6"/>
                                <w:sz w:val="18"/>
                                <w:szCs w:val="18"/>
                              </w:rPr>
                              <w:t xml:space="preserve">. </w:t>
                            </w:r>
                            <w:r w:rsidR="00CB2312" w:rsidRPr="00CB2312">
                              <w:rPr>
                                <w:rFonts w:asciiTheme="majorHAnsi" w:hAnsiTheme="majorHAnsi"/>
                                <w:color w:val="595959" w:themeColor="text1" w:themeTint="A6"/>
                                <w:sz w:val="18"/>
                                <w:szCs w:val="18"/>
                              </w:rPr>
                              <w:t>Friendly Settlement</w:t>
                            </w:r>
                            <w:r w:rsidRPr="00CB2312">
                              <w:rPr>
                                <w:rFonts w:asciiTheme="majorHAnsi" w:hAnsiTheme="majorHAnsi"/>
                                <w:color w:val="595959" w:themeColor="text1" w:themeTint="A6"/>
                                <w:sz w:val="18"/>
                                <w:szCs w:val="18"/>
                              </w:rPr>
                              <w:t xml:space="preserve">. </w:t>
                            </w:r>
                            <w:r w:rsidR="00A42196">
                              <w:rPr>
                                <w:rFonts w:asciiTheme="majorHAnsi" w:hAnsiTheme="majorHAnsi"/>
                                <w:color w:val="595959" w:themeColor="text1" w:themeTint="A6"/>
                                <w:sz w:val="18"/>
                                <w:szCs w:val="18"/>
                              </w:rPr>
                              <w:t xml:space="preserve">Luis </w:t>
                            </w:r>
                            <w:proofErr w:type="spellStart"/>
                            <w:r w:rsidR="00A42196">
                              <w:rPr>
                                <w:rFonts w:asciiTheme="majorHAnsi" w:hAnsiTheme="majorHAnsi"/>
                                <w:color w:val="595959" w:themeColor="text1" w:themeTint="A6"/>
                                <w:sz w:val="18"/>
                                <w:szCs w:val="18"/>
                              </w:rPr>
                              <w:t>Argemiro</w:t>
                            </w:r>
                            <w:proofErr w:type="spellEnd"/>
                            <w:r w:rsidR="00A42196">
                              <w:rPr>
                                <w:rFonts w:asciiTheme="majorHAnsi" w:hAnsiTheme="majorHAnsi"/>
                                <w:color w:val="595959" w:themeColor="text1" w:themeTint="A6"/>
                                <w:sz w:val="18"/>
                                <w:szCs w:val="18"/>
                              </w:rPr>
                              <w:t xml:space="preserve"> Gómez </w:t>
                            </w:r>
                            <w:proofErr w:type="spellStart"/>
                            <w:r w:rsidR="00A42196">
                              <w:rPr>
                                <w:rFonts w:asciiTheme="majorHAnsi" w:hAnsiTheme="majorHAnsi"/>
                                <w:color w:val="595959" w:themeColor="text1" w:themeTint="A6"/>
                                <w:sz w:val="18"/>
                                <w:szCs w:val="18"/>
                              </w:rPr>
                              <w:t>Aterhortua</w:t>
                            </w:r>
                            <w:proofErr w:type="spellEnd"/>
                            <w:r w:rsidRPr="002D1150">
                              <w:rPr>
                                <w:rFonts w:asciiTheme="majorHAnsi" w:hAnsiTheme="majorHAnsi"/>
                                <w:color w:val="595959" w:themeColor="text1" w:themeTint="A6"/>
                                <w:sz w:val="18"/>
                                <w:szCs w:val="18"/>
                              </w:rPr>
                              <w:t xml:space="preserve">. </w:t>
                            </w:r>
                            <w:r w:rsidR="00A42196">
                              <w:rPr>
                                <w:rFonts w:asciiTheme="majorHAnsi" w:hAnsiTheme="majorHAnsi"/>
                                <w:color w:val="595959" w:themeColor="text1" w:themeTint="A6"/>
                                <w:sz w:val="18"/>
                                <w:szCs w:val="18"/>
                                <w:lang w:val="es-AR"/>
                              </w:rPr>
                              <w:t>Colombia</w:t>
                            </w:r>
                            <w:r w:rsidRPr="00AE4DD5">
                              <w:rPr>
                                <w:rFonts w:asciiTheme="majorHAnsi" w:hAnsiTheme="majorHAnsi"/>
                                <w:color w:val="595959" w:themeColor="text1" w:themeTint="A6"/>
                                <w:sz w:val="18"/>
                                <w:szCs w:val="18"/>
                                <w:lang w:val="es-AR"/>
                              </w:rPr>
                              <w:t xml:space="preserve">. </w:t>
                            </w:r>
                            <w:r w:rsidR="00A72610">
                              <w:rPr>
                                <w:rFonts w:asciiTheme="majorHAnsi" w:hAnsiTheme="majorHAnsi"/>
                                <w:color w:val="595959" w:themeColor="text1" w:themeTint="A6"/>
                                <w:sz w:val="18"/>
                                <w:szCs w:val="18"/>
                                <w:lang w:val="es-AR"/>
                              </w:rPr>
                              <w:t>Ju</w:t>
                            </w:r>
                            <w:r w:rsidR="00331988">
                              <w:rPr>
                                <w:rFonts w:asciiTheme="majorHAnsi" w:hAnsiTheme="majorHAnsi"/>
                                <w:color w:val="595959" w:themeColor="text1" w:themeTint="A6"/>
                                <w:sz w:val="18"/>
                                <w:szCs w:val="18"/>
                                <w:lang w:val="es-AR"/>
                              </w:rPr>
                              <w:t>ne</w:t>
                            </w:r>
                            <w:r w:rsidR="00CB2312" w:rsidRPr="00AE4DD5">
                              <w:rPr>
                                <w:rFonts w:asciiTheme="majorHAnsi" w:hAnsiTheme="majorHAnsi"/>
                                <w:color w:val="595959" w:themeColor="text1" w:themeTint="A6"/>
                                <w:sz w:val="18"/>
                                <w:szCs w:val="18"/>
                                <w:lang w:val="es-AR"/>
                              </w:rPr>
                              <w:t xml:space="preserve"> </w:t>
                            </w:r>
                            <w:r w:rsidR="00331988">
                              <w:rPr>
                                <w:rFonts w:asciiTheme="majorHAnsi" w:hAnsiTheme="majorHAnsi"/>
                                <w:color w:val="595959" w:themeColor="text1" w:themeTint="A6"/>
                                <w:sz w:val="18"/>
                                <w:szCs w:val="18"/>
                                <w:lang w:val="es-AR"/>
                              </w:rPr>
                              <w:t>13</w:t>
                            </w:r>
                            <w:r w:rsidR="00CB2312" w:rsidRPr="00AE4DD5">
                              <w:rPr>
                                <w:rFonts w:asciiTheme="majorHAnsi" w:hAnsiTheme="majorHAnsi"/>
                                <w:color w:val="595959" w:themeColor="text1" w:themeTint="A6"/>
                                <w:sz w:val="18"/>
                                <w:szCs w:val="18"/>
                                <w:lang w:val="es-AR"/>
                              </w:rPr>
                              <w:t xml:space="preserve">, </w:t>
                            </w:r>
                            <w:r w:rsidRPr="00AE4DD5">
                              <w:rPr>
                                <w:rFonts w:asciiTheme="majorHAnsi" w:hAnsiTheme="majorHAnsi"/>
                                <w:color w:val="595959" w:themeColor="text1" w:themeTint="A6"/>
                                <w:sz w:val="18"/>
                                <w:szCs w:val="18"/>
                                <w:lang w:val="es-AR"/>
                              </w:rPr>
                              <w:t>202</w:t>
                            </w:r>
                            <w:r w:rsidR="00A42196">
                              <w:rPr>
                                <w:rFonts w:asciiTheme="majorHAnsi" w:hAnsiTheme="majorHAnsi"/>
                                <w:color w:val="595959" w:themeColor="text1" w:themeTint="A6"/>
                                <w:sz w:val="18"/>
                                <w:szCs w:val="18"/>
                                <w:lang w:val="es-AR"/>
                              </w:rPr>
                              <w:t>1</w:t>
                            </w:r>
                            <w:r w:rsidRPr="00AE4DD5">
                              <w:rPr>
                                <w:rFonts w:asciiTheme="majorHAnsi" w:hAnsiTheme="majorHAnsi"/>
                                <w:color w:val="595959" w:themeColor="text1" w:themeTint="A6"/>
                                <w:sz w:val="18"/>
                                <w:szCs w:val="18"/>
                                <w:lang w:val="es-A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75A467" id="Text Box 10" o:spid="_x0000_s1029" type="#_x0000_t202" style="position:absolute;left:0;text-align:left;margin-left:106.3pt;margin-top:.9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uV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" filled="f" stroked="f" strokeweight=".5pt">
                <v:textbox>
                  <w:txbxContent>
                    <w:p w14:paraId="02DD3418" w14:textId="15B1F9D7" w:rsidR="00263A40" w:rsidRPr="00A42196" w:rsidRDefault="00263A40" w:rsidP="00A42196">
                      <w:pPr>
                        <w:spacing w:line="276" w:lineRule="auto"/>
                        <w:rPr>
                          <w:rFonts w:asciiTheme="majorHAnsi" w:hAnsiTheme="majorHAnsi"/>
                          <w:color w:val="595959" w:themeColor="text1" w:themeTint="A6"/>
                          <w:sz w:val="18"/>
                          <w:szCs w:val="18"/>
                        </w:rPr>
                      </w:pPr>
                      <w:r w:rsidRPr="00AB5F28">
                        <w:rPr>
                          <w:rFonts w:asciiTheme="majorHAnsi" w:hAnsiTheme="majorHAnsi"/>
                          <w:b/>
                          <w:color w:val="595959" w:themeColor="text1" w:themeTint="A6"/>
                          <w:sz w:val="18"/>
                          <w:szCs w:val="18"/>
                        </w:rPr>
                        <w:t>Cit</w:t>
                      </w:r>
                      <w:r w:rsidR="00CB2312" w:rsidRPr="00AB5F28">
                        <w:rPr>
                          <w:rFonts w:asciiTheme="majorHAnsi" w:hAnsiTheme="majorHAnsi"/>
                          <w:b/>
                          <w:color w:val="595959" w:themeColor="text1" w:themeTint="A6"/>
                          <w:sz w:val="18"/>
                          <w:szCs w:val="18"/>
                        </w:rPr>
                        <w:t>e as</w:t>
                      </w:r>
                      <w:r w:rsidRPr="00AB5F28">
                        <w:rPr>
                          <w:rFonts w:asciiTheme="majorHAnsi" w:hAnsiTheme="majorHAnsi"/>
                          <w:b/>
                          <w:color w:val="595959" w:themeColor="text1" w:themeTint="A6"/>
                          <w:sz w:val="18"/>
                          <w:szCs w:val="18"/>
                        </w:rPr>
                        <w:t>:</w:t>
                      </w:r>
                      <w:r w:rsidRPr="00AB5F28">
                        <w:rPr>
                          <w:rFonts w:asciiTheme="majorHAnsi" w:hAnsiTheme="majorHAnsi"/>
                          <w:color w:val="595959" w:themeColor="text1" w:themeTint="A6"/>
                          <w:sz w:val="18"/>
                          <w:szCs w:val="18"/>
                        </w:rPr>
                        <w:t xml:space="preserve"> </w:t>
                      </w:r>
                      <w:r w:rsidR="00CB2312" w:rsidRPr="00AB5F28">
                        <w:rPr>
                          <w:rFonts w:asciiTheme="majorHAnsi" w:hAnsiTheme="majorHAnsi"/>
                          <w:color w:val="595959" w:themeColor="text1" w:themeTint="A6"/>
                          <w:sz w:val="18"/>
                          <w:szCs w:val="18"/>
                        </w:rPr>
                        <w:t>IACHR</w:t>
                      </w:r>
                      <w:r w:rsidRPr="00AB5F28">
                        <w:rPr>
                          <w:rFonts w:asciiTheme="majorHAnsi" w:hAnsiTheme="majorHAnsi"/>
                          <w:color w:val="595959" w:themeColor="text1" w:themeTint="A6"/>
                          <w:sz w:val="18"/>
                          <w:szCs w:val="18"/>
                        </w:rPr>
                        <w:t xml:space="preserve">, </w:t>
                      </w:r>
                      <w:r w:rsidR="00CB2312" w:rsidRPr="00AB5F28">
                        <w:rPr>
                          <w:rFonts w:asciiTheme="majorHAnsi" w:hAnsiTheme="majorHAnsi"/>
                          <w:color w:val="595959" w:themeColor="text1" w:themeTint="A6"/>
                          <w:sz w:val="18"/>
                          <w:szCs w:val="18"/>
                        </w:rPr>
                        <w:t>Report</w:t>
                      </w:r>
                      <w:r w:rsidRPr="00AB5F28">
                        <w:rPr>
                          <w:rFonts w:asciiTheme="majorHAnsi" w:hAnsiTheme="majorHAnsi"/>
                          <w:color w:val="595959" w:themeColor="text1" w:themeTint="A6"/>
                          <w:sz w:val="18"/>
                          <w:szCs w:val="18"/>
                        </w:rPr>
                        <w:t xml:space="preserve"> No. </w:t>
                      </w:r>
                      <w:r w:rsidR="00331988">
                        <w:rPr>
                          <w:rFonts w:asciiTheme="majorHAnsi" w:hAnsiTheme="majorHAnsi"/>
                          <w:color w:val="595959" w:themeColor="text1" w:themeTint="A6"/>
                          <w:sz w:val="18"/>
                          <w:szCs w:val="18"/>
                        </w:rPr>
                        <w:t>115</w:t>
                      </w:r>
                      <w:r w:rsidRPr="00CB2312">
                        <w:rPr>
                          <w:rFonts w:asciiTheme="majorHAnsi" w:hAnsiTheme="majorHAnsi"/>
                          <w:color w:val="595959" w:themeColor="text1" w:themeTint="A6"/>
                          <w:sz w:val="18"/>
                          <w:szCs w:val="18"/>
                        </w:rPr>
                        <w:t>/</w:t>
                      </w:r>
                      <w:r w:rsidR="00A42196">
                        <w:rPr>
                          <w:rFonts w:asciiTheme="majorHAnsi" w:hAnsiTheme="majorHAnsi"/>
                          <w:color w:val="595959" w:themeColor="text1" w:themeTint="A6"/>
                          <w:sz w:val="18"/>
                          <w:szCs w:val="18"/>
                        </w:rPr>
                        <w:t>21</w:t>
                      </w:r>
                      <w:r w:rsidRPr="00CB2312">
                        <w:rPr>
                          <w:rFonts w:asciiTheme="majorHAnsi" w:hAnsiTheme="majorHAnsi"/>
                          <w:color w:val="595959" w:themeColor="text1" w:themeTint="A6"/>
                          <w:sz w:val="18"/>
                          <w:szCs w:val="18"/>
                        </w:rPr>
                        <w:t xml:space="preserve"> Cas</w:t>
                      </w:r>
                      <w:r w:rsidR="00CB2312" w:rsidRPr="00CB2312">
                        <w:rPr>
                          <w:rFonts w:asciiTheme="majorHAnsi" w:hAnsiTheme="majorHAnsi"/>
                          <w:color w:val="595959" w:themeColor="text1" w:themeTint="A6"/>
                          <w:sz w:val="18"/>
                          <w:szCs w:val="18"/>
                        </w:rPr>
                        <w:t>e</w:t>
                      </w:r>
                      <w:r w:rsidRPr="00CB2312">
                        <w:rPr>
                          <w:rFonts w:asciiTheme="majorHAnsi" w:hAnsiTheme="majorHAnsi"/>
                          <w:color w:val="595959" w:themeColor="text1" w:themeTint="A6"/>
                          <w:sz w:val="18"/>
                          <w:szCs w:val="18"/>
                        </w:rPr>
                        <w:t xml:space="preserve"> </w:t>
                      </w:r>
                      <w:r w:rsidR="00A42196" w:rsidRPr="00A42196">
                        <w:rPr>
                          <w:rFonts w:asciiTheme="majorHAnsi" w:hAnsiTheme="majorHAnsi"/>
                          <w:color w:val="595959" w:themeColor="text1" w:themeTint="A6"/>
                          <w:sz w:val="18"/>
                          <w:szCs w:val="18"/>
                        </w:rPr>
                        <w:t>13.171</w:t>
                      </w:r>
                      <w:r w:rsidRPr="00CB2312">
                        <w:rPr>
                          <w:rFonts w:asciiTheme="majorHAnsi" w:hAnsiTheme="majorHAnsi"/>
                          <w:color w:val="595959" w:themeColor="text1" w:themeTint="A6"/>
                          <w:sz w:val="18"/>
                          <w:szCs w:val="18"/>
                        </w:rPr>
                        <w:t xml:space="preserve">. </w:t>
                      </w:r>
                      <w:r w:rsidR="00CB2312" w:rsidRPr="00CB2312">
                        <w:rPr>
                          <w:rFonts w:asciiTheme="majorHAnsi" w:hAnsiTheme="majorHAnsi"/>
                          <w:color w:val="595959" w:themeColor="text1" w:themeTint="A6"/>
                          <w:sz w:val="18"/>
                          <w:szCs w:val="18"/>
                        </w:rPr>
                        <w:t>Friendly Settlement</w:t>
                      </w:r>
                      <w:r w:rsidRPr="00CB2312">
                        <w:rPr>
                          <w:rFonts w:asciiTheme="majorHAnsi" w:hAnsiTheme="majorHAnsi"/>
                          <w:color w:val="595959" w:themeColor="text1" w:themeTint="A6"/>
                          <w:sz w:val="18"/>
                          <w:szCs w:val="18"/>
                        </w:rPr>
                        <w:t xml:space="preserve">. </w:t>
                      </w:r>
                      <w:r w:rsidR="00A42196">
                        <w:rPr>
                          <w:rFonts w:asciiTheme="majorHAnsi" w:hAnsiTheme="majorHAnsi"/>
                          <w:color w:val="595959" w:themeColor="text1" w:themeTint="A6"/>
                          <w:sz w:val="18"/>
                          <w:szCs w:val="18"/>
                        </w:rPr>
                        <w:t xml:space="preserve">Luis </w:t>
                      </w:r>
                      <w:proofErr w:type="spellStart"/>
                      <w:r w:rsidR="00A42196">
                        <w:rPr>
                          <w:rFonts w:asciiTheme="majorHAnsi" w:hAnsiTheme="majorHAnsi"/>
                          <w:color w:val="595959" w:themeColor="text1" w:themeTint="A6"/>
                          <w:sz w:val="18"/>
                          <w:szCs w:val="18"/>
                        </w:rPr>
                        <w:t>Argemiro</w:t>
                      </w:r>
                      <w:proofErr w:type="spellEnd"/>
                      <w:r w:rsidR="00A42196">
                        <w:rPr>
                          <w:rFonts w:asciiTheme="majorHAnsi" w:hAnsiTheme="majorHAnsi"/>
                          <w:color w:val="595959" w:themeColor="text1" w:themeTint="A6"/>
                          <w:sz w:val="18"/>
                          <w:szCs w:val="18"/>
                        </w:rPr>
                        <w:t xml:space="preserve"> Gómez </w:t>
                      </w:r>
                      <w:proofErr w:type="spellStart"/>
                      <w:r w:rsidR="00A42196">
                        <w:rPr>
                          <w:rFonts w:asciiTheme="majorHAnsi" w:hAnsiTheme="majorHAnsi"/>
                          <w:color w:val="595959" w:themeColor="text1" w:themeTint="A6"/>
                          <w:sz w:val="18"/>
                          <w:szCs w:val="18"/>
                        </w:rPr>
                        <w:t>Aterhortua</w:t>
                      </w:r>
                      <w:proofErr w:type="spellEnd"/>
                      <w:r w:rsidRPr="002D1150">
                        <w:rPr>
                          <w:rFonts w:asciiTheme="majorHAnsi" w:hAnsiTheme="majorHAnsi"/>
                          <w:color w:val="595959" w:themeColor="text1" w:themeTint="A6"/>
                          <w:sz w:val="18"/>
                          <w:szCs w:val="18"/>
                        </w:rPr>
                        <w:t xml:space="preserve">. </w:t>
                      </w:r>
                      <w:r w:rsidR="00A42196">
                        <w:rPr>
                          <w:rFonts w:asciiTheme="majorHAnsi" w:hAnsiTheme="majorHAnsi"/>
                          <w:color w:val="595959" w:themeColor="text1" w:themeTint="A6"/>
                          <w:sz w:val="18"/>
                          <w:szCs w:val="18"/>
                          <w:lang w:val="es-AR"/>
                        </w:rPr>
                        <w:t>Colombia</w:t>
                      </w:r>
                      <w:r w:rsidRPr="00AE4DD5">
                        <w:rPr>
                          <w:rFonts w:asciiTheme="majorHAnsi" w:hAnsiTheme="majorHAnsi"/>
                          <w:color w:val="595959" w:themeColor="text1" w:themeTint="A6"/>
                          <w:sz w:val="18"/>
                          <w:szCs w:val="18"/>
                          <w:lang w:val="es-AR"/>
                        </w:rPr>
                        <w:t xml:space="preserve">. </w:t>
                      </w:r>
                      <w:r w:rsidR="00A72610">
                        <w:rPr>
                          <w:rFonts w:asciiTheme="majorHAnsi" w:hAnsiTheme="majorHAnsi"/>
                          <w:color w:val="595959" w:themeColor="text1" w:themeTint="A6"/>
                          <w:sz w:val="18"/>
                          <w:szCs w:val="18"/>
                          <w:lang w:val="es-AR"/>
                        </w:rPr>
                        <w:t>Ju</w:t>
                      </w:r>
                      <w:r w:rsidR="00331988">
                        <w:rPr>
                          <w:rFonts w:asciiTheme="majorHAnsi" w:hAnsiTheme="majorHAnsi"/>
                          <w:color w:val="595959" w:themeColor="text1" w:themeTint="A6"/>
                          <w:sz w:val="18"/>
                          <w:szCs w:val="18"/>
                          <w:lang w:val="es-AR"/>
                        </w:rPr>
                        <w:t>ne</w:t>
                      </w:r>
                      <w:r w:rsidR="00CB2312" w:rsidRPr="00AE4DD5">
                        <w:rPr>
                          <w:rFonts w:asciiTheme="majorHAnsi" w:hAnsiTheme="majorHAnsi"/>
                          <w:color w:val="595959" w:themeColor="text1" w:themeTint="A6"/>
                          <w:sz w:val="18"/>
                          <w:szCs w:val="18"/>
                          <w:lang w:val="es-AR"/>
                        </w:rPr>
                        <w:t xml:space="preserve"> </w:t>
                      </w:r>
                      <w:r w:rsidR="00331988">
                        <w:rPr>
                          <w:rFonts w:asciiTheme="majorHAnsi" w:hAnsiTheme="majorHAnsi"/>
                          <w:color w:val="595959" w:themeColor="text1" w:themeTint="A6"/>
                          <w:sz w:val="18"/>
                          <w:szCs w:val="18"/>
                          <w:lang w:val="es-AR"/>
                        </w:rPr>
                        <w:t>13</w:t>
                      </w:r>
                      <w:r w:rsidR="00CB2312" w:rsidRPr="00AE4DD5">
                        <w:rPr>
                          <w:rFonts w:asciiTheme="majorHAnsi" w:hAnsiTheme="majorHAnsi"/>
                          <w:color w:val="595959" w:themeColor="text1" w:themeTint="A6"/>
                          <w:sz w:val="18"/>
                          <w:szCs w:val="18"/>
                          <w:lang w:val="es-AR"/>
                        </w:rPr>
                        <w:t xml:space="preserve">, </w:t>
                      </w:r>
                      <w:r w:rsidRPr="00AE4DD5">
                        <w:rPr>
                          <w:rFonts w:asciiTheme="majorHAnsi" w:hAnsiTheme="majorHAnsi"/>
                          <w:color w:val="595959" w:themeColor="text1" w:themeTint="A6"/>
                          <w:sz w:val="18"/>
                          <w:szCs w:val="18"/>
                          <w:lang w:val="es-AR"/>
                        </w:rPr>
                        <w:t>202</w:t>
                      </w:r>
                      <w:r w:rsidR="00A42196">
                        <w:rPr>
                          <w:rFonts w:asciiTheme="majorHAnsi" w:hAnsiTheme="majorHAnsi"/>
                          <w:color w:val="595959" w:themeColor="text1" w:themeTint="A6"/>
                          <w:sz w:val="18"/>
                          <w:szCs w:val="18"/>
                          <w:lang w:val="es-AR"/>
                        </w:rPr>
                        <w:t>1</w:t>
                      </w:r>
                      <w:r w:rsidRPr="00AE4DD5">
                        <w:rPr>
                          <w:rFonts w:asciiTheme="majorHAnsi" w:hAnsiTheme="majorHAnsi"/>
                          <w:color w:val="595959" w:themeColor="text1" w:themeTint="A6"/>
                          <w:sz w:val="18"/>
                          <w:szCs w:val="18"/>
                          <w:lang w:val="es-AR"/>
                        </w:rPr>
                        <w:t>.</w:t>
                      </w:r>
                    </w:p>
                  </w:txbxContent>
                </v:textbox>
              </v:shape>
            </w:pict>
          </mc:Fallback>
        </mc:AlternateContent>
      </w:r>
    </w:p>
    <w:p w14:paraId="5C159147" w14:textId="4BD41505" w:rsidR="00A50FCF" w:rsidRPr="0090270B" w:rsidRDefault="00A50FCF" w:rsidP="00040C3A">
      <w:pPr>
        <w:tabs>
          <w:tab w:val="center" w:pos="5400"/>
        </w:tabs>
        <w:suppressAutoHyphens/>
        <w:jc w:val="center"/>
        <w:rPr>
          <w:rFonts w:asciiTheme="majorHAnsi" w:hAnsiTheme="majorHAnsi"/>
          <w:sz w:val="18"/>
          <w:szCs w:val="22"/>
          <w:lang w:val="es-ES_tradnl"/>
        </w:rPr>
      </w:pPr>
    </w:p>
    <w:p w14:paraId="427346A8" w14:textId="7C332EE4" w:rsidR="00A50FCF" w:rsidRPr="0090270B" w:rsidRDefault="00A50FCF" w:rsidP="00040C3A">
      <w:pPr>
        <w:tabs>
          <w:tab w:val="center" w:pos="5400"/>
        </w:tabs>
        <w:suppressAutoHyphens/>
        <w:jc w:val="center"/>
        <w:rPr>
          <w:rFonts w:asciiTheme="majorHAnsi" w:hAnsiTheme="majorHAnsi"/>
          <w:sz w:val="18"/>
          <w:szCs w:val="22"/>
          <w:lang w:val="es-ES_tradnl"/>
        </w:rPr>
      </w:pPr>
    </w:p>
    <w:p w14:paraId="5B6A6A27" w14:textId="0975DD6E" w:rsidR="00A50FCF" w:rsidRPr="0090270B" w:rsidRDefault="00A50FCF" w:rsidP="00040C3A">
      <w:pPr>
        <w:tabs>
          <w:tab w:val="center" w:pos="5400"/>
        </w:tabs>
        <w:suppressAutoHyphens/>
        <w:jc w:val="center"/>
        <w:rPr>
          <w:rFonts w:asciiTheme="majorHAnsi" w:hAnsiTheme="majorHAnsi"/>
          <w:sz w:val="18"/>
          <w:szCs w:val="22"/>
          <w:lang w:val="es-ES_tradnl"/>
        </w:rPr>
      </w:pPr>
    </w:p>
    <w:p w14:paraId="68F603B4" w14:textId="77777777" w:rsidR="00331988" w:rsidRDefault="00D306D1" w:rsidP="00331988">
      <w:pPr>
        <w:tabs>
          <w:tab w:val="center" w:pos="5400"/>
        </w:tabs>
        <w:suppressAutoHyphens/>
        <w:ind w:firstLine="2160"/>
        <w:rPr>
          <w:noProof/>
          <w:color w:val="FFFFFF" w:themeColor="background1"/>
          <w14:textFill>
            <w14:noFill/>
          </w14:textFil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CA1395C" wp14:editId="7C38A27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757350" w14:textId="074B853A" w:rsidR="00263A40" w:rsidRPr="004B7EB6" w:rsidRDefault="00263A4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www.i</w:t>
                            </w:r>
                            <w:r w:rsidR="00B01DDC">
                              <w:rPr>
                                <w:rFonts w:asciiTheme="minorHAnsi" w:hAnsiTheme="minorHAnsi"/>
                                <w:b/>
                                <w:color w:val="FFFFFF" w:themeColor="background1"/>
                                <w:lang w:val="pt-BR"/>
                              </w:rPr>
                              <w:t>ac</w:t>
                            </w:r>
                            <w:r w:rsidRPr="004B7EB6">
                              <w:rPr>
                                <w:rFonts w:asciiTheme="minorHAnsi" w:hAnsiTheme="minorHAnsi"/>
                                <w:b/>
                                <w:color w:val="FFFFFF" w:themeColor="background1"/>
                                <w:lang w:val="pt-BR"/>
                              </w:rPr>
                              <w:t>h</w:t>
                            </w:r>
                            <w:r w:rsidR="00B01DDC">
                              <w:rPr>
                                <w:rFonts w:asciiTheme="minorHAnsi" w:hAnsiTheme="minorHAnsi"/>
                                <w:b/>
                                <w:color w:val="FFFFFF" w:themeColor="background1"/>
                                <w:lang w:val="pt-BR"/>
                              </w:rPr>
                              <w:t>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A1395C" id="Text Box 4" o:spid="_x0000_s1030"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QqtgA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" filled="f" stroked="f" strokeweight=".5pt">
                <v:textbox>
                  <w:txbxContent>
                    <w:p w14:paraId="0B757350" w14:textId="074B853A" w:rsidR="00263A40" w:rsidRPr="004B7EB6" w:rsidRDefault="00263A4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www.i</w:t>
                      </w:r>
                      <w:r w:rsidR="00B01DDC">
                        <w:rPr>
                          <w:rFonts w:asciiTheme="minorHAnsi" w:hAnsiTheme="minorHAnsi"/>
                          <w:b/>
                          <w:color w:val="FFFFFF" w:themeColor="background1"/>
                          <w:lang w:val="pt-BR"/>
                        </w:rPr>
                        <w:t>ac</w:t>
                      </w:r>
                      <w:r w:rsidRPr="004B7EB6">
                        <w:rPr>
                          <w:rFonts w:asciiTheme="minorHAnsi" w:hAnsiTheme="minorHAnsi"/>
                          <w:b/>
                          <w:color w:val="FFFFFF" w:themeColor="background1"/>
                          <w:lang w:val="pt-BR"/>
                        </w:rPr>
                        <w:t>h</w:t>
                      </w:r>
                      <w:r w:rsidR="00B01DDC">
                        <w:rPr>
                          <w:rFonts w:asciiTheme="minorHAnsi" w:hAnsiTheme="minorHAnsi"/>
                          <w:b/>
                          <w:color w:val="FFFFFF" w:themeColor="background1"/>
                          <w:lang w:val="pt-BR"/>
                        </w:rPr>
                        <w:t>r</w:t>
                      </w:r>
                      <w:r w:rsidRPr="004B7EB6">
                        <w:rPr>
                          <w:rFonts w:asciiTheme="minorHAnsi" w:hAnsiTheme="minorHAnsi"/>
                          <w:b/>
                          <w:color w:val="FFFFFF" w:themeColor="background1"/>
                          <w:lang w:val="pt-BR"/>
                        </w:rPr>
                        <w:t>.org</w:t>
                      </w:r>
                    </w:p>
                  </w:txbxContent>
                </v:textbox>
              </v:shape>
            </w:pict>
          </mc:Fallback>
        </mc:AlternateContent>
      </w:r>
    </w:p>
    <w:p w14:paraId="2B6C2682" w14:textId="77777777" w:rsidR="00331988" w:rsidRDefault="00331988" w:rsidP="00331988">
      <w:pPr>
        <w:tabs>
          <w:tab w:val="center" w:pos="5400"/>
        </w:tabs>
        <w:suppressAutoHyphens/>
        <w:ind w:firstLine="2160"/>
        <w:rPr>
          <w:noProof/>
          <w:color w:val="FFFFFF" w:themeColor="background1"/>
          <w14:textFill>
            <w14:noFill/>
          </w14:textFill>
        </w:rPr>
      </w:pPr>
    </w:p>
    <w:p w14:paraId="1C77532E" w14:textId="6F0E1341" w:rsidR="0090270B" w:rsidRDefault="00331988" w:rsidP="00331988">
      <w:pPr>
        <w:tabs>
          <w:tab w:val="center" w:pos="5400"/>
        </w:tabs>
        <w:suppressAutoHyphens/>
        <w:ind w:firstLine="2160"/>
        <w:rPr>
          <w:rFonts w:asciiTheme="majorHAnsi" w:hAnsiTheme="majorHAnsi"/>
          <w:b/>
          <w:sz w:val="20"/>
          <w:lang w:val="es-ES_tradnl"/>
        </w:rPr>
      </w:pPr>
      <w:r>
        <w:rPr>
          <w:rFonts w:asciiTheme="majorHAnsi" w:hAnsiTheme="majorHAnsi"/>
          <w:b/>
          <w:noProof/>
          <w:sz w:val="20"/>
        </w:rPr>
        <w:drawing>
          <wp:inline distT="0" distB="0" distL="0" distR="0" wp14:anchorId="6D558A7B" wp14:editId="5C3F86F3">
            <wp:extent cx="1579245" cy="402590"/>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9245" cy="402590"/>
                    </a:xfrm>
                    <a:prstGeom prst="rect">
                      <a:avLst/>
                    </a:prstGeom>
                    <a:noFill/>
                  </pic:spPr>
                </pic:pic>
              </a:graphicData>
            </a:graphic>
          </wp:inline>
        </w:drawing>
      </w:r>
    </w:p>
    <w:p w14:paraId="28BECC9A" w14:textId="77777777"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3ABBEEF6" w14:textId="37471D65" w:rsidR="00722C9F" w:rsidRPr="006C4116" w:rsidRDefault="00121A15" w:rsidP="00722C9F">
      <w:pPr>
        <w:tabs>
          <w:tab w:val="center" w:pos="5400"/>
        </w:tabs>
        <w:suppressAutoHyphens/>
        <w:spacing w:line="276" w:lineRule="auto"/>
        <w:jc w:val="center"/>
        <w:rPr>
          <w:rFonts w:asciiTheme="majorHAnsi" w:hAnsiTheme="majorHAnsi"/>
          <w:b/>
          <w:sz w:val="18"/>
          <w:szCs w:val="20"/>
        </w:rPr>
      </w:pPr>
      <w:r w:rsidRPr="006C4116">
        <w:rPr>
          <w:rFonts w:asciiTheme="majorHAnsi" w:hAnsiTheme="majorHAnsi"/>
          <w:b/>
          <w:sz w:val="18"/>
          <w:szCs w:val="20"/>
        </w:rPr>
        <w:lastRenderedPageBreak/>
        <w:t>REPORT</w:t>
      </w:r>
      <w:r w:rsidR="00931F13" w:rsidRPr="006C4116">
        <w:rPr>
          <w:rFonts w:asciiTheme="majorHAnsi" w:hAnsiTheme="majorHAnsi"/>
          <w:b/>
          <w:sz w:val="18"/>
          <w:szCs w:val="20"/>
        </w:rPr>
        <w:t xml:space="preserve"> No. </w:t>
      </w:r>
      <w:r w:rsidR="00331988">
        <w:rPr>
          <w:rFonts w:asciiTheme="majorHAnsi" w:hAnsiTheme="majorHAnsi"/>
          <w:b/>
          <w:sz w:val="18"/>
          <w:szCs w:val="20"/>
        </w:rPr>
        <w:t>115</w:t>
      </w:r>
      <w:r w:rsidR="00931F13" w:rsidRPr="006C4116">
        <w:rPr>
          <w:rFonts w:asciiTheme="majorHAnsi" w:hAnsiTheme="majorHAnsi"/>
          <w:b/>
          <w:sz w:val="18"/>
          <w:szCs w:val="20"/>
        </w:rPr>
        <w:t>/2</w:t>
      </w:r>
      <w:r w:rsidR="00A42196">
        <w:rPr>
          <w:rFonts w:asciiTheme="majorHAnsi" w:hAnsiTheme="majorHAnsi"/>
          <w:b/>
          <w:sz w:val="18"/>
          <w:szCs w:val="20"/>
        </w:rPr>
        <w:t>1</w:t>
      </w:r>
    </w:p>
    <w:p w14:paraId="56CB23FD" w14:textId="4D7E7D40" w:rsidR="00722C9F" w:rsidRPr="006C4116" w:rsidRDefault="00722C9F" w:rsidP="00722C9F">
      <w:pPr>
        <w:tabs>
          <w:tab w:val="center" w:pos="5400"/>
        </w:tabs>
        <w:suppressAutoHyphens/>
        <w:spacing w:line="276" w:lineRule="auto"/>
        <w:jc w:val="center"/>
        <w:rPr>
          <w:rFonts w:asciiTheme="majorHAnsi" w:hAnsiTheme="majorHAnsi"/>
          <w:b/>
          <w:sz w:val="18"/>
          <w:szCs w:val="20"/>
        </w:rPr>
      </w:pPr>
      <w:r w:rsidRPr="006C4116">
        <w:rPr>
          <w:rFonts w:asciiTheme="majorHAnsi" w:hAnsiTheme="majorHAnsi"/>
          <w:b/>
          <w:sz w:val="18"/>
          <w:szCs w:val="20"/>
        </w:rPr>
        <w:t>CAS</w:t>
      </w:r>
      <w:r w:rsidR="00121A15" w:rsidRPr="006C4116">
        <w:rPr>
          <w:rFonts w:asciiTheme="majorHAnsi" w:hAnsiTheme="majorHAnsi"/>
          <w:b/>
          <w:sz w:val="18"/>
          <w:szCs w:val="20"/>
        </w:rPr>
        <w:t>E</w:t>
      </w:r>
      <w:r w:rsidRPr="006C4116">
        <w:rPr>
          <w:rFonts w:asciiTheme="majorHAnsi" w:hAnsiTheme="majorHAnsi"/>
          <w:b/>
          <w:sz w:val="18"/>
          <w:szCs w:val="20"/>
        </w:rPr>
        <w:t xml:space="preserve"> </w:t>
      </w:r>
      <w:r w:rsidR="00A42196" w:rsidRPr="00A42196">
        <w:rPr>
          <w:rFonts w:asciiTheme="majorHAnsi" w:hAnsiTheme="majorHAnsi"/>
          <w:b/>
          <w:sz w:val="18"/>
          <w:szCs w:val="20"/>
        </w:rPr>
        <w:t>13.171</w:t>
      </w:r>
    </w:p>
    <w:p w14:paraId="4A308BD5" w14:textId="77777777" w:rsidR="00722C9F" w:rsidRPr="006C4116" w:rsidRDefault="00121A15" w:rsidP="00931F13">
      <w:pPr>
        <w:tabs>
          <w:tab w:val="center" w:pos="5400"/>
        </w:tabs>
        <w:suppressAutoHyphens/>
        <w:spacing w:line="276" w:lineRule="auto"/>
        <w:jc w:val="center"/>
        <w:rPr>
          <w:rFonts w:asciiTheme="majorHAnsi" w:hAnsiTheme="majorHAnsi"/>
          <w:sz w:val="18"/>
          <w:szCs w:val="20"/>
        </w:rPr>
      </w:pPr>
      <w:r w:rsidRPr="006C4116">
        <w:rPr>
          <w:rFonts w:asciiTheme="majorHAnsi" w:hAnsiTheme="majorHAnsi"/>
          <w:sz w:val="18"/>
          <w:szCs w:val="20"/>
        </w:rPr>
        <w:t>FRIENDLY SETTLEMENT</w:t>
      </w:r>
    </w:p>
    <w:p w14:paraId="77E9D704" w14:textId="77777777" w:rsidR="00A42196" w:rsidRPr="00C27E8A" w:rsidRDefault="00A42196" w:rsidP="00A42196">
      <w:pPr>
        <w:tabs>
          <w:tab w:val="center" w:pos="5400"/>
        </w:tabs>
        <w:suppressAutoHyphens/>
        <w:spacing w:line="276" w:lineRule="auto"/>
        <w:jc w:val="center"/>
        <w:rPr>
          <w:rFonts w:asciiTheme="majorHAnsi" w:hAnsiTheme="majorHAnsi"/>
          <w:sz w:val="18"/>
          <w:szCs w:val="20"/>
        </w:rPr>
      </w:pPr>
      <w:r w:rsidRPr="00C27E8A">
        <w:rPr>
          <w:rFonts w:asciiTheme="majorHAnsi" w:hAnsiTheme="majorHAnsi"/>
          <w:sz w:val="18"/>
          <w:szCs w:val="20"/>
        </w:rPr>
        <w:t>LUIS ARGEMIRO GÓMEZ ATEHORTUA</w:t>
      </w:r>
    </w:p>
    <w:p w14:paraId="6ED2EFA3" w14:textId="77777777" w:rsidR="00A42196" w:rsidRPr="00A42196" w:rsidRDefault="00A42196" w:rsidP="00A42196">
      <w:pPr>
        <w:tabs>
          <w:tab w:val="center" w:pos="5400"/>
        </w:tabs>
        <w:suppressAutoHyphens/>
        <w:spacing w:line="276" w:lineRule="auto"/>
        <w:jc w:val="center"/>
        <w:rPr>
          <w:rFonts w:asciiTheme="majorHAnsi" w:hAnsiTheme="majorHAnsi"/>
          <w:sz w:val="18"/>
          <w:szCs w:val="20"/>
          <w:lang w:val="es-ES"/>
        </w:rPr>
      </w:pPr>
      <w:r w:rsidRPr="00A42196">
        <w:rPr>
          <w:rFonts w:asciiTheme="majorHAnsi" w:hAnsiTheme="majorHAnsi"/>
          <w:sz w:val="18"/>
          <w:szCs w:val="20"/>
          <w:lang w:val="es-ES"/>
        </w:rPr>
        <w:t>COLOMBIA</w:t>
      </w:r>
    </w:p>
    <w:p w14:paraId="453D0F95" w14:textId="7BA189C9" w:rsidR="00722C9F" w:rsidRDefault="00331988" w:rsidP="00A42196">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JUNE 13, 2021</w:t>
      </w:r>
    </w:p>
    <w:p w14:paraId="4FF62F6C" w14:textId="77777777" w:rsidR="0070697F" w:rsidRDefault="0070697F" w:rsidP="001D65EF">
      <w:pPr>
        <w:tabs>
          <w:tab w:val="center" w:pos="5400"/>
        </w:tabs>
        <w:suppressAutoHyphens/>
        <w:spacing w:line="276" w:lineRule="auto"/>
        <w:rPr>
          <w:rFonts w:asciiTheme="majorHAnsi" w:hAnsiTheme="majorHAnsi"/>
          <w:sz w:val="20"/>
          <w:szCs w:val="20"/>
          <w:lang w:val="es-ES_tradnl"/>
        </w:rPr>
      </w:pPr>
    </w:p>
    <w:p w14:paraId="32862837" w14:textId="77777777" w:rsidR="008D768D" w:rsidRDefault="008D768D" w:rsidP="001D65EF">
      <w:pPr>
        <w:tabs>
          <w:tab w:val="center" w:pos="5400"/>
        </w:tabs>
        <w:suppressAutoHyphens/>
        <w:spacing w:line="276" w:lineRule="auto"/>
        <w:rPr>
          <w:rFonts w:asciiTheme="majorHAnsi" w:hAnsiTheme="majorHAnsi"/>
          <w:sz w:val="20"/>
          <w:szCs w:val="20"/>
          <w:lang w:val="es-ES_tradnl"/>
        </w:rPr>
      </w:pPr>
    </w:p>
    <w:p w14:paraId="5FC1819F" w14:textId="77777777" w:rsidR="00121A15" w:rsidRPr="00121A15" w:rsidRDefault="00121A15" w:rsidP="00C155A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b/>
          <w:sz w:val="20"/>
          <w:szCs w:val="20"/>
        </w:rPr>
      </w:pPr>
      <w:r w:rsidRPr="00121A15">
        <w:rPr>
          <w:rFonts w:asciiTheme="majorHAnsi" w:hAnsiTheme="majorHAnsi"/>
          <w:b/>
          <w:sz w:val="20"/>
          <w:szCs w:val="20"/>
        </w:rPr>
        <w:t>SUMMARY AND PROCEDURAL ASPECTS REL</w:t>
      </w:r>
      <w:r>
        <w:rPr>
          <w:rFonts w:asciiTheme="majorHAnsi" w:hAnsiTheme="majorHAnsi"/>
          <w:b/>
          <w:sz w:val="20"/>
          <w:szCs w:val="20"/>
        </w:rPr>
        <w:t>ATED TO THE FRIENDLY SETTLEMENT PROCESS</w:t>
      </w:r>
    </w:p>
    <w:p w14:paraId="1D96A115" w14:textId="77777777" w:rsidR="00931F13" w:rsidRPr="006C4116" w:rsidRDefault="00931F13" w:rsidP="00121A15">
      <w:pPr>
        <w:jc w:val="both"/>
        <w:rPr>
          <w:rFonts w:asciiTheme="majorHAnsi" w:eastAsia="MS Mincho" w:hAnsiTheme="majorHAnsi"/>
          <w:sz w:val="20"/>
          <w:szCs w:val="20"/>
        </w:rPr>
      </w:pPr>
    </w:p>
    <w:p w14:paraId="36AE60D2" w14:textId="4A26DBE4" w:rsidR="00121A15" w:rsidRPr="00121A15" w:rsidRDefault="00121A15" w:rsidP="00C7581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cs="Cambria"/>
          <w:color w:val="000000"/>
          <w:sz w:val="20"/>
          <w:szCs w:val="20"/>
          <w:u w:color="000000"/>
          <w:bdr w:val="none" w:sz="0" w:space="0" w:color="auto" w:frame="1"/>
          <w:lang w:eastAsia="es-ES"/>
        </w:rPr>
      </w:pPr>
      <w:r w:rsidRPr="00121A15">
        <w:rPr>
          <w:rFonts w:asciiTheme="majorHAnsi" w:eastAsia="Times New Roman" w:hAnsiTheme="majorHAnsi" w:cs="Cambria"/>
          <w:color w:val="000000"/>
          <w:sz w:val="20"/>
          <w:szCs w:val="20"/>
          <w:u w:color="000000"/>
          <w:bdr w:val="none" w:sz="0" w:space="0" w:color="auto" w:frame="1"/>
          <w:lang w:eastAsia="es-ES"/>
        </w:rPr>
        <w:t xml:space="preserve">On </w:t>
      </w:r>
      <w:r w:rsidR="00A42196">
        <w:rPr>
          <w:rFonts w:asciiTheme="majorHAnsi" w:eastAsia="Times New Roman" w:hAnsiTheme="majorHAnsi" w:cs="Cambria"/>
          <w:color w:val="000000"/>
          <w:sz w:val="20"/>
          <w:szCs w:val="20"/>
          <w:u w:color="000000"/>
          <w:bdr w:val="none" w:sz="0" w:space="0" w:color="auto" w:frame="1"/>
          <w:lang w:eastAsia="es-ES"/>
        </w:rPr>
        <w:t>November</w:t>
      </w:r>
      <w:r w:rsidRPr="00121A15">
        <w:rPr>
          <w:rFonts w:asciiTheme="majorHAnsi" w:eastAsia="Times New Roman" w:hAnsiTheme="majorHAnsi" w:cs="Cambria"/>
          <w:color w:val="000000"/>
          <w:sz w:val="20"/>
          <w:szCs w:val="20"/>
          <w:u w:color="000000"/>
          <w:bdr w:val="none" w:sz="0" w:space="0" w:color="auto" w:frame="1"/>
          <w:lang w:eastAsia="es-ES"/>
        </w:rPr>
        <w:t xml:space="preserve"> </w:t>
      </w:r>
      <w:r w:rsidR="00A42196">
        <w:rPr>
          <w:rFonts w:asciiTheme="majorHAnsi" w:eastAsia="Times New Roman" w:hAnsiTheme="majorHAnsi" w:cs="Cambria"/>
          <w:color w:val="000000"/>
          <w:sz w:val="20"/>
          <w:szCs w:val="20"/>
          <w:u w:color="000000"/>
          <w:bdr w:val="none" w:sz="0" w:space="0" w:color="auto" w:frame="1"/>
          <w:lang w:eastAsia="es-ES"/>
        </w:rPr>
        <w:t>20</w:t>
      </w:r>
      <w:r w:rsidRPr="00121A15">
        <w:rPr>
          <w:rFonts w:asciiTheme="majorHAnsi" w:eastAsia="Times New Roman" w:hAnsiTheme="majorHAnsi" w:cs="Cambria"/>
          <w:color w:val="000000"/>
          <w:sz w:val="20"/>
          <w:szCs w:val="20"/>
          <w:u w:color="000000"/>
          <w:bdr w:val="none" w:sz="0" w:space="0" w:color="auto" w:frame="1"/>
          <w:lang w:eastAsia="es-ES"/>
        </w:rPr>
        <w:t>, 200</w:t>
      </w:r>
      <w:r w:rsidR="00A42196">
        <w:rPr>
          <w:rFonts w:asciiTheme="majorHAnsi" w:eastAsia="Times New Roman" w:hAnsiTheme="majorHAnsi" w:cs="Cambria"/>
          <w:color w:val="000000"/>
          <w:sz w:val="20"/>
          <w:szCs w:val="20"/>
          <w:u w:color="000000"/>
          <w:bdr w:val="none" w:sz="0" w:space="0" w:color="auto" w:frame="1"/>
          <w:lang w:eastAsia="es-ES"/>
        </w:rPr>
        <w:t>6</w:t>
      </w:r>
      <w:r w:rsidRPr="00121A15">
        <w:rPr>
          <w:rFonts w:asciiTheme="majorHAnsi" w:eastAsia="Times New Roman" w:hAnsiTheme="majorHAnsi" w:cs="Cambria"/>
          <w:color w:val="000000"/>
          <w:sz w:val="20"/>
          <w:szCs w:val="20"/>
          <w:u w:color="000000"/>
          <w:bdr w:val="none" w:sz="0" w:space="0" w:color="auto" w:frame="1"/>
          <w:lang w:eastAsia="es-ES"/>
        </w:rPr>
        <w:t>, the Inter-American Commission on H</w:t>
      </w:r>
      <w:r>
        <w:rPr>
          <w:rFonts w:asciiTheme="majorHAnsi" w:eastAsia="Times New Roman" w:hAnsiTheme="majorHAnsi" w:cs="Cambria"/>
          <w:color w:val="000000"/>
          <w:sz w:val="20"/>
          <w:szCs w:val="20"/>
          <w:u w:color="000000"/>
          <w:bdr w:val="none" w:sz="0" w:space="0" w:color="auto" w:frame="1"/>
          <w:lang w:eastAsia="es-ES"/>
        </w:rPr>
        <w:t xml:space="preserve">uman Rights (hereinafter, “the Commission” or the “IACHR”) received a petition filed by </w:t>
      </w:r>
      <w:r w:rsidR="002D1150" w:rsidRPr="002D1150">
        <w:rPr>
          <w:rFonts w:asciiTheme="majorHAnsi" w:eastAsia="Times New Roman" w:hAnsiTheme="majorHAnsi" w:cs="Cambria"/>
          <w:color w:val="000000"/>
          <w:sz w:val="20"/>
          <w:szCs w:val="20"/>
          <w:u w:color="000000"/>
          <w:bdr w:val="none" w:sz="0" w:space="0" w:color="auto" w:frame="1"/>
          <w:lang w:eastAsia="es-ES"/>
        </w:rPr>
        <w:t xml:space="preserve">Roberto Fernando Paz Salas y Luz Estella Posada Baena </w:t>
      </w:r>
      <w:r>
        <w:rPr>
          <w:rFonts w:asciiTheme="majorHAnsi" w:eastAsia="Times New Roman" w:hAnsiTheme="majorHAnsi" w:cs="Cambria"/>
          <w:color w:val="000000"/>
          <w:sz w:val="20"/>
          <w:szCs w:val="20"/>
          <w:u w:color="000000"/>
          <w:bdr w:val="none" w:sz="0" w:space="0" w:color="auto" w:frame="1"/>
          <w:lang w:eastAsia="es-ES"/>
        </w:rPr>
        <w:t>(hereinafter, “petitioner</w:t>
      </w:r>
      <w:r w:rsidR="002D1150">
        <w:rPr>
          <w:rFonts w:asciiTheme="majorHAnsi" w:eastAsia="Times New Roman" w:hAnsiTheme="majorHAnsi" w:cs="Cambria"/>
          <w:color w:val="000000"/>
          <w:sz w:val="20"/>
          <w:szCs w:val="20"/>
          <w:u w:color="000000"/>
          <w:bdr w:val="none" w:sz="0" w:space="0" w:color="auto" w:frame="1"/>
          <w:lang w:eastAsia="es-ES"/>
        </w:rPr>
        <w:t>s</w:t>
      </w:r>
      <w:r>
        <w:rPr>
          <w:rFonts w:asciiTheme="majorHAnsi" w:eastAsia="Times New Roman" w:hAnsiTheme="majorHAnsi" w:cs="Cambria"/>
          <w:color w:val="000000"/>
          <w:sz w:val="20"/>
          <w:szCs w:val="20"/>
          <w:u w:color="000000"/>
          <w:bdr w:val="none" w:sz="0" w:space="0" w:color="auto" w:frame="1"/>
          <w:lang w:eastAsia="es-ES"/>
        </w:rPr>
        <w:t>” or th</w:t>
      </w:r>
      <w:r w:rsidR="002D1150">
        <w:rPr>
          <w:rFonts w:asciiTheme="majorHAnsi" w:eastAsia="Times New Roman" w:hAnsiTheme="majorHAnsi" w:cs="Cambria"/>
          <w:color w:val="000000"/>
          <w:sz w:val="20"/>
          <w:szCs w:val="20"/>
          <w:u w:color="000000"/>
          <w:bdr w:val="none" w:sz="0" w:space="0" w:color="auto" w:frame="1"/>
          <w:lang w:eastAsia="es-ES"/>
        </w:rPr>
        <w:t>e</w:t>
      </w:r>
      <w:r>
        <w:rPr>
          <w:rFonts w:asciiTheme="majorHAnsi" w:eastAsia="Times New Roman" w:hAnsiTheme="majorHAnsi" w:cs="Cambria"/>
          <w:color w:val="000000"/>
          <w:sz w:val="20"/>
          <w:szCs w:val="20"/>
          <w:u w:color="000000"/>
          <w:bdr w:val="none" w:sz="0" w:space="0" w:color="auto" w:frame="1"/>
          <w:lang w:eastAsia="es-ES"/>
        </w:rPr>
        <w:t xml:space="preserve"> “</w:t>
      </w:r>
      <w:r w:rsidR="002D1150">
        <w:rPr>
          <w:rFonts w:asciiTheme="majorHAnsi" w:eastAsia="Times New Roman" w:hAnsiTheme="majorHAnsi" w:cs="Cambria"/>
          <w:color w:val="000000"/>
          <w:sz w:val="20"/>
          <w:szCs w:val="20"/>
          <w:u w:color="000000"/>
          <w:bdr w:val="none" w:sz="0" w:space="0" w:color="auto" w:frame="1"/>
          <w:lang w:eastAsia="es-ES"/>
        </w:rPr>
        <w:t>petitioning party</w:t>
      </w:r>
      <w:r>
        <w:rPr>
          <w:rFonts w:asciiTheme="majorHAnsi" w:eastAsia="Times New Roman" w:hAnsiTheme="majorHAnsi" w:cs="Cambria"/>
          <w:color w:val="000000"/>
          <w:sz w:val="20"/>
          <w:szCs w:val="20"/>
          <w:u w:color="000000"/>
          <w:bdr w:val="none" w:sz="0" w:space="0" w:color="auto" w:frame="1"/>
          <w:lang w:eastAsia="es-ES"/>
        </w:rPr>
        <w:t xml:space="preserve">”), which alleged the international responsibility of the </w:t>
      </w:r>
      <w:r w:rsidR="002D1150">
        <w:rPr>
          <w:rFonts w:asciiTheme="majorHAnsi" w:eastAsia="Times New Roman" w:hAnsiTheme="majorHAnsi" w:cs="Cambria"/>
          <w:color w:val="000000"/>
          <w:sz w:val="20"/>
          <w:szCs w:val="20"/>
          <w:u w:color="000000"/>
          <w:bdr w:val="none" w:sz="0" w:space="0" w:color="auto" w:frame="1"/>
          <w:lang w:eastAsia="es-ES"/>
        </w:rPr>
        <w:t>Colombian state</w:t>
      </w:r>
      <w:r>
        <w:rPr>
          <w:rFonts w:asciiTheme="majorHAnsi" w:eastAsia="Times New Roman" w:hAnsiTheme="majorHAnsi" w:cs="Cambria"/>
          <w:color w:val="000000"/>
          <w:sz w:val="20"/>
          <w:szCs w:val="20"/>
          <w:u w:color="000000"/>
          <w:bdr w:val="none" w:sz="0" w:space="0" w:color="auto" w:frame="1"/>
          <w:lang w:eastAsia="es-ES"/>
        </w:rPr>
        <w:t>, for the violation of the human rights recognized under article</w:t>
      </w:r>
      <w:r w:rsidR="002D1150">
        <w:rPr>
          <w:rFonts w:asciiTheme="majorHAnsi" w:eastAsia="Times New Roman" w:hAnsiTheme="majorHAnsi" w:cs="Cambria"/>
          <w:color w:val="000000"/>
          <w:sz w:val="20"/>
          <w:szCs w:val="20"/>
          <w:u w:color="000000"/>
          <w:bdr w:val="none" w:sz="0" w:space="0" w:color="auto" w:frame="1"/>
          <w:lang w:eastAsia="es-ES"/>
        </w:rPr>
        <w:t>s</w:t>
      </w:r>
      <w:r>
        <w:rPr>
          <w:rFonts w:asciiTheme="majorHAnsi" w:eastAsia="Times New Roman" w:hAnsiTheme="majorHAnsi" w:cs="Cambria"/>
          <w:color w:val="000000"/>
          <w:sz w:val="20"/>
          <w:szCs w:val="20"/>
          <w:u w:color="000000"/>
          <w:bdr w:val="none" w:sz="0" w:space="0" w:color="auto" w:frame="1"/>
          <w:lang w:eastAsia="es-ES"/>
        </w:rPr>
        <w:t xml:space="preserve"> </w:t>
      </w:r>
      <w:r w:rsidR="002D1150">
        <w:rPr>
          <w:rFonts w:asciiTheme="majorHAnsi" w:eastAsia="Times New Roman" w:hAnsiTheme="majorHAnsi" w:cs="Cambria"/>
          <w:color w:val="000000"/>
          <w:sz w:val="20"/>
          <w:szCs w:val="20"/>
          <w:u w:color="000000"/>
          <w:bdr w:val="none" w:sz="0" w:space="0" w:color="auto" w:frame="1"/>
          <w:lang w:eastAsia="es-ES"/>
        </w:rPr>
        <w:t>6, 7 and 10</w:t>
      </w:r>
      <w:r>
        <w:rPr>
          <w:rFonts w:asciiTheme="majorHAnsi" w:eastAsia="Times New Roman" w:hAnsiTheme="majorHAnsi" w:cs="Cambria"/>
          <w:color w:val="000000"/>
          <w:sz w:val="20"/>
          <w:szCs w:val="20"/>
          <w:u w:color="000000"/>
          <w:bdr w:val="none" w:sz="0" w:space="0" w:color="auto" w:frame="1"/>
          <w:lang w:eastAsia="es-ES"/>
        </w:rPr>
        <w:t xml:space="preserve"> </w:t>
      </w:r>
      <w:r w:rsidR="0098463D">
        <w:rPr>
          <w:rFonts w:asciiTheme="majorHAnsi" w:eastAsia="Times New Roman" w:hAnsiTheme="majorHAnsi" w:cs="Cambria"/>
          <w:color w:val="000000"/>
          <w:sz w:val="20"/>
          <w:szCs w:val="20"/>
          <w:u w:color="000000"/>
          <w:bdr w:val="none" w:sz="0" w:space="0" w:color="auto" w:frame="1"/>
          <w:lang w:eastAsia="es-ES"/>
        </w:rPr>
        <w:t>of the</w:t>
      </w:r>
      <w:r w:rsidR="002D1150">
        <w:rPr>
          <w:rFonts w:asciiTheme="majorHAnsi" w:eastAsia="Times New Roman" w:hAnsiTheme="majorHAnsi" w:cs="Cambria"/>
          <w:color w:val="000000"/>
          <w:sz w:val="20"/>
          <w:szCs w:val="20"/>
          <w:u w:color="000000"/>
          <w:bdr w:val="none" w:sz="0" w:space="0" w:color="auto" w:frame="1"/>
          <w:lang w:eastAsia="es-ES"/>
        </w:rPr>
        <w:t xml:space="preserve"> International Covenant on Civil and Political Rights, in relation to Luis Argemiro Gómez Atehortua</w:t>
      </w:r>
      <w:r w:rsidR="00C92CE9">
        <w:rPr>
          <w:rFonts w:asciiTheme="majorHAnsi" w:eastAsia="Times New Roman" w:hAnsiTheme="majorHAnsi" w:cs="Cambria"/>
          <w:color w:val="000000"/>
          <w:sz w:val="20"/>
          <w:szCs w:val="20"/>
          <w:u w:color="000000"/>
          <w:bdr w:val="none" w:sz="0" w:space="0" w:color="auto" w:frame="1"/>
          <w:lang w:eastAsia="es-ES"/>
        </w:rPr>
        <w:t xml:space="preserve">. </w:t>
      </w:r>
      <w:r w:rsidR="00C92CE9" w:rsidRPr="00C92CE9">
        <w:rPr>
          <w:rFonts w:asciiTheme="majorHAnsi" w:eastAsia="Times New Roman" w:hAnsiTheme="majorHAnsi" w:cs="Cambria"/>
          <w:color w:val="000000"/>
          <w:sz w:val="20"/>
          <w:szCs w:val="20"/>
          <w:u w:color="000000"/>
          <w:bdr w:val="none" w:sz="0" w:space="0" w:color="auto" w:frame="1"/>
          <w:lang w:eastAsia="es-ES"/>
        </w:rPr>
        <w:t>The foregoing, due to the lack of reparation for the death of Luis Argemiro Gómez Atehortua and the alleged torture committed against him, which allegedly occurred on February 5, 1999, while he was detained in</w:t>
      </w:r>
      <w:r w:rsidR="00BC6224">
        <w:rPr>
          <w:rFonts w:asciiTheme="majorHAnsi" w:eastAsia="Times New Roman" w:hAnsiTheme="majorHAnsi" w:cs="Cambria"/>
          <w:color w:val="000000"/>
          <w:sz w:val="20"/>
          <w:szCs w:val="20"/>
          <w:u w:color="000000"/>
          <w:bdr w:val="none" w:sz="0" w:space="0" w:color="auto" w:frame="1"/>
          <w:lang w:eastAsia="es-ES"/>
        </w:rPr>
        <w:t xml:space="preserve"> </w:t>
      </w:r>
      <w:r w:rsidR="00BC6224" w:rsidRPr="00C92CE9">
        <w:rPr>
          <w:rFonts w:asciiTheme="majorHAnsi" w:eastAsia="Times New Roman" w:hAnsiTheme="majorHAnsi" w:cs="Cambria"/>
          <w:color w:val="000000"/>
          <w:sz w:val="20"/>
          <w:szCs w:val="20"/>
          <w:u w:color="000000"/>
          <w:bdr w:val="none" w:sz="0" w:space="0" w:color="auto" w:frame="1"/>
          <w:lang w:eastAsia="es-ES"/>
        </w:rPr>
        <w:t>the Colombian National Police</w:t>
      </w:r>
      <w:r w:rsidR="00C92CE9" w:rsidRPr="00C92CE9">
        <w:rPr>
          <w:rFonts w:asciiTheme="majorHAnsi" w:eastAsia="Times New Roman" w:hAnsiTheme="majorHAnsi" w:cs="Cambria"/>
          <w:color w:val="000000"/>
          <w:sz w:val="20"/>
          <w:szCs w:val="20"/>
          <w:u w:color="000000"/>
          <w:bdr w:val="none" w:sz="0" w:space="0" w:color="auto" w:frame="1"/>
          <w:lang w:eastAsia="es-ES"/>
        </w:rPr>
        <w:t xml:space="preserve"> facilities. Likewise, due to the lack of investigation of the facts by the State.</w:t>
      </w:r>
    </w:p>
    <w:p w14:paraId="5AC528FC" w14:textId="77777777" w:rsidR="00931F13" w:rsidRPr="006C4116" w:rsidRDefault="00931F13" w:rsidP="00C75819">
      <w:pPr>
        <w:pStyle w:val="Heading2"/>
        <w:keepNext w:val="0"/>
        <w:tabs>
          <w:tab w:val="left" w:pos="90"/>
          <w:tab w:val="left" w:pos="1440"/>
        </w:tabs>
        <w:spacing w:before="0" w:after="0"/>
        <w:ind w:left="720"/>
        <w:jc w:val="both"/>
        <w:rPr>
          <w:rFonts w:asciiTheme="majorHAnsi" w:hAnsiTheme="majorHAnsi"/>
          <w:sz w:val="20"/>
          <w:szCs w:val="20"/>
          <w:lang w:eastAsia="es-ES"/>
        </w:rPr>
      </w:pPr>
    </w:p>
    <w:p w14:paraId="2EBBCF20" w14:textId="2CD34B9A" w:rsidR="00FE5847" w:rsidRDefault="00C92CE9" w:rsidP="00904B9B">
      <w:pPr>
        <w:pStyle w:val="ListParagraph"/>
        <w:numPr>
          <w:ilvl w:val="0"/>
          <w:numId w:val="55"/>
        </w:numPr>
        <w:ind w:left="0" w:firstLine="630"/>
        <w:jc w:val="both"/>
        <w:rPr>
          <w:rFonts w:asciiTheme="majorHAnsi" w:eastAsia="Times New Roman" w:hAnsiTheme="majorHAnsi"/>
          <w:sz w:val="20"/>
          <w:szCs w:val="20"/>
          <w:bdr w:val="none" w:sz="0" w:space="0" w:color="auto" w:frame="1"/>
        </w:rPr>
      </w:pPr>
      <w:r w:rsidRPr="00C92CE9">
        <w:rPr>
          <w:rFonts w:asciiTheme="majorHAnsi" w:eastAsia="Times New Roman" w:hAnsiTheme="majorHAnsi"/>
          <w:sz w:val="20"/>
          <w:szCs w:val="20"/>
          <w:bdr w:val="none" w:sz="0" w:space="0" w:color="auto" w:frame="1"/>
        </w:rPr>
        <w:t xml:space="preserve">On March 19, 2018, the Commission notified the parties of the decision to defer the treatment of the admissibility of the case until the merits stage of the case, in accordance with Article 36 (3) of its Rules of Procedure and Resolution 1/16 on </w:t>
      </w:r>
      <w:r w:rsidRPr="00C92CE9">
        <w:rPr>
          <w:rFonts w:asciiTheme="majorHAnsi" w:eastAsia="Times New Roman" w:hAnsiTheme="majorHAnsi"/>
          <w:i/>
          <w:iCs/>
          <w:sz w:val="20"/>
          <w:szCs w:val="20"/>
          <w:bdr w:val="none" w:sz="0" w:space="0" w:color="auto" w:frame="1"/>
        </w:rPr>
        <w:t>measures to reduce the procedural backlog</w:t>
      </w:r>
      <w:r w:rsidRPr="00C92CE9">
        <w:rPr>
          <w:rFonts w:asciiTheme="majorHAnsi" w:eastAsia="Times New Roman" w:hAnsiTheme="majorHAnsi"/>
          <w:sz w:val="20"/>
          <w:szCs w:val="20"/>
          <w:bdr w:val="none" w:sz="0" w:space="0" w:color="auto" w:frame="1"/>
        </w:rPr>
        <w:t>.</w:t>
      </w:r>
    </w:p>
    <w:p w14:paraId="4108303B" w14:textId="77777777" w:rsidR="00C92CE9" w:rsidRPr="00904B9B" w:rsidRDefault="00C92CE9" w:rsidP="00904B9B">
      <w:pPr>
        <w:rPr>
          <w:rFonts w:asciiTheme="majorHAnsi" w:eastAsia="Times New Roman" w:hAnsiTheme="majorHAnsi"/>
          <w:sz w:val="20"/>
          <w:szCs w:val="20"/>
          <w:bdr w:val="none" w:sz="0" w:space="0" w:color="auto" w:frame="1"/>
        </w:rPr>
      </w:pPr>
    </w:p>
    <w:p w14:paraId="51BF512F" w14:textId="6CF36B54" w:rsidR="00C92CE9" w:rsidRPr="00C92CE9" w:rsidRDefault="00C92CE9" w:rsidP="00C92CE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Theme="majorHAnsi" w:eastAsia="Times New Roman" w:hAnsiTheme="majorHAnsi"/>
          <w:sz w:val="20"/>
          <w:szCs w:val="20"/>
          <w:bdr w:val="none" w:sz="0" w:space="0" w:color="auto" w:frame="1"/>
        </w:rPr>
      </w:pPr>
      <w:r w:rsidRPr="00C92CE9">
        <w:rPr>
          <w:rFonts w:asciiTheme="majorHAnsi" w:eastAsia="Times New Roman" w:hAnsiTheme="majorHAnsi"/>
          <w:sz w:val="20"/>
          <w:szCs w:val="20"/>
          <w:bdr w:val="none" w:sz="0" w:space="0" w:color="auto" w:frame="1"/>
        </w:rPr>
        <w:t xml:space="preserve">On April 10, 2018, the petitioning party expressed to the IACHR its interest in initiating a friendly settlement process with the Colombian State and requested the Commission's </w:t>
      </w:r>
      <w:r w:rsidR="00297D87">
        <w:rPr>
          <w:rFonts w:asciiTheme="majorHAnsi" w:eastAsia="Times New Roman" w:hAnsiTheme="majorHAnsi"/>
          <w:sz w:val="20"/>
          <w:szCs w:val="20"/>
          <w:bdr w:val="none" w:sz="0" w:space="0" w:color="auto" w:frame="1"/>
        </w:rPr>
        <w:t>endorsement</w:t>
      </w:r>
      <w:r w:rsidRPr="00C92CE9">
        <w:rPr>
          <w:rFonts w:asciiTheme="majorHAnsi" w:eastAsia="Times New Roman" w:hAnsiTheme="majorHAnsi"/>
          <w:sz w:val="20"/>
          <w:szCs w:val="20"/>
          <w:bdr w:val="none" w:sz="0" w:space="0" w:color="auto" w:frame="1"/>
        </w:rPr>
        <w:t xml:space="preserve"> to do so. This information was </w:t>
      </w:r>
      <w:r w:rsidR="00297D87" w:rsidRPr="00C92CE9">
        <w:rPr>
          <w:rFonts w:asciiTheme="majorHAnsi" w:eastAsia="Times New Roman" w:hAnsiTheme="majorHAnsi"/>
          <w:sz w:val="20"/>
          <w:szCs w:val="20"/>
          <w:bdr w:val="none" w:sz="0" w:space="0" w:color="auto" w:frame="1"/>
        </w:rPr>
        <w:t>communicated</w:t>
      </w:r>
      <w:r w:rsidRPr="00C92CE9">
        <w:rPr>
          <w:rFonts w:asciiTheme="majorHAnsi" w:eastAsia="Times New Roman" w:hAnsiTheme="majorHAnsi"/>
          <w:sz w:val="20"/>
          <w:szCs w:val="20"/>
          <w:bdr w:val="none" w:sz="0" w:space="0" w:color="auto" w:frame="1"/>
        </w:rPr>
        <w:t xml:space="preserve"> to the State on February 19, 2019. On March 18, 2019, the State </w:t>
      </w:r>
      <w:r w:rsidR="00297D87" w:rsidRPr="00C92CE9">
        <w:rPr>
          <w:rFonts w:asciiTheme="majorHAnsi" w:eastAsia="Times New Roman" w:hAnsiTheme="majorHAnsi"/>
          <w:sz w:val="20"/>
          <w:szCs w:val="20"/>
          <w:bdr w:val="none" w:sz="0" w:space="0" w:color="auto" w:frame="1"/>
        </w:rPr>
        <w:t>indicated</w:t>
      </w:r>
      <w:r w:rsidRPr="00C92CE9">
        <w:rPr>
          <w:rFonts w:asciiTheme="majorHAnsi" w:eastAsia="Times New Roman" w:hAnsiTheme="majorHAnsi"/>
          <w:sz w:val="20"/>
          <w:szCs w:val="20"/>
          <w:bdr w:val="none" w:sz="0" w:space="0" w:color="auto" w:frame="1"/>
        </w:rPr>
        <w:t xml:space="preserve"> that it would contact the petitioners and the victim's next of kin, in order to learn of their claims and confirm their interest in initiating a friendly settlement process.</w:t>
      </w:r>
    </w:p>
    <w:p w14:paraId="339A4B05" w14:textId="77777777" w:rsidR="00C92CE9" w:rsidRPr="00C92CE9" w:rsidRDefault="00C92CE9" w:rsidP="00D2040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630"/>
        <w:jc w:val="both"/>
        <w:rPr>
          <w:rFonts w:asciiTheme="majorHAnsi" w:eastAsia="Times New Roman" w:hAnsiTheme="majorHAnsi" w:cs="Cambria"/>
          <w:color w:val="000000"/>
          <w:sz w:val="20"/>
          <w:szCs w:val="20"/>
          <w:u w:color="000000"/>
          <w:bdr w:val="none" w:sz="0" w:space="0" w:color="auto" w:frame="1"/>
          <w:lang w:eastAsia="es-ES"/>
        </w:rPr>
      </w:pPr>
    </w:p>
    <w:p w14:paraId="7E8E3018" w14:textId="311748D6" w:rsidR="00D20406" w:rsidRPr="00D20406" w:rsidRDefault="00D20406" w:rsidP="00D2040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Theme="majorHAnsi" w:eastAsia="Times New Roman" w:hAnsiTheme="majorHAnsi"/>
          <w:sz w:val="20"/>
          <w:szCs w:val="20"/>
        </w:rPr>
      </w:pPr>
      <w:r w:rsidRPr="00D20406">
        <w:rPr>
          <w:rFonts w:asciiTheme="majorHAnsi" w:eastAsia="Times New Roman" w:hAnsiTheme="majorHAnsi"/>
          <w:sz w:val="20"/>
          <w:szCs w:val="20"/>
        </w:rPr>
        <w:t xml:space="preserve">On June 9, 2020, the parties met in the city of Bogota, and signed a memorandum of understanding, whereby they committed to initiate a friendly settlement process and work through joint meetings to </w:t>
      </w:r>
      <w:r w:rsidR="00297D87">
        <w:rPr>
          <w:rFonts w:asciiTheme="majorHAnsi" w:eastAsia="Times New Roman" w:hAnsiTheme="majorHAnsi"/>
          <w:sz w:val="20"/>
          <w:szCs w:val="20"/>
        </w:rPr>
        <w:t>convey</w:t>
      </w:r>
      <w:r w:rsidRPr="00D20406">
        <w:rPr>
          <w:rFonts w:asciiTheme="majorHAnsi" w:eastAsia="Times New Roman" w:hAnsiTheme="majorHAnsi"/>
          <w:sz w:val="20"/>
          <w:szCs w:val="20"/>
        </w:rPr>
        <w:t xml:space="preserve"> the </w:t>
      </w:r>
      <w:r w:rsidR="00297D87">
        <w:rPr>
          <w:rFonts w:asciiTheme="majorHAnsi" w:eastAsia="Times New Roman" w:hAnsiTheme="majorHAnsi"/>
          <w:sz w:val="20"/>
          <w:szCs w:val="20"/>
        </w:rPr>
        <w:t>elements</w:t>
      </w:r>
      <w:r w:rsidRPr="00D20406">
        <w:rPr>
          <w:rFonts w:asciiTheme="majorHAnsi" w:eastAsia="Times New Roman" w:hAnsiTheme="majorHAnsi"/>
          <w:sz w:val="20"/>
          <w:szCs w:val="20"/>
        </w:rPr>
        <w:t xml:space="preserve"> </w:t>
      </w:r>
      <w:r w:rsidR="00297D87">
        <w:rPr>
          <w:rFonts w:asciiTheme="majorHAnsi" w:eastAsia="Times New Roman" w:hAnsiTheme="majorHAnsi"/>
          <w:sz w:val="20"/>
          <w:szCs w:val="20"/>
        </w:rPr>
        <w:t>of</w:t>
      </w:r>
      <w:r w:rsidRPr="00D20406">
        <w:rPr>
          <w:rFonts w:asciiTheme="majorHAnsi" w:eastAsia="Times New Roman" w:hAnsiTheme="majorHAnsi"/>
          <w:sz w:val="20"/>
          <w:szCs w:val="20"/>
        </w:rPr>
        <w:t xml:space="preserve"> the friendly settlement. </w:t>
      </w:r>
    </w:p>
    <w:p w14:paraId="2FD7F5E4" w14:textId="77777777" w:rsidR="00D20406" w:rsidRPr="00D20406" w:rsidRDefault="00D20406" w:rsidP="00D2040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630"/>
        <w:jc w:val="both"/>
        <w:rPr>
          <w:rFonts w:asciiTheme="majorHAnsi" w:eastAsia="Times New Roman" w:hAnsiTheme="majorHAnsi"/>
          <w:sz w:val="20"/>
          <w:szCs w:val="20"/>
        </w:rPr>
      </w:pPr>
    </w:p>
    <w:p w14:paraId="0B00F855" w14:textId="12A62302" w:rsidR="00D20406" w:rsidRPr="00D20406" w:rsidRDefault="00D20406" w:rsidP="00D2040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Theme="majorHAnsi" w:eastAsia="Times New Roman" w:hAnsiTheme="majorHAnsi"/>
          <w:sz w:val="20"/>
          <w:szCs w:val="20"/>
        </w:rPr>
      </w:pPr>
      <w:r w:rsidRPr="00D20406">
        <w:rPr>
          <w:rFonts w:asciiTheme="majorHAnsi" w:eastAsia="Times New Roman" w:hAnsiTheme="majorHAnsi"/>
          <w:sz w:val="20"/>
          <w:szCs w:val="20"/>
        </w:rPr>
        <w:t>On December 2, 2020, representatives of the Colombian State and the petitioners met in the city of Bogotá to sign a friendly settlement agreement, the implementation of which has been supervised by the Commission. Subsequently, on March 19, 2021, the parties submitted a joint report to the Commission on the progress made in complying with the friendly settlement agreement and jointly requested its homologation.</w:t>
      </w:r>
    </w:p>
    <w:p w14:paraId="71140A7E" w14:textId="77777777" w:rsidR="008D0389" w:rsidRPr="00D20406" w:rsidRDefault="008D0389" w:rsidP="00D20406">
      <w:pPr>
        <w:rPr>
          <w:sz w:val="20"/>
          <w:szCs w:val="20"/>
        </w:rPr>
      </w:pPr>
    </w:p>
    <w:p w14:paraId="28E37A63" w14:textId="109C040A" w:rsidR="008D0389" w:rsidRPr="008D0389" w:rsidRDefault="00904B9B" w:rsidP="008D038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rPr>
      </w:pPr>
      <w:r>
        <w:rPr>
          <w:rFonts w:ascii="Cambria" w:hAnsi="Cambria" w:cs="Cambria"/>
          <w:color w:val="000000"/>
          <w:sz w:val="20"/>
          <w:szCs w:val="20"/>
          <w:lang w:eastAsia="es-ES"/>
        </w:rPr>
        <w:t>T</w:t>
      </w:r>
      <w:r w:rsidR="008D0389" w:rsidRPr="008D0389">
        <w:rPr>
          <w:rFonts w:ascii="Cambria" w:hAnsi="Cambria" w:cs="Cambria"/>
          <w:color w:val="000000"/>
          <w:sz w:val="20"/>
          <w:szCs w:val="20"/>
          <w:lang w:eastAsia="es-ES"/>
        </w:rPr>
        <w:t>his friendly settlement report, pursuant to Article 49 of the Convention and Article 40</w:t>
      </w:r>
      <w:r w:rsidR="00D20406">
        <w:rPr>
          <w:rFonts w:ascii="Cambria" w:hAnsi="Cambria" w:cs="Cambria"/>
          <w:color w:val="000000"/>
          <w:sz w:val="20"/>
          <w:szCs w:val="20"/>
          <w:lang w:eastAsia="es-ES"/>
        </w:rPr>
        <w:t>.</w:t>
      </w:r>
      <w:r w:rsidR="008D0389" w:rsidRPr="008D0389">
        <w:rPr>
          <w:rFonts w:ascii="Cambria" w:hAnsi="Cambria" w:cs="Cambria"/>
          <w:color w:val="000000"/>
          <w:sz w:val="20"/>
          <w:szCs w:val="20"/>
          <w:lang w:eastAsia="es-ES"/>
        </w:rPr>
        <w:t xml:space="preserve">5 of the Commission’s Rules of Procedure, </w:t>
      </w:r>
      <w:r>
        <w:rPr>
          <w:rFonts w:ascii="Cambria" w:hAnsi="Cambria" w:cs="Cambria"/>
          <w:color w:val="000000"/>
          <w:sz w:val="20"/>
          <w:szCs w:val="20"/>
          <w:lang w:eastAsia="es-ES"/>
        </w:rPr>
        <w:t>includes</w:t>
      </w:r>
      <w:r w:rsidR="008D0389" w:rsidRPr="008D0389">
        <w:rPr>
          <w:rFonts w:ascii="Cambria" w:hAnsi="Cambria" w:cs="Cambria"/>
          <w:color w:val="000000"/>
          <w:sz w:val="20"/>
          <w:szCs w:val="20"/>
          <w:lang w:eastAsia="es-ES"/>
        </w:rPr>
        <w:t xml:space="preserve"> the facts alleged by the petitioners and transcribes the friendly settlement agreement, which was signed on </w:t>
      </w:r>
      <w:r w:rsidR="008D0389">
        <w:rPr>
          <w:rFonts w:ascii="Cambria" w:hAnsi="Cambria" w:cs="Cambria"/>
          <w:color w:val="000000"/>
          <w:sz w:val="20"/>
          <w:szCs w:val="20"/>
          <w:lang w:eastAsia="es-ES"/>
        </w:rPr>
        <w:t xml:space="preserve">December </w:t>
      </w:r>
      <w:r w:rsidR="00D20406">
        <w:rPr>
          <w:rFonts w:ascii="Cambria" w:hAnsi="Cambria" w:cs="Cambria"/>
          <w:color w:val="000000"/>
          <w:sz w:val="20"/>
          <w:szCs w:val="20"/>
          <w:lang w:eastAsia="es-ES"/>
        </w:rPr>
        <w:t>2</w:t>
      </w:r>
      <w:r w:rsidR="008D0389">
        <w:rPr>
          <w:rFonts w:ascii="Cambria" w:hAnsi="Cambria" w:cs="Cambria"/>
          <w:color w:val="000000"/>
          <w:sz w:val="20"/>
          <w:szCs w:val="20"/>
          <w:lang w:eastAsia="es-ES"/>
        </w:rPr>
        <w:t>, 20</w:t>
      </w:r>
      <w:r w:rsidR="00D20406">
        <w:rPr>
          <w:rFonts w:ascii="Cambria" w:hAnsi="Cambria" w:cs="Cambria"/>
          <w:color w:val="000000"/>
          <w:sz w:val="20"/>
          <w:szCs w:val="20"/>
          <w:lang w:eastAsia="es-ES"/>
        </w:rPr>
        <w:t>20</w:t>
      </w:r>
      <w:r w:rsidR="008D0389" w:rsidRPr="008D0389">
        <w:rPr>
          <w:rFonts w:ascii="Cambria" w:hAnsi="Cambria" w:cs="Cambria"/>
          <w:color w:val="000000"/>
          <w:sz w:val="20"/>
          <w:szCs w:val="20"/>
          <w:lang w:eastAsia="es-ES"/>
        </w:rPr>
        <w:t xml:space="preserve">, by the petitioner and representatives of the </w:t>
      </w:r>
      <w:r w:rsidR="00D20406">
        <w:rPr>
          <w:rFonts w:ascii="Cambria" w:hAnsi="Cambria" w:cs="Cambria"/>
          <w:color w:val="000000"/>
          <w:sz w:val="20"/>
          <w:szCs w:val="20"/>
          <w:lang w:eastAsia="es-ES"/>
        </w:rPr>
        <w:t>Colombian</w:t>
      </w:r>
      <w:r w:rsidR="008D0389" w:rsidRPr="008D0389">
        <w:rPr>
          <w:rFonts w:ascii="Cambria" w:hAnsi="Cambria" w:cs="Cambria"/>
          <w:color w:val="000000"/>
          <w:sz w:val="20"/>
          <w:szCs w:val="20"/>
          <w:lang w:eastAsia="es-ES"/>
        </w:rPr>
        <w:t xml:space="preserve"> State. </w:t>
      </w:r>
      <w:r w:rsidR="00C323CB" w:rsidRPr="00C323CB">
        <w:rPr>
          <w:rFonts w:ascii="Cambria" w:hAnsi="Cambria" w:cs="Cambria"/>
          <w:color w:val="000000"/>
          <w:sz w:val="20"/>
          <w:szCs w:val="20"/>
          <w:lang w:eastAsia="es-ES"/>
        </w:rPr>
        <w:t>Likewise, the agreement signed between the parties is approved and the publication of this report in the Annual Report of the IACHR to the General Assembly of the Organization of American States is agreed.</w:t>
      </w:r>
      <w:r w:rsidR="008D0389" w:rsidRPr="008D0389">
        <w:rPr>
          <w:rFonts w:ascii="Cambria" w:hAnsi="Cambria" w:cs="Cambria"/>
          <w:color w:val="000000"/>
          <w:sz w:val="20"/>
          <w:szCs w:val="20"/>
          <w:lang w:eastAsia="es-ES"/>
        </w:rPr>
        <w:t xml:space="preserve"> </w:t>
      </w:r>
    </w:p>
    <w:p w14:paraId="39DAF01F" w14:textId="77777777" w:rsidR="00931F13" w:rsidRPr="006C4116" w:rsidRDefault="00931F13" w:rsidP="00C75819">
      <w:pPr>
        <w:jc w:val="both"/>
        <w:rPr>
          <w:rFonts w:asciiTheme="majorHAnsi" w:eastAsia="Times New Roman" w:hAnsiTheme="majorHAnsi"/>
          <w:sz w:val="20"/>
          <w:szCs w:val="20"/>
        </w:rPr>
      </w:pPr>
    </w:p>
    <w:p w14:paraId="1F3AAC08" w14:textId="468E2F96" w:rsidR="00931F13" w:rsidRDefault="00A76BC2" w:rsidP="00C7581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jc w:val="both"/>
        <w:rPr>
          <w:rFonts w:asciiTheme="majorHAnsi" w:eastAsia="MS Mincho" w:hAnsiTheme="majorHAnsi"/>
          <w:b/>
          <w:sz w:val="20"/>
          <w:szCs w:val="20"/>
          <w:lang w:val="es-ES"/>
        </w:rPr>
      </w:pPr>
      <w:r>
        <w:rPr>
          <w:rFonts w:asciiTheme="majorHAnsi" w:eastAsia="MS Mincho" w:hAnsiTheme="majorHAnsi"/>
          <w:b/>
          <w:sz w:val="20"/>
          <w:szCs w:val="20"/>
          <w:lang w:val="es-ES"/>
        </w:rPr>
        <w:t>THE</w:t>
      </w:r>
      <w:r w:rsidR="008D0389">
        <w:rPr>
          <w:rFonts w:asciiTheme="majorHAnsi" w:eastAsia="MS Mincho" w:hAnsiTheme="majorHAnsi"/>
          <w:b/>
          <w:sz w:val="20"/>
          <w:szCs w:val="20"/>
          <w:lang w:val="es-ES"/>
        </w:rPr>
        <w:t xml:space="preserve"> </w:t>
      </w:r>
      <w:r>
        <w:rPr>
          <w:rFonts w:asciiTheme="majorHAnsi" w:eastAsia="MS Mincho" w:hAnsiTheme="majorHAnsi"/>
          <w:b/>
          <w:sz w:val="20"/>
          <w:szCs w:val="20"/>
          <w:lang w:val="es-ES"/>
        </w:rPr>
        <w:t xml:space="preserve">FACTS </w:t>
      </w:r>
      <w:r w:rsidR="008D0389">
        <w:rPr>
          <w:rFonts w:asciiTheme="majorHAnsi" w:eastAsia="MS Mincho" w:hAnsiTheme="majorHAnsi"/>
          <w:b/>
          <w:sz w:val="20"/>
          <w:szCs w:val="20"/>
          <w:lang w:val="es-ES"/>
        </w:rPr>
        <w:t>ALLEGED</w:t>
      </w:r>
    </w:p>
    <w:p w14:paraId="28E66F6C" w14:textId="77777777" w:rsidR="00BA00CC" w:rsidRDefault="00BA00CC" w:rsidP="00C7581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MS Mincho" w:hAnsiTheme="majorHAnsi"/>
          <w:b/>
          <w:sz w:val="20"/>
          <w:szCs w:val="20"/>
          <w:lang w:val="es-ES"/>
        </w:rPr>
      </w:pPr>
    </w:p>
    <w:p w14:paraId="57976FA2" w14:textId="40618138" w:rsidR="00D20406" w:rsidRPr="00D20406" w:rsidRDefault="00D20406" w:rsidP="00D2040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r w:rsidRPr="00D20406">
        <w:rPr>
          <w:rFonts w:asciiTheme="majorHAnsi" w:hAnsiTheme="majorHAnsi"/>
          <w:sz w:val="20"/>
          <w:szCs w:val="20"/>
        </w:rPr>
        <w:tab/>
        <w:t xml:space="preserve">According to the petitioner, on February 4, 1999, Luis Argemiro Gómez Atehortua and Roberto Mauricio Montoya Serna were captured by members of the Gaula Group of the National Police, due to alleged illegal activities they had committed. They were then transferred to the city of Medellín and placed in the cells of Gaula Group No. 2 (Judicial Police Investigative Unit). According to a report from the Immediate Reaction Unit of the Attorney General's Office, on February 5, 1999, Mr. Gómez Atehortua died in the </w:t>
      </w:r>
      <w:r w:rsidR="00C323CB" w:rsidRPr="00D20406">
        <w:rPr>
          <w:rFonts w:asciiTheme="majorHAnsi" w:hAnsiTheme="majorHAnsi"/>
          <w:sz w:val="20"/>
          <w:szCs w:val="20"/>
        </w:rPr>
        <w:t>cell</w:t>
      </w:r>
      <w:r w:rsidRPr="00D20406">
        <w:rPr>
          <w:rFonts w:asciiTheme="majorHAnsi" w:hAnsiTheme="majorHAnsi"/>
          <w:sz w:val="20"/>
          <w:szCs w:val="20"/>
        </w:rPr>
        <w:t xml:space="preserve"> where he was being held. </w:t>
      </w:r>
    </w:p>
    <w:p w14:paraId="67A2906C" w14:textId="77777777" w:rsidR="00D20406" w:rsidRPr="00D20406" w:rsidRDefault="00D20406" w:rsidP="00D2040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rFonts w:asciiTheme="majorHAnsi" w:hAnsiTheme="majorHAnsi"/>
          <w:sz w:val="20"/>
          <w:szCs w:val="20"/>
        </w:rPr>
      </w:pPr>
    </w:p>
    <w:p w14:paraId="4E541ECB" w14:textId="563BC183" w:rsidR="008D0389" w:rsidRDefault="00D20406" w:rsidP="00D2040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r w:rsidRPr="00D20406">
        <w:rPr>
          <w:rFonts w:asciiTheme="majorHAnsi" w:hAnsiTheme="majorHAnsi"/>
          <w:sz w:val="20"/>
          <w:szCs w:val="20"/>
        </w:rPr>
        <w:t xml:space="preserve">According to the report of the </w:t>
      </w:r>
      <w:r w:rsidR="00C323CB">
        <w:rPr>
          <w:rFonts w:asciiTheme="majorHAnsi" w:hAnsiTheme="majorHAnsi"/>
          <w:sz w:val="20"/>
          <w:szCs w:val="20"/>
        </w:rPr>
        <w:t>j</w:t>
      </w:r>
      <w:r w:rsidRPr="00D20406">
        <w:rPr>
          <w:rFonts w:asciiTheme="majorHAnsi" w:hAnsiTheme="majorHAnsi"/>
          <w:sz w:val="20"/>
          <w:szCs w:val="20"/>
        </w:rPr>
        <w:t xml:space="preserve">udicial inspection of the corpse by the Office of the Attorney General of the Nation, the body of Mr. Luis Argemiro Gómez Atehortua was found in his cell, in an incomplete suspended position, and with wounds on his arms. </w:t>
      </w:r>
      <w:r w:rsidR="00904B9B">
        <w:rPr>
          <w:rFonts w:asciiTheme="majorHAnsi" w:hAnsiTheme="majorHAnsi"/>
          <w:sz w:val="20"/>
          <w:szCs w:val="20"/>
        </w:rPr>
        <w:t>In that regard, the petitioners indicated that</w:t>
      </w:r>
      <w:r w:rsidRPr="00D20406">
        <w:rPr>
          <w:rFonts w:asciiTheme="majorHAnsi" w:hAnsiTheme="majorHAnsi"/>
          <w:sz w:val="20"/>
          <w:szCs w:val="20"/>
        </w:rPr>
        <w:t xml:space="preserve"> the victim committed suicide in the cell where he was in the custody of the Gaula Group No. 2. The petitioners also added that the victim's death could have been prevented had it not been for the negligence of the Gaula agents, and that they became aware of his death several hours later. The report of the Prosecutor General's Office established that copies of the facts should be submitted to the Military Criminal Justice, the Attorney General's Office, and the Prosecutor's Office in charge.</w:t>
      </w:r>
    </w:p>
    <w:p w14:paraId="55C4BB2C" w14:textId="77777777" w:rsidR="00D20406" w:rsidRPr="00D20406" w:rsidRDefault="00D20406" w:rsidP="00D2040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rFonts w:asciiTheme="majorHAnsi" w:hAnsiTheme="majorHAnsi"/>
          <w:sz w:val="20"/>
          <w:szCs w:val="20"/>
        </w:rPr>
      </w:pPr>
    </w:p>
    <w:p w14:paraId="5504A322" w14:textId="54392C72" w:rsidR="00D20406" w:rsidRPr="00D20406" w:rsidRDefault="00D20406" w:rsidP="00D2040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r w:rsidRPr="00D20406">
        <w:rPr>
          <w:rFonts w:asciiTheme="majorHAnsi" w:hAnsiTheme="majorHAnsi"/>
          <w:sz w:val="20"/>
          <w:szCs w:val="20"/>
        </w:rPr>
        <w:t xml:space="preserve">On February 5, 1999, Mr. Roberto Mauricio Montoya Serna gave an account of the torture, beatings, threats and aggressions that he and Luis Argemiro Gómez Atehortua had suffered at the hands of members of the Gaula Group. Thus, he stated that he and the victim had been beaten on multiple occasions, and that his aggressors told him to tell the truth. </w:t>
      </w:r>
    </w:p>
    <w:p w14:paraId="2DF32033" w14:textId="77777777" w:rsidR="00D20406" w:rsidRPr="00D20406" w:rsidRDefault="00D20406" w:rsidP="00D2040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p>
    <w:p w14:paraId="63271DFD" w14:textId="0D7EAED7" w:rsidR="00D20406" w:rsidRPr="00D20406" w:rsidRDefault="00D20406" w:rsidP="00D2040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r w:rsidRPr="00D20406">
        <w:rPr>
          <w:rFonts w:asciiTheme="majorHAnsi" w:hAnsiTheme="majorHAnsi"/>
          <w:sz w:val="20"/>
          <w:szCs w:val="20"/>
        </w:rPr>
        <w:t xml:space="preserve">Regarding the investigation before the Military Criminal Justice, on March 28, 2001, the 143rd Military Criminal Prosecutor decreed that it was not possible to determine the </w:t>
      </w:r>
      <w:r w:rsidR="00C323CB" w:rsidRPr="00D20406">
        <w:rPr>
          <w:rFonts w:asciiTheme="majorHAnsi" w:hAnsiTheme="majorHAnsi"/>
          <w:sz w:val="20"/>
          <w:szCs w:val="20"/>
        </w:rPr>
        <w:t>involvement</w:t>
      </w:r>
      <w:r w:rsidRPr="00D20406">
        <w:rPr>
          <w:rFonts w:asciiTheme="majorHAnsi" w:hAnsiTheme="majorHAnsi"/>
          <w:sz w:val="20"/>
          <w:szCs w:val="20"/>
        </w:rPr>
        <w:t xml:space="preserve"> of any member of the National Police and ceased all investigation and trial proceedings.</w:t>
      </w:r>
    </w:p>
    <w:p w14:paraId="6EB66E77" w14:textId="77777777" w:rsidR="00D20406" w:rsidRPr="00D20406" w:rsidRDefault="00D20406" w:rsidP="00D2040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p>
    <w:p w14:paraId="67B8B939" w14:textId="7343F238" w:rsidR="00D20406" w:rsidRPr="00D20406" w:rsidRDefault="00D20406" w:rsidP="00D2040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r w:rsidRPr="00D20406">
        <w:rPr>
          <w:rFonts w:asciiTheme="majorHAnsi" w:hAnsiTheme="majorHAnsi"/>
          <w:sz w:val="20"/>
          <w:szCs w:val="20"/>
        </w:rPr>
        <w:t xml:space="preserve">On August 30, 1999, the victim's </w:t>
      </w:r>
      <w:r w:rsidR="00C323CB">
        <w:rPr>
          <w:rFonts w:asciiTheme="majorHAnsi" w:hAnsiTheme="majorHAnsi"/>
          <w:sz w:val="20"/>
          <w:szCs w:val="20"/>
        </w:rPr>
        <w:t>family</w:t>
      </w:r>
      <w:r w:rsidRPr="00D20406">
        <w:rPr>
          <w:rFonts w:asciiTheme="majorHAnsi" w:hAnsiTheme="majorHAnsi"/>
          <w:sz w:val="20"/>
          <w:szCs w:val="20"/>
        </w:rPr>
        <w:t xml:space="preserve"> filed an action for direct reparation before the Contentious Administrative Court of Antioquia. On June 2, 2005, the Court rejected all the claims in the complaint. On July 6, 2005, the petitioner filed an appeal against the decision of </w:t>
      </w:r>
      <w:r w:rsidR="00167B27" w:rsidRPr="00D20406">
        <w:rPr>
          <w:rFonts w:asciiTheme="majorHAnsi" w:hAnsiTheme="majorHAnsi"/>
          <w:sz w:val="20"/>
          <w:szCs w:val="20"/>
        </w:rPr>
        <w:t>dismissal</w:t>
      </w:r>
      <w:r w:rsidRPr="00D20406">
        <w:rPr>
          <w:rFonts w:asciiTheme="majorHAnsi" w:hAnsiTheme="majorHAnsi"/>
          <w:sz w:val="20"/>
          <w:szCs w:val="20"/>
        </w:rPr>
        <w:t xml:space="preserve">, which was rejected by the same Court arguing that the </w:t>
      </w:r>
      <w:r w:rsidR="00167B27" w:rsidRPr="00D20406">
        <w:rPr>
          <w:rFonts w:asciiTheme="majorHAnsi" w:hAnsiTheme="majorHAnsi"/>
          <w:sz w:val="20"/>
          <w:szCs w:val="20"/>
        </w:rPr>
        <w:t>extent</w:t>
      </w:r>
      <w:r w:rsidRPr="00D20406">
        <w:rPr>
          <w:rFonts w:asciiTheme="majorHAnsi" w:hAnsiTheme="majorHAnsi"/>
          <w:sz w:val="20"/>
          <w:szCs w:val="20"/>
        </w:rPr>
        <w:t xml:space="preserve"> of the claim made it inadmissible before the superior body. </w:t>
      </w:r>
    </w:p>
    <w:p w14:paraId="34A6B26C" w14:textId="77777777" w:rsidR="00D20406" w:rsidRPr="00D20406" w:rsidRDefault="00D20406" w:rsidP="00D2040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p>
    <w:p w14:paraId="5FBFE159" w14:textId="4FE88553" w:rsidR="00AC6E5E" w:rsidRDefault="00D20406" w:rsidP="00D2040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r w:rsidRPr="00D20406">
        <w:rPr>
          <w:rFonts w:asciiTheme="majorHAnsi" w:hAnsiTheme="majorHAnsi"/>
          <w:sz w:val="20"/>
          <w:szCs w:val="20"/>
        </w:rPr>
        <w:t xml:space="preserve">On October 11, 2005, the victim's relatives filed a </w:t>
      </w:r>
      <w:r w:rsidR="00167B27">
        <w:rPr>
          <w:rFonts w:asciiTheme="majorHAnsi" w:hAnsiTheme="majorHAnsi"/>
          <w:sz w:val="20"/>
          <w:szCs w:val="20"/>
        </w:rPr>
        <w:t>guardianship</w:t>
      </w:r>
      <w:r w:rsidRPr="00D20406">
        <w:rPr>
          <w:rFonts w:asciiTheme="majorHAnsi" w:hAnsiTheme="majorHAnsi"/>
          <w:sz w:val="20"/>
          <w:szCs w:val="20"/>
        </w:rPr>
        <w:t xml:space="preserve"> action before the Council of State. On February 6, 2006, the High Court denied the appeal and its subsequent challenge. On May 8, 2006, the Constitutional Court excluded the </w:t>
      </w:r>
      <w:r w:rsidR="00167B27">
        <w:rPr>
          <w:rFonts w:asciiTheme="majorHAnsi" w:hAnsiTheme="majorHAnsi"/>
          <w:sz w:val="20"/>
          <w:szCs w:val="20"/>
        </w:rPr>
        <w:t>guardianship</w:t>
      </w:r>
      <w:r w:rsidRPr="00D20406">
        <w:rPr>
          <w:rFonts w:asciiTheme="majorHAnsi" w:hAnsiTheme="majorHAnsi"/>
          <w:sz w:val="20"/>
          <w:szCs w:val="20"/>
        </w:rPr>
        <w:t xml:space="preserve"> decision from its review.</w:t>
      </w:r>
      <w:r w:rsidR="0037573B" w:rsidRPr="009708C5">
        <w:rPr>
          <w:rFonts w:asciiTheme="majorHAnsi" w:hAnsiTheme="majorHAnsi"/>
          <w:sz w:val="20"/>
          <w:szCs w:val="20"/>
        </w:rPr>
        <w:t xml:space="preserve"> </w:t>
      </w:r>
      <w:r w:rsidR="004F74A8" w:rsidRPr="005046E1">
        <w:rPr>
          <w:rFonts w:asciiTheme="majorHAnsi" w:hAnsiTheme="majorHAnsi"/>
          <w:sz w:val="20"/>
          <w:szCs w:val="20"/>
        </w:rPr>
        <w:t xml:space="preserve"> </w:t>
      </w:r>
    </w:p>
    <w:p w14:paraId="00198876" w14:textId="77777777" w:rsidR="00D20406" w:rsidRPr="00D20406" w:rsidRDefault="00D20406" w:rsidP="00D2040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rFonts w:asciiTheme="majorHAnsi" w:hAnsiTheme="majorHAnsi"/>
          <w:sz w:val="20"/>
          <w:szCs w:val="20"/>
        </w:rPr>
      </w:pPr>
    </w:p>
    <w:p w14:paraId="5F34F15E" w14:textId="77777777" w:rsidR="00AC6E5E" w:rsidRPr="00DB4BE4" w:rsidRDefault="0084200F" w:rsidP="00C7581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lang w:val="es-ES"/>
        </w:rPr>
      </w:pPr>
      <w:r>
        <w:rPr>
          <w:rFonts w:asciiTheme="majorHAnsi" w:eastAsia="MS Mincho" w:hAnsiTheme="majorHAnsi"/>
          <w:b/>
          <w:sz w:val="20"/>
          <w:szCs w:val="20"/>
          <w:lang w:val="es-ES"/>
        </w:rPr>
        <w:t>FRIENDLY SETTLEMENT</w:t>
      </w:r>
    </w:p>
    <w:p w14:paraId="0D1C7B6B" w14:textId="77777777" w:rsidR="00AC6E5E" w:rsidRPr="00DB4BE4" w:rsidRDefault="00AC6E5E" w:rsidP="00C75819">
      <w:pPr>
        <w:pStyle w:val="ListParagraph"/>
        <w:ind w:firstLine="720"/>
        <w:jc w:val="both"/>
        <w:rPr>
          <w:rFonts w:asciiTheme="majorHAnsi" w:eastAsia="Times New Roman" w:hAnsiTheme="majorHAnsi"/>
          <w:sz w:val="20"/>
          <w:szCs w:val="20"/>
          <w:bdr w:val="none" w:sz="0" w:space="0" w:color="auto" w:frame="1"/>
          <w:lang w:val="es-AR"/>
        </w:rPr>
      </w:pPr>
    </w:p>
    <w:p w14:paraId="18B76A4D" w14:textId="3B08BD46" w:rsidR="00A75114" w:rsidRPr="0084200F" w:rsidRDefault="0084200F" w:rsidP="0084200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bdr w:val="none" w:sz="0" w:space="0" w:color="auto"/>
        </w:rPr>
      </w:pPr>
      <w:r w:rsidRPr="0084200F">
        <w:rPr>
          <w:rFonts w:asciiTheme="majorHAnsi" w:eastAsia="Times New Roman" w:hAnsiTheme="majorHAnsi"/>
          <w:sz w:val="20"/>
          <w:szCs w:val="20"/>
          <w:bdr w:val="none" w:sz="0" w:space="0" w:color="auto"/>
        </w:rPr>
        <w:t xml:space="preserve">On December </w:t>
      </w:r>
      <w:r w:rsidR="00D20406">
        <w:rPr>
          <w:rFonts w:asciiTheme="majorHAnsi" w:eastAsia="Times New Roman" w:hAnsiTheme="majorHAnsi"/>
          <w:sz w:val="20"/>
          <w:szCs w:val="20"/>
          <w:bdr w:val="none" w:sz="0" w:space="0" w:color="auto"/>
        </w:rPr>
        <w:t>2</w:t>
      </w:r>
      <w:r w:rsidRPr="0084200F">
        <w:rPr>
          <w:rFonts w:asciiTheme="majorHAnsi" w:eastAsia="Times New Roman" w:hAnsiTheme="majorHAnsi"/>
          <w:sz w:val="20"/>
          <w:szCs w:val="20"/>
          <w:bdr w:val="none" w:sz="0" w:space="0" w:color="auto"/>
        </w:rPr>
        <w:t>, 20</w:t>
      </w:r>
      <w:r w:rsidR="00D20406">
        <w:rPr>
          <w:rFonts w:asciiTheme="majorHAnsi" w:eastAsia="Times New Roman" w:hAnsiTheme="majorHAnsi"/>
          <w:sz w:val="20"/>
          <w:szCs w:val="20"/>
          <w:bdr w:val="none" w:sz="0" w:space="0" w:color="auto"/>
        </w:rPr>
        <w:t>20</w:t>
      </w:r>
      <w:r w:rsidRPr="0084200F">
        <w:rPr>
          <w:rFonts w:asciiTheme="majorHAnsi" w:eastAsia="Times New Roman" w:hAnsiTheme="majorHAnsi"/>
          <w:sz w:val="20"/>
          <w:szCs w:val="20"/>
          <w:bdr w:val="none" w:sz="0" w:space="0" w:color="auto"/>
        </w:rPr>
        <w:t xml:space="preserve">, </w:t>
      </w:r>
      <w:r>
        <w:rPr>
          <w:rFonts w:asciiTheme="majorHAnsi" w:eastAsia="Times New Roman" w:hAnsiTheme="majorHAnsi"/>
          <w:sz w:val="20"/>
          <w:szCs w:val="20"/>
          <w:bdr w:val="none" w:sz="0" w:space="0" w:color="auto"/>
        </w:rPr>
        <w:t>the parties signed a friendly settlement agreement on the following terms</w:t>
      </w:r>
      <w:r w:rsidR="00AC6E5E" w:rsidRPr="0084200F">
        <w:rPr>
          <w:rFonts w:asciiTheme="majorHAnsi" w:eastAsia="Times New Roman" w:hAnsiTheme="majorHAnsi"/>
          <w:sz w:val="20"/>
          <w:szCs w:val="20"/>
        </w:rPr>
        <w:t>:</w:t>
      </w:r>
    </w:p>
    <w:p w14:paraId="4F75C8D0" w14:textId="77777777" w:rsidR="00A75114" w:rsidRPr="0084200F" w:rsidRDefault="00A75114" w:rsidP="00A75114">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center"/>
        <w:rPr>
          <w:rFonts w:asciiTheme="majorHAnsi" w:eastAsia="MS Mincho" w:hAnsiTheme="majorHAnsi"/>
          <w:b/>
          <w:sz w:val="20"/>
          <w:szCs w:val="20"/>
        </w:rPr>
      </w:pPr>
    </w:p>
    <w:p w14:paraId="74A5C048" w14:textId="7BA332FD" w:rsidR="00BA00CC" w:rsidRPr="0084200F" w:rsidRDefault="0084200F" w:rsidP="00A75114">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rPr>
      </w:pPr>
      <w:r w:rsidRPr="0084200F">
        <w:rPr>
          <w:rFonts w:asciiTheme="majorHAnsi" w:eastAsia="MS Mincho" w:hAnsiTheme="majorHAnsi"/>
          <w:b/>
          <w:sz w:val="20"/>
          <w:szCs w:val="20"/>
        </w:rPr>
        <w:t>FRIENDLY SETTLEMENT AGREEMENT</w:t>
      </w:r>
    </w:p>
    <w:p w14:paraId="15CE7981" w14:textId="3A76C7B9" w:rsidR="00E3436C" w:rsidRPr="001B2EC2" w:rsidRDefault="00D20406" w:rsidP="00A75114">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center"/>
        <w:rPr>
          <w:rFonts w:asciiTheme="majorHAnsi" w:eastAsia="MS Mincho" w:hAnsiTheme="majorHAnsi"/>
          <w:b/>
          <w:sz w:val="20"/>
          <w:szCs w:val="20"/>
        </w:rPr>
      </w:pPr>
      <w:r w:rsidRPr="001B2EC2">
        <w:rPr>
          <w:rFonts w:asciiTheme="majorHAnsi" w:eastAsia="MS Mincho" w:hAnsiTheme="majorHAnsi"/>
          <w:b/>
          <w:sz w:val="20"/>
          <w:szCs w:val="20"/>
        </w:rPr>
        <w:t>Case 13.171 Luis Argemiro Gómez Atehortua</w:t>
      </w:r>
    </w:p>
    <w:p w14:paraId="182C417B" w14:textId="32CE0EEA" w:rsidR="00151E64" w:rsidRDefault="00CE123B" w:rsidP="00A76BC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CE123B">
        <w:rPr>
          <w:rFonts w:asciiTheme="majorHAnsi" w:eastAsia="MS Mincho" w:hAnsiTheme="majorHAnsi"/>
          <w:sz w:val="20"/>
          <w:szCs w:val="20"/>
        </w:rPr>
        <w:t>On December 02, 2020, in the city of Bogotá D.C., Ana María Ordóñez Puentes, Director of International Legal Defense of the National Agency for the Legal Defense of the State, acting for and on behalf of the Colombian State, hereinafter referred to as the "Colombian State", and on the other hand, the Organization Indemnizaciones Paz, represented by Roberto Fernando Paz Salas, acting as petitioner in this case, hereinafter referred to as "the petitioner" sign this Friendly Settlement Agreement in</w:t>
      </w:r>
      <w:r w:rsidR="00167B27">
        <w:rPr>
          <w:rFonts w:asciiTheme="majorHAnsi" w:eastAsia="MS Mincho" w:hAnsiTheme="majorHAnsi"/>
          <w:sz w:val="20"/>
          <w:szCs w:val="20"/>
        </w:rPr>
        <w:t xml:space="preserve"> the</w:t>
      </w:r>
      <w:r w:rsidRPr="00CE123B">
        <w:rPr>
          <w:rFonts w:asciiTheme="majorHAnsi" w:eastAsia="MS Mincho" w:hAnsiTheme="majorHAnsi"/>
          <w:sz w:val="20"/>
          <w:szCs w:val="20"/>
        </w:rPr>
        <w:t xml:space="preserve"> case No. 13,171 processed by the Inter-American Commission on Human Rights.</w:t>
      </w:r>
    </w:p>
    <w:p w14:paraId="5709CD49" w14:textId="7DB7908B" w:rsidR="00CE123B" w:rsidRPr="00C155AE" w:rsidRDefault="00CE123B" w:rsidP="00A76BC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center"/>
        <w:rPr>
          <w:rFonts w:asciiTheme="majorHAnsi" w:eastAsia="MS Mincho" w:hAnsiTheme="majorHAnsi"/>
          <w:b/>
          <w:bCs/>
          <w:sz w:val="20"/>
          <w:szCs w:val="20"/>
        </w:rPr>
      </w:pPr>
      <w:r w:rsidRPr="00C155AE">
        <w:rPr>
          <w:rFonts w:asciiTheme="majorHAnsi" w:eastAsia="MS Mincho" w:hAnsiTheme="majorHAnsi"/>
          <w:b/>
          <w:bCs/>
          <w:sz w:val="20"/>
          <w:szCs w:val="20"/>
        </w:rPr>
        <w:t>PART ONE: CONCEPTS</w:t>
      </w:r>
    </w:p>
    <w:p w14:paraId="01A06845" w14:textId="3320F412" w:rsidR="00CE123B" w:rsidRPr="00CE123B" w:rsidRDefault="00CE123B" w:rsidP="00A76BC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CE123B">
        <w:rPr>
          <w:rFonts w:asciiTheme="majorHAnsi" w:eastAsia="MS Mincho" w:hAnsiTheme="majorHAnsi"/>
          <w:sz w:val="20"/>
          <w:szCs w:val="20"/>
        </w:rPr>
        <w:t xml:space="preserve">For the purposes of this Agreement, it will be understood </w:t>
      </w:r>
      <w:r w:rsidR="00167B27">
        <w:rPr>
          <w:rFonts w:asciiTheme="majorHAnsi" w:eastAsia="MS Mincho" w:hAnsiTheme="majorHAnsi"/>
          <w:sz w:val="20"/>
          <w:szCs w:val="20"/>
        </w:rPr>
        <w:t>as</w:t>
      </w:r>
      <w:r w:rsidRPr="00CE123B">
        <w:rPr>
          <w:rFonts w:asciiTheme="majorHAnsi" w:eastAsia="MS Mincho" w:hAnsiTheme="majorHAnsi"/>
          <w:sz w:val="20"/>
          <w:szCs w:val="20"/>
        </w:rPr>
        <w:t>:</w:t>
      </w:r>
    </w:p>
    <w:p w14:paraId="01CCCBCD" w14:textId="77777777" w:rsidR="00CE123B" w:rsidRPr="00CE123B" w:rsidRDefault="00CE123B" w:rsidP="00A76BC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C155AE">
        <w:rPr>
          <w:rFonts w:asciiTheme="majorHAnsi" w:eastAsia="MS Mincho" w:hAnsiTheme="majorHAnsi"/>
          <w:b/>
          <w:bCs/>
          <w:sz w:val="20"/>
          <w:szCs w:val="20"/>
        </w:rPr>
        <w:t>IACHR or Inter-American Commission:</w:t>
      </w:r>
      <w:r w:rsidRPr="00CE123B">
        <w:rPr>
          <w:rFonts w:asciiTheme="majorHAnsi" w:eastAsia="MS Mincho" w:hAnsiTheme="majorHAnsi"/>
          <w:sz w:val="20"/>
          <w:szCs w:val="20"/>
        </w:rPr>
        <w:t xml:space="preserve"> Inter-American Commission on Human Rights.</w:t>
      </w:r>
    </w:p>
    <w:p w14:paraId="28B33BCF" w14:textId="77777777" w:rsidR="00CE123B" w:rsidRPr="00CE123B" w:rsidRDefault="00CE123B" w:rsidP="00A76BC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p>
    <w:p w14:paraId="491FE336" w14:textId="49E812F5" w:rsidR="00CE123B" w:rsidRPr="00CE123B" w:rsidRDefault="00C47541" w:rsidP="00A76BC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C47541">
        <w:rPr>
          <w:rFonts w:asciiTheme="majorHAnsi" w:eastAsia="MS Mincho" w:hAnsiTheme="majorHAnsi"/>
          <w:b/>
          <w:bCs/>
          <w:sz w:val="20"/>
          <w:szCs w:val="20"/>
        </w:rPr>
        <w:lastRenderedPageBreak/>
        <w:t>Non-pecuniary damage</w:t>
      </w:r>
      <w:r w:rsidR="00CE123B" w:rsidRPr="00C155AE">
        <w:rPr>
          <w:rFonts w:asciiTheme="majorHAnsi" w:eastAsia="MS Mincho" w:hAnsiTheme="majorHAnsi"/>
          <w:b/>
          <w:bCs/>
          <w:sz w:val="20"/>
          <w:szCs w:val="20"/>
        </w:rPr>
        <w:t>:</w:t>
      </w:r>
      <w:r w:rsidR="00CE123B" w:rsidRPr="00CE123B">
        <w:rPr>
          <w:rFonts w:asciiTheme="majorHAnsi" w:eastAsia="MS Mincho" w:hAnsiTheme="majorHAnsi"/>
          <w:sz w:val="20"/>
          <w:szCs w:val="20"/>
        </w:rPr>
        <w:t xml:space="preserve"> Harmful effects of the facts of the case that do not have an economic or patrimonial nature, which are manifested through the pain, affliction, sadness, anguish and anxiety of the victims.</w:t>
      </w:r>
    </w:p>
    <w:p w14:paraId="5FF4D89B" w14:textId="4D67B064" w:rsidR="00CE123B" w:rsidRPr="00CE123B" w:rsidRDefault="00CE123B" w:rsidP="00A76BC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C155AE">
        <w:rPr>
          <w:rFonts w:asciiTheme="majorHAnsi" w:eastAsia="MS Mincho" w:hAnsiTheme="majorHAnsi"/>
          <w:b/>
          <w:bCs/>
          <w:sz w:val="20"/>
          <w:szCs w:val="20"/>
        </w:rPr>
        <w:t>State or Colombia:</w:t>
      </w:r>
      <w:r w:rsidRPr="00CE123B">
        <w:rPr>
          <w:rFonts w:asciiTheme="majorHAnsi" w:eastAsia="MS Mincho" w:hAnsiTheme="majorHAnsi"/>
          <w:sz w:val="20"/>
          <w:szCs w:val="20"/>
        </w:rPr>
        <w:t xml:space="preserve"> In accordance with Public International Law, it will be understood that it is the signatory of the American Convention on Human Rights (hereinafter “Convention or ACHR”); the Colombian State.</w:t>
      </w:r>
    </w:p>
    <w:p w14:paraId="1514DCE5" w14:textId="1DE6C353" w:rsidR="00CE123B" w:rsidRPr="00CE123B" w:rsidRDefault="00CE123B" w:rsidP="00A76BC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C155AE">
        <w:rPr>
          <w:rFonts w:asciiTheme="majorHAnsi" w:eastAsia="MS Mincho" w:hAnsiTheme="majorHAnsi"/>
          <w:b/>
          <w:bCs/>
          <w:sz w:val="20"/>
          <w:szCs w:val="20"/>
        </w:rPr>
        <w:t>Satisfaction measures</w:t>
      </w:r>
      <w:r w:rsidRPr="00CE123B">
        <w:rPr>
          <w:rFonts w:asciiTheme="majorHAnsi" w:eastAsia="MS Mincho" w:hAnsiTheme="majorHAnsi"/>
          <w:sz w:val="20"/>
          <w:szCs w:val="20"/>
        </w:rPr>
        <w:t>: Non-pecuniary measures whose purpose is to seek the recovery of the victims of the damage that has been caused. Some examples of this type of measure are: public knowledge of the truth and acts of redress.</w:t>
      </w:r>
    </w:p>
    <w:p w14:paraId="0CB3EC67" w14:textId="38DFF635" w:rsidR="00CE123B" w:rsidRPr="00CE123B" w:rsidRDefault="00CE123B" w:rsidP="00A76BC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C155AE">
        <w:rPr>
          <w:rFonts w:asciiTheme="majorHAnsi" w:eastAsia="MS Mincho" w:hAnsiTheme="majorHAnsi"/>
          <w:b/>
          <w:bCs/>
          <w:sz w:val="20"/>
          <w:szCs w:val="20"/>
        </w:rPr>
        <w:t>Parties:</w:t>
      </w:r>
      <w:r w:rsidRPr="00CE123B">
        <w:rPr>
          <w:rFonts w:asciiTheme="majorHAnsi" w:eastAsia="MS Mincho" w:hAnsiTheme="majorHAnsi"/>
          <w:sz w:val="20"/>
          <w:szCs w:val="20"/>
        </w:rPr>
        <w:t xml:space="preserve"> State of Colombia, next of kin of the victim, as well as the representatives of the victims.</w:t>
      </w:r>
    </w:p>
    <w:p w14:paraId="02C8D651" w14:textId="02F52BCB" w:rsidR="00CE123B" w:rsidRPr="00CE123B" w:rsidRDefault="00CE123B" w:rsidP="00A76BC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C155AE">
        <w:rPr>
          <w:rFonts w:asciiTheme="majorHAnsi" w:eastAsia="MS Mincho" w:hAnsiTheme="majorHAnsi"/>
          <w:b/>
          <w:bCs/>
          <w:sz w:val="20"/>
          <w:szCs w:val="20"/>
        </w:rPr>
        <w:t>Acknowledgment of responsibility:</w:t>
      </w:r>
      <w:r w:rsidRPr="00CE123B">
        <w:rPr>
          <w:rFonts w:asciiTheme="majorHAnsi" w:eastAsia="MS Mincho" w:hAnsiTheme="majorHAnsi"/>
          <w:sz w:val="20"/>
          <w:szCs w:val="20"/>
        </w:rPr>
        <w:t xml:space="preserve"> Acceptance of the facts and human rights violations attributed to the State.</w:t>
      </w:r>
    </w:p>
    <w:p w14:paraId="2FBB7D13" w14:textId="77777777" w:rsidR="00A54F16" w:rsidRDefault="00C47541" w:rsidP="00A76BC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Pr>
          <w:rFonts w:asciiTheme="majorHAnsi" w:eastAsia="MS Mincho" w:hAnsiTheme="majorHAnsi"/>
          <w:b/>
          <w:bCs/>
          <w:sz w:val="20"/>
          <w:szCs w:val="20"/>
        </w:rPr>
        <w:t>Integral</w:t>
      </w:r>
      <w:r w:rsidR="00CE123B" w:rsidRPr="00C155AE">
        <w:rPr>
          <w:rFonts w:asciiTheme="majorHAnsi" w:eastAsia="MS Mincho" w:hAnsiTheme="majorHAnsi"/>
          <w:b/>
          <w:bCs/>
          <w:sz w:val="20"/>
          <w:szCs w:val="20"/>
        </w:rPr>
        <w:t xml:space="preserve"> Reparation:</w:t>
      </w:r>
      <w:r w:rsidR="00CE123B" w:rsidRPr="00CE123B">
        <w:rPr>
          <w:rFonts w:asciiTheme="majorHAnsi" w:eastAsia="MS Mincho" w:hAnsiTheme="majorHAnsi"/>
          <w:sz w:val="20"/>
          <w:szCs w:val="20"/>
        </w:rPr>
        <w:t xml:space="preserve"> </w:t>
      </w:r>
      <w:r w:rsidR="00A54F16" w:rsidRPr="00A54F16">
        <w:rPr>
          <w:rFonts w:asciiTheme="majorHAnsi" w:eastAsia="MS Mincho" w:hAnsiTheme="majorHAnsi"/>
          <w:sz w:val="20"/>
          <w:szCs w:val="20"/>
        </w:rPr>
        <w:t>All those measures that objectively and symbolically restore the victim to the State prior to the commission of the damage.</w:t>
      </w:r>
    </w:p>
    <w:p w14:paraId="26834550" w14:textId="45E650ED" w:rsidR="00CE123B" w:rsidRPr="00CE123B" w:rsidRDefault="00CE123B" w:rsidP="00A76BC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C155AE">
        <w:rPr>
          <w:rFonts w:asciiTheme="majorHAnsi" w:eastAsia="MS Mincho" w:hAnsiTheme="majorHAnsi"/>
          <w:b/>
          <w:bCs/>
          <w:sz w:val="20"/>
          <w:szCs w:val="20"/>
        </w:rPr>
        <w:t>Representatives of the victims:</w:t>
      </w:r>
      <w:r w:rsidRPr="00CE123B">
        <w:rPr>
          <w:rFonts w:asciiTheme="majorHAnsi" w:eastAsia="MS Mincho" w:hAnsiTheme="majorHAnsi"/>
          <w:sz w:val="20"/>
          <w:szCs w:val="20"/>
        </w:rPr>
        <w:t xml:space="preserve"> Indemnizaciones Paz, represented by Dr. Roberto Fernando Paz Salas.</w:t>
      </w:r>
    </w:p>
    <w:p w14:paraId="4409E574" w14:textId="630E6DD1" w:rsidR="00CE123B" w:rsidRPr="00CE123B" w:rsidRDefault="00CE123B" w:rsidP="00A76BC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C155AE">
        <w:rPr>
          <w:rFonts w:asciiTheme="majorHAnsi" w:eastAsia="MS Mincho" w:hAnsiTheme="majorHAnsi"/>
          <w:b/>
          <w:bCs/>
          <w:sz w:val="20"/>
          <w:szCs w:val="20"/>
        </w:rPr>
        <w:t>Friendly Settlement:</w:t>
      </w:r>
      <w:r w:rsidR="00C47541">
        <w:rPr>
          <w:rFonts w:asciiTheme="majorHAnsi" w:eastAsia="MS Mincho" w:hAnsiTheme="majorHAnsi"/>
          <w:sz w:val="20"/>
          <w:szCs w:val="20"/>
        </w:rPr>
        <w:t xml:space="preserve"> </w:t>
      </w:r>
      <w:r w:rsidR="00C47541" w:rsidRPr="00C47541">
        <w:rPr>
          <w:rFonts w:asciiTheme="majorHAnsi" w:eastAsia="MS Mincho" w:hAnsiTheme="majorHAnsi"/>
          <w:sz w:val="20"/>
          <w:szCs w:val="20"/>
        </w:rPr>
        <w:t>Alternative conflict resolution mechanism, used for peaceful settlement</w:t>
      </w:r>
      <w:r w:rsidR="00C47541">
        <w:rPr>
          <w:rFonts w:asciiTheme="majorHAnsi" w:eastAsia="MS Mincho" w:hAnsiTheme="majorHAnsi"/>
          <w:sz w:val="20"/>
          <w:szCs w:val="20"/>
        </w:rPr>
        <w:t xml:space="preserve"> </w:t>
      </w:r>
      <w:r w:rsidR="00C47541" w:rsidRPr="00C47541">
        <w:rPr>
          <w:rFonts w:asciiTheme="majorHAnsi" w:eastAsia="MS Mincho" w:hAnsiTheme="majorHAnsi"/>
          <w:sz w:val="20"/>
          <w:szCs w:val="20"/>
        </w:rPr>
        <w:t>and agreed upon before the Inter-American Commission.</w:t>
      </w:r>
    </w:p>
    <w:p w14:paraId="06D6EA15" w14:textId="0F1444E0" w:rsidR="00CE123B" w:rsidRPr="00CE123B" w:rsidRDefault="00CE123B" w:rsidP="00A76BC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C155AE">
        <w:rPr>
          <w:rFonts w:asciiTheme="majorHAnsi" w:eastAsia="MS Mincho" w:hAnsiTheme="majorHAnsi"/>
          <w:b/>
          <w:bCs/>
          <w:sz w:val="20"/>
          <w:szCs w:val="20"/>
        </w:rPr>
        <w:t>Victims:</w:t>
      </w:r>
      <w:r w:rsidRPr="00CE123B">
        <w:rPr>
          <w:rFonts w:asciiTheme="majorHAnsi" w:eastAsia="MS Mincho" w:hAnsiTheme="majorHAnsi"/>
          <w:sz w:val="20"/>
          <w:szCs w:val="20"/>
        </w:rPr>
        <w:t xml:space="preserve"> Relatives of Mr. Luis Argemiro Gómez Atehortua.</w:t>
      </w:r>
    </w:p>
    <w:p w14:paraId="6B8255B7" w14:textId="17A3054B" w:rsidR="00CE123B" w:rsidRPr="00C155AE" w:rsidRDefault="00CE123B" w:rsidP="00A76BC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center"/>
        <w:rPr>
          <w:rFonts w:asciiTheme="majorHAnsi" w:eastAsia="MS Mincho" w:hAnsiTheme="majorHAnsi"/>
          <w:b/>
          <w:bCs/>
          <w:sz w:val="20"/>
          <w:szCs w:val="20"/>
        </w:rPr>
      </w:pPr>
      <w:r w:rsidRPr="00C155AE">
        <w:rPr>
          <w:rFonts w:asciiTheme="majorHAnsi" w:eastAsia="MS Mincho" w:hAnsiTheme="majorHAnsi"/>
          <w:b/>
          <w:bCs/>
          <w:sz w:val="20"/>
          <w:szCs w:val="20"/>
        </w:rPr>
        <w:t>PART TWO: BACKGROUND</w:t>
      </w:r>
    </w:p>
    <w:p w14:paraId="06727EA2" w14:textId="44607C57" w:rsidR="00CE123B" w:rsidRPr="00C155AE" w:rsidRDefault="00CE123B" w:rsidP="00A76BC2">
      <w:pPr>
        <w:pStyle w:val="ListParagraph"/>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firstLine="0"/>
        <w:jc w:val="both"/>
        <w:rPr>
          <w:rFonts w:asciiTheme="majorHAnsi" w:eastAsia="MS Mincho" w:hAnsiTheme="majorHAnsi"/>
          <w:sz w:val="20"/>
          <w:szCs w:val="20"/>
        </w:rPr>
      </w:pPr>
      <w:r w:rsidRPr="00C155AE">
        <w:rPr>
          <w:rFonts w:asciiTheme="majorHAnsi" w:eastAsia="MS Mincho" w:hAnsiTheme="majorHAnsi"/>
          <w:sz w:val="20"/>
          <w:szCs w:val="20"/>
        </w:rPr>
        <w:t>The facts of the petition refer to the capture of Roberto Mauricio Montoya Serna and Luis Argemiro Gómez Atehortua, on February 4, 1999, by members of the Gaula of the National Police. Messrs. Montoya Serna and Gómez Atehortua were taken to the cells of the Gaula - National Police of Medellín.</w:t>
      </w:r>
    </w:p>
    <w:p w14:paraId="101BC1D4" w14:textId="3F086786" w:rsidR="00CE123B" w:rsidRPr="00C155AE" w:rsidRDefault="00CE123B" w:rsidP="00A76BC2">
      <w:pPr>
        <w:pStyle w:val="ListParagraph"/>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firstLine="0"/>
        <w:jc w:val="both"/>
        <w:rPr>
          <w:rFonts w:asciiTheme="majorHAnsi" w:eastAsia="MS Mincho" w:hAnsiTheme="majorHAnsi"/>
          <w:sz w:val="20"/>
          <w:szCs w:val="20"/>
        </w:rPr>
      </w:pPr>
      <w:r w:rsidRPr="00C155AE">
        <w:rPr>
          <w:rFonts w:asciiTheme="majorHAnsi" w:eastAsia="MS Mincho" w:hAnsiTheme="majorHAnsi"/>
          <w:sz w:val="20"/>
          <w:szCs w:val="20"/>
        </w:rPr>
        <w:t xml:space="preserve">On February 5, 1999, the agents in charge of reviewing the cells did not do so in the right time and </w:t>
      </w:r>
      <w:r w:rsidR="00B06C19" w:rsidRPr="00C155AE">
        <w:rPr>
          <w:rFonts w:asciiTheme="majorHAnsi" w:eastAsia="MS Mincho" w:hAnsiTheme="majorHAnsi"/>
          <w:sz w:val="20"/>
          <w:szCs w:val="20"/>
        </w:rPr>
        <w:t>occasion</w:t>
      </w:r>
      <w:r w:rsidRPr="00C155AE">
        <w:rPr>
          <w:rFonts w:asciiTheme="majorHAnsi" w:eastAsia="MS Mincho" w:hAnsiTheme="majorHAnsi"/>
          <w:sz w:val="20"/>
          <w:szCs w:val="20"/>
        </w:rPr>
        <w:t>. In accordance with the petition, Mr. Gómez Atehortua committed suicide while in the custody of Gaula agents of the National Police.</w:t>
      </w:r>
      <w:r>
        <w:rPr>
          <w:rStyle w:val="FootnoteReference"/>
          <w:rFonts w:asciiTheme="majorHAnsi" w:eastAsia="MS Mincho" w:hAnsiTheme="majorHAnsi"/>
          <w:sz w:val="20"/>
          <w:szCs w:val="20"/>
        </w:rPr>
        <w:footnoteReference w:id="2"/>
      </w:r>
    </w:p>
    <w:p w14:paraId="36369642" w14:textId="629685EE" w:rsidR="00CE123B" w:rsidRPr="00C155AE" w:rsidRDefault="00CE123B" w:rsidP="00A76BC2">
      <w:pPr>
        <w:pStyle w:val="ListParagraph"/>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firstLine="0"/>
        <w:jc w:val="both"/>
        <w:rPr>
          <w:rFonts w:asciiTheme="majorHAnsi" w:eastAsia="MS Mincho" w:hAnsiTheme="majorHAnsi"/>
          <w:sz w:val="20"/>
          <w:szCs w:val="20"/>
        </w:rPr>
      </w:pPr>
      <w:r w:rsidRPr="00C155AE">
        <w:rPr>
          <w:rFonts w:asciiTheme="majorHAnsi" w:eastAsia="MS Mincho" w:hAnsiTheme="majorHAnsi"/>
          <w:sz w:val="20"/>
          <w:szCs w:val="20"/>
        </w:rPr>
        <w:t xml:space="preserve">By the time the body of Mr. Gómez Atehortua was discovered, it showed advanced postmortem signs, which </w:t>
      </w:r>
      <w:r w:rsidR="00B06C19" w:rsidRPr="00C155AE">
        <w:rPr>
          <w:rFonts w:asciiTheme="majorHAnsi" w:eastAsia="MS Mincho" w:hAnsiTheme="majorHAnsi"/>
          <w:sz w:val="20"/>
          <w:szCs w:val="20"/>
        </w:rPr>
        <w:t>confirms</w:t>
      </w:r>
      <w:r w:rsidRPr="00C155AE">
        <w:rPr>
          <w:rFonts w:asciiTheme="majorHAnsi" w:eastAsia="MS Mincho" w:hAnsiTheme="majorHAnsi"/>
          <w:sz w:val="20"/>
          <w:szCs w:val="20"/>
        </w:rPr>
        <w:t xml:space="preserve"> the lack of diligence of the members of the National Police in the surveillance and control of the inmates.</w:t>
      </w:r>
      <w:r>
        <w:rPr>
          <w:rStyle w:val="FootnoteReference"/>
          <w:rFonts w:asciiTheme="majorHAnsi" w:eastAsia="MS Mincho" w:hAnsiTheme="majorHAnsi"/>
          <w:sz w:val="20"/>
          <w:szCs w:val="20"/>
        </w:rPr>
        <w:footnoteReference w:id="3"/>
      </w:r>
    </w:p>
    <w:p w14:paraId="172B343A" w14:textId="325B3ACC" w:rsidR="00CE123B" w:rsidRPr="00C155AE" w:rsidRDefault="00CE123B" w:rsidP="00A76BC2">
      <w:pPr>
        <w:pStyle w:val="ListParagraph"/>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firstLine="0"/>
        <w:jc w:val="both"/>
        <w:rPr>
          <w:rFonts w:asciiTheme="majorHAnsi" w:eastAsia="MS Mincho" w:hAnsiTheme="majorHAnsi"/>
          <w:sz w:val="20"/>
          <w:szCs w:val="20"/>
        </w:rPr>
      </w:pPr>
      <w:r w:rsidRPr="00C155AE">
        <w:rPr>
          <w:rFonts w:asciiTheme="majorHAnsi" w:eastAsia="MS Mincho" w:hAnsiTheme="majorHAnsi"/>
          <w:sz w:val="20"/>
          <w:szCs w:val="20"/>
        </w:rPr>
        <w:t xml:space="preserve">On November 21, 2006, the Inter-American Commission on Human Rights received a petition presented by Dr. Roberto Fernando Paz Salas, in which he alleged the international responsibility of the State for the events surrounding the death of Mr. Luis Argemiro Gómez </w:t>
      </w:r>
      <w:r w:rsidR="00B06C19" w:rsidRPr="00C155AE">
        <w:rPr>
          <w:rFonts w:asciiTheme="majorHAnsi" w:eastAsia="MS Mincho" w:hAnsiTheme="majorHAnsi"/>
          <w:sz w:val="20"/>
          <w:szCs w:val="20"/>
        </w:rPr>
        <w:t>Atehortua,</w:t>
      </w:r>
      <w:r w:rsidRPr="00C155AE">
        <w:rPr>
          <w:rFonts w:asciiTheme="majorHAnsi" w:eastAsia="MS Mincho" w:hAnsiTheme="majorHAnsi"/>
          <w:sz w:val="20"/>
          <w:szCs w:val="20"/>
        </w:rPr>
        <w:t xml:space="preserve"> as well as the lack of </w:t>
      </w:r>
      <w:r w:rsidR="00B06C19">
        <w:rPr>
          <w:rFonts w:asciiTheme="majorHAnsi" w:eastAsia="MS Mincho" w:hAnsiTheme="majorHAnsi"/>
          <w:sz w:val="20"/>
          <w:szCs w:val="20"/>
        </w:rPr>
        <w:t>investigation</w:t>
      </w:r>
      <w:r w:rsidRPr="00C155AE">
        <w:rPr>
          <w:rFonts w:asciiTheme="majorHAnsi" w:eastAsia="MS Mincho" w:hAnsiTheme="majorHAnsi"/>
          <w:sz w:val="20"/>
          <w:szCs w:val="20"/>
        </w:rPr>
        <w:t>.</w:t>
      </w:r>
    </w:p>
    <w:p w14:paraId="009639F8" w14:textId="7C5091A0" w:rsidR="00CE123B" w:rsidRPr="00C155AE" w:rsidRDefault="00CE123B" w:rsidP="00A76BC2">
      <w:pPr>
        <w:pStyle w:val="ListParagraph"/>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firstLine="0"/>
        <w:jc w:val="both"/>
        <w:rPr>
          <w:rFonts w:asciiTheme="majorHAnsi" w:eastAsia="MS Mincho" w:hAnsiTheme="majorHAnsi"/>
          <w:sz w:val="20"/>
          <w:szCs w:val="20"/>
        </w:rPr>
      </w:pPr>
      <w:r w:rsidRPr="00C155AE">
        <w:rPr>
          <w:rFonts w:asciiTheme="majorHAnsi" w:eastAsia="MS Mincho" w:hAnsiTheme="majorHAnsi"/>
          <w:sz w:val="20"/>
          <w:szCs w:val="20"/>
        </w:rPr>
        <w:lastRenderedPageBreak/>
        <w:t>On August 30, 1999, Mrs. Luz Estela Posada Baena and her children filed a claim for direct reparation against the Ministry of Defense - National Police and the Gaula Group for the death of Mr. Gómez Atehortua.</w:t>
      </w:r>
    </w:p>
    <w:p w14:paraId="4535DDD2" w14:textId="101E1D8D" w:rsidR="00CE123B" w:rsidRPr="00C155AE" w:rsidRDefault="00CE123B" w:rsidP="00A76BC2">
      <w:pPr>
        <w:pStyle w:val="ListParagraph"/>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firstLine="0"/>
        <w:jc w:val="both"/>
        <w:rPr>
          <w:rFonts w:asciiTheme="majorHAnsi" w:eastAsia="MS Mincho" w:hAnsiTheme="majorHAnsi"/>
          <w:sz w:val="20"/>
          <w:szCs w:val="20"/>
        </w:rPr>
      </w:pPr>
      <w:r w:rsidRPr="00C155AE">
        <w:rPr>
          <w:rFonts w:asciiTheme="majorHAnsi" w:eastAsia="MS Mincho" w:hAnsiTheme="majorHAnsi"/>
          <w:sz w:val="20"/>
          <w:szCs w:val="20"/>
        </w:rPr>
        <w:t>The Fourth Decision Chamber of the Administrative Court of Antioquia denied the claims of the lawsuit, considering that the failure in the service on the part of the defendant entities was not proven.</w:t>
      </w:r>
      <w:r w:rsidR="00216804">
        <w:rPr>
          <w:rStyle w:val="FootnoteReference"/>
          <w:rFonts w:asciiTheme="majorHAnsi" w:eastAsia="MS Mincho" w:hAnsiTheme="majorHAnsi"/>
          <w:sz w:val="20"/>
          <w:szCs w:val="20"/>
        </w:rPr>
        <w:footnoteReference w:id="4"/>
      </w:r>
      <w:r w:rsidRPr="00C155AE">
        <w:rPr>
          <w:rFonts w:asciiTheme="majorHAnsi" w:eastAsia="MS Mincho" w:hAnsiTheme="majorHAnsi"/>
          <w:sz w:val="20"/>
          <w:szCs w:val="20"/>
        </w:rPr>
        <w:t xml:space="preserve"> The plaintiffs appealed the decision. However, the Administrative Court of Antioquia pointed out that, due to </w:t>
      </w:r>
      <w:r w:rsidR="00B06C19">
        <w:rPr>
          <w:rFonts w:asciiTheme="majorHAnsi" w:eastAsia="MS Mincho" w:hAnsiTheme="majorHAnsi"/>
          <w:sz w:val="20"/>
          <w:szCs w:val="20"/>
        </w:rPr>
        <w:t>its</w:t>
      </w:r>
      <w:r w:rsidRPr="00C155AE">
        <w:rPr>
          <w:rFonts w:asciiTheme="majorHAnsi" w:eastAsia="MS Mincho" w:hAnsiTheme="majorHAnsi"/>
          <w:sz w:val="20"/>
          <w:szCs w:val="20"/>
        </w:rPr>
        <w:t xml:space="preserve"> </w:t>
      </w:r>
      <w:r w:rsidR="00B06C19" w:rsidRPr="00C155AE">
        <w:rPr>
          <w:rFonts w:asciiTheme="majorHAnsi" w:eastAsia="MS Mincho" w:hAnsiTheme="majorHAnsi"/>
          <w:sz w:val="20"/>
          <w:szCs w:val="20"/>
        </w:rPr>
        <w:t>extent</w:t>
      </w:r>
      <w:r w:rsidRPr="00C155AE">
        <w:rPr>
          <w:rFonts w:asciiTheme="majorHAnsi" w:eastAsia="MS Mincho" w:hAnsiTheme="majorHAnsi"/>
          <w:sz w:val="20"/>
          <w:szCs w:val="20"/>
        </w:rPr>
        <w:t xml:space="preserve">, the process is a single </w:t>
      </w:r>
      <w:r w:rsidR="00B06C19" w:rsidRPr="00C155AE">
        <w:rPr>
          <w:rFonts w:asciiTheme="majorHAnsi" w:eastAsia="MS Mincho" w:hAnsiTheme="majorHAnsi"/>
          <w:sz w:val="20"/>
          <w:szCs w:val="20"/>
        </w:rPr>
        <w:t>instance,</w:t>
      </w:r>
      <w:r w:rsidRPr="00C155AE">
        <w:rPr>
          <w:rFonts w:asciiTheme="majorHAnsi" w:eastAsia="MS Mincho" w:hAnsiTheme="majorHAnsi"/>
          <w:sz w:val="20"/>
          <w:szCs w:val="20"/>
        </w:rPr>
        <w:t xml:space="preserve"> and the appeal was not applicable.</w:t>
      </w:r>
    </w:p>
    <w:p w14:paraId="0B9330BC" w14:textId="29E8B533" w:rsidR="00CE123B" w:rsidRPr="00C155AE" w:rsidRDefault="00CE123B" w:rsidP="00A76BC2">
      <w:pPr>
        <w:pStyle w:val="ListParagraph"/>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firstLine="0"/>
        <w:jc w:val="both"/>
        <w:rPr>
          <w:rFonts w:asciiTheme="majorHAnsi" w:eastAsia="MS Mincho" w:hAnsiTheme="majorHAnsi"/>
          <w:sz w:val="20"/>
          <w:szCs w:val="20"/>
        </w:rPr>
      </w:pPr>
      <w:r w:rsidRPr="00C155AE">
        <w:rPr>
          <w:rFonts w:asciiTheme="majorHAnsi" w:eastAsia="MS Mincho" w:hAnsiTheme="majorHAnsi"/>
          <w:sz w:val="20"/>
          <w:szCs w:val="20"/>
        </w:rPr>
        <w:t>The National Police carried out a disciplinary process for the events that culminated in the sanction against an agent and a patrolman, who were in charge of guarding the cells.</w:t>
      </w:r>
    </w:p>
    <w:p w14:paraId="19974231" w14:textId="575CEB87" w:rsidR="00CE123B" w:rsidRPr="00C155AE" w:rsidRDefault="00CE123B" w:rsidP="00A76BC2">
      <w:pPr>
        <w:pStyle w:val="ListParagraph"/>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firstLine="0"/>
        <w:jc w:val="both"/>
        <w:rPr>
          <w:rFonts w:asciiTheme="majorHAnsi" w:eastAsia="MS Mincho" w:hAnsiTheme="majorHAnsi"/>
          <w:sz w:val="20"/>
          <w:szCs w:val="20"/>
        </w:rPr>
      </w:pPr>
      <w:r w:rsidRPr="00C155AE">
        <w:rPr>
          <w:rFonts w:asciiTheme="majorHAnsi" w:eastAsia="MS Mincho" w:hAnsiTheme="majorHAnsi"/>
          <w:sz w:val="20"/>
          <w:szCs w:val="20"/>
        </w:rPr>
        <w:t>The 92nd Military Criminal Investigation Court conducted a criminal investigation against the aforementioned National Police officials for the suicide of Mr. Gómez Atehortua.</w:t>
      </w:r>
    </w:p>
    <w:p w14:paraId="6FEDDEE3" w14:textId="031CA083" w:rsidR="00CE123B" w:rsidRPr="00C155AE" w:rsidRDefault="00CE123B" w:rsidP="00A76BC2">
      <w:pPr>
        <w:pStyle w:val="ListParagraph"/>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firstLine="0"/>
        <w:jc w:val="both"/>
        <w:rPr>
          <w:rFonts w:asciiTheme="majorHAnsi" w:eastAsia="MS Mincho" w:hAnsiTheme="majorHAnsi"/>
          <w:sz w:val="20"/>
          <w:szCs w:val="20"/>
        </w:rPr>
      </w:pPr>
      <w:r w:rsidRPr="00C155AE">
        <w:rPr>
          <w:rFonts w:asciiTheme="majorHAnsi" w:eastAsia="MS Mincho" w:hAnsiTheme="majorHAnsi"/>
          <w:sz w:val="20"/>
          <w:szCs w:val="20"/>
        </w:rPr>
        <w:t xml:space="preserve">In consideration of the evidence provided in the process, it was concluded that the </w:t>
      </w:r>
      <w:r w:rsidR="00B06C19" w:rsidRPr="00C155AE">
        <w:rPr>
          <w:rFonts w:asciiTheme="majorHAnsi" w:eastAsia="MS Mincho" w:hAnsiTheme="majorHAnsi"/>
          <w:sz w:val="20"/>
          <w:szCs w:val="20"/>
        </w:rPr>
        <w:t>involvement</w:t>
      </w:r>
      <w:r w:rsidRPr="00C155AE">
        <w:rPr>
          <w:rFonts w:asciiTheme="majorHAnsi" w:eastAsia="MS Mincho" w:hAnsiTheme="majorHAnsi"/>
          <w:sz w:val="20"/>
          <w:szCs w:val="20"/>
        </w:rPr>
        <w:t xml:space="preserve"> of the agents in charge of guarding the cells had not been proven in the death of Mr. Gómez Atehortua. As a consequence, the process was terminated.</w:t>
      </w:r>
    </w:p>
    <w:p w14:paraId="1728AC1C" w14:textId="2ADB4443" w:rsidR="00CE123B" w:rsidRPr="00C155AE" w:rsidRDefault="00CE123B" w:rsidP="00A76BC2">
      <w:pPr>
        <w:pStyle w:val="ListParagraph"/>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firstLine="0"/>
        <w:jc w:val="both"/>
        <w:rPr>
          <w:rFonts w:asciiTheme="majorHAnsi" w:eastAsia="MS Mincho" w:hAnsiTheme="majorHAnsi"/>
          <w:sz w:val="20"/>
          <w:szCs w:val="20"/>
        </w:rPr>
      </w:pPr>
      <w:r w:rsidRPr="00C155AE">
        <w:rPr>
          <w:rFonts w:asciiTheme="majorHAnsi" w:eastAsia="MS Mincho" w:hAnsiTheme="majorHAnsi"/>
          <w:sz w:val="20"/>
          <w:szCs w:val="20"/>
        </w:rPr>
        <w:t xml:space="preserve">In a communication </w:t>
      </w:r>
      <w:r w:rsidR="00B06C19" w:rsidRPr="00C155AE">
        <w:rPr>
          <w:rFonts w:asciiTheme="majorHAnsi" w:eastAsia="MS Mincho" w:hAnsiTheme="majorHAnsi"/>
          <w:sz w:val="20"/>
          <w:szCs w:val="20"/>
        </w:rPr>
        <w:t>conveyed</w:t>
      </w:r>
      <w:r w:rsidRPr="00C155AE">
        <w:rPr>
          <w:rFonts w:asciiTheme="majorHAnsi" w:eastAsia="MS Mincho" w:hAnsiTheme="majorHAnsi"/>
          <w:sz w:val="20"/>
          <w:szCs w:val="20"/>
        </w:rPr>
        <w:t xml:space="preserve"> to the Colombian State through the IACHR's Individual Petitions </w:t>
      </w:r>
      <w:r w:rsidR="008128A0">
        <w:rPr>
          <w:rFonts w:asciiTheme="majorHAnsi" w:eastAsia="MS Mincho" w:hAnsiTheme="majorHAnsi"/>
          <w:sz w:val="20"/>
          <w:szCs w:val="20"/>
        </w:rPr>
        <w:t xml:space="preserve">Portal </w:t>
      </w:r>
      <w:r w:rsidRPr="00C155AE">
        <w:rPr>
          <w:rFonts w:asciiTheme="majorHAnsi" w:eastAsia="MS Mincho" w:hAnsiTheme="majorHAnsi"/>
          <w:sz w:val="20"/>
          <w:szCs w:val="20"/>
        </w:rPr>
        <w:t>on March 23, 2018, the IACHR notified the State of the accumulation of the admissibility and merits stages in this matter.</w:t>
      </w:r>
    </w:p>
    <w:p w14:paraId="005C5F00" w14:textId="6849C020" w:rsidR="00CE123B" w:rsidRPr="00C155AE" w:rsidRDefault="00CE123B" w:rsidP="00A76BC2">
      <w:pPr>
        <w:pStyle w:val="ListParagraph"/>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firstLine="0"/>
        <w:jc w:val="both"/>
        <w:rPr>
          <w:rFonts w:asciiTheme="majorHAnsi" w:eastAsia="MS Mincho" w:hAnsiTheme="majorHAnsi"/>
          <w:sz w:val="20"/>
          <w:szCs w:val="20"/>
        </w:rPr>
      </w:pPr>
      <w:r w:rsidRPr="00C155AE">
        <w:rPr>
          <w:rFonts w:asciiTheme="majorHAnsi" w:eastAsia="MS Mincho" w:hAnsiTheme="majorHAnsi"/>
          <w:sz w:val="20"/>
          <w:szCs w:val="20"/>
        </w:rPr>
        <w:t>On June 9, 2020, the Colombian State and the victims' representatives signed a Memorandum of Understanding in order to reach a friendly settlement.</w:t>
      </w:r>
    </w:p>
    <w:p w14:paraId="2DBE0F12" w14:textId="3613498B" w:rsidR="00CE123B" w:rsidRPr="00C155AE" w:rsidRDefault="00CE123B" w:rsidP="00A76BC2">
      <w:pPr>
        <w:pStyle w:val="ListParagraph"/>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firstLine="0"/>
        <w:jc w:val="both"/>
        <w:rPr>
          <w:rFonts w:asciiTheme="majorHAnsi" w:eastAsia="MS Mincho" w:hAnsiTheme="majorHAnsi"/>
          <w:sz w:val="20"/>
          <w:szCs w:val="20"/>
        </w:rPr>
      </w:pPr>
      <w:r w:rsidRPr="00C155AE">
        <w:rPr>
          <w:rFonts w:asciiTheme="majorHAnsi" w:eastAsia="MS Mincho" w:hAnsiTheme="majorHAnsi"/>
          <w:sz w:val="20"/>
          <w:szCs w:val="20"/>
        </w:rPr>
        <w:t xml:space="preserve">In the following months, joint meetings were held to analyze the proposals of both parties in order to </w:t>
      </w:r>
      <w:r w:rsidR="008128A0" w:rsidRPr="00C155AE">
        <w:rPr>
          <w:rFonts w:asciiTheme="majorHAnsi" w:eastAsia="MS Mincho" w:hAnsiTheme="majorHAnsi"/>
          <w:sz w:val="20"/>
          <w:szCs w:val="20"/>
        </w:rPr>
        <w:t>create</w:t>
      </w:r>
      <w:r w:rsidRPr="00C155AE">
        <w:rPr>
          <w:rFonts w:asciiTheme="majorHAnsi" w:eastAsia="MS Mincho" w:hAnsiTheme="majorHAnsi"/>
          <w:sz w:val="20"/>
          <w:szCs w:val="20"/>
        </w:rPr>
        <w:t xml:space="preserve"> this friendly settlement agreement.</w:t>
      </w:r>
    </w:p>
    <w:p w14:paraId="2A910104" w14:textId="0D59DFBA" w:rsidR="00CE123B" w:rsidRPr="00540906" w:rsidRDefault="00CE123B" w:rsidP="00A76BC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center"/>
        <w:rPr>
          <w:rFonts w:asciiTheme="majorHAnsi" w:eastAsia="MS Mincho" w:hAnsiTheme="majorHAnsi"/>
          <w:b/>
          <w:bCs/>
          <w:sz w:val="20"/>
          <w:szCs w:val="20"/>
        </w:rPr>
      </w:pPr>
      <w:r w:rsidRPr="00540906">
        <w:rPr>
          <w:rFonts w:asciiTheme="majorHAnsi" w:eastAsia="MS Mincho" w:hAnsiTheme="majorHAnsi"/>
          <w:b/>
          <w:bCs/>
          <w:sz w:val="20"/>
          <w:szCs w:val="20"/>
        </w:rPr>
        <w:t>THIRD: ACKNOWLEDGMENT OF</w:t>
      </w:r>
      <w:r w:rsidR="00540906">
        <w:rPr>
          <w:rFonts w:asciiTheme="majorHAnsi" w:eastAsia="MS Mincho" w:hAnsiTheme="majorHAnsi"/>
          <w:b/>
          <w:bCs/>
          <w:sz w:val="20"/>
          <w:szCs w:val="20"/>
        </w:rPr>
        <w:t xml:space="preserve"> RESPONSIBILITY</w:t>
      </w:r>
    </w:p>
    <w:p w14:paraId="1B3DC3E3" w14:textId="5EB613EE" w:rsidR="00CE123B" w:rsidRPr="00CE123B" w:rsidRDefault="00CE123B" w:rsidP="00A76BC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CE123B">
        <w:rPr>
          <w:rFonts w:asciiTheme="majorHAnsi" w:eastAsia="MS Mincho" w:hAnsiTheme="majorHAnsi"/>
          <w:sz w:val="20"/>
          <w:szCs w:val="20"/>
        </w:rPr>
        <w:t xml:space="preserve">The Colombian State recognizes its international responsibility for omission in its duty to guarantee the right to life recognized in the American Convention on Human Rights (Article 4), in relation to the general obligation established in Article 1.1 of the same instrument, in favor of the Mr. Luis Argemiro Gómez Atehortua. This </w:t>
      </w:r>
      <w:r>
        <w:rPr>
          <w:rFonts w:asciiTheme="majorHAnsi" w:eastAsia="MS Mincho" w:hAnsiTheme="majorHAnsi"/>
          <w:sz w:val="20"/>
          <w:szCs w:val="20"/>
        </w:rPr>
        <w:t xml:space="preserve">is </w:t>
      </w:r>
      <w:r w:rsidRPr="00CE123B">
        <w:rPr>
          <w:rFonts w:asciiTheme="majorHAnsi" w:eastAsia="MS Mincho" w:hAnsiTheme="majorHAnsi"/>
          <w:sz w:val="20"/>
          <w:szCs w:val="20"/>
        </w:rPr>
        <w:t xml:space="preserve">evidence that the State did not comply in a timely manner with its obligation of due vigilance with respect to Mr. Gómez Atehortua, who was in a relationship of special </w:t>
      </w:r>
      <w:r w:rsidR="008128A0" w:rsidRPr="00CE123B">
        <w:rPr>
          <w:rFonts w:asciiTheme="majorHAnsi" w:eastAsia="MS Mincho" w:hAnsiTheme="majorHAnsi"/>
          <w:sz w:val="20"/>
          <w:szCs w:val="20"/>
        </w:rPr>
        <w:t>subjugation</w:t>
      </w:r>
      <w:r w:rsidRPr="00CE123B">
        <w:rPr>
          <w:rFonts w:asciiTheme="majorHAnsi" w:eastAsia="MS Mincho" w:hAnsiTheme="majorHAnsi"/>
          <w:sz w:val="20"/>
          <w:szCs w:val="20"/>
        </w:rPr>
        <w:t xml:space="preserve"> to the state power in a Police station.</w:t>
      </w:r>
    </w:p>
    <w:p w14:paraId="64C579D7" w14:textId="3BF6F480" w:rsidR="00CE123B" w:rsidRPr="00540906" w:rsidRDefault="00CE123B" w:rsidP="00A76BC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center"/>
        <w:rPr>
          <w:rFonts w:asciiTheme="majorHAnsi" w:eastAsia="MS Mincho" w:hAnsiTheme="majorHAnsi"/>
          <w:b/>
          <w:bCs/>
          <w:sz w:val="20"/>
          <w:szCs w:val="20"/>
        </w:rPr>
      </w:pPr>
      <w:r w:rsidRPr="00540906">
        <w:rPr>
          <w:rFonts w:asciiTheme="majorHAnsi" w:eastAsia="MS Mincho" w:hAnsiTheme="majorHAnsi"/>
          <w:b/>
          <w:bCs/>
          <w:sz w:val="20"/>
          <w:szCs w:val="20"/>
        </w:rPr>
        <w:t>PART FOUR: REPA</w:t>
      </w:r>
      <w:r w:rsidR="00540906">
        <w:rPr>
          <w:rFonts w:asciiTheme="majorHAnsi" w:eastAsia="MS Mincho" w:hAnsiTheme="majorHAnsi"/>
          <w:b/>
          <w:bCs/>
          <w:sz w:val="20"/>
          <w:szCs w:val="20"/>
        </w:rPr>
        <w:t>RATION</w:t>
      </w:r>
      <w:r w:rsidRPr="00540906">
        <w:rPr>
          <w:rFonts w:asciiTheme="majorHAnsi" w:eastAsia="MS Mincho" w:hAnsiTheme="majorHAnsi"/>
          <w:b/>
          <w:bCs/>
          <w:sz w:val="20"/>
          <w:szCs w:val="20"/>
        </w:rPr>
        <w:t xml:space="preserve"> MEASURES AGREED BETWEEN THE PARTIES</w:t>
      </w:r>
    </w:p>
    <w:p w14:paraId="5E8AE026" w14:textId="60337629" w:rsidR="00CE123B" w:rsidRPr="00CE123B" w:rsidRDefault="00CE123B" w:rsidP="00A76BC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CE123B">
        <w:rPr>
          <w:rFonts w:asciiTheme="majorHAnsi" w:eastAsia="MS Mincho" w:hAnsiTheme="majorHAnsi"/>
          <w:sz w:val="20"/>
          <w:szCs w:val="20"/>
        </w:rPr>
        <w:t xml:space="preserve">The State </w:t>
      </w:r>
      <w:r w:rsidR="008128A0">
        <w:rPr>
          <w:rFonts w:asciiTheme="majorHAnsi" w:eastAsia="MS Mincho" w:hAnsiTheme="majorHAnsi"/>
          <w:sz w:val="20"/>
          <w:szCs w:val="20"/>
        </w:rPr>
        <w:t>commits itself</w:t>
      </w:r>
      <w:r w:rsidRPr="00CE123B">
        <w:rPr>
          <w:rFonts w:asciiTheme="majorHAnsi" w:eastAsia="MS Mincho" w:hAnsiTheme="majorHAnsi"/>
          <w:sz w:val="20"/>
          <w:szCs w:val="20"/>
        </w:rPr>
        <w:t xml:space="preserve"> to carry out the following satisfaction measures.</w:t>
      </w:r>
    </w:p>
    <w:p w14:paraId="171E45E3" w14:textId="016586DC" w:rsidR="00CE123B" w:rsidRPr="00540906" w:rsidRDefault="00CE123B" w:rsidP="00A76BC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b/>
          <w:bCs/>
          <w:sz w:val="20"/>
          <w:szCs w:val="20"/>
        </w:rPr>
      </w:pPr>
      <w:r w:rsidRPr="00540906">
        <w:rPr>
          <w:rFonts w:asciiTheme="majorHAnsi" w:eastAsia="MS Mincho" w:hAnsiTheme="majorHAnsi"/>
          <w:b/>
          <w:bCs/>
          <w:sz w:val="20"/>
          <w:szCs w:val="20"/>
        </w:rPr>
        <w:t>1.1. Act of redress</w:t>
      </w:r>
    </w:p>
    <w:p w14:paraId="67CBB768" w14:textId="5A85120F" w:rsidR="00CE123B" w:rsidRDefault="00540906" w:rsidP="00A76BC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Pr>
          <w:rFonts w:asciiTheme="majorHAnsi" w:eastAsia="MS Mincho" w:hAnsiTheme="majorHAnsi"/>
          <w:sz w:val="20"/>
          <w:szCs w:val="20"/>
        </w:rPr>
        <w:t>A</w:t>
      </w:r>
      <w:r w:rsidRPr="00CE123B">
        <w:rPr>
          <w:rFonts w:asciiTheme="majorHAnsi" w:eastAsia="MS Mincho" w:hAnsiTheme="majorHAnsi"/>
          <w:sz w:val="20"/>
          <w:szCs w:val="20"/>
        </w:rPr>
        <w:t xml:space="preserve"> </w:t>
      </w:r>
      <w:r>
        <w:rPr>
          <w:rFonts w:asciiTheme="majorHAnsi" w:eastAsia="MS Mincho" w:hAnsiTheme="majorHAnsi"/>
          <w:sz w:val="20"/>
          <w:szCs w:val="20"/>
        </w:rPr>
        <w:t xml:space="preserve">Virtual </w:t>
      </w:r>
      <w:r w:rsidR="00CE123B" w:rsidRPr="00CE123B">
        <w:rPr>
          <w:rFonts w:asciiTheme="majorHAnsi" w:eastAsia="MS Mincho" w:hAnsiTheme="majorHAnsi"/>
          <w:sz w:val="20"/>
          <w:szCs w:val="20"/>
        </w:rPr>
        <w:t xml:space="preserve">Act of </w:t>
      </w:r>
      <w:r w:rsidR="008128A0">
        <w:rPr>
          <w:rFonts w:asciiTheme="majorHAnsi" w:eastAsia="MS Mincho" w:hAnsiTheme="majorHAnsi"/>
          <w:sz w:val="20"/>
          <w:szCs w:val="20"/>
        </w:rPr>
        <w:t xml:space="preserve">Responsibility </w:t>
      </w:r>
      <w:r w:rsidR="00CE123B" w:rsidRPr="00CE123B">
        <w:rPr>
          <w:rFonts w:asciiTheme="majorHAnsi" w:eastAsia="MS Mincho" w:hAnsiTheme="majorHAnsi"/>
          <w:sz w:val="20"/>
          <w:szCs w:val="20"/>
        </w:rPr>
        <w:t>Recognition will be held with the active participation of the next of kin and the representatives of the victims. In this Act, state responsibility will be recognized in the terms established in this Agreement. The</w:t>
      </w:r>
      <w:r>
        <w:rPr>
          <w:rFonts w:asciiTheme="majorHAnsi" w:eastAsia="MS Mincho" w:hAnsiTheme="majorHAnsi"/>
          <w:sz w:val="20"/>
          <w:szCs w:val="20"/>
        </w:rPr>
        <w:t xml:space="preserve"> National Agency for the Legal Defense of the State</w:t>
      </w:r>
      <w:r w:rsidR="00CE123B" w:rsidRPr="00CE123B">
        <w:rPr>
          <w:rFonts w:asciiTheme="majorHAnsi" w:eastAsia="MS Mincho" w:hAnsiTheme="majorHAnsi"/>
          <w:sz w:val="20"/>
          <w:szCs w:val="20"/>
        </w:rPr>
        <w:t xml:space="preserve"> will </w:t>
      </w:r>
      <w:r w:rsidR="00A76BC2" w:rsidRPr="00CE123B">
        <w:rPr>
          <w:rFonts w:asciiTheme="majorHAnsi" w:eastAsia="MS Mincho" w:hAnsiTheme="majorHAnsi"/>
          <w:sz w:val="20"/>
          <w:szCs w:val="20"/>
        </w:rPr>
        <w:t>oversee</w:t>
      </w:r>
      <w:r w:rsidR="00CE123B" w:rsidRPr="00CE123B">
        <w:rPr>
          <w:rFonts w:asciiTheme="majorHAnsi" w:eastAsia="MS Mincho" w:hAnsiTheme="majorHAnsi"/>
          <w:sz w:val="20"/>
          <w:szCs w:val="20"/>
        </w:rPr>
        <w:t xml:space="preserve"> the </w:t>
      </w:r>
      <w:r w:rsidRPr="00CE123B">
        <w:rPr>
          <w:rFonts w:asciiTheme="majorHAnsi" w:eastAsia="MS Mincho" w:hAnsiTheme="majorHAnsi"/>
          <w:sz w:val="20"/>
          <w:szCs w:val="20"/>
        </w:rPr>
        <w:t>measure</w:t>
      </w:r>
      <w:r w:rsidR="00CE123B" w:rsidRPr="00CE123B">
        <w:rPr>
          <w:rFonts w:asciiTheme="majorHAnsi" w:eastAsia="MS Mincho" w:hAnsiTheme="majorHAnsi"/>
          <w:sz w:val="20"/>
          <w:szCs w:val="20"/>
        </w:rPr>
        <w:t>.</w:t>
      </w:r>
    </w:p>
    <w:p w14:paraId="0B5E99E4" w14:textId="77777777" w:rsidR="00A76BC2" w:rsidRPr="00CE123B" w:rsidRDefault="00A76BC2" w:rsidP="00A76BC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p>
    <w:p w14:paraId="1E3C8231" w14:textId="2EF35594" w:rsidR="00CE123B" w:rsidRPr="00540906" w:rsidRDefault="00CE123B" w:rsidP="00A76BC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b/>
          <w:bCs/>
          <w:sz w:val="20"/>
          <w:szCs w:val="20"/>
        </w:rPr>
      </w:pPr>
      <w:r w:rsidRPr="00540906">
        <w:rPr>
          <w:rFonts w:asciiTheme="majorHAnsi" w:eastAsia="MS Mincho" w:hAnsiTheme="majorHAnsi"/>
          <w:b/>
          <w:bCs/>
          <w:sz w:val="20"/>
          <w:szCs w:val="20"/>
        </w:rPr>
        <w:lastRenderedPageBreak/>
        <w:t>1.2. Publication of the facts</w:t>
      </w:r>
    </w:p>
    <w:p w14:paraId="52C8431A" w14:textId="3D4E308D" w:rsidR="00CE123B" w:rsidRPr="00CE123B" w:rsidRDefault="00CE123B" w:rsidP="00A76BC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CE123B">
        <w:rPr>
          <w:rFonts w:asciiTheme="majorHAnsi" w:eastAsia="MS Mincho" w:hAnsiTheme="majorHAnsi"/>
          <w:sz w:val="20"/>
          <w:szCs w:val="20"/>
        </w:rPr>
        <w:t xml:space="preserve">The Colombian State </w:t>
      </w:r>
      <w:r w:rsidR="008128A0">
        <w:rPr>
          <w:rFonts w:asciiTheme="majorHAnsi" w:eastAsia="MS Mincho" w:hAnsiTheme="majorHAnsi"/>
          <w:sz w:val="20"/>
          <w:szCs w:val="20"/>
        </w:rPr>
        <w:t>commits itself</w:t>
      </w:r>
      <w:r w:rsidRPr="00CE123B">
        <w:rPr>
          <w:rFonts w:asciiTheme="majorHAnsi" w:eastAsia="MS Mincho" w:hAnsiTheme="majorHAnsi"/>
          <w:sz w:val="20"/>
          <w:szCs w:val="20"/>
        </w:rPr>
        <w:t xml:space="preserve"> to publish the report on Article 49 of the American Convention on Human Rights issued by the Inter-American Commission on Human Rights that approves the friendly settlement agreement, on the website of the Ministry of Defense and the National Police, </w:t>
      </w:r>
      <w:r w:rsidR="008128A0">
        <w:rPr>
          <w:rFonts w:asciiTheme="majorHAnsi" w:eastAsia="MS Mincho" w:hAnsiTheme="majorHAnsi"/>
          <w:sz w:val="20"/>
          <w:szCs w:val="20"/>
        </w:rPr>
        <w:t>for</w:t>
      </w:r>
      <w:r w:rsidRPr="00CE123B">
        <w:rPr>
          <w:rFonts w:asciiTheme="majorHAnsi" w:eastAsia="MS Mincho" w:hAnsiTheme="majorHAnsi"/>
          <w:sz w:val="20"/>
          <w:szCs w:val="20"/>
        </w:rPr>
        <w:t xml:space="preserve"> six months.</w:t>
      </w:r>
      <w:r w:rsidR="00216804">
        <w:rPr>
          <w:rStyle w:val="FootnoteReference"/>
          <w:rFonts w:asciiTheme="majorHAnsi" w:eastAsia="MS Mincho" w:hAnsiTheme="majorHAnsi"/>
          <w:sz w:val="20"/>
          <w:szCs w:val="20"/>
        </w:rPr>
        <w:footnoteReference w:id="5"/>
      </w:r>
    </w:p>
    <w:p w14:paraId="435A3342" w14:textId="14F8FF0A" w:rsidR="00CE123B" w:rsidRPr="00540906" w:rsidRDefault="00CE123B" w:rsidP="00A76BC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b/>
          <w:bCs/>
          <w:sz w:val="20"/>
          <w:szCs w:val="20"/>
        </w:rPr>
      </w:pPr>
      <w:r w:rsidRPr="00540906">
        <w:rPr>
          <w:rFonts w:asciiTheme="majorHAnsi" w:eastAsia="MS Mincho" w:hAnsiTheme="majorHAnsi"/>
          <w:b/>
          <w:bCs/>
          <w:sz w:val="20"/>
          <w:szCs w:val="20"/>
        </w:rPr>
        <w:t>1.3. Guarantees of non-repetition</w:t>
      </w:r>
    </w:p>
    <w:p w14:paraId="5A60074D" w14:textId="02C6029D" w:rsidR="00CE123B" w:rsidRPr="00CE123B" w:rsidRDefault="00CE123B" w:rsidP="00A76BC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CE123B">
        <w:rPr>
          <w:rFonts w:asciiTheme="majorHAnsi" w:eastAsia="MS Mincho" w:hAnsiTheme="majorHAnsi"/>
          <w:sz w:val="20"/>
          <w:szCs w:val="20"/>
        </w:rPr>
        <w:t>The Ministry of Defense will carry out face-to-face and / or virtual training aimed at the Medellín Police Gaula, the Antioquia Police Department, the “General Francisco de Paula Santander” Police Officer Training School and the</w:t>
      </w:r>
      <w:r w:rsidR="008128A0">
        <w:rPr>
          <w:rFonts w:asciiTheme="majorHAnsi" w:eastAsia="MS Mincho" w:hAnsiTheme="majorHAnsi"/>
          <w:sz w:val="20"/>
          <w:szCs w:val="20"/>
        </w:rPr>
        <w:t xml:space="preserve"> </w:t>
      </w:r>
      <w:r w:rsidR="00436315">
        <w:rPr>
          <w:rFonts w:asciiTheme="majorHAnsi" w:eastAsia="MS Mincho" w:hAnsiTheme="majorHAnsi"/>
          <w:sz w:val="20"/>
          <w:szCs w:val="20"/>
        </w:rPr>
        <w:t>N</w:t>
      </w:r>
      <w:r w:rsidR="008128A0" w:rsidRPr="008128A0">
        <w:rPr>
          <w:rFonts w:asciiTheme="majorHAnsi" w:eastAsia="MS Mincho" w:hAnsiTheme="majorHAnsi"/>
          <w:sz w:val="20"/>
          <w:szCs w:val="20"/>
        </w:rPr>
        <w:t>on-</w:t>
      </w:r>
      <w:r w:rsidR="00436315">
        <w:rPr>
          <w:rFonts w:asciiTheme="majorHAnsi" w:eastAsia="MS Mincho" w:hAnsiTheme="majorHAnsi"/>
          <w:sz w:val="20"/>
          <w:szCs w:val="20"/>
        </w:rPr>
        <w:t>C</w:t>
      </w:r>
      <w:r w:rsidR="008128A0" w:rsidRPr="008128A0">
        <w:rPr>
          <w:rFonts w:asciiTheme="majorHAnsi" w:eastAsia="MS Mincho" w:hAnsiTheme="majorHAnsi"/>
          <w:sz w:val="20"/>
          <w:szCs w:val="20"/>
        </w:rPr>
        <w:t>ommissioned officer</w:t>
      </w:r>
      <w:r w:rsidR="00436315">
        <w:rPr>
          <w:rFonts w:asciiTheme="majorHAnsi" w:eastAsia="MS Mincho" w:hAnsiTheme="majorHAnsi"/>
          <w:sz w:val="20"/>
          <w:szCs w:val="20"/>
        </w:rPr>
        <w:t>s and</w:t>
      </w:r>
      <w:r w:rsidRPr="00CE123B">
        <w:rPr>
          <w:rFonts w:asciiTheme="majorHAnsi" w:eastAsia="MS Mincho" w:hAnsiTheme="majorHAnsi"/>
          <w:sz w:val="20"/>
          <w:szCs w:val="20"/>
        </w:rPr>
        <w:t xml:space="preserve"> </w:t>
      </w:r>
      <w:r w:rsidR="00436315" w:rsidRPr="00CE123B">
        <w:rPr>
          <w:rFonts w:asciiTheme="majorHAnsi" w:eastAsia="MS Mincho" w:hAnsiTheme="majorHAnsi"/>
          <w:sz w:val="20"/>
          <w:szCs w:val="20"/>
        </w:rPr>
        <w:t xml:space="preserve">Executive Level </w:t>
      </w:r>
      <w:r w:rsidRPr="00CE123B">
        <w:rPr>
          <w:rFonts w:asciiTheme="majorHAnsi" w:eastAsia="MS Mincho" w:hAnsiTheme="majorHAnsi"/>
          <w:sz w:val="20"/>
          <w:szCs w:val="20"/>
        </w:rPr>
        <w:t>Scho</w:t>
      </w:r>
      <w:r w:rsidR="00436315">
        <w:rPr>
          <w:rFonts w:asciiTheme="majorHAnsi" w:eastAsia="MS Mincho" w:hAnsiTheme="majorHAnsi"/>
          <w:sz w:val="20"/>
          <w:szCs w:val="20"/>
        </w:rPr>
        <w:t>ol</w:t>
      </w:r>
      <w:r w:rsidRPr="00CE123B">
        <w:rPr>
          <w:rFonts w:asciiTheme="majorHAnsi" w:eastAsia="MS Mincho" w:hAnsiTheme="majorHAnsi"/>
          <w:sz w:val="20"/>
          <w:szCs w:val="20"/>
        </w:rPr>
        <w:t xml:space="preserve"> “Gonzalo Jiménez de Quesada”, which will begin two months after the approval of this agreement by the Inter-American Commission on Human Rights.</w:t>
      </w:r>
      <w:r w:rsidR="00216804">
        <w:rPr>
          <w:rStyle w:val="FootnoteReference"/>
          <w:rFonts w:asciiTheme="majorHAnsi" w:eastAsia="MS Mincho" w:hAnsiTheme="majorHAnsi"/>
          <w:sz w:val="20"/>
          <w:szCs w:val="20"/>
        </w:rPr>
        <w:footnoteReference w:id="6"/>
      </w:r>
    </w:p>
    <w:p w14:paraId="27E5553C" w14:textId="1AE47B70" w:rsidR="00CE123B" w:rsidRPr="00540906" w:rsidRDefault="00CE123B" w:rsidP="00A76BC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b/>
          <w:bCs/>
          <w:sz w:val="20"/>
          <w:szCs w:val="20"/>
        </w:rPr>
      </w:pPr>
      <w:r w:rsidRPr="00540906">
        <w:rPr>
          <w:rFonts w:asciiTheme="majorHAnsi" w:eastAsia="MS Mincho" w:hAnsiTheme="majorHAnsi"/>
          <w:b/>
          <w:bCs/>
          <w:sz w:val="20"/>
          <w:szCs w:val="20"/>
        </w:rPr>
        <w:t>1.4. Justice Measures</w:t>
      </w:r>
    </w:p>
    <w:p w14:paraId="387114B5" w14:textId="50E1B8F0" w:rsidR="00CE123B" w:rsidRPr="00CE123B" w:rsidRDefault="00CE123B" w:rsidP="00A76BC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CE123B">
        <w:rPr>
          <w:rFonts w:asciiTheme="majorHAnsi" w:eastAsia="MS Mincho" w:hAnsiTheme="majorHAnsi"/>
          <w:sz w:val="20"/>
          <w:szCs w:val="20"/>
        </w:rPr>
        <w:t xml:space="preserve">The National Agency for Legal Defense of the State will request the Office of the Attorney General of the Nation to study the feasibility of filing a Review Action against the process </w:t>
      </w:r>
      <w:r w:rsidR="00436315">
        <w:rPr>
          <w:rFonts w:asciiTheme="majorHAnsi" w:eastAsia="MS Mincho" w:hAnsiTheme="majorHAnsi"/>
          <w:sz w:val="20"/>
          <w:szCs w:val="20"/>
        </w:rPr>
        <w:t>initiated</w:t>
      </w:r>
      <w:r w:rsidRPr="00CE123B">
        <w:rPr>
          <w:rFonts w:asciiTheme="majorHAnsi" w:eastAsia="MS Mincho" w:hAnsiTheme="majorHAnsi"/>
          <w:sz w:val="20"/>
          <w:szCs w:val="20"/>
        </w:rPr>
        <w:t xml:space="preserve"> by the events that occurred on February 5, 1999 in the Gaula cells of the Medellín </w:t>
      </w:r>
      <w:r w:rsidR="00436315" w:rsidRPr="00CE123B">
        <w:rPr>
          <w:rFonts w:asciiTheme="majorHAnsi" w:eastAsia="MS Mincho" w:hAnsiTheme="majorHAnsi"/>
          <w:sz w:val="20"/>
          <w:szCs w:val="20"/>
        </w:rPr>
        <w:t>Police,</w:t>
      </w:r>
      <w:r w:rsidRPr="00CE123B">
        <w:rPr>
          <w:rFonts w:asciiTheme="majorHAnsi" w:eastAsia="MS Mincho" w:hAnsiTheme="majorHAnsi"/>
          <w:sz w:val="20"/>
          <w:szCs w:val="20"/>
        </w:rPr>
        <w:t xml:space="preserve"> in the </w:t>
      </w:r>
      <w:r w:rsidR="00436315">
        <w:rPr>
          <w:rFonts w:asciiTheme="majorHAnsi" w:eastAsia="MS Mincho" w:hAnsiTheme="majorHAnsi"/>
          <w:sz w:val="20"/>
          <w:szCs w:val="20"/>
        </w:rPr>
        <w:t>context</w:t>
      </w:r>
      <w:r w:rsidRPr="00CE123B">
        <w:rPr>
          <w:rFonts w:asciiTheme="majorHAnsi" w:eastAsia="MS Mincho" w:hAnsiTheme="majorHAnsi"/>
          <w:sz w:val="20"/>
          <w:szCs w:val="20"/>
        </w:rPr>
        <w:t xml:space="preserve"> of which Mr. Luis Argemiro Gómez Atehortua lost his life.</w:t>
      </w:r>
    </w:p>
    <w:p w14:paraId="1C5A6DDD" w14:textId="59B9F7C1" w:rsidR="00CE123B" w:rsidRPr="00540906" w:rsidRDefault="00CE123B" w:rsidP="00A76BC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b/>
          <w:bCs/>
          <w:sz w:val="20"/>
          <w:szCs w:val="20"/>
        </w:rPr>
      </w:pPr>
      <w:r w:rsidRPr="00540906">
        <w:rPr>
          <w:rFonts w:asciiTheme="majorHAnsi" w:eastAsia="MS Mincho" w:hAnsiTheme="majorHAnsi"/>
          <w:b/>
          <w:bCs/>
          <w:sz w:val="20"/>
          <w:szCs w:val="20"/>
        </w:rPr>
        <w:t>1.5. Pecuniary Repa</w:t>
      </w:r>
      <w:r w:rsidR="00436315">
        <w:rPr>
          <w:rFonts w:asciiTheme="majorHAnsi" w:eastAsia="MS Mincho" w:hAnsiTheme="majorHAnsi"/>
          <w:b/>
          <w:bCs/>
          <w:sz w:val="20"/>
          <w:szCs w:val="20"/>
        </w:rPr>
        <w:t>ration</w:t>
      </w:r>
    </w:p>
    <w:p w14:paraId="768473C6" w14:textId="778A473D" w:rsidR="00CE123B" w:rsidRDefault="00CE123B" w:rsidP="00A76BC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CE123B">
        <w:rPr>
          <w:rFonts w:asciiTheme="majorHAnsi" w:eastAsia="MS Mincho" w:hAnsiTheme="majorHAnsi"/>
          <w:sz w:val="20"/>
          <w:szCs w:val="20"/>
        </w:rPr>
        <w:t>The Ministry of Defense - National Police undertakes to compensate the moral damages that are proven by the violations recognized in this agreement through the mechanism established by Law 288 of 1996.</w:t>
      </w:r>
      <w:r w:rsidR="00216804">
        <w:rPr>
          <w:rStyle w:val="FootnoteReference"/>
          <w:rFonts w:asciiTheme="majorHAnsi" w:eastAsia="MS Mincho" w:hAnsiTheme="majorHAnsi"/>
          <w:sz w:val="20"/>
          <w:szCs w:val="20"/>
        </w:rPr>
        <w:footnoteReference w:id="7"/>
      </w:r>
      <w:r w:rsidRPr="00CE123B">
        <w:rPr>
          <w:rFonts w:asciiTheme="majorHAnsi" w:eastAsia="MS Mincho" w:hAnsiTheme="majorHAnsi"/>
          <w:sz w:val="20"/>
          <w:szCs w:val="20"/>
        </w:rPr>
        <w:t xml:space="preserve"> The mechanism in question will be </w:t>
      </w:r>
      <w:r w:rsidR="00436315" w:rsidRPr="00CE123B">
        <w:rPr>
          <w:rFonts w:asciiTheme="majorHAnsi" w:eastAsia="MS Mincho" w:hAnsiTheme="majorHAnsi"/>
          <w:sz w:val="20"/>
          <w:szCs w:val="20"/>
        </w:rPr>
        <w:t>initiated</w:t>
      </w:r>
      <w:r w:rsidRPr="00CE123B">
        <w:rPr>
          <w:rFonts w:asciiTheme="majorHAnsi" w:eastAsia="MS Mincho" w:hAnsiTheme="majorHAnsi"/>
          <w:sz w:val="20"/>
          <w:szCs w:val="20"/>
        </w:rPr>
        <w:t xml:space="preserve"> once this friendly settlement agreement is approved, through the issuance of the report of Article 49 of the ACHR, with the purpose of repairing the damages caused to the families of the victims duly legitimized, who prove the affectations generated on the occasion of the facts of this case. The people to repair and the amounts to be awarded are as follows</w:t>
      </w:r>
      <w:r>
        <w:rPr>
          <w:rFonts w:asciiTheme="majorHAnsi" w:eastAsia="MS Mincho" w:hAnsiTheme="majorHAnsi"/>
          <w:sz w:val="20"/>
          <w:szCs w:val="20"/>
        </w:rPr>
        <w:t>:</w:t>
      </w:r>
    </w:p>
    <w:tbl>
      <w:tblPr>
        <w:tblStyle w:val="TableGrid"/>
        <w:tblpPr w:leftFromText="141" w:rightFromText="141" w:vertAnchor="text" w:horzAnchor="margin" w:tblpXSpec="center" w:tblpYSpec="outside"/>
        <w:tblW w:w="0" w:type="auto"/>
        <w:tblInd w:w="0" w:type="dxa"/>
        <w:tblLayout w:type="fixed"/>
        <w:tblLook w:val="04A0" w:firstRow="1" w:lastRow="0" w:firstColumn="1" w:lastColumn="0" w:noHBand="0" w:noVBand="1"/>
      </w:tblPr>
      <w:tblGrid>
        <w:gridCol w:w="3325"/>
        <w:gridCol w:w="2700"/>
        <w:gridCol w:w="2008"/>
      </w:tblGrid>
      <w:tr w:rsidR="00A76BC2" w:rsidRPr="00A76BC2" w14:paraId="3F855C8F" w14:textId="77777777" w:rsidTr="00A76BC2">
        <w:tc>
          <w:tcPr>
            <w:tcW w:w="3325" w:type="dxa"/>
            <w:tcBorders>
              <w:top w:val="single" w:sz="4" w:space="0" w:color="auto"/>
              <w:left w:val="single" w:sz="4" w:space="0" w:color="auto"/>
              <w:bottom w:val="single" w:sz="4" w:space="0" w:color="auto"/>
              <w:right w:val="single" w:sz="4" w:space="0" w:color="auto"/>
            </w:tcBorders>
            <w:hideMark/>
          </w:tcPr>
          <w:p w14:paraId="01788735" w14:textId="77777777" w:rsidR="00A76BC2" w:rsidRPr="00A76BC2" w:rsidRDefault="00A76BC2" w:rsidP="00A76BC2">
            <w:pPr>
              <w:ind w:left="720" w:right="720"/>
              <w:jc w:val="center"/>
              <w:rPr>
                <w:rFonts w:asciiTheme="majorHAnsi" w:hAnsiTheme="majorHAnsi" w:cs="Arial"/>
                <w:b/>
                <w:bCs/>
                <w:sz w:val="20"/>
                <w:szCs w:val="20"/>
                <w:lang w:val="es-VE" w:eastAsia="es-ES"/>
              </w:rPr>
            </w:pPr>
            <w:r w:rsidRPr="00A76BC2">
              <w:rPr>
                <w:rFonts w:asciiTheme="majorHAnsi" w:hAnsiTheme="majorHAnsi" w:cs="Arial"/>
                <w:b/>
                <w:bCs/>
                <w:sz w:val="20"/>
                <w:szCs w:val="20"/>
                <w:lang w:val="es-VE" w:eastAsia="es-ES"/>
              </w:rPr>
              <w:t>Full Names</w:t>
            </w:r>
          </w:p>
        </w:tc>
        <w:tc>
          <w:tcPr>
            <w:tcW w:w="2700" w:type="dxa"/>
            <w:tcBorders>
              <w:top w:val="single" w:sz="4" w:space="0" w:color="auto"/>
              <w:left w:val="single" w:sz="4" w:space="0" w:color="auto"/>
              <w:bottom w:val="single" w:sz="4" w:space="0" w:color="auto"/>
              <w:right w:val="single" w:sz="4" w:space="0" w:color="auto"/>
            </w:tcBorders>
            <w:hideMark/>
          </w:tcPr>
          <w:p w14:paraId="07E7AC10" w14:textId="77777777" w:rsidR="00A76BC2" w:rsidRPr="00A76BC2" w:rsidRDefault="00A76BC2" w:rsidP="00A76BC2">
            <w:pPr>
              <w:ind w:left="720" w:right="720"/>
              <w:jc w:val="center"/>
              <w:rPr>
                <w:rFonts w:asciiTheme="majorHAnsi" w:hAnsiTheme="majorHAnsi" w:cs="Arial"/>
                <w:b/>
                <w:bCs/>
                <w:sz w:val="16"/>
                <w:szCs w:val="16"/>
                <w:lang w:val="es-VE" w:eastAsia="es-ES"/>
              </w:rPr>
            </w:pPr>
            <w:r w:rsidRPr="00A76BC2">
              <w:rPr>
                <w:rFonts w:asciiTheme="majorHAnsi" w:hAnsiTheme="majorHAnsi" w:cs="Arial"/>
                <w:b/>
                <w:bCs/>
                <w:sz w:val="16"/>
                <w:szCs w:val="16"/>
                <w:lang w:val="es-VE" w:eastAsia="es-ES"/>
              </w:rPr>
              <w:t>Relationship</w:t>
            </w:r>
          </w:p>
        </w:tc>
        <w:tc>
          <w:tcPr>
            <w:tcW w:w="2008" w:type="dxa"/>
            <w:tcBorders>
              <w:top w:val="single" w:sz="4" w:space="0" w:color="auto"/>
              <w:left w:val="single" w:sz="4" w:space="0" w:color="auto"/>
              <w:bottom w:val="single" w:sz="4" w:space="0" w:color="auto"/>
              <w:right w:val="single" w:sz="4" w:space="0" w:color="auto"/>
            </w:tcBorders>
            <w:hideMark/>
          </w:tcPr>
          <w:p w14:paraId="5DC090F1" w14:textId="77777777" w:rsidR="00A76BC2" w:rsidRPr="00A76BC2" w:rsidRDefault="00A76BC2" w:rsidP="00A76BC2">
            <w:pPr>
              <w:ind w:left="720" w:right="720"/>
              <w:jc w:val="center"/>
              <w:rPr>
                <w:rFonts w:asciiTheme="majorHAnsi" w:hAnsiTheme="majorHAnsi" w:cs="Arial"/>
                <w:b/>
                <w:bCs/>
                <w:sz w:val="16"/>
                <w:szCs w:val="16"/>
                <w:lang w:val="es-VE" w:eastAsia="es-ES"/>
              </w:rPr>
            </w:pPr>
            <w:r w:rsidRPr="00A76BC2">
              <w:rPr>
                <w:rFonts w:asciiTheme="majorHAnsi" w:hAnsiTheme="majorHAnsi" w:cs="Arial"/>
                <w:b/>
                <w:bCs/>
                <w:sz w:val="16"/>
                <w:szCs w:val="16"/>
                <w:lang w:val="es-VE" w:eastAsia="es-ES"/>
              </w:rPr>
              <w:t>SMLMV</w:t>
            </w:r>
          </w:p>
        </w:tc>
      </w:tr>
      <w:tr w:rsidR="00A76BC2" w:rsidRPr="00A76BC2" w14:paraId="293734DA" w14:textId="77777777" w:rsidTr="00A76BC2">
        <w:tc>
          <w:tcPr>
            <w:tcW w:w="3325" w:type="dxa"/>
            <w:tcBorders>
              <w:top w:val="single" w:sz="4" w:space="0" w:color="auto"/>
              <w:left w:val="single" w:sz="4" w:space="0" w:color="auto"/>
              <w:bottom w:val="single" w:sz="4" w:space="0" w:color="auto"/>
              <w:right w:val="single" w:sz="4" w:space="0" w:color="auto"/>
            </w:tcBorders>
            <w:hideMark/>
          </w:tcPr>
          <w:p w14:paraId="7A3CA46D" w14:textId="77777777" w:rsidR="00A76BC2" w:rsidRPr="00A76BC2" w:rsidRDefault="00A76BC2" w:rsidP="00A76BC2">
            <w:pPr>
              <w:ind w:right="720"/>
              <w:rPr>
                <w:rFonts w:asciiTheme="majorHAnsi" w:hAnsiTheme="majorHAnsi" w:cs="Arial"/>
                <w:sz w:val="18"/>
                <w:szCs w:val="18"/>
                <w:lang w:val="es-VE" w:eastAsia="es-ES"/>
              </w:rPr>
            </w:pPr>
            <w:r w:rsidRPr="00A76BC2">
              <w:rPr>
                <w:rFonts w:asciiTheme="majorHAnsi" w:hAnsiTheme="majorHAnsi" w:cs="Arial"/>
                <w:sz w:val="18"/>
                <w:szCs w:val="18"/>
                <w:lang w:val="es-VE" w:eastAsia="es-ES"/>
              </w:rPr>
              <w:t>Luz Estella Posada Baena</w:t>
            </w:r>
          </w:p>
        </w:tc>
        <w:tc>
          <w:tcPr>
            <w:tcW w:w="2700" w:type="dxa"/>
            <w:tcBorders>
              <w:top w:val="single" w:sz="4" w:space="0" w:color="auto"/>
              <w:left w:val="single" w:sz="4" w:space="0" w:color="auto"/>
              <w:bottom w:val="single" w:sz="4" w:space="0" w:color="auto"/>
              <w:right w:val="single" w:sz="4" w:space="0" w:color="auto"/>
            </w:tcBorders>
            <w:hideMark/>
          </w:tcPr>
          <w:p w14:paraId="037CD892" w14:textId="77777777" w:rsidR="00A76BC2" w:rsidRPr="00A76BC2" w:rsidRDefault="00A76BC2" w:rsidP="00A76BC2">
            <w:pPr>
              <w:ind w:left="720" w:right="720"/>
              <w:jc w:val="center"/>
              <w:rPr>
                <w:rFonts w:asciiTheme="majorHAnsi" w:hAnsiTheme="majorHAnsi" w:cs="Arial"/>
                <w:sz w:val="18"/>
                <w:szCs w:val="18"/>
                <w:lang w:val="es-VE" w:eastAsia="es-ES"/>
              </w:rPr>
            </w:pPr>
            <w:r w:rsidRPr="00A76BC2">
              <w:rPr>
                <w:rFonts w:asciiTheme="majorHAnsi" w:hAnsiTheme="majorHAnsi" w:cs="Arial"/>
                <w:sz w:val="18"/>
                <w:szCs w:val="18"/>
                <w:lang w:val="es-VE" w:eastAsia="es-ES"/>
              </w:rPr>
              <w:t>Wife</w:t>
            </w:r>
          </w:p>
        </w:tc>
        <w:tc>
          <w:tcPr>
            <w:tcW w:w="2008" w:type="dxa"/>
            <w:tcBorders>
              <w:top w:val="single" w:sz="4" w:space="0" w:color="auto"/>
              <w:left w:val="single" w:sz="4" w:space="0" w:color="auto"/>
              <w:bottom w:val="single" w:sz="4" w:space="0" w:color="auto"/>
              <w:right w:val="single" w:sz="4" w:space="0" w:color="auto"/>
            </w:tcBorders>
            <w:hideMark/>
          </w:tcPr>
          <w:p w14:paraId="678D0CF6" w14:textId="77777777" w:rsidR="00A76BC2" w:rsidRPr="00A76BC2" w:rsidRDefault="00A76BC2" w:rsidP="00A76BC2">
            <w:pPr>
              <w:ind w:left="720" w:right="720"/>
              <w:jc w:val="center"/>
              <w:rPr>
                <w:rFonts w:asciiTheme="majorHAnsi" w:hAnsiTheme="majorHAnsi" w:cs="Arial"/>
                <w:sz w:val="18"/>
                <w:szCs w:val="18"/>
                <w:lang w:val="es-VE" w:eastAsia="es-ES"/>
              </w:rPr>
            </w:pPr>
            <w:r w:rsidRPr="00A76BC2">
              <w:rPr>
                <w:rFonts w:asciiTheme="majorHAnsi" w:hAnsiTheme="majorHAnsi" w:cs="Arial"/>
                <w:sz w:val="18"/>
                <w:szCs w:val="18"/>
                <w:lang w:val="es-VE" w:eastAsia="es-ES"/>
              </w:rPr>
              <w:t>50</w:t>
            </w:r>
          </w:p>
        </w:tc>
      </w:tr>
      <w:tr w:rsidR="00A76BC2" w:rsidRPr="00A76BC2" w14:paraId="083F0CA6" w14:textId="77777777" w:rsidTr="00A76BC2">
        <w:tc>
          <w:tcPr>
            <w:tcW w:w="3325" w:type="dxa"/>
            <w:tcBorders>
              <w:top w:val="single" w:sz="4" w:space="0" w:color="auto"/>
              <w:left w:val="single" w:sz="4" w:space="0" w:color="auto"/>
              <w:bottom w:val="single" w:sz="4" w:space="0" w:color="auto"/>
              <w:right w:val="single" w:sz="4" w:space="0" w:color="auto"/>
            </w:tcBorders>
            <w:hideMark/>
          </w:tcPr>
          <w:p w14:paraId="45F34FDC" w14:textId="77777777" w:rsidR="00A76BC2" w:rsidRPr="00A76BC2" w:rsidRDefault="00A76BC2" w:rsidP="00A76BC2">
            <w:pPr>
              <w:ind w:right="720"/>
              <w:rPr>
                <w:rFonts w:asciiTheme="majorHAnsi" w:hAnsiTheme="majorHAnsi" w:cs="Arial"/>
                <w:sz w:val="18"/>
                <w:szCs w:val="18"/>
                <w:lang w:val="es-VE" w:eastAsia="es-ES"/>
              </w:rPr>
            </w:pPr>
            <w:r w:rsidRPr="00A76BC2">
              <w:rPr>
                <w:rFonts w:asciiTheme="majorHAnsi" w:hAnsiTheme="majorHAnsi" w:cs="Arial"/>
                <w:sz w:val="18"/>
                <w:szCs w:val="18"/>
                <w:lang w:val="es-VE" w:eastAsia="es-ES"/>
              </w:rPr>
              <w:t xml:space="preserve">Cindy Johanna Gómez Posada </w:t>
            </w:r>
          </w:p>
        </w:tc>
        <w:tc>
          <w:tcPr>
            <w:tcW w:w="2700" w:type="dxa"/>
            <w:tcBorders>
              <w:top w:val="single" w:sz="4" w:space="0" w:color="auto"/>
              <w:left w:val="single" w:sz="4" w:space="0" w:color="auto"/>
              <w:bottom w:val="single" w:sz="4" w:space="0" w:color="auto"/>
              <w:right w:val="single" w:sz="4" w:space="0" w:color="auto"/>
            </w:tcBorders>
            <w:hideMark/>
          </w:tcPr>
          <w:p w14:paraId="224B7B66" w14:textId="77777777" w:rsidR="00A76BC2" w:rsidRPr="00A76BC2" w:rsidRDefault="00A76BC2" w:rsidP="00A76BC2">
            <w:pPr>
              <w:ind w:left="720" w:right="720"/>
              <w:jc w:val="center"/>
              <w:rPr>
                <w:rFonts w:asciiTheme="majorHAnsi" w:hAnsiTheme="majorHAnsi" w:cs="Arial"/>
                <w:sz w:val="18"/>
                <w:szCs w:val="18"/>
                <w:lang w:val="es-VE" w:eastAsia="es-ES"/>
              </w:rPr>
            </w:pPr>
            <w:r w:rsidRPr="00A76BC2">
              <w:rPr>
                <w:rFonts w:asciiTheme="majorHAnsi" w:hAnsiTheme="majorHAnsi" w:cs="Arial"/>
                <w:sz w:val="18"/>
                <w:szCs w:val="18"/>
                <w:lang w:val="es-VE" w:eastAsia="es-ES"/>
              </w:rPr>
              <w:t>Daughter</w:t>
            </w:r>
          </w:p>
        </w:tc>
        <w:tc>
          <w:tcPr>
            <w:tcW w:w="2008" w:type="dxa"/>
            <w:tcBorders>
              <w:top w:val="single" w:sz="4" w:space="0" w:color="auto"/>
              <w:left w:val="single" w:sz="4" w:space="0" w:color="auto"/>
              <w:bottom w:val="single" w:sz="4" w:space="0" w:color="auto"/>
              <w:right w:val="single" w:sz="4" w:space="0" w:color="auto"/>
            </w:tcBorders>
            <w:hideMark/>
          </w:tcPr>
          <w:p w14:paraId="44C9AEAD" w14:textId="77777777" w:rsidR="00A76BC2" w:rsidRPr="00A76BC2" w:rsidRDefault="00A76BC2" w:rsidP="00A76BC2">
            <w:pPr>
              <w:ind w:left="720" w:right="720"/>
              <w:jc w:val="center"/>
              <w:rPr>
                <w:rFonts w:asciiTheme="majorHAnsi" w:hAnsiTheme="majorHAnsi" w:cs="Arial"/>
                <w:sz w:val="18"/>
                <w:szCs w:val="18"/>
                <w:lang w:val="es-VE" w:eastAsia="es-ES"/>
              </w:rPr>
            </w:pPr>
            <w:r w:rsidRPr="00A76BC2">
              <w:rPr>
                <w:rFonts w:asciiTheme="majorHAnsi" w:hAnsiTheme="majorHAnsi" w:cs="Arial"/>
                <w:sz w:val="18"/>
                <w:szCs w:val="18"/>
                <w:lang w:val="es-VE" w:eastAsia="es-ES"/>
              </w:rPr>
              <w:t>50</w:t>
            </w:r>
          </w:p>
        </w:tc>
      </w:tr>
      <w:tr w:rsidR="00A76BC2" w:rsidRPr="00A76BC2" w14:paraId="25445BBA" w14:textId="77777777" w:rsidTr="00A76BC2">
        <w:tc>
          <w:tcPr>
            <w:tcW w:w="3325" w:type="dxa"/>
            <w:tcBorders>
              <w:top w:val="single" w:sz="4" w:space="0" w:color="auto"/>
              <w:left w:val="single" w:sz="4" w:space="0" w:color="auto"/>
              <w:bottom w:val="single" w:sz="4" w:space="0" w:color="auto"/>
              <w:right w:val="single" w:sz="4" w:space="0" w:color="auto"/>
            </w:tcBorders>
            <w:hideMark/>
          </w:tcPr>
          <w:p w14:paraId="75D5020F" w14:textId="77777777" w:rsidR="00A76BC2" w:rsidRPr="00A76BC2" w:rsidRDefault="00A76BC2" w:rsidP="00A76BC2">
            <w:pPr>
              <w:ind w:right="720"/>
              <w:rPr>
                <w:rFonts w:asciiTheme="majorHAnsi" w:hAnsiTheme="majorHAnsi" w:cs="Arial"/>
                <w:sz w:val="18"/>
                <w:szCs w:val="18"/>
                <w:lang w:val="es-VE" w:eastAsia="es-ES"/>
              </w:rPr>
            </w:pPr>
            <w:r w:rsidRPr="00A76BC2">
              <w:rPr>
                <w:rFonts w:asciiTheme="majorHAnsi" w:hAnsiTheme="majorHAnsi" w:cs="Arial"/>
                <w:sz w:val="18"/>
                <w:szCs w:val="18"/>
                <w:lang w:val="es-VE" w:eastAsia="es-ES"/>
              </w:rPr>
              <w:t xml:space="preserve">Dany Alexander Gómez Posada </w:t>
            </w:r>
          </w:p>
        </w:tc>
        <w:tc>
          <w:tcPr>
            <w:tcW w:w="2700" w:type="dxa"/>
            <w:tcBorders>
              <w:top w:val="single" w:sz="4" w:space="0" w:color="auto"/>
              <w:left w:val="single" w:sz="4" w:space="0" w:color="auto"/>
              <w:bottom w:val="single" w:sz="4" w:space="0" w:color="auto"/>
              <w:right w:val="single" w:sz="4" w:space="0" w:color="auto"/>
            </w:tcBorders>
            <w:hideMark/>
          </w:tcPr>
          <w:p w14:paraId="07BCFDC7" w14:textId="77777777" w:rsidR="00A76BC2" w:rsidRPr="00A76BC2" w:rsidRDefault="00A76BC2" w:rsidP="00A76BC2">
            <w:pPr>
              <w:ind w:left="720" w:right="720"/>
              <w:jc w:val="center"/>
              <w:rPr>
                <w:rFonts w:asciiTheme="majorHAnsi" w:hAnsiTheme="majorHAnsi" w:cs="Arial"/>
                <w:sz w:val="18"/>
                <w:szCs w:val="18"/>
                <w:lang w:val="es-VE" w:eastAsia="es-ES"/>
              </w:rPr>
            </w:pPr>
            <w:r w:rsidRPr="00A76BC2">
              <w:rPr>
                <w:rFonts w:asciiTheme="majorHAnsi" w:hAnsiTheme="majorHAnsi" w:cs="Arial"/>
                <w:sz w:val="18"/>
                <w:szCs w:val="18"/>
                <w:lang w:val="es-VE" w:eastAsia="es-ES"/>
              </w:rPr>
              <w:t>Son</w:t>
            </w:r>
          </w:p>
        </w:tc>
        <w:tc>
          <w:tcPr>
            <w:tcW w:w="2008" w:type="dxa"/>
            <w:tcBorders>
              <w:top w:val="single" w:sz="4" w:space="0" w:color="auto"/>
              <w:left w:val="single" w:sz="4" w:space="0" w:color="auto"/>
              <w:bottom w:val="single" w:sz="4" w:space="0" w:color="auto"/>
              <w:right w:val="single" w:sz="4" w:space="0" w:color="auto"/>
            </w:tcBorders>
            <w:hideMark/>
          </w:tcPr>
          <w:p w14:paraId="78606660" w14:textId="77777777" w:rsidR="00A76BC2" w:rsidRPr="00A76BC2" w:rsidRDefault="00A76BC2" w:rsidP="00A76BC2">
            <w:pPr>
              <w:ind w:left="720" w:right="720"/>
              <w:jc w:val="center"/>
              <w:rPr>
                <w:rFonts w:asciiTheme="majorHAnsi" w:hAnsiTheme="majorHAnsi" w:cs="Arial"/>
                <w:sz w:val="18"/>
                <w:szCs w:val="18"/>
                <w:lang w:val="es-VE" w:eastAsia="es-ES"/>
              </w:rPr>
            </w:pPr>
            <w:r w:rsidRPr="00A76BC2">
              <w:rPr>
                <w:rFonts w:asciiTheme="majorHAnsi" w:hAnsiTheme="majorHAnsi" w:cs="Arial"/>
                <w:sz w:val="18"/>
                <w:szCs w:val="18"/>
                <w:lang w:val="es-VE" w:eastAsia="es-ES"/>
              </w:rPr>
              <w:t>50</w:t>
            </w:r>
          </w:p>
        </w:tc>
      </w:tr>
      <w:tr w:rsidR="00A76BC2" w:rsidRPr="00A76BC2" w14:paraId="48BC8844" w14:textId="77777777" w:rsidTr="00A76BC2">
        <w:tc>
          <w:tcPr>
            <w:tcW w:w="3325" w:type="dxa"/>
            <w:tcBorders>
              <w:top w:val="single" w:sz="4" w:space="0" w:color="auto"/>
              <w:left w:val="single" w:sz="4" w:space="0" w:color="auto"/>
              <w:bottom w:val="single" w:sz="4" w:space="0" w:color="auto"/>
              <w:right w:val="single" w:sz="4" w:space="0" w:color="auto"/>
            </w:tcBorders>
            <w:hideMark/>
          </w:tcPr>
          <w:p w14:paraId="4A7FA2F2" w14:textId="77777777" w:rsidR="00A76BC2" w:rsidRPr="00A76BC2" w:rsidRDefault="00A76BC2" w:rsidP="00A76BC2">
            <w:pPr>
              <w:ind w:right="720"/>
              <w:rPr>
                <w:rFonts w:asciiTheme="majorHAnsi" w:hAnsiTheme="majorHAnsi" w:cs="Arial"/>
                <w:sz w:val="18"/>
                <w:szCs w:val="18"/>
                <w:lang w:val="es-VE" w:eastAsia="es-ES"/>
              </w:rPr>
            </w:pPr>
            <w:r w:rsidRPr="00A76BC2">
              <w:rPr>
                <w:rFonts w:asciiTheme="majorHAnsi" w:hAnsiTheme="majorHAnsi" w:cs="Arial"/>
                <w:sz w:val="18"/>
                <w:szCs w:val="18"/>
                <w:lang w:val="es-VE" w:eastAsia="es-ES"/>
              </w:rPr>
              <w:t>Francisco Antonio Gómez Villegas</w:t>
            </w:r>
          </w:p>
        </w:tc>
        <w:tc>
          <w:tcPr>
            <w:tcW w:w="2700" w:type="dxa"/>
            <w:tcBorders>
              <w:top w:val="single" w:sz="4" w:space="0" w:color="auto"/>
              <w:left w:val="single" w:sz="4" w:space="0" w:color="auto"/>
              <w:bottom w:val="single" w:sz="4" w:space="0" w:color="auto"/>
              <w:right w:val="single" w:sz="4" w:space="0" w:color="auto"/>
            </w:tcBorders>
            <w:hideMark/>
          </w:tcPr>
          <w:p w14:paraId="1D9AF67B" w14:textId="77777777" w:rsidR="00A76BC2" w:rsidRPr="00A76BC2" w:rsidRDefault="00A76BC2" w:rsidP="00A76BC2">
            <w:pPr>
              <w:ind w:left="720" w:right="720"/>
              <w:jc w:val="center"/>
              <w:rPr>
                <w:rFonts w:asciiTheme="majorHAnsi" w:hAnsiTheme="majorHAnsi" w:cs="Arial"/>
                <w:sz w:val="18"/>
                <w:szCs w:val="18"/>
                <w:lang w:val="es-VE" w:eastAsia="es-ES"/>
              </w:rPr>
            </w:pPr>
            <w:r w:rsidRPr="00A76BC2">
              <w:rPr>
                <w:rFonts w:asciiTheme="majorHAnsi" w:hAnsiTheme="majorHAnsi" w:cs="Arial"/>
                <w:sz w:val="18"/>
                <w:szCs w:val="18"/>
                <w:lang w:val="es-VE" w:eastAsia="es-ES"/>
              </w:rPr>
              <w:t>Father</w:t>
            </w:r>
          </w:p>
        </w:tc>
        <w:tc>
          <w:tcPr>
            <w:tcW w:w="2008" w:type="dxa"/>
            <w:tcBorders>
              <w:top w:val="single" w:sz="4" w:space="0" w:color="auto"/>
              <w:left w:val="single" w:sz="4" w:space="0" w:color="auto"/>
              <w:bottom w:val="single" w:sz="4" w:space="0" w:color="auto"/>
              <w:right w:val="single" w:sz="4" w:space="0" w:color="auto"/>
            </w:tcBorders>
            <w:hideMark/>
          </w:tcPr>
          <w:p w14:paraId="5CEE9AFB" w14:textId="77777777" w:rsidR="00A76BC2" w:rsidRPr="00A76BC2" w:rsidRDefault="00A76BC2" w:rsidP="00A76BC2">
            <w:pPr>
              <w:ind w:left="720" w:right="720"/>
              <w:jc w:val="center"/>
              <w:rPr>
                <w:rFonts w:asciiTheme="majorHAnsi" w:hAnsiTheme="majorHAnsi" w:cs="Arial"/>
                <w:sz w:val="18"/>
                <w:szCs w:val="18"/>
                <w:lang w:val="es-VE" w:eastAsia="es-ES"/>
              </w:rPr>
            </w:pPr>
            <w:r w:rsidRPr="00A76BC2">
              <w:rPr>
                <w:rFonts w:asciiTheme="majorHAnsi" w:hAnsiTheme="majorHAnsi" w:cs="Arial"/>
                <w:sz w:val="18"/>
                <w:szCs w:val="18"/>
                <w:lang w:val="es-VE" w:eastAsia="es-ES"/>
              </w:rPr>
              <w:t>50</w:t>
            </w:r>
          </w:p>
        </w:tc>
      </w:tr>
      <w:tr w:rsidR="00A76BC2" w:rsidRPr="00A76BC2" w14:paraId="50264777" w14:textId="77777777" w:rsidTr="00A76BC2">
        <w:tc>
          <w:tcPr>
            <w:tcW w:w="3325" w:type="dxa"/>
            <w:tcBorders>
              <w:top w:val="single" w:sz="4" w:space="0" w:color="auto"/>
              <w:left w:val="single" w:sz="4" w:space="0" w:color="auto"/>
              <w:bottom w:val="single" w:sz="4" w:space="0" w:color="auto"/>
              <w:right w:val="single" w:sz="4" w:space="0" w:color="auto"/>
            </w:tcBorders>
            <w:hideMark/>
          </w:tcPr>
          <w:p w14:paraId="03C486ED" w14:textId="77777777" w:rsidR="00A76BC2" w:rsidRPr="00A76BC2" w:rsidRDefault="00A76BC2" w:rsidP="00A76BC2">
            <w:pPr>
              <w:ind w:right="720"/>
              <w:rPr>
                <w:rFonts w:asciiTheme="majorHAnsi" w:hAnsiTheme="majorHAnsi" w:cs="Arial"/>
                <w:sz w:val="18"/>
                <w:szCs w:val="18"/>
                <w:lang w:val="es-VE" w:eastAsia="es-ES"/>
              </w:rPr>
            </w:pPr>
            <w:r w:rsidRPr="00A76BC2">
              <w:rPr>
                <w:rFonts w:asciiTheme="majorHAnsi" w:hAnsiTheme="majorHAnsi" w:cs="Arial"/>
                <w:sz w:val="18"/>
                <w:szCs w:val="18"/>
                <w:lang w:val="es-VE" w:eastAsia="es-ES"/>
              </w:rPr>
              <w:t>María Dioselina Atehortua de Gómez</w:t>
            </w:r>
          </w:p>
        </w:tc>
        <w:tc>
          <w:tcPr>
            <w:tcW w:w="2700" w:type="dxa"/>
            <w:tcBorders>
              <w:top w:val="single" w:sz="4" w:space="0" w:color="auto"/>
              <w:left w:val="single" w:sz="4" w:space="0" w:color="auto"/>
              <w:bottom w:val="single" w:sz="4" w:space="0" w:color="auto"/>
              <w:right w:val="single" w:sz="4" w:space="0" w:color="auto"/>
            </w:tcBorders>
            <w:hideMark/>
          </w:tcPr>
          <w:p w14:paraId="2578ECFE" w14:textId="77777777" w:rsidR="00A76BC2" w:rsidRPr="00A76BC2" w:rsidRDefault="00A76BC2" w:rsidP="00A76BC2">
            <w:pPr>
              <w:ind w:left="720" w:right="720"/>
              <w:jc w:val="center"/>
              <w:rPr>
                <w:rFonts w:asciiTheme="majorHAnsi" w:hAnsiTheme="majorHAnsi" w:cs="Arial"/>
                <w:sz w:val="18"/>
                <w:szCs w:val="18"/>
                <w:lang w:val="es-VE" w:eastAsia="es-ES"/>
              </w:rPr>
            </w:pPr>
            <w:r w:rsidRPr="00A76BC2">
              <w:rPr>
                <w:rFonts w:asciiTheme="majorHAnsi" w:hAnsiTheme="majorHAnsi" w:cs="Arial"/>
                <w:sz w:val="18"/>
                <w:szCs w:val="18"/>
                <w:lang w:val="es-VE" w:eastAsia="es-ES"/>
              </w:rPr>
              <w:t>Mother</w:t>
            </w:r>
          </w:p>
        </w:tc>
        <w:tc>
          <w:tcPr>
            <w:tcW w:w="2008" w:type="dxa"/>
            <w:tcBorders>
              <w:top w:val="single" w:sz="4" w:space="0" w:color="auto"/>
              <w:left w:val="single" w:sz="4" w:space="0" w:color="auto"/>
              <w:bottom w:val="single" w:sz="4" w:space="0" w:color="auto"/>
              <w:right w:val="single" w:sz="4" w:space="0" w:color="auto"/>
            </w:tcBorders>
            <w:hideMark/>
          </w:tcPr>
          <w:p w14:paraId="2B289D46" w14:textId="77777777" w:rsidR="00A76BC2" w:rsidRPr="00A76BC2" w:rsidRDefault="00A76BC2" w:rsidP="00A76BC2">
            <w:pPr>
              <w:ind w:left="720" w:right="720"/>
              <w:jc w:val="center"/>
              <w:rPr>
                <w:rFonts w:asciiTheme="majorHAnsi" w:hAnsiTheme="majorHAnsi" w:cs="Arial"/>
                <w:sz w:val="18"/>
                <w:szCs w:val="18"/>
                <w:lang w:val="es-VE" w:eastAsia="es-ES"/>
              </w:rPr>
            </w:pPr>
            <w:r w:rsidRPr="00A76BC2">
              <w:rPr>
                <w:rFonts w:asciiTheme="majorHAnsi" w:hAnsiTheme="majorHAnsi" w:cs="Arial"/>
                <w:sz w:val="18"/>
                <w:szCs w:val="18"/>
                <w:lang w:val="es-VE" w:eastAsia="es-ES"/>
              </w:rPr>
              <w:t>50</w:t>
            </w:r>
          </w:p>
        </w:tc>
      </w:tr>
      <w:tr w:rsidR="00A76BC2" w:rsidRPr="00A76BC2" w14:paraId="118E32E5" w14:textId="77777777" w:rsidTr="00A76BC2">
        <w:tc>
          <w:tcPr>
            <w:tcW w:w="3325" w:type="dxa"/>
            <w:hideMark/>
          </w:tcPr>
          <w:p w14:paraId="6790938B" w14:textId="77777777" w:rsidR="00A76BC2" w:rsidRPr="00A76BC2" w:rsidRDefault="00A76BC2" w:rsidP="00A76BC2">
            <w:pPr>
              <w:ind w:right="720"/>
              <w:rPr>
                <w:rFonts w:asciiTheme="majorHAnsi" w:hAnsiTheme="majorHAnsi" w:cs="Arial"/>
                <w:sz w:val="18"/>
                <w:szCs w:val="18"/>
                <w:lang w:val="es-VE" w:eastAsia="es-ES"/>
              </w:rPr>
            </w:pPr>
            <w:r w:rsidRPr="00A76BC2">
              <w:rPr>
                <w:rFonts w:asciiTheme="majorHAnsi" w:hAnsiTheme="majorHAnsi" w:cs="Arial"/>
                <w:sz w:val="18"/>
                <w:szCs w:val="18"/>
                <w:lang w:val="es-VE" w:eastAsia="es-ES"/>
              </w:rPr>
              <w:t xml:space="preserve">Aura Elena Gómez Atehortua </w:t>
            </w:r>
          </w:p>
        </w:tc>
        <w:tc>
          <w:tcPr>
            <w:tcW w:w="2700" w:type="dxa"/>
            <w:hideMark/>
          </w:tcPr>
          <w:p w14:paraId="30792A3E" w14:textId="77777777" w:rsidR="00A76BC2" w:rsidRPr="00A76BC2" w:rsidRDefault="00A76BC2" w:rsidP="00A76BC2">
            <w:pPr>
              <w:ind w:left="720" w:right="720"/>
              <w:jc w:val="center"/>
              <w:rPr>
                <w:rFonts w:asciiTheme="majorHAnsi" w:hAnsiTheme="majorHAnsi" w:cs="Arial"/>
                <w:sz w:val="18"/>
                <w:szCs w:val="18"/>
                <w:lang w:val="es-VE" w:eastAsia="es-ES"/>
              </w:rPr>
            </w:pPr>
            <w:r w:rsidRPr="00A76BC2">
              <w:rPr>
                <w:rFonts w:asciiTheme="majorHAnsi" w:hAnsiTheme="majorHAnsi" w:cs="Arial"/>
                <w:sz w:val="18"/>
                <w:szCs w:val="18"/>
                <w:lang w:val="es-VE" w:eastAsia="es-ES"/>
              </w:rPr>
              <w:t>Sister</w:t>
            </w:r>
          </w:p>
        </w:tc>
        <w:tc>
          <w:tcPr>
            <w:tcW w:w="2008" w:type="dxa"/>
            <w:hideMark/>
          </w:tcPr>
          <w:p w14:paraId="335651D5" w14:textId="77777777" w:rsidR="00A76BC2" w:rsidRPr="00A76BC2" w:rsidRDefault="00A76BC2" w:rsidP="00A76BC2">
            <w:pPr>
              <w:ind w:left="720" w:right="720"/>
              <w:jc w:val="center"/>
              <w:rPr>
                <w:rFonts w:asciiTheme="majorHAnsi" w:hAnsiTheme="majorHAnsi" w:cs="Arial"/>
                <w:sz w:val="18"/>
                <w:szCs w:val="18"/>
                <w:lang w:val="es-VE" w:eastAsia="es-ES"/>
              </w:rPr>
            </w:pPr>
            <w:r w:rsidRPr="00A76BC2">
              <w:rPr>
                <w:rFonts w:asciiTheme="majorHAnsi" w:hAnsiTheme="majorHAnsi" w:cs="Arial"/>
                <w:sz w:val="18"/>
                <w:szCs w:val="18"/>
                <w:lang w:val="es-VE" w:eastAsia="es-ES"/>
              </w:rPr>
              <w:t>25</w:t>
            </w:r>
          </w:p>
        </w:tc>
      </w:tr>
      <w:tr w:rsidR="00A76BC2" w:rsidRPr="00A76BC2" w14:paraId="0A4768BE" w14:textId="77777777" w:rsidTr="00A76BC2">
        <w:tc>
          <w:tcPr>
            <w:tcW w:w="3325" w:type="dxa"/>
            <w:hideMark/>
          </w:tcPr>
          <w:p w14:paraId="17433EDB" w14:textId="77777777" w:rsidR="00A76BC2" w:rsidRPr="00A76BC2" w:rsidRDefault="00A76BC2" w:rsidP="00A76BC2">
            <w:pPr>
              <w:ind w:right="720"/>
              <w:rPr>
                <w:rFonts w:asciiTheme="majorHAnsi" w:hAnsiTheme="majorHAnsi" w:cs="Arial"/>
                <w:sz w:val="18"/>
                <w:szCs w:val="18"/>
                <w:lang w:val="pt-BR" w:eastAsia="es-ES"/>
              </w:rPr>
            </w:pPr>
            <w:r w:rsidRPr="00A76BC2">
              <w:rPr>
                <w:rFonts w:asciiTheme="majorHAnsi" w:hAnsiTheme="majorHAnsi" w:cs="Arial"/>
                <w:sz w:val="18"/>
                <w:szCs w:val="18"/>
                <w:lang w:val="pt-BR" w:eastAsia="es-ES"/>
              </w:rPr>
              <w:t xml:space="preserve">Alirio de Jesús Gómez Atehortua </w:t>
            </w:r>
          </w:p>
        </w:tc>
        <w:tc>
          <w:tcPr>
            <w:tcW w:w="2700" w:type="dxa"/>
            <w:hideMark/>
          </w:tcPr>
          <w:p w14:paraId="09CF0BDD" w14:textId="77777777" w:rsidR="00A76BC2" w:rsidRPr="00A76BC2" w:rsidRDefault="00A76BC2" w:rsidP="00A76BC2">
            <w:pPr>
              <w:ind w:left="720" w:right="720"/>
              <w:jc w:val="center"/>
              <w:rPr>
                <w:rFonts w:asciiTheme="majorHAnsi" w:hAnsiTheme="majorHAnsi" w:cs="Arial"/>
                <w:sz w:val="18"/>
                <w:szCs w:val="18"/>
                <w:lang w:val="es-VE" w:eastAsia="es-ES"/>
              </w:rPr>
            </w:pPr>
            <w:r w:rsidRPr="00A76BC2">
              <w:rPr>
                <w:rFonts w:asciiTheme="majorHAnsi" w:hAnsiTheme="majorHAnsi" w:cs="Arial"/>
                <w:sz w:val="18"/>
                <w:szCs w:val="18"/>
                <w:lang w:val="es-VE" w:eastAsia="es-ES"/>
              </w:rPr>
              <w:t>Brother</w:t>
            </w:r>
          </w:p>
        </w:tc>
        <w:tc>
          <w:tcPr>
            <w:tcW w:w="2008" w:type="dxa"/>
            <w:hideMark/>
          </w:tcPr>
          <w:p w14:paraId="6706C884" w14:textId="77777777" w:rsidR="00A76BC2" w:rsidRPr="00A76BC2" w:rsidRDefault="00A76BC2" w:rsidP="00A76BC2">
            <w:pPr>
              <w:ind w:left="720" w:right="720"/>
              <w:jc w:val="center"/>
              <w:rPr>
                <w:rFonts w:asciiTheme="majorHAnsi" w:hAnsiTheme="majorHAnsi" w:cs="Arial"/>
                <w:sz w:val="18"/>
                <w:szCs w:val="18"/>
                <w:lang w:val="es-VE" w:eastAsia="es-ES"/>
              </w:rPr>
            </w:pPr>
            <w:r w:rsidRPr="00A76BC2">
              <w:rPr>
                <w:rFonts w:asciiTheme="majorHAnsi" w:hAnsiTheme="majorHAnsi" w:cs="Arial"/>
                <w:sz w:val="18"/>
                <w:szCs w:val="18"/>
                <w:lang w:val="es-VE" w:eastAsia="es-ES"/>
              </w:rPr>
              <w:t>25</w:t>
            </w:r>
          </w:p>
        </w:tc>
      </w:tr>
      <w:tr w:rsidR="00A76BC2" w:rsidRPr="00A76BC2" w14:paraId="0B996DA5" w14:textId="77777777" w:rsidTr="00A76BC2">
        <w:tc>
          <w:tcPr>
            <w:tcW w:w="3325" w:type="dxa"/>
            <w:hideMark/>
          </w:tcPr>
          <w:p w14:paraId="7089ED01" w14:textId="77777777" w:rsidR="00A76BC2" w:rsidRPr="00A76BC2" w:rsidRDefault="00A76BC2" w:rsidP="00A76BC2">
            <w:pPr>
              <w:ind w:right="720"/>
              <w:rPr>
                <w:rFonts w:asciiTheme="majorHAnsi" w:hAnsiTheme="majorHAnsi" w:cs="Arial"/>
                <w:sz w:val="18"/>
                <w:szCs w:val="18"/>
                <w:lang w:val="es-VE" w:eastAsia="es-ES"/>
              </w:rPr>
            </w:pPr>
            <w:r w:rsidRPr="00A76BC2">
              <w:rPr>
                <w:rFonts w:asciiTheme="majorHAnsi" w:hAnsiTheme="majorHAnsi" w:cs="Arial"/>
                <w:sz w:val="18"/>
                <w:szCs w:val="18"/>
                <w:lang w:val="es-VE" w:eastAsia="es-ES"/>
              </w:rPr>
              <w:t xml:space="preserve">Luz Amparo Gómez Atehortua </w:t>
            </w:r>
          </w:p>
        </w:tc>
        <w:tc>
          <w:tcPr>
            <w:tcW w:w="2700" w:type="dxa"/>
            <w:hideMark/>
          </w:tcPr>
          <w:p w14:paraId="7656311A" w14:textId="77777777" w:rsidR="00A76BC2" w:rsidRPr="00A76BC2" w:rsidRDefault="00A76BC2" w:rsidP="00A76BC2">
            <w:pPr>
              <w:ind w:left="720" w:right="720"/>
              <w:jc w:val="center"/>
              <w:rPr>
                <w:rFonts w:asciiTheme="majorHAnsi" w:hAnsiTheme="majorHAnsi" w:cs="Arial"/>
                <w:sz w:val="18"/>
                <w:szCs w:val="18"/>
                <w:lang w:val="es-VE" w:eastAsia="es-ES"/>
              </w:rPr>
            </w:pPr>
            <w:r w:rsidRPr="00A76BC2">
              <w:rPr>
                <w:rFonts w:asciiTheme="majorHAnsi" w:hAnsiTheme="majorHAnsi" w:cs="Arial"/>
                <w:sz w:val="18"/>
                <w:szCs w:val="18"/>
                <w:lang w:val="es-VE" w:eastAsia="es-ES"/>
              </w:rPr>
              <w:t>Sister</w:t>
            </w:r>
          </w:p>
        </w:tc>
        <w:tc>
          <w:tcPr>
            <w:tcW w:w="2008" w:type="dxa"/>
            <w:hideMark/>
          </w:tcPr>
          <w:p w14:paraId="63A6A875" w14:textId="77777777" w:rsidR="00A76BC2" w:rsidRPr="00A76BC2" w:rsidRDefault="00A76BC2" w:rsidP="00A76BC2">
            <w:pPr>
              <w:ind w:left="720" w:right="720"/>
              <w:jc w:val="center"/>
              <w:rPr>
                <w:rFonts w:asciiTheme="majorHAnsi" w:hAnsiTheme="majorHAnsi" w:cs="Arial"/>
                <w:sz w:val="18"/>
                <w:szCs w:val="18"/>
                <w:lang w:val="es-VE" w:eastAsia="es-ES"/>
              </w:rPr>
            </w:pPr>
            <w:r w:rsidRPr="00A76BC2">
              <w:rPr>
                <w:rFonts w:asciiTheme="majorHAnsi" w:hAnsiTheme="majorHAnsi" w:cs="Arial"/>
                <w:sz w:val="18"/>
                <w:szCs w:val="18"/>
                <w:lang w:val="es-VE" w:eastAsia="es-ES"/>
              </w:rPr>
              <w:t>25</w:t>
            </w:r>
          </w:p>
        </w:tc>
      </w:tr>
      <w:tr w:rsidR="00A76BC2" w:rsidRPr="00A76BC2" w14:paraId="2D028CC7" w14:textId="77777777" w:rsidTr="00A76BC2">
        <w:tc>
          <w:tcPr>
            <w:tcW w:w="3325" w:type="dxa"/>
            <w:hideMark/>
          </w:tcPr>
          <w:p w14:paraId="180FFDF4" w14:textId="77777777" w:rsidR="00A76BC2" w:rsidRPr="00A76BC2" w:rsidRDefault="00A76BC2" w:rsidP="00A76BC2">
            <w:pPr>
              <w:ind w:right="720"/>
              <w:rPr>
                <w:rFonts w:asciiTheme="majorHAnsi" w:hAnsiTheme="majorHAnsi" w:cs="Arial"/>
                <w:sz w:val="18"/>
                <w:szCs w:val="18"/>
                <w:lang w:val="es-VE" w:eastAsia="es-ES"/>
              </w:rPr>
            </w:pPr>
            <w:r w:rsidRPr="00A76BC2">
              <w:rPr>
                <w:rFonts w:asciiTheme="majorHAnsi" w:hAnsiTheme="majorHAnsi" w:cs="Arial"/>
                <w:sz w:val="18"/>
                <w:szCs w:val="18"/>
                <w:lang w:val="es-VE" w:eastAsia="es-ES"/>
              </w:rPr>
              <w:t>Liliam del Socorro Gómez</w:t>
            </w:r>
          </w:p>
        </w:tc>
        <w:tc>
          <w:tcPr>
            <w:tcW w:w="2700" w:type="dxa"/>
            <w:hideMark/>
          </w:tcPr>
          <w:p w14:paraId="388E3728" w14:textId="77777777" w:rsidR="00A76BC2" w:rsidRPr="00A76BC2" w:rsidRDefault="00A76BC2" w:rsidP="00A76BC2">
            <w:pPr>
              <w:ind w:left="720" w:right="720"/>
              <w:jc w:val="center"/>
              <w:rPr>
                <w:rFonts w:asciiTheme="majorHAnsi" w:hAnsiTheme="majorHAnsi" w:cs="Arial"/>
                <w:sz w:val="18"/>
                <w:szCs w:val="18"/>
                <w:lang w:val="es-VE" w:eastAsia="es-ES"/>
              </w:rPr>
            </w:pPr>
            <w:r w:rsidRPr="00A76BC2">
              <w:rPr>
                <w:rFonts w:asciiTheme="majorHAnsi" w:hAnsiTheme="majorHAnsi" w:cs="Arial"/>
                <w:sz w:val="18"/>
                <w:szCs w:val="18"/>
                <w:lang w:val="es-VE" w:eastAsia="es-ES"/>
              </w:rPr>
              <w:t>Sister</w:t>
            </w:r>
          </w:p>
        </w:tc>
        <w:tc>
          <w:tcPr>
            <w:tcW w:w="2008" w:type="dxa"/>
            <w:hideMark/>
          </w:tcPr>
          <w:p w14:paraId="42E6D83E" w14:textId="77777777" w:rsidR="00A76BC2" w:rsidRPr="00A76BC2" w:rsidRDefault="00A76BC2" w:rsidP="00A76BC2">
            <w:pPr>
              <w:ind w:left="720" w:right="720"/>
              <w:jc w:val="center"/>
              <w:rPr>
                <w:rFonts w:asciiTheme="majorHAnsi" w:hAnsiTheme="majorHAnsi" w:cs="Arial"/>
                <w:sz w:val="18"/>
                <w:szCs w:val="18"/>
                <w:lang w:val="es-VE" w:eastAsia="es-ES"/>
              </w:rPr>
            </w:pPr>
            <w:r w:rsidRPr="00A76BC2">
              <w:rPr>
                <w:rFonts w:asciiTheme="majorHAnsi" w:hAnsiTheme="majorHAnsi" w:cs="Arial"/>
                <w:sz w:val="18"/>
                <w:szCs w:val="18"/>
                <w:lang w:val="es-VE" w:eastAsia="es-ES"/>
              </w:rPr>
              <w:t>25</w:t>
            </w:r>
          </w:p>
        </w:tc>
      </w:tr>
      <w:tr w:rsidR="00A76BC2" w:rsidRPr="00A76BC2" w14:paraId="7BD064DF" w14:textId="77777777" w:rsidTr="00A76BC2">
        <w:tc>
          <w:tcPr>
            <w:tcW w:w="3325" w:type="dxa"/>
            <w:hideMark/>
          </w:tcPr>
          <w:p w14:paraId="55DF885B" w14:textId="77777777" w:rsidR="00A76BC2" w:rsidRPr="00A76BC2" w:rsidRDefault="00A76BC2" w:rsidP="00A76BC2">
            <w:pPr>
              <w:ind w:right="720"/>
              <w:rPr>
                <w:rFonts w:asciiTheme="majorHAnsi" w:hAnsiTheme="majorHAnsi" w:cs="Arial"/>
                <w:sz w:val="18"/>
                <w:szCs w:val="18"/>
                <w:lang w:val="es-VE" w:eastAsia="es-ES"/>
              </w:rPr>
            </w:pPr>
            <w:r w:rsidRPr="00A76BC2">
              <w:rPr>
                <w:rFonts w:asciiTheme="majorHAnsi" w:hAnsiTheme="majorHAnsi" w:cs="Arial"/>
                <w:sz w:val="18"/>
                <w:szCs w:val="18"/>
                <w:lang w:val="es-VE" w:eastAsia="es-ES"/>
              </w:rPr>
              <w:t xml:space="preserve">Dora Fanny Gómez Atehortua </w:t>
            </w:r>
          </w:p>
        </w:tc>
        <w:tc>
          <w:tcPr>
            <w:tcW w:w="2700" w:type="dxa"/>
            <w:hideMark/>
          </w:tcPr>
          <w:p w14:paraId="7B7EF1A2" w14:textId="77777777" w:rsidR="00A76BC2" w:rsidRPr="00A76BC2" w:rsidRDefault="00A76BC2" w:rsidP="00A76BC2">
            <w:pPr>
              <w:ind w:left="720" w:right="720"/>
              <w:jc w:val="center"/>
              <w:rPr>
                <w:rFonts w:asciiTheme="majorHAnsi" w:hAnsiTheme="majorHAnsi" w:cs="Arial"/>
                <w:sz w:val="18"/>
                <w:szCs w:val="18"/>
                <w:lang w:val="es-VE" w:eastAsia="es-ES"/>
              </w:rPr>
            </w:pPr>
            <w:r w:rsidRPr="00A76BC2">
              <w:rPr>
                <w:rFonts w:asciiTheme="majorHAnsi" w:hAnsiTheme="majorHAnsi" w:cs="Arial"/>
                <w:sz w:val="18"/>
                <w:szCs w:val="18"/>
                <w:lang w:val="es-VE" w:eastAsia="es-ES"/>
              </w:rPr>
              <w:t>Sister</w:t>
            </w:r>
          </w:p>
        </w:tc>
        <w:tc>
          <w:tcPr>
            <w:tcW w:w="2008" w:type="dxa"/>
            <w:hideMark/>
          </w:tcPr>
          <w:p w14:paraId="5008C73E" w14:textId="77777777" w:rsidR="00A76BC2" w:rsidRPr="00A76BC2" w:rsidRDefault="00A76BC2" w:rsidP="00A76BC2">
            <w:pPr>
              <w:ind w:left="720" w:right="720"/>
              <w:jc w:val="center"/>
              <w:rPr>
                <w:rFonts w:asciiTheme="majorHAnsi" w:hAnsiTheme="majorHAnsi" w:cs="Arial"/>
                <w:sz w:val="18"/>
                <w:szCs w:val="18"/>
                <w:lang w:val="es-VE" w:eastAsia="es-ES"/>
              </w:rPr>
            </w:pPr>
            <w:r w:rsidRPr="00A76BC2">
              <w:rPr>
                <w:rFonts w:asciiTheme="majorHAnsi" w:hAnsiTheme="majorHAnsi" w:cs="Arial"/>
                <w:sz w:val="18"/>
                <w:szCs w:val="18"/>
                <w:lang w:val="es-VE" w:eastAsia="es-ES"/>
              </w:rPr>
              <w:t>25</w:t>
            </w:r>
          </w:p>
        </w:tc>
      </w:tr>
      <w:tr w:rsidR="00A76BC2" w:rsidRPr="00A76BC2" w14:paraId="2104B0BF" w14:textId="77777777" w:rsidTr="00A76BC2">
        <w:tc>
          <w:tcPr>
            <w:tcW w:w="3325" w:type="dxa"/>
            <w:hideMark/>
          </w:tcPr>
          <w:p w14:paraId="04BAA691" w14:textId="77777777" w:rsidR="00A76BC2" w:rsidRPr="00A76BC2" w:rsidRDefault="00A76BC2" w:rsidP="00A76BC2">
            <w:pPr>
              <w:ind w:right="720"/>
              <w:rPr>
                <w:rFonts w:asciiTheme="majorHAnsi" w:hAnsiTheme="majorHAnsi" w:cs="Arial"/>
                <w:sz w:val="18"/>
                <w:szCs w:val="18"/>
                <w:lang w:val="es-VE" w:eastAsia="es-ES"/>
              </w:rPr>
            </w:pPr>
            <w:r w:rsidRPr="00A76BC2">
              <w:rPr>
                <w:rFonts w:asciiTheme="majorHAnsi" w:hAnsiTheme="majorHAnsi" w:cs="Arial"/>
                <w:sz w:val="18"/>
                <w:szCs w:val="18"/>
                <w:lang w:val="es-VE" w:eastAsia="es-ES"/>
              </w:rPr>
              <w:t xml:space="preserve">Leonardo Alfonso Gómez Atehortua </w:t>
            </w:r>
          </w:p>
        </w:tc>
        <w:tc>
          <w:tcPr>
            <w:tcW w:w="2700" w:type="dxa"/>
            <w:hideMark/>
          </w:tcPr>
          <w:p w14:paraId="0794BD5B" w14:textId="77777777" w:rsidR="00A76BC2" w:rsidRPr="00A76BC2" w:rsidRDefault="00A76BC2" w:rsidP="00A76BC2">
            <w:pPr>
              <w:ind w:left="720" w:right="720"/>
              <w:jc w:val="center"/>
              <w:rPr>
                <w:rFonts w:asciiTheme="majorHAnsi" w:hAnsiTheme="majorHAnsi" w:cs="Arial"/>
                <w:sz w:val="18"/>
                <w:szCs w:val="18"/>
                <w:lang w:val="es-VE" w:eastAsia="es-ES"/>
              </w:rPr>
            </w:pPr>
            <w:r w:rsidRPr="00A76BC2">
              <w:rPr>
                <w:rFonts w:asciiTheme="majorHAnsi" w:hAnsiTheme="majorHAnsi" w:cs="Arial"/>
                <w:sz w:val="18"/>
                <w:szCs w:val="18"/>
                <w:lang w:val="es-VE" w:eastAsia="es-ES"/>
              </w:rPr>
              <w:t>Brother</w:t>
            </w:r>
          </w:p>
        </w:tc>
        <w:tc>
          <w:tcPr>
            <w:tcW w:w="2008" w:type="dxa"/>
            <w:hideMark/>
          </w:tcPr>
          <w:p w14:paraId="7030F3C5" w14:textId="77777777" w:rsidR="00A76BC2" w:rsidRPr="00A76BC2" w:rsidRDefault="00A76BC2" w:rsidP="00A76BC2">
            <w:pPr>
              <w:ind w:left="720" w:right="720"/>
              <w:jc w:val="center"/>
              <w:rPr>
                <w:rFonts w:asciiTheme="majorHAnsi" w:hAnsiTheme="majorHAnsi" w:cs="Arial"/>
                <w:sz w:val="18"/>
                <w:szCs w:val="18"/>
                <w:lang w:val="es-VE" w:eastAsia="es-ES"/>
              </w:rPr>
            </w:pPr>
            <w:r w:rsidRPr="00A76BC2">
              <w:rPr>
                <w:rFonts w:asciiTheme="majorHAnsi" w:hAnsiTheme="majorHAnsi" w:cs="Arial"/>
                <w:sz w:val="18"/>
                <w:szCs w:val="18"/>
                <w:lang w:val="es-VE" w:eastAsia="es-ES"/>
              </w:rPr>
              <w:t>25</w:t>
            </w:r>
          </w:p>
        </w:tc>
      </w:tr>
      <w:tr w:rsidR="00A76BC2" w:rsidRPr="00A76BC2" w14:paraId="4B146ABA" w14:textId="77777777" w:rsidTr="00A76BC2">
        <w:tc>
          <w:tcPr>
            <w:tcW w:w="3325" w:type="dxa"/>
            <w:hideMark/>
          </w:tcPr>
          <w:p w14:paraId="4BFD63AE" w14:textId="77777777" w:rsidR="00A76BC2" w:rsidRPr="00A76BC2" w:rsidRDefault="00A76BC2" w:rsidP="00A76BC2">
            <w:pPr>
              <w:ind w:right="720"/>
              <w:rPr>
                <w:rFonts w:asciiTheme="majorHAnsi" w:hAnsiTheme="majorHAnsi" w:cs="Arial"/>
                <w:sz w:val="18"/>
                <w:szCs w:val="18"/>
                <w:lang w:val="es-VE" w:eastAsia="es-ES"/>
              </w:rPr>
            </w:pPr>
            <w:r w:rsidRPr="00A76BC2">
              <w:rPr>
                <w:rFonts w:asciiTheme="majorHAnsi" w:hAnsiTheme="majorHAnsi" w:cs="Arial"/>
                <w:sz w:val="18"/>
                <w:szCs w:val="18"/>
                <w:lang w:val="es-VE" w:eastAsia="es-ES"/>
              </w:rPr>
              <w:t xml:space="preserve">César Augusto Gómez Atehortua </w:t>
            </w:r>
          </w:p>
        </w:tc>
        <w:tc>
          <w:tcPr>
            <w:tcW w:w="2700" w:type="dxa"/>
            <w:hideMark/>
          </w:tcPr>
          <w:p w14:paraId="52E5F150" w14:textId="77777777" w:rsidR="00A76BC2" w:rsidRPr="00A76BC2" w:rsidRDefault="00A76BC2" w:rsidP="00A76BC2">
            <w:pPr>
              <w:ind w:left="720" w:right="720"/>
              <w:jc w:val="center"/>
              <w:rPr>
                <w:rFonts w:asciiTheme="majorHAnsi" w:hAnsiTheme="majorHAnsi" w:cs="Arial"/>
                <w:sz w:val="18"/>
                <w:szCs w:val="18"/>
                <w:lang w:val="es-VE" w:eastAsia="es-ES"/>
              </w:rPr>
            </w:pPr>
            <w:r w:rsidRPr="00A76BC2">
              <w:rPr>
                <w:rFonts w:asciiTheme="majorHAnsi" w:hAnsiTheme="majorHAnsi" w:cs="Arial"/>
                <w:sz w:val="18"/>
                <w:szCs w:val="18"/>
                <w:lang w:val="es-VE" w:eastAsia="es-ES"/>
              </w:rPr>
              <w:t>Brother</w:t>
            </w:r>
          </w:p>
        </w:tc>
        <w:tc>
          <w:tcPr>
            <w:tcW w:w="2008" w:type="dxa"/>
            <w:hideMark/>
          </w:tcPr>
          <w:p w14:paraId="5A676181" w14:textId="77777777" w:rsidR="00A76BC2" w:rsidRPr="00A76BC2" w:rsidRDefault="00A76BC2" w:rsidP="00A76BC2">
            <w:pPr>
              <w:ind w:left="720" w:right="720"/>
              <w:jc w:val="center"/>
              <w:rPr>
                <w:rFonts w:asciiTheme="majorHAnsi" w:hAnsiTheme="majorHAnsi" w:cs="Arial"/>
                <w:sz w:val="18"/>
                <w:szCs w:val="18"/>
                <w:lang w:val="es-VE" w:eastAsia="es-ES"/>
              </w:rPr>
            </w:pPr>
            <w:r w:rsidRPr="00A76BC2">
              <w:rPr>
                <w:rFonts w:asciiTheme="majorHAnsi" w:hAnsiTheme="majorHAnsi" w:cs="Arial"/>
                <w:sz w:val="18"/>
                <w:szCs w:val="18"/>
                <w:lang w:val="es-VE" w:eastAsia="es-ES"/>
              </w:rPr>
              <w:t>25</w:t>
            </w:r>
          </w:p>
        </w:tc>
      </w:tr>
      <w:tr w:rsidR="00A76BC2" w:rsidRPr="00A76BC2" w14:paraId="7DAAB8DA" w14:textId="77777777" w:rsidTr="00A76BC2">
        <w:tc>
          <w:tcPr>
            <w:tcW w:w="3325" w:type="dxa"/>
            <w:hideMark/>
          </w:tcPr>
          <w:p w14:paraId="694F4BBE" w14:textId="77777777" w:rsidR="00A76BC2" w:rsidRPr="00A76BC2" w:rsidRDefault="00A76BC2" w:rsidP="00A76BC2">
            <w:pPr>
              <w:ind w:right="720"/>
              <w:rPr>
                <w:rFonts w:asciiTheme="majorHAnsi" w:hAnsiTheme="majorHAnsi" w:cs="Arial"/>
                <w:sz w:val="18"/>
                <w:szCs w:val="18"/>
                <w:lang w:val="es-VE" w:eastAsia="es-ES"/>
              </w:rPr>
            </w:pPr>
            <w:r w:rsidRPr="00A76BC2">
              <w:rPr>
                <w:rFonts w:asciiTheme="majorHAnsi" w:hAnsiTheme="majorHAnsi" w:cs="Arial"/>
                <w:sz w:val="18"/>
                <w:szCs w:val="18"/>
                <w:lang w:val="es-VE" w:eastAsia="es-ES"/>
              </w:rPr>
              <w:t>Over Arley Gómez Atehortua</w:t>
            </w:r>
          </w:p>
        </w:tc>
        <w:tc>
          <w:tcPr>
            <w:tcW w:w="2700" w:type="dxa"/>
            <w:hideMark/>
          </w:tcPr>
          <w:p w14:paraId="2219A0A0" w14:textId="77777777" w:rsidR="00A76BC2" w:rsidRPr="00A76BC2" w:rsidRDefault="00A76BC2" w:rsidP="00A76BC2">
            <w:pPr>
              <w:ind w:left="720" w:right="720"/>
              <w:jc w:val="center"/>
              <w:rPr>
                <w:rFonts w:asciiTheme="majorHAnsi" w:hAnsiTheme="majorHAnsi" w:cs="Arial"/>
                <w:sz w:val="18"/>
                <w:szCs w:val="18"/>
                <w:lang w:val="es-VE" w:eastAsia="es-ES"/>
              </w:rPr>
            </w:pPr>
            <w:r w:rsidRPr="00A76BC2">
              <w:rPr>
                <w:rFonts w:asciiTheme="majorHAnsi" w:hAnsiTheme="majorHAnsi" w:cs="Arial"/>
                <w:sz w:val="18"/>
                <w:szCs w:val="18"/>
                <w:lang w:val="es-VE" w:eastAsia="es-ES"/>
              </w:rPr>
              <w:t>Brother</w:t>
            </w:r>
          </w:p>
        </w:tc>
        <w:tc>
          <w:tcPr>
            <w:tcW w:w="2008" w:type="dxa"/>
            <w:hideMark/>
          </w:tcPr>
          <w:p w14:paraId="4C33E37B" w14:textId="77777777" w:rsidR="00A76BC2" w:rsidRPr="00A76BC2" w:rsidRDefault="00A76BC2" w:rsidP="00A76BC2">
            <w:pPr>
              <w:ind w:left="720" w:right="720"/>
              <w:jc w:val="center"/>
              <w:rPr>
                <w:rFonts w:asciiTheme="majorHAnsi" w:hAnsiTheme="majorHAnsi" w:cs="Arial"/>
                <w:sz w:val="18"/>
                <w:szCs w:val="18"/>
                <w:lang w:val="es-VE" w:eastAsia="es-ES"/>
              </w:rPr>
            </w:pPr>
            <w:r w:rsidRPr="00A76BC2">
              <w:rPr>
                <w:rFonts w:asciiTheme="majorHAnsi" w:hAnsiTheme="majorHAnsi" w:cs="Arial"/>
                <w:sz w:val="18"/>
                <w:szCs w:val="18"/>
                <w:lang w:val="es-VE" w:eastAsia="es-ES"/>
              </w:rPr>
              <w:t>25</w:t>
            </w:r>
          </w:p>
        </w:tc>
      </w:tr>
    </w:tbl>
    <w:p w14:paraId="7A9747EA" w14:textId="7B0A5762" w:rsidR="00CE123B" w:rsidRDefault="00CE123B" w:rsidP="00A76BC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p>
    <w:p w14:paraId="1BF5307B" w14:textId="110B9A8A" w:rsidR="00216804" w:rsidRPr="00216804" w:rsidRDefault="00216804" w:rsidP="00A76BC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216804">
        <w:rPr>
          <w:rFonts w:asciiTheme="majorHAnsi" w:eastAsia="MS Mincho" w:hAnsiTheme="majorHAnsi"/>
          <w:sz w:val="20"/>
          <w:szCs w:val="20"/>
        </w:rPr>
        <w:t>Those who have been repaired by the administrative contentious jurisdiction for the facts that are the subject of the petition presented to the Inter-American Commission will not benefit from this measure.</w:t>
      </w:r>
    </w:p>
    <w:p w14:paraId="5FB6BA28" w14:textId="053460A6" w:rsidR="00216804" w:rsidRPr="00540906" w:rsidRDefault="00216804" w:rsidP="00A76BC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center"/>
        <w:rPr>
          <w:rFonts w:asciiTheme="majorHAnsi" w:eastAsia="MS Mincho" w:hAnsiTheme="majorHAnsi"/>
          <w:b/>
          <w:bCs/>
          <w:sz w:val="20"/>
          <w:szCs w:val="20"/>
        </w:rPr>
      </w:pPr>
      <w:r w:rsidRPr="00540906">
        <w:rPr>
          <w:rFonts w:asciiTheme="majorHAnsi" w:eastAsia="MS Mincho" w:hAnsiTheme="majorHAnsi"/>
          <w:b/>
          <w:bCs/>
          <w:sz w:val="20"/>
          <w:szCs w:val="20"/>
        </w:rPr>
        <w:t>FIFTH: APPROVAL AND MONITORING</w:t>
      </w:r>
    </w:p>
    <w:p w14:paraId="11492AA0" w14:textId="456C82D7" w:rsidR="00216804" w:rsidRPr="00216804" w:rsidRDefault="00216804" w:rsidP="00A76BC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216804">
        <w:rPr>
          <w:rFonts w:asciiTheme="majorHAnsi" w:eastAsia="MS Mincho" w:hAnsiTheme="majorHAnsi"/>
          <w:sz w:val="20"/>
          <w:szCs w:val="20"/>
        </w:rPr>
        <w:t>The parties request that the Inter-American Commission on Human Rights approve this agreement and follow it up.</w:t>
      </w:r>
    </w:p>
    <w:p w14:paraId="57B80DD4" w14:textId="6EE45755" w:rsidR="00216804" w:rsidRPr="00216804" w:rsidRDefault="00216804" w:rsidP="00A76BC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216804">
        <w:rPr>
          <w:rFonts w:asciiTheme="majorHAnsi" w:eastAsia="MS Mincho" w:hAnsiTheme="majorHAnsi"/>
          <w:sz w:val="20"/>
          <w:szCs w:val="20"/>
        </w:rPr>
        <w:t>This agreement was endorsed by the state entities committed to carrying out the reparation measures.</w:t>
      </w:r>
    </w:p>
    <w:p w14:paraId="3624B655" w14:textId="7901CBA4" w:rsidR="00CE123B" w:rsidRDefault="00216804" w:rsidP="00A76BC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216804">
        <w:rPr>
          <w:rFonts w:asciiTheme="majorHAnsi" w:eastAsia="MS Mincho" w:hAnsiTheme="majorHAnsi"/>
          <w:sz w:val="20"/>
          <w:szCs w:val="20"/>
        </w:rPr>
        <w:t>Signed in three copies, on the second (2) day of the month of December 2020.</w:t>
      </w:r>
    </w:p>
    <w:p w14:paraId="54EE54BA" w14:textId="77777777" w:rsidR="004F45A9" w:rsidRPr="001B2EC2" w:rsidRDefault="004F45A9" w:rsidP="00A76BC2">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rPr>
      </w:pPr>
    </w:p>
    <w:p w14:paraId="4F70061E" w14:textId="0072D247" w:rsidR="00B333BF" w:rsidRDefault="00151E64" w:rsidP="00A76BC2">
      <w:pPr>
        <w:pStyle w:val="ListParagraph"/>
        <w:numPr>
          <w:ilvl w:val="0"/>
          <w:numId w:val="56"/>
        </w:numPr>
        <w:ind w:left="0" w:firstLine="720"/>
        <w:jc w:val="both"/>
        <w:rPr>
          <w:rFonts w:asciiTheme="majorHAnsi" w:eastAsia="MS Mincho" w:hAnsiTheme="majorHAnsi"/>
          <w:b/>
          <w:sz w:val="20"/>
          <w:szCs w:val="20"/>
        </w:rPr>
      </w:pPr>
      <w:r w:rsidRPr="00151E64">
        <w:rPr>
          <w:rFonts w:asciiTheme="majorHAnsi" w:eastAsia="MS Mincho" w:hAnsiTheme="majorHAnsi"/>
          <w:b/>
          <w:sz w:val="20"/>
          <w:szCs w:val="20"/>
        </w:rPr>
        <w:t>DETERMINATION OF COMPATIBILITY AND COMPLIANCE</w:t>
      </w:r>
    </w:p>
    <w:p w14:paraId="17A77A4D" w14:textId="77777777" w:rsidR="00B333BF" w:rsidRPr="00151E64" w:rsidRDefault="00B333BF" w:rsidP="004F45A9">
      <w:pPr>
        <w:tabs>
          <w:tab w:val="num" w:pos="1440"/>
        </w:tabs>
        <w:jc w:val="both"/>
        <w:rPr>
          <w:rFonts w:asciiTheme="majorHAnsi" w:eastAsia="MS Mincho" w:hAnsiTheme="majorHAnsi"/>
          <w:b/>
          <w:sz w:val="20"/>
          <w:szCs w:val="20"/>
        </w:rPr>
      </w:pPr>
    </w:p>
    <w:p w14:paraId="3F69DB6B" w14:textId="5F87FC08" w:rsidR="00687202" w:rsidRPr="00687202" w:rsidRDefault="00687202" w:rsidP="004F45A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Cambria"/>
          <w:color w:val="000000"/>
          <w:sz w:val="20"/>
          <w:szCs w:val="20"/>
          <w:u w:color="000000"/>
          <w:lang w:eastAsia="es-ES"/>
        </w:rPr>
      </w:pPr>
      <w:r w:rsidRPr="00687202">
        <w:rPr>
          <w:rFonts w:asciiTheme="majorHAnsi" w:eastAsia="MS Mincho" w:hAnsiTheme="majorHAnsi" w:cs="Cambria"/>
          <w:color w:val="000000"/>
          <w:sz w:val="20"/>
          <w:szCs w:val="20"/>
          <w:u w:color="000000"/>
          <w:lang w:eastAsia="es-ES"/>
        </w:rPr>
        <w:t xml:space="preserve"> The IACHR reiterates that according to Articles 48.1.f and 49 of the American Convention, the purpose of this procedure is "to reach a friendly settlement of the matter based on</w:t>
      </w:r>
      <w:r w:rsidR="004F45A9">
        <w:rPr>
          <w:rFonts w:asciiTheme="majorHAnsi" w:eastAsia="MS Mincho" w:hAnsiTheme="majorHAnsi" w:cs="Cambria"/>
          <w:color w:val="000000"/>
          <w:sz w:val="20"/>
          <w:szCs w:val="20"/>
          <w:u w:color="000000"/>
          <w:lang w:eastAsia="es-ES"/>
        </w:rPr>
        <w:t xml:space="preserve"> the</w:t>
      </w:r>
      <w:r w:rsidRPr="00687202">
        <w:rPr>
          <w:rFonts w:asciiTheme="majorHAnsi" w:eastAsia="MS Mincho" w:hAnsiTheme="majorHAnsi" w:cs="Cambria"/>
          <w:color w:val="000000"/>
          <w:sz w:val="20"/>
          <w:szCs w:val="20"/>
          <w:u w:color="000000"/>
          <w:lang w:eastAsia="es-ES"/>
        </w:rPr>
        <w:t xml:space="preserve"> respect for the human rights recognized in the Convention." The acceptance of carrying out this procedure expresses the good faith of the State to comply with the purposes and objectives of the Convention by virtue of </w:t>
      </w:r>
      <w:r w:rsidRPr="004F45A9">
        <w:rPr>
          <w:rFonts w:asciiTheme="majorHAnsi" w:eastAsia="MS Mincho" w:hAnsiTheme="majorHAnsi" w:cs="Cambria"/>
          <w:i/>
          <w:iCs/>
          <w:color w:val="000000"/>
          <w:sz w:val="20"/>
          <w:szCs w:val="20"/>
          <w:u w:color="000000"/>
          <w:lang w:eastAsia="es-ES"/>
        </w:rPr>
        <w:t>the pacta sunt servanda</w:t>
      </w:r>
      <w:r w:rsidRPr="00687202">
        <w:rPr>
          <w:rFonts w:asciiTheme="majorHAnsi" w:eastAsia="MS Mincho" w:hAnsiTheme="majorHAnsi" w:cs="Cambria"/>
          <w:color w:val="000000"/>
          <w:sz w:val="20"/>
          <w:szCs w:val="20"/>
          <w:u w:color="000000"/>
          <w:lang w:eastAsia="es-ES"/>
        </w:rPr>
        <w:t xml:space="preserve"> principle, by which the States must comply in good faith with the obligations assumed in the treaties.</w:t>
      </w:r>
      <w:r w:rsidR="001B2EC2">
        <w:rPr>
          <w:rStyle w:val="FootnoteReference"/>
          <w:rFonts w:asciiTheme="majorHAnsi" w:eastAsia="MS Mincho" w:hAnsiTheme="majorHAnsi" w:cs="Cambria"/>
          <w:color w:val="000000"/>
          <w:sz w:val="20"/>
          <w:szCs w:val="20"/>
          <w:u w:color="000000"/>
          <w:lang w:eastAsia="es-ES"/>
        </w:rPr>
        <w:footnoteReference w:id="8"/>
      </w:r>
      <w:r w:rsidRPr="00687202">
        <w:rPr>
          <w:rFonts w:asciiTheme="majorHAnsi" w:eastAsia="MS Mincho" w:hAnsiTheme="majorHAnsi" w:cs="Cambria"/>
          <w:color w:val="000000"/>
          <w:sz w:val="20"/>
          <w:szCs w:val="20"/>
          <w:u w:color="000000"/>
          <w:lang w:eastAsia="es-ES"/>
        </w:rPr>
        <w:t xml:space="preserve"> It also wishes to reiterate that the friendly settlement procedure contemplated in the Convention allows the termination of individual cases in a non-contentious manner, and has shown, in cases involving various countries, to offer an important vehicle for settlement, which can be used by both parties. .</w:t>
      </w:r>
    </w:p>
    <w:p w14:paraId="5B137142" w14:textId="77777777" w:rsidR="00687202" w:rsidRPr="00687202" w:rsidRDefault="00687202" w:rsidP="004F45A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cs="Cambria"/>
          <w:color w:val="000000"/>
          <w:sz w:val="20"/>
          <w:szCs w:val="20"/>
          <w:u w:color="000000"/>
          <w:lang w:eastAsia="es-ES"/>
        </w:rPr>
      </w:pPr>
    </w:p>
    <w:p w14:paraId="13ECE591" w14:textId="788C6FB5" w:rsidR="00687202" w:rsidRPr="00687202" w:rsidRDefault="00687202" w:rsidP="004F45A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Cambria"/>
          <w:color w:val="000000"/>
          <w:sz w:val="20"/>
          <w:szCs w:val="20"/>
          <w:u w:color="000000"/>
          <w:lang w:eastAsia="es-ES"/>
        </w:rPr>
      </w:pPr>
      <w:r w:rsidRPr="00687202">
        <w:rPr>
          <w:rFonts w:asciiTheme="majorHAnsi" w:eastAsia="MS Mincho" w:hAnsiTheme="majorHAnsi" w:cs="Cambria"/>
          <w:color w:val="000000"/>
          <w:sz w:val="20"/>
          <w:szCs w:val="20"/>
          <w:u w:color="000000"/>
          <w:lang w:eastAsia="es-ES"/>
        </w:rPr>
        <w:t xml:space="preserve"> The Inter-American Commission has closely followed the development of the friendly settlement reached in the instant case and highly values ​​the efforts made by both parties during the negotiation of the agreement to reach this friendly settlement, which is compatible with the object and purpose of the Convention.</w:t>
      </w:r>
    </w:p>
    <w:p w14:paraId="022FB76F" w14:textId="77777777" w:rsidR="00687202" w:rsidRPr="00687202" w:rsidRDefault="00687202" w:rsidP="004F45A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cs="Cambria"/>
          <w:color w:val="000000"/>
          <w:sz w:val="20"/>
          <w:szCs w:val="20"/>
          <w:u w:color="000000"/>
          <w:lang w:eastAsia="es-ES"/>
        </w:rPr>
      </w:pPr>
    </w:p>
    <w:p w14:paraId="0820B0F2" w14:textId="65ABDEC3" w:rsidR="000414AD" w:rsidRDefault="00687202" w:rsidP="004F45A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1B2EC2">
        <w:rPr>
          <w:rFonts w:asciiTheme="majorHAnsi" w:eastAsia="MS Mincho" w:hAnsiTheme="majorHAnsi" w:cs="Cambria"/>
          <w:color w:val="000000"/>
          <w:sz w:val="20"/>
          <w:szCs w:val="20"/>
          <w:u w:color="000000"/>
          <w:lang w:eastAsia="es-ES"/>
        </w:rPr>
        <w:t>In accordance with the provisions of the friendly settlement agreement, as well as, by submitting a joint progress report on compliance with the agreed measures, dated March 19, 2021, the parties asked the Commission to adopt the report contemplated in Article 49 of the American Convention</w:t>
      </w:r>
      <w:r w:rsidR="00B5009B" w:rsidRPr="001B2EC2">
        <w:rPr>
          <w:rFonts w:asciiTheme="majorHAnsi" w:eastAsia="MS Mincho" w:hAnsiTheme="majorHAnsi"/>
          <w:color w:val="000000"/>
          <w:sz w:val="20"/>
          <w:szCs w:val="20"/>
        </w:rPr>
        <w:t xml:space="preserve">. </w:t>
      </w:r>
    </w:p>
    <w:p w14:paraId="2462AE3D" w14:textId="77777777" w:rsidR="001B2EC2" w:rsidRPr="001B2EC2" w:rsidRDefault="001B2EC2" w:rsidP="004F45A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color w:val="000000"/>
          <w:sz w:val="20"/>
          <w:szCs w:val="20"/>
        </w:rPr>
      </w:pPr>
    </w:p>
    <w:p w14:paraId="68887F1B" w14:textId="74C1F0AB" w:rsidR="009569D1" w:rsidRPr="009569D1" w:rsidRDefault="009569D1" w:rsidP="004F45A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imes New Roman"/>
          <w:sz w:val="20"/>
          <w:szCs w:val="20"/>
          <w:lang w:eastAsia="en-US"/>
        </w:rPr>
      </w:pPr>
      <w:r w:rsidRPr="009569D1">
        <w:rPr>
          <w:rFonts w:asciiTheme="majorHAnsi" w:eastAsia="MS Mincho" w:hAnsiTheme="majorHAnsi" w:cs="Times New Roman"/>
          <w:sz w:val="20"/>
          <w:szCs w:val="20"/>
          <w:lang w:eastAsia="en-US"/>
        </w:rPr>
        <w:t xml:space="preserve">The IACHR observes that, given the information provided by the parties up to that point and the request for approval of the </w:t>
      </w:r>
      <w:r w:rsidR="004F45A9">
        <w:rPr>
          <w:rFonts w:asciiTheme="majorHAnsi" w:eastAsia="MS Mincho" w:hAnsiTheme="majorHAnsi" w:cs="Times New Roman"/>
          <w:sz w:val="20"/>
          <w:szCs w:val="20"/>
          <w:lang w:eastAsia="en-US"/>
        </w:rPr>
        <w:t>F</w:t>
      </w:r>
      <w:r w:rsidRPr="009569D1">
        <w:rPr>
          <w:rFonts w:asciiTheme="majorHAnsi" w:eastAsia="MS Mincho" w:hAnsiTheme="majorHAnsi" w:cs="Times New Roman"/>
          <w:sz w:val="20"/>
          <w:szCs w:val="20"/>
          <w:lang w:eastAsia="en-US"/>
        </w:rPr>
        <w:t>SA submitted by the parties to the Commission, it is appropriate to assess compliance with the commitments established in the friendly settlement agreement.</w:t>
      </w:r>
    </w:p>
    <w:p w14:paraId="5781220C" w14:textId="77777777" w:rsidR="009569D1" w:rsidRPr="009569D1" w:rsidRDefault="009569D1" w:rsidP="004F45A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imes New Roman"/>
          <w:sz w:val="20"/>
          <w:szCs w:val="20"/>
          <w:lang w:eastAsia="en-US"/>
        </w:rPr>
      </w:pPr>
    </w:p>
    <w:p w14:paraId="10040E23" w14:textId="7DDD59FA" w:rsidR="009569D1" w:rsidRPr="009569D1" w:rsidRDefault="009569D1" w:rsidP="004F45A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imes New Roman"/>
          <w:sz w:val="20"/>
          <w:szCs w:val="20"/>
          <w:lang w:eastAsia="en-US"/>
        </w:rPr>
      </w:pPr>
      <w:r w:rsidRPr="009569D1">
        <w:rPr>
          <w:rFonts w:asciiTheme="majorHAnsi" w:eastAsia="MS Mincho" w:hAnsiTheme="majorHAnsi" w:cs="Times New Roman"/>
          <w:sz w:val="20"/>
          <w:szCs w:val="20"/>
          <w:lang w:eastAsia="en-US"/>
        </w:rPr>
        <w:t>The Inter-American Commission values ​​the third declaratory clause, in which the Colombian State recognizes its international responsibility for the violation of the right enshrined in Article 4 (right to life) of the American Convention on Human Rights.</w:t>
      </w:r>
    </w:p>
    <w:p w14:paraId="069F1E26" w14:textId="77777777" w:rsidR="009569D1" w:rsidRPr="009569D1" w:rsidRDefault="009569D1" w:rsidP="004F45A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imes New Roman"/>
          <w:sz w:val="20"/>
          <w:szCs w:val="20"/>
          <w:lang w:eastAsia="en-US"/>
        </w:rPr>
      </w:pPr>
    </w:p>
    <w:p w14:paraId="21544B95" w14:textId="2FD1D8B0" w:rsidR="009569D1" w:rsidRPr="009569D1" w:rsidRDefault="009569D1" w:rsidP="004F45A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imes New Roman"/>
          <w:sz w:val="20"/>
          <w:szCs w:val="20"/>
          <w:lang w:eastAsia="en-US"/>
        </w:rPr>
      </w:pPr>
      <w:r w:rsidRPr="009569D1">
        <w:rPr>
          <w:rFonts w:asciiTheme="majorHAnsi" w:eastAsia="MS Mincho" w:hAnsiTheme="majorHAnsi" w:cs="Times New Roman"/>
          <w:sz w:val="20"/>
          <w:szCs w:val="20"/>
          <w:lang w:eastAsia="en-US"/>
        </w:rPr>
        <w:t>In relation to the fourth section of the agreement, referring to the reparation measures agreed between the parties, it is up to the Commission to assess progress in compliance with each measure.</w:t>
      </w:r>
    </w:p>
    <w:p w14:paraId="39E45A50" w14:textId="77777777" w:rsidR="009569D1" w:rsidRPr="009569D1" w:rsidRDefault="009569D1" w:rsidP="004F45A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imes New Roman"/>
          <w:sz w:val="20"/>
          <w:szCs w:val="20"/>
          <w:lang w:eastAsia="en-US"/>
        </w:rPr>
      </w:pPr>
    </w:p>
    <w:p w14:paraId="086977F9" w14:textId="14C5E301" w:rsidR="009569D1" w:rsidRPr="009569D1" w:rsidRDefault="009569D1" w:rsidP="004F45A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imes New Roman"/>
          <w:sz w:val="20"/>
          <w:szCs w:val="20"/>
          <w:lang w:eastAsia="en-US"/>
        </w:rPr>
      </w:pPr>
      <w:r w:rsidRPr="009569D1">
        <w:rPr>
          <w:rFonts w:asciiTheme="majorHAnsi" w:eastAsia="MS Mincho" w:hAnsiTheme="majorHAnsi" w:cs="Times New Roman"/>
          <w:sz w:val="20"/>
          <w:szCs w:val="20"/>
          <w:lang w:eastAsia="en-US"/>
        </w:rPr>
        <w:t xml:space="preserve">Regarding numeral 1.1. of the fourth section, related to the act of redress, on March 19, 2021, the parties sent a joint report to the IACHR, in which they reported that there was a permanent communication between the State and the petitioners to agree on the details for </w:t>
      </w:r>
      <w:r w:rsidR="004F45A9">
        <w:rPr>
          <w:rFonts w:asciiTheme="majorHAnsi" w:eastAsia="MS Mincho" w:hAnsiTheme="majorHAnsi" w:cs="Times New Roman"/>
          <w:sz w:val="20"/>
          <w:szCs w:val="20"/>
          <w:lang w:eastAsia="en-US"/>
        </w:rPr>
        <w:t>compliance</w:t>
      </w:r>
      <w:r w:rsidRPr="009569D1">
        <w:rPr>
          <w:rFonts w:asciiTheme="majorHAnsi" w:eastAsia="MS Mincho" w:hAnsiTheme="majorHAnsi" w:cs="Times New Roman"/>
          <w:sz w:val="20"/>
          <w:szCs w:val="20"/>
          <w:lang w:eastAsia="en-US"/>
        </w:rPr>
        <w:t xml:space="preserve"> with this measure. According to the same report, the National Agency for the Legal Defense of the State sent an invitation to the act of acknowledgment of responsibility to the victims and their next of kin; and on February 23, 2021, an open </w:t>
      </w:r>
      <w:r w:rsidRPr="009569D1">
        <w:rPr>
          <w:rFonts w:asciiTheme="majorHAnsi" w:eastAsia="MS Mincho" w:hAnsiTheme="majorHAnsi" w:cs="Times New Roman"/>
          <w:sz w:val="20"/>
          <w:szCs w:val="20"/>
          <w:lang w:eastAsia="en-US"/>
        </w:rPr>
        <w:lastRenderedPageBreak/>
        <w:t>invitation for public participation in the event was published on the entity's website, and through social networks.</w:t>
      </w:r>
    </w:p>
    <w:p w14:paraId="512C34D1" w14:textId="77777777" w:rsidR="009569D1" w:rsidRPr="009569D1" w:rsidRDefault="009569D1" w:rsidP="004F45A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imes New Roman"/>
          <w:sz w:val="20"/>
          <w:szCs w:val="20"/>
          <w:lang w:eastAsia="en-US"/>
        </w:rPr>
      </w:pPr>
    </w:p>
    <w:p w14:paraId="27F319F5" w14:textId="5D3C26EA" w:rsidR="009569D1" w:rsidRPr="009569D1" w:rsidRDefault="009569D1" w:rsidP="004F45A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imes New Roman"/>
          <w:sz w:val="20"/>
          <w:szCs w:val="20"/>
          <w:lang w:eastAsia="en-US"/>
        </w:rPr>
      </w:pPr>
      <w:r w:rsidRPr="009569D1">
        <w:rPr>
          <w:rFonts w:asciiTheme="majorHAnsi" w:eastAsia="MS Mincho" w:hAnsiTheme="majorHAnsi" w:cs="Times New Roman"/>
          <w:sz w:val="20"/>
          <w:szCs w:val="20"/>
          <w:lang w:eastAsia="en-US"/>
        </w:rPr>
        <w:t xml:space="preserve">It should be noted that, according to the information that the Commission was able to verify, the act of redress was carried out on February 25, </w:t>
      </w:r>
      <w:r w:rsidR="004F45A9" w:rsidRPr="009569D1">
        <w:rPr>
          <w:rFonts w:asciiTheme="majorHAnsi" w:eastAsia="MS Mincho" w:hAnsiTheme="majorHAnsi" w:cs="Times New Roman"/>
          <w:sz w:val="20"/>
          <w:szCs w:val="20"/>
          <w:lang w:eastAsia="en-US"/>
        </w:rPr>
        <w:t>2021,</w:t>
      </w:r>
      <w:r w:rsidRPr="009569D1">
        <w:rPr>
          <w:rFonts w:asciiTheme="majorHAnsi" w:eastAsia="MS Mincho" w:hAnsiTheme="majorHAnsi" w:cs="Times New Roman"/>
          <w:sz w:val="20"/>
          <w:szCs w:val="20"/>
          <w:lang w:eastAsia="en-US"/>
        </w:rPr>
        <w:t xml:space="preserve"> at 2:00 pm and was </w:t>
      </w:r>
      <w:r w:rsidR="004F45A9">
        <w:rPr>
          <w:rFonts w:asciiTheme="majorHAnsi" w:eastAsia="MS Mincho" w:hAnsiTheme="majorHAnsi" w:cs="Times New Roman"/>
          <w:sz w:val="20"/>
          <w:szCs w:val="20"/>
          <w:lang w:eastAsia="en-US"/>
        </w:rPr>
        <w:t>held</w:t>
      </w:r>
      <w:r w:rsidRPr="009569D1">
        <w:rPr>
          <w:rFonts w:asciiTheme="majorHAnsi" w:eastAsia="MS Mincho" w:hAnsiTheme="majorHAnsi" w:cs="Times New Roman"/>
          <w:sz w:val="20"/>
          <w:szCs w:val="20"/>
          <w:lang w:eastAsia="en-US"/>
        </w:rPr>
        <w:t xml:space="preserve"> virtually. This was chaired by the Director of International Legal Defense of the National Agency for the Legal Defense of the State, and was attended by the President of the Inter-American Commission on Human Rights and Rapporteur for Colombia, Antonia Urrejola; the petitioner Roberto Fernando Paz Salas; Mrs. Cindy Johanna Gómez Posada, and victims, relatives and close friends. Likewise, </w:t>
      </w:r>
      <w:r w:rsidR="004F45A9">
        <w:rPr>
          <w:rFonts w:asciiTheme="majorHAnsi" w:eastAsia="MS Mincho" w:hAnsiTheme="majorHAnsi" w:cs="Times New Roman"/>
          <w:sz w:val="20"/>
          <w:szCs w:val="20"/>
          <w:lang w:eastAsia="en-US"/>
        </w:rPr>
        <w:t>it</w:t>
      </w:r>
      <w:r w:rsidRPr="009569D1">
        <w:rPr>
          <w:rFonts w:asciiTheme="majorHAnsi" w:eastAsia="MS Mincho" w:hAnsiTheme="majorHAnsi" w:cs="Times New Roman"/>
          <w:sz w:val="20"/>
          <w:szCs w:val="20"/>
          <w:lang w:eastAsia="en-US"/>
        </w:rPr>
        <w:t xml:space="preserve"> was followed by technical personnel from the Executive Secretariat of the IACHR. This act was broadcast live through the YouTube platform, and is publicly available.</w:t>
      </w:r>
      <w:r w:rsidR="001B2EC2">
        <w:rPr>
          <w:rStyle w:val="FootnoteReference"/>
          <w:rFonts w:asciiTheme="majorHAnsi" w:eastAsia="MS Mincho" w:hAnsiTheme="majorHAnsi" w:cs="Times New Roman"/>
          <w:sz w:val="20"/>
          <w:szCs w:val="20"/>
          <w:lang w:eastAsia="en-US"/>
        </w:rPr>
        <w:footnoteReference w:id="9"/>
      </w:r>
    </w:p>
    <w:p w14:paraId="3437924A" w14:textId="77777777" w:rsidR="009569D1" w:rsidRPr="009569D1" w:rsidRDefault="009569D1" w:rsidP="004F45A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imes New Roman"/>
          <w:sz w:val="20"/>
          <w:szCs w:val="20"/>
          <w:lang w:eastAsia="en-US"/>
        </w:rPr>
      </w:pPr>
    </w:p>
    <w:p w14:paraId="2E85EAAA" w14:textId="663CADAA" w:rsidR="00D37A1B" w:rsidRDefault="009569D1" w:rsidP="004F45A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imes New Roman"/>
          <w:sz w:val="20"/>
          <w:szCs w:val="20"/>
          <w:lang w:eastAsia="en-US"/>
        </w:rPr>
      </w:pPr>
      <w:r w:rsidRPr="009569D1">
        <w:rPr>
          <w:rFonts w:asciiTheme="majorHAnsi" w:eastAsia="MS Mincho" w:hAnsiTheme="majorHAnsi" w:cs="Times New Roman"/>
          <w:sz w:val="20"/>
          <w:szCs w:val="20"/>
          <w:lang w:eastAsia="en-US"/>
        </w:rPr>
        <w:t>In said space, the national anthem of the Republic of Colombia and a video prepared by the State and the petitioners were shown, in which homage was paid to the memory of the victim. Likewise, Mr. Roberto Fernando Paz Salas gave an account of the petitioners' struggle to achieve justice, and thanked the inter-American human rights system and the National Agency for the Legal Defense of the State for reaching the commitments of the agreement. Likewise, he recognized the value of forgiveness and reconciliation between the victims and the State. For her part, Mrs. Cindy Johanna Gómez, daughter of the victim, expressed the suffering of the next of kin as of the events that occurred on February 5, 1991 and thanked the IACHR, the State and their representatives for the provision and support in the production of this act.</w:t>
      </w:r>
    </w:p>
    <w:p w14:paraId="4D6E135D" w14:textId="77777777" w:rsidR="009569D1" w:rsidRPr="009569D1" w:rsidRDefault="009569D1" w:rsidP="004F45A9">
      <w:pPr>
        <w:pStyle w:val="ListParagraph"/>
        <w:ind w:left="0" w:firstLine="720"/>
        <w:rPr>
          <w:rFonts w:asciiTheme="majorHAnsi" w:eastAsia="MS Mincho" w:hAnsiTheme="majorHAnsi" w:cs="Times New Roman"/>
          <w:sz w:val="20"/>
          <w:szCs w:val="20"/>
          <w:lang w:eastAsia="en-US"/>
        </w:rPr>
      </w:pPr>
    </w:p>
    <w:p w14:paraId="5EC4736E" w14:textId="41D093D4" w:rsidR="009569D1" w:rsidRPr="009569D1" w:rsidRDefault="009569D1" w:rsidP="004F45A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imes New Roman"/>
          <w:sz w:val="20"/>
          <w:szCs w:val="20"/>
          <w:lang w:eastAsia="en-US"/>
        </w:rPr>
      </w:pPr>
      <w:r w:rsidRPr="009569D1">
        <w:rPr>
          <w:rFonts w:asciiTheme="majorHAnsi" w:eastAsia="MS Mincho" w:hAnsiTheme="majorHAnsi" w:cs="Times New Roman"/>
          <w:sz w:val="20"/>
          <w:szCs w:val="20"/>
          <w:lang w:eastAsia="en-US"/>
        </w:rPr>
        <w:t>Likewise, the Director of International Legal Defense of the National Agency for the Legal Defense of the State indicated the following:</w:t>
      </w:r>
    </w:p>
    <w:p w14:paraId="318D3620" w14:textId="77777777" w:rsidR="009569D1" w:rsidRPr="009569D1" w:rsidRDefault="009569D1" w:rsidP="009569D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jc w:val="both"/>
        <w:rPr>
          <w:rFonts w:asciiTheme="majorHAnsi" w:eastAsia="MS Mincho" w:hAnsiTheme="majorHAnsi"/>
          <w:sz w:val="20"/>
          <w:szCs w:val="20"/>
        </w:rPr>
      </w:pPr>
    </w:p>
    <w:p w14:paraId="11624A6F" w14:textId="77777777" w:rsidR="009569D1" w:rsidRPr="009569D1" w:rsidRDefault="009569D1" w:rsidP="00833D2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9569D1">
        <w:rPr>
          <w:rFonts w:asciiTheme="majorHAnsi" w:eastAsia="MS Mincho" w:hAnsiTheme="majorHAnsi"/>
          <w:sz w:val="20"/>
          <w:szCs w:val="20"/>
        </w:rPr>
        <w:t>“It is an honor to accompany you today, not only to acknowledge the responsibility of the State in such a painful event, but to honor the memory of Luis Argemiro Gómez Atehortua, who lost his life on February 5, 1999 while in the custody of Gaula agents of the National Police. Unfortunately, Mr. Gómez Atehortua was not guaranteed his right to protection while he was in the custody of the State. Today, the invitation is to seek a true space and sample of genuine reconciliation, and that there is forgiveness with the commitment that these painful events will not be repeated in our country. In Colombia we speak of peace with legality, because legality is respect for the Constitution and the law, for the rights of others, and that there are no causes that justify the violation of the intrinsic rights of any citizen. Legality is also the recognition of responsibilities when there are failures and today the Colombian State recognizes its responsibility in the death of Luis Argemiro.</w:t>
      </w:r>
    </w:p>
    <w:p w14:paraId="02CE51E1" w14:textId="77777777" w:rsidR="009569D1" w:rsidRPr="009569D1" w:rsidRDefault="009569D1" w:rsidP="00833D2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14:paraId="4027D824" w14:textId="4CFB697E" w:rsidR="009569D1" w:rsidRPr="009569D1" w:rsidRDefault="009569D1" w:rsidP="00833D2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9569D1">
        <w:rPr>
          <w:rFonts w:asciiTheme="majorHAnsi" w:eastAsia="MS Mincho" w:hAnsiTheme="majorHAnsi"/>
          <w:sz w:val="20"/>
          <w:szCs w:val="20"/>
        </w:rPr>
        <w:t xml:space="preserve">The friendly settlement procedure has become for Colombia the ideal space for dialogue between the State and the victims of human </w:t>
      </w:r>
      <w:r w:rsidR="001D79ED" w:rsidRPr="009569D1">
        <w:rPr>
          <w:rFonts w:asciiTheme="majorHAnsi" w:eastAsia="MS Mincho" w:hAnsiTheme="majorHAnsi"/>
          <w:sz w:val="20"/>
          <w:szCs w:val="20"/>
        </w:rPr>
        <w:t>rights violations and</w:t>
      </w:r>
      <w:r w:rsidRPr="009569D1">
        <w:rPr>
          <w:rFonts w:asciiTheme="majorHAnsi" w:eastAsia="MS Mincho" w:hAnsiTheme="majorHAnsi"/>
          <w:sz w:val="20"/>
          <w:szCs w:val="20"/>
        </w:rPr>
        <w:t xml:space="preserve"> has allowed us to generate spaces for </w:t>
      </w:r>
      <w:r w:rsidR="00B836D2">
        <w:rPr>
          <w:rFonts w:asciiTheme="majorHAnsi" w:eastAsia="MS Mincho" w:hAnsiTheme="majorHAnsi"/>
          <w:sz w:val="20"/>
          <w:szCs w:val="20"/>
        </w:rPr>
        <w:t>consensus</w:t>
      </w:r>
      <w:r w:rsidRPr="009569D1">
        <w:rPr>
          <w:rFonts w:asciiTheme="majorHAnsi" w:eastAsia="MS Mincho" w:hAnsiTheme="majorHAnsi"/>
          <w:sz w:val="20"/>
          <w:szCs w:val="20"/>
        </w:rPr>
        <w:t xml:space="preserve"> to reach agreements that have comprehensive reparation measures, benefits for the victims. A</w:t>
      </w:r>
      <w:r w:rsidR="00B836D2">
        <w:rPr>
          <w:rFonts w:asciiTheme="majorHAnsi" w:eastAsia="MS Mincho" w:hAnsiTheme="majorHAnsi"/>
          <w:sz w:val="20"/>
          <w:szCs w:val="20"/>
        </w:rPr>
        <w:t xml:space="preserve"> F</w:t>
      </w:r>
      <w:r w:rsidRPr="009569D1">
        <w:rPr>
          <w:rFonts w:asciiTheme="majorHAnsi" w:eastAsia="MS Mincho" w:hAnsiTheme="majorHAnsi"/>
          <w:sz w:val="20"/>
          <w:szCs w:val="20"/>
        </w:rPr>
        <w:t>SA is always seen not only as an expression of good faith, but as a manifestation of a broad commitment to the protection of human rights by a conciliatory state. Today's space is a symbol of forgiveness and reconciliation. To you, the family and friends of Luis Argemiro Gómez, we ask his forgiveness on behalf of the Colombian State.</w:t>
      </w:r>
    </w:p>
    <w:p w14:paraId="539BA7C8" w14:textId="576BC697" w:rsidR="009569D1" w:rsidRPr="009569D1" w:rsidRDefault="009569D1" w:rsidP="00833D2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cs="Times New Roman"/>
          <w:sz w:val="20"/>
          <w:szCs w:val="20"/>
          <w:lang w:eastAsia="en-US"/>
        </w:rPr>
      </w:pPr>
    </w:p>
    <w:p w14:paraId="40DF312B" w14:textId="0D8DC844" w:rsidR="009569D1" w:rsidRPr="009569D1" w:rsidRDefault="009569D1" w:rsidP="00833D2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9569D1">
        <w:rPr>
          <w:rFonts w:asciiTheme="majorHAnsi" w:eastAsia="MS Mincho" w:hAnsiTheme="majorHAnsi"/>
          <w:sz w:val="20"/>
          <w:szCs w:val="20"/>
        </w:rPr>
        <w:t>This forgiveness must transcend words and be translated into true acts of reconciliation and non-repetition. Today we are taking that first step into action. (…). In my capacity as Director of International Legal Defense of the National Agency for the Legal Defense of the State, I recognize the international responsibility of the Colombian State, for the omission in its duty to guarantee the right to life, recognized in Article 4 of the Convention American Human Rights, in relation to the general obligation established in Article 1.1 of the same instrument, in favor of Mr. Luis Argemiro Gómez Atehortua ”.</w:t>
      </w:r>
      <w:r w:rsidR="001B2EC2">
        <w:rPr>
          <w:rStyle w:val="FootnoteReference"/>
          <w:rFonts w:asciiTheme="majorHAnsi" w:eastAsia="MS Mincho" w:hAnsiTheme="majorHAnsi"/>
          <w:sz w:val="20"/>
          <w:szCs w:val="20"/>
        </w:rPr>
        <w:footnoteReference w:id="10"/>
      </w:r>
    </w:p>
    <w:p w14:paraId="4A8108CF" w14:textId="53E24CFB" w:rsidR="009569D1" w:rsidRDefault="009569D1" w:rsidP="009569D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rPr>
      </w:pPr>
    </w:p>
    <w:p w14:paraId="055E366B" w14:textId="024E8201" w:rsidR="009569D1" w:rsidRPr="009569D1" w:rsidRDefault="009569D1" w:rsidP="00B63FC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asciiTheme="majorHAnsi" w:eastAsia="MS Mincho" w:hAnsiTheme="majorHAnsi"/>
          <w:sz w:val="20"/>
          <w:szCs w:val="20"/>
        </w:rPr>
      </w:pPr>
      <w:r w:rsidRPr="009569D1">
        <w:rPr>
          <w:rFonts w:asciiTheme="majorHAnsi" w:eastAsia="MS Mincho" w:hAnsiTheme="majorHAnsi"/>
          <w:sz w:val="20"/>
          <w:szCs w:val="20"/>
        </w:rPr>
        <w:lastRenderedPageBreak/>
        <w:t xml:space="preserve">Finally, the President of the Inter-American Commission on Human Rights and Rapporteur for Colombia, Antonia Urrejola stressed that the act of reparation is an important step for the dignity of Mr. Luis Argemiro Gómez Atehortua, which contributes to the compensation of the damage caused and demonstrates a commitment to make effective comprehensive reparation for the victim's next of kin. Likewise, she highlighted the importance of the voice of the victims being part of this type of act. On the other hand, she emphasized the importance of the non-repetition measures that are part of the agreement and the will of the State to comply with them. Additionally, she mentioned the importance of the friendly settlement process as a mechanism for the peaceful and consensual settlement of disputes and for building trust between the parties. </w:t>
      </w:r>
      <w:r w:rsidR="00B836D2">
        <w:rPr>
          <w:rFonts w:asciiTheme="majorHAnsi" w:eastAsia="MS Mincho" w:hAnsiTheme="majorHAnsi"/>
          <w:sz w:val="20"/>
          <w:szCs w:val="20"/>
        </w:rPr>
        <w:t>Lastly</w:t>
      </w:r>
      <w:r w:rsidRPr="009569D1">
        <w:rPr>
          <w:rFonts w:asciiTheme="majorHAnsi" w:eastAsia="MS Mincho" w:hAnsiTheme="majorHAnsi"/>
          <w:sz w:val="20"/>
          <w:szCs w:val="20"/>
        </w:rPr>
        <w:t>, she shared a message of solidarity with the victim's family and highlighted the participation of the Colombian State in this and other negotiation processes.</w:t>
      </w:r>
    </w:p>
    <w:p w14:paraId="0A5A649E" w14:textId="77777777" w:rsidR="009569D1" w:rsidRPr="009569D1" w:rsidRDefault="009569D1" w:rsidP="00B63FC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asciiTheme="majorHAnsi" w:eastAsia="MS Mincho" w:hAnsiTheme="majorHAnsi"/>
          <w:sz w:val="20"/>
          <w:szCs w:val="20"/>
        </w:rPr>
      </w:pPr>
    </w:p>
    <w:p w14:paraId="48D2A849" w14:textId="585FE399" w:rsidR="009569D1" w:rsidRPr="009569D1" w:rsidRDefault="009569D1" w:rsidP="00B63FC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asciiTheme="majorHAnsi" w:eastAsia="MS Mincho" w:hAnsiTheme="majorHAnsi"/>
          <w:sz w:val="20"/>
          <w:szCs w:val="20"/>
        </w:rPr>
      </w:pPr>
      <w:r w:rsidRPr="009569D1">
        <w:rPr>
          <w:rFonts w:asciiTheme="majorHAnsi" w:eastAsia="MS Mincho" w:hAnsiTheme="majorHAnsi"/>
          <w:sz w:val="20"/>
          <w:szCs w:val="20"/>
        </w:rPr>
        <w:t>The Commission also learned of the coverage of the act of acknowledgment of responsibility in the media and social networks of the State institutions and of the dissemination of the link of the act through the YouTube channel.</w:t>
      </w:r>
      <w:r w:rsidR="00062C2B">
        <w:rPr>
          <w:rStyle w:val="FootnoteReference"/>
          <w:rFonts w:asciiTheme="majorHAnsi" w:eastAsia="MS Mincho" w:hAnsiTheme="majorHAnsi"/>
          <w:sz w:val="20"/>
          <w:szCs w:val="20"/>
        </w:rPr>
        <w:footnoteReference w:id="11"/>
      </w:r>
    </w:p>
    <w:p w14:paraId="548EDCC6" w14:textId="77777777" w:rsidR="009569D1" w:rsidRPr="009569D1" w:rsidRDefault="009569D1" w:rsidP="00B63FC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asciiTheme="majorHAnsi" w:eastAsia="MS Mincho" w:hAnsiTheme="majorHAnsi"/>
          <w:sz w:val="20"/>
          <w:szCs w:val="20"/>
        </w:rPr>
      </w:pPr>
    </w:p>
    <w:p w14:paraId="07B8731F" w14:textId="52A52A32" w:rsidR="009569D1" w:rsidRPr="009569D1" w:rsidRDefault="009569D1" w:rsidP="00B63FC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asciiTheme="majorHAnsi" w:eastAsia="MS Mincho" w:hAnsiTheme="majorHAnsi"/>
          <w:sz w:val="20"/>
          <w:szCs w:val="20"/>
        </w:rPr>
      </w:pPr>
      <w:r w:rsidRPr="009569D1">
        <w:rPr>
          <w:rFonts w:asciiTheme="majorHAnsi" w:eastAsia="MS Mincho" w:hAnsiTheme="majorHAnsi"/>
          <w:sz w:val="20"/>
          <w:szCs w:val="20"/>
        </w:rPr>
        <w:t xml:space="preserve">Taking into account the available information elements, the Commission rescues as good practice the adaptation of the act of acknowledgment of responsibility to the current situation in the framework of the COVID-19 pandemic. Therefore, it considers with satisfaction that this </w:t>
      </w:r>
      <w:r w:rsidR="00B836D2">
        <w:rPr>
          <w:rFonts w:asciiTheme="majorHAnsi" w:eastAsia="MS Mincho" w:hAnsiTheme="majorHAnsi"/>
          <w:sz w:val="20"/>
          <w:szCs w:val="20"/>
        </w:rPr>
        <w:t>part</w:t>
      </w:r>
      <w:r w:rsidRPr="009569D1">
        <w:rPr>
          <w:rFonts w:asciiTheme="majorHAnsi" w:eastAsia="MS Mincho" w:hAnsiTheme="majorHAnsi"/>
          <w:sz w:val="20"/>
          <w:szCs w:val="20"/>
        </w:rPr>
        <w:t xml:space="preserve"> of the friendly settlement agreement has been fully complied </w:t>
      </w:r>
      <w:r w:rsidR="00B836D2" w:rsidRPr="009569D1">
        <w:rPr>
          <w:rFonts w:asciiTheme="majorHAnsi" w:eastAsia="MS Mincho" w:hAnsiTheme="majorHAnsi"/>
          <w:sz w:val="20"/>
          <w:szCs w:val="20"/>
        </w:rPr>
        <w:t>with and</w:t>
      </w:r>
      <w:r w:rsidRPr="009569D1">
        <w:rPr>
          <w:rFonts w:asciiTheme="majorHAnsi" w:eastAsia="MS Mincho" w:hAnsiTheme="majorHAnsi"/>
          <w:sz w:val="20"/>
          <w:szCs w:val="20"/>
        </w:rPr>
        <w:t xml:space="preserve"> </w:t>
      </w:r>
      <w:r w:rsidR="00B836D2">
        <w:rPr>
          <w:rFonts w:asciiTheme="majorHAnsi" w:eastAsia="MS Mincho" w:hAnsiTheme="majorHAnsi"/>
          <w:sz w:val="20"/>
          <w:szCs w:val="20"/>
        </w:rPr>
        <w:t xml:space="preserve">so it </w:t>
      </w:r>
      <w:r w:rsidRPr="009569D1">
        <w:rPr>
          <w:rFonts w:asciiTheme="majorHAnsi" w:eastAsia="MS Mincho" w:hAnsiTheme="majorHAnsi"/>
          <w:sz w:val="20"/>
          <w:szCs w:val="20"/>
        </w:rPr>
        <w:t>declares it so.</w:t>
      </w:r>
    </w:p>
    <w:p w14:paraId="4A2521E9" w14:textId="77777777" w:rsidR="009569D1" w:rsidRPr="009569D1" w:rsidRDefault="009569D1" w:rsidP="00B63FC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asciiTheme="majorHAnsi" w:eastAsia="MS Mincho" w:hAnsiTheme="majorHAnsi"/>
          <w:sz w:val="20"/>
          <w:szCs w:val="20"/>
        </w:rPr>
      </w:pPr>
    </w:p>
    <w:p w14:paraId="0D92C396" w14:textId="0CF56F97" w:rsidR="009569D1" w:rsidRPr="009569D1" w:rsidRDefault="009569D1" w:rsidP="00B63FC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asciiTheme="majorHAnsi" w:eastAsia="MS Mincho" w:hAnsiTheme="majorHAnsi"/>
          <w:sz w:val="20"/>
          <w:szCs w:val="20"/>
        </w:rPr>
      </w:pPr>
      <w:r w:rsidRPr="009569D1">
        <w:rPr>
          <w:rFonts w:asciiTheme="majorHAnsi" w:eastAsia="MS Mincho" w:hAnsiTheme="majorHAnsi"/>
          <w:sz w:val="20"/>
          <w:szCs w:val="20"/>
        </w:rPr>
        <w:t xml:space="preserve">On the other hand, regarding numeral 1.2 that </w:t>
      </w:r>
      <w:r w:rsidR="00B836D2">
        <w:rPr>
          <w:rFonts w:asciiTheme="majorHAnsi" w:eastAsia="MS Mincho" w:hAnsiTheme="majorHAnsi"/>
          <w:sz w:val="20"/>
          <w:szCs w:val="20"/>
        </w:rPr>
        <w:t>refers to</w:t>
      </w:r>
      <w:r w:rsidRPr="009569D1">
        <w:rPr>
          <w:rFonts w:asciiTheme="majorHAnsi" w:eastAsia="MS Mincho" w:hAnsiTheme="majorHAnsi"/>
          <w:sz w:val="20"/>
          <w:szCs w:val="20"/>
        </w:rPr>
        <w:t xml:space="preserve"> the publication of the facts, the Commission observes that said measure requires the publication of this homologation report on the website of the Ministry of Defense and the National Police. Thus, in accordance with the IACHR procedure and the commitment between the parties, said measure must be complied with once this approval report has been issued. Based on the foregoing, the Commission considers that this measure is pending compliance and </w:t>
      </w:r>
      <w:r w:rsidR="00B836D2">
        <w:rPr>
          <w:rFonts w:asciiTheme="majorHAnsi" w:eastAsia="MS Mincho" w:hAnsiTheme="majorHAnsi"/>
          <w:sz w:val="20"/>
          <w:szCs w:val="20"/>
        </w:rPr>
        <w:t xml:space="preserve">so it </w:t>
      </w:r>
      <w:r w:rsidRPr="009569D1">
        <w:rPr>
          <w:rFonts w:asciiTheme="majorHAnsi" w:eastAsia="MS Mincho" w:hAnsiTheme="majorHAnsi"/>
          <w:sz w:val="20"/>
          <w:szCs w:val="20"/>
        </w:rPr>
        <w:t xml:space="preserve">declares </w:t>
      </w:r>
      <w:r w:rsidR="00B836D2">
        <w:rPr>
          <w:rFonts w:asciiTheme="majorHAnsi" w:eastAsia="MS Mincho" w:hAnsiTheme="majorHAnsi"/>
          <w:sz w:val="20"/>
          <w:szCs w:val="20"/>
        </w:rPr>
        <w:t xml:space="preserve">it </w:t>
      </w:r>
      <w:r w:rsidRPr="009569D1">
        <w:rPr>
          <w:rFonts w:asciiTheme="majorHAnsi" w:eastAsia="MS Mincho" w:hAnsiTheme="majorHAnsi"/>
          <w:sz w:val="20"/>
          <w:szCs w:val="20"/>
        </w:rPr>
        <w:t>so. Likewise, the IACHR awaits updated information from the parties on its execution after the approval of this report.</w:t>
      </w:r>
    </w:p>
    <w:p w14:paraId="52660019" w14:textId="77777777" w:rsidR="009569D1" w:rsidRPr="009569D1" w:rsidRDefault="009569D1" w:rsidP="00B63FC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asciiTheme="majorHAnsi" w:eastAsia="MS Mincho" w:hAnsiTheme="majorHAnsi"/>
          <w:sz w:val="20"/>
          <w:szCs w:val="20"/>
        </w:rPr>
      </w:pPr>
    </w:p>
    <w:p w14:paraId="2BB00C0E" w14:textId="620284BD" w:rsidR="009569D1" w:rsidRPr="00B63FC8" w:rsidRDefault="009569D1" w:rsidP="00B63FC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asciiTheme="majorHAnsi" w:eastAsia="MS Mincho" w:hAnsiTheme="majorHAnsi"/>
          <w:sz w:val="20"/>
          <w:szCs w:val="20"/>
        </w:rPr>
      </w:pPr>
      <w:r w:rsidRPr="009569D1">
        <w:rPr>
          <w:rFonts w:asciiTheme="majorHAnsi" w:eastAsia="MS Mincho" w:hAnsiTheme="majorHAnsi"/>
          <w:sz w:val="20"/>
          <w:szCs w:val="20"/>
        </w:rPr>
        <w:t>With respect to numeral 1.3 on guarantees of non-repetition through training in pertinent entities, the Commission realizes that compliance with the measure will begin two months after the approval of this friendly settlement agreement. Likewise, the Commission notes that, according to the information transmitted by the parties, the State has included the training agreed upon in the 2021 Annual Training Plan of the Ministry of National Defense, and that the respective workshop is scheduled for November 17 of th</w:t>
      </w:r>
      <w:r w:rsidR="00B836D2">
        <w:rPr>
          <w:rFonts w:asciiTheme="majorHAnsi" w:eastAsia="MS Mincho" w:hAnsiTheme="majorHAnsi"/>
          <w:sz w:val="20"/>
          <w:szCs w:val="20"/>
        </w:rPr>
        <w:t>e</w:t>
      </w:r>
      <w:r w:rsidRPr="009569D1">
        <w:rPr>
          <w:rFonts w:asciiTheme="majorHAnsi" w:eastAsia="MS Mincho" w:hAnsiTheme="majorHAnsi"/>
          <w:sz w:val="20"/>
          <w:szCs w:val="20"/>
        </w:rPr>
        <w:t xml:space="preserve"> year</w:t>
      </w:r>
      <w:r w:rsidR="00B836D2">
        <w:rPr>
          <w:rFonts w:asciiTheme="majorHAnsi" w:eastAsia="MS Mincho" w:hAnsiTheme="majorHAnsi"/>
          <w:sz w:val="20"/>
          <w:szCs w:val="20"/>
        </w:rPr>
        <w:t xml:space="preserve"> </w:t>
      </w:r>
      <w:r w:rsidRPr="009569D1">
        <w:rPr>
          <w:rFonts w:asciiTheme="majorHAnsi" w:eastAsia="MS Mincho" w:hAnsiTheme="majorHAnsi"/>
          <w:sz w:val="20"/>
          <w:szCs w:val="20"/>
        </w:rPr>
        <w:t xml:space="preserve">in progress. </w:t>
      </w:r>
      <w:r w:rsidRPr="00B63FC8">
        <w:rPr>
          <w:rFonts w:asciiTheme="majorHAnsi" w:eastAsia="MS Mincho" w:hAnsiTheme="majorHAnsi"/>
          <w:sz w:val="20"/>
          <w:szCs w:val="20"/>
        </w:rPr>
        <w:t>Based on the foregoing, the Commission considers that this measure is pending compliance and</w:t>
      </w:r>
      <w:r w:rsidR="00B63FC8">
        <w:rPr>
          <w:rFonts w:asciiTheme="majorHAnsi" w:eastAsia="MS Mincho" w:hAnsiTheme="majorHAnsi"/>
          <w:sz w:val="20"/>
          <w:szCs w:val="20"/>
        </w:rPr>
        <w:t xml:space="preserve"> so</w:t>
      </w:r>
      <w:r w:rsidRPr="00B63FC8">
        <w:rPr>
          <w:rFonts w:asciiTheme="majorHAnsi" w:eastAsia="MS Mincho" w:hAnsiTheme="majorHAnsi"/>
          <w:sz w:val="20"/>
          <w:szCs w:val="20"/>
        </w:rPr>
        <w:t xml:space="preserve"> </w:t>
      </w:r>
      <w:r w:rsidR="00B63FC8">
        <w:rPr>
          <w:rFonts w:asciiTheme="majorHAnsi" w:eastAsia="MS Mincho" w:hAnsiTheme="majorHAnsi"/>
          <w:sz w:val="20"/>
          <w:szCs w:val="20"/>
        </w:rPr>
        <w:t xml:space="preserve">it </w:t>
      </w:r>
      <w:r w:rsidRPr="00B63FC8">
        <w:rPr>
          <w:rFonts w:asciiTheme="majorHAnsi" w:eastAsia="MS Mincho" w:hAnsiTheme="majorHAnsi"/>
          <w:sz w:val="20"/>
          <w:szCs w:val="20"/>
        </w:rPr>
        <w:t>declares</w:t>
      </w:r>
      <w:r w:rsidR="00B63FC8">
        <w:rPr>
          <w:rFonts w:asciiTheme="majorHAnsi" w:eastAsia="MS Mincho" w:hAnsiTheme="majorHAnsi"/>
          <w:sz w:val="20"/>
          <w:szCs w:val="20"/>
        </w:rPr>
        <w:t xml:space="preserve"> it</w:t>
      </w:r>
      <w:r w:rsidRPr="00B63FC8">
        <w:rPr>
          <w:rFonts w:asciiTheme="majorHAnsi" w:eastAsia="MS Mincho" w:hAnsiTheme="majorHAnsi"/>
          <w:sz w:val="20"/>
          <w:szCs w:val="20"/>
        </w:rPr>
        <w:t xml:space="preserve"> so. Likewise, the IACHR awaits updated information from the parties on its execution after the approval of this report.</w:t>
      </w:r>
    </w:p>
    <w:p w14:paraId="0814B745" w14:textId="1DC7762F" w:rsidR="009569D1" w:rsidRDefault="009569D1" w:rsidP="00B63FC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asciiTheme="majorHAnsi" w:eastAsia="MS Mincho" w:hAnsiTheme="majorHAnsi"/>
          <w:sz w:val="20"/>
          <w:szCs w:val="20"/>
        </w:rPr>
      </w:pPr>
    </w:p>
    <w:p w14:paraId="28506EF5" w14:textId="63FC7CEA" w:rsidR="009569D1" w:rsidRDefault="00AB5F28" w:rsidP="00B63FC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asciiTheme="majorHAnsi" w:eastAsia="MS Mincho" w:hAnsiTheme="majorHAnsi"/>
          <w:sz w:val="20"/>
          <w:szCs w:val="20"/>
        </w:rPr>
      </w:pPr>
      <w:r>
        <w:rPr>
          <w:rFonts w:asciiTheme="majorHAnsi" w:eastAsia="MS Mincho" w:hAnsiTheme="majorHAnsi"/>
          <w:sz w:val="20"/>
          <w:szCs w:val="20"/>
        </w:rPr>
        <w:t>Regarding</w:t>
      </w:r>
      <w:r w:rsidRPr="00AB5F28">
        <w:rPr>
          <w:rFonts w:asciiTheme="majorHAnsi" w:eastAsia="MS Mincho" w:hAnsiTheme="majorHAnsi"/>
          <w:sz w:val="20"/>
          <w:szCs w:val="20"/>
        </w:rPr>
        <w:t xml:space="preserve"> section 1.4. on justice measures, it is observed that it requires the State to make the pertinent steps with the Office of the Attorney General of the Nation so that it </w:t>
      </w:r>
      <w:r>
        <w:rPr>
          <w:rFonts w:asciiTheme="majorHAnsi" w:eastAsia="MS Mincho" w:hAnsiTheme="majorHAnsi"/>
          <w:sz w:val="20"/>
          <w:szCs w:val="20"/>
        </w:rPr>
        <w:t>analyzes</w:t>
      </w:r>
      <w:r w:rsidRPr="00AB5F28">
        <w:rPr>
          <w:rFonts w:asciiTheme="majorHAnsi" w:eastAsia="MS Mincho" w:hAnsiTheme="majorHAnsi"/>
          <w:sz w:val="20"/>
          <w:szCs w:val="20"/>
        </w:rPr>
        <w:t xml:space="preserve"> the viability of filing a review action against the judicial process carried out by the events of February 5, 1999. Regarding the progress made in this measure, the Commission values ​​the information provided by the parties in the joint report dated March 19, 2021, which states that the National Agency for the Legal Defense of the State has indeed already submitted to the Office of the Attorney General of the Nation</w:t>
      </w:r>
      <w:r>
        <w:rPr>
          <w:rFonts w:asciiTheme="majorHAnsi" w:eastAsia="MS Mincho" w:hAnsiTheme="majorHAnsi"/>
          <w:sz w:val="20"/>
          <w:szCs w:val="20"/>
        </w:rPr>
        <w:t>,</w:t>
      </w:r>
      <w:r w:rsidRPr="00AB5F28">
        <w:rPr>
          <w:rFonts w:asciiTheme="majorHAnsi" w:eastAsia="MS Mincho" w:hAnsiTheme="majorHAnsi"/>
          <w:sz w:val="20"/>
          <w:szCs w:val="20"/>
        </w:rPr>
        <w:t xml:space="preserve"> the office in </w:t>
      </w:r>
      <w:r>
        <w:rPr>
          <w:rFonts w:asciiTheme="majorHAnsi" w:eastAsia="MS Mincho" w:hAnsiTheme="majorHAnsi"/>
          <w:sz w:val="20"/>
          <w:szCs w:val="20"/>
        </w:rPr>
        <w:t xml:space="preserve">charge of requests to </w:t>
      </w:r>
      <w:r w:rsidRPr="00AB5F28">
        <w:rPr>
          <w:rFonts w:asciiTheme="majorHAnsi" w:eastAsia="MS Mincho" w:hAnsiTheme="majorHAnsi"/>
          <w:sz w:val="20"/>
          <w:szCs w:val="20"/>
        </w:rPr>
        <w:t xml:space="preserve"> that</w:t>
      </w:r>
      <w:r>
        <w:rPr>
          <w:rFonts w:asciiTheme="majorHAnsi" w:eastAsia="MS Mincho" w:hAnsiTheme="majorHAnsi"/>
          <w:sz w:val="20"/>
          <w:szCs w:val="20"/>
        </w:rPr>
        <w:t xml:space="preserve"> analyzes</w:t>
      </w:r>
      <w:r w:rsidRPr="00AB5F28">
        <w:rPr>
          <w:rFonts w:asciiTheme="majorHAnsi" w:eastAsia="MS Mincho" w:hAnsiTheme="majorHAnsi"/>
          <w:sz w:val="20"/>
          <w:szCs w:val="20"/>
        </w:rPr>
        <w:t xml:space="preserve"> the feasibility of promoting the criminal review action to identify and punish the possible perpetrators of the facts. In this way, the Commission considers that the State has taken the pertinent actions to comply with the measure, in the terms agreed upon between the parties, for which it considers that this clause has a level of total compliance and declares so. At the same time, the Commission considers it important to remind the Colombian State that there is a reiterated standard in the jurisprudence of the inter-American system according to which the military criminal jurisdiction is not the competent jurisdiction to investigate and, where appropriate, try and punish the perpetrators</w:t>
      </w:r>
      <w:r>
        <w:rPr>
          <w:rFonts w:asciiTheme="majorHAnsi" w:eastAsia="MS Mincho" w:hAnsiTheme="majorHAnsi"/>
          <w:sz w:val="20"/>
          <w:szCs w:val="20"/>
        </w:rPr>
        <w:t xml:space="preserve"> for</w:t>
      </w:r>
      <w:r w:rsidRPr="00AB5F28">
        <w:rPr>
          <w:rFonts w:asciiTheme="majorHAnsi" w:eastAsia="MS Mincho" w:hAnsiTheme="majorHAnsi"/>
          <w:sz w:val="20"/>
          <w:szCs w:val="20"/>
        </w:rPr>
        <w:t xml:space="preserve"> violations of human rights, for which </w:t>
      </w:r>
      <w:r>
        <w:rPr>
          <w:rFonts w:asciiTheme="majorHAnsi" w:eastAsia="MS Mincho" w:hAnsiTheme="majorHAnsi"/>
          <w:sz w:val="20"/>
          <w:szCs w:val="20"/>
        </w:rPr>
        <w:t>the Commission</w:t>
      </w:r>
      <w:r w:rsidRPr="00AB5F28">
        <w:rPr>
          <w:rFonts w:asciiTheme="majorHAnsi" w:eastAsia="MS Mincho" w:hAnsiTheme="majorHAnsi"/>
          <w:sz w:val="20"/>
          <w:szCs w:val="20"/>
        </w:rPr>
        <w:t xml:space="preserve"> urges </w:t>
      </w:r>
      <w:r>
        <w:rPr>
          <w:rFonts w:asciiTheme="majorHAnsi" w:eastAsia="MS Mincho" w:hAnsiTheme="majorHAnsi"/>
          <w:sz w:val="20"/>
          <w:szCs w:val="20"/>
        </w:rPr>
        <w:t>the Colombian state</w:t>
      </w:r>
      <w:r w:rsidRPr="00AB5F28">
        <w:rPr>
          <w:rFonts w:asciiTheme="majorHAnsi" w:eastAsia="MS Mincho" w:hAnsiTheme="majorHAnsi"/>
          <w:sz w:val="20"/>
          <w:szCs w:val="20"/>
        </w:rPr>
        <w:t xml:space="preserve"> to continue deploying actions to ensure compliance with </w:t>
      </w:r>
      <w:r>
        <w:rPr>
          <w:rFonts w:asciiTheme="majorHAnsi" w:eastAsia="MS Mincho" w:hAnsiTheme="majorHAnsi"/>
          <w:sz w:val="20"/>
          <w:szCs w:val="20"/>
        </w:rPr>
        <w:t>its</w:t>
      </w:r>
      <w:r w:rsidRPr="00AB5F28">
        <w:rPr>
          <w:rFonts w:asciiTheme="majorHAnsi" w:eastAsia="MS Mincho" w:hAnsiTheme="majorHAnsi"/>
          <w:sz w:val="20"/>
          <w:szCs w:val="20"/>
        </w:rPr>
        <w:t xml:space="preserve"> obligations in matters of truth and justice, so that the agreement materializes comprehensive reparation for the victim and his next of kin.</w:t>
      </w:r>
    </w:p>
    <w:p w14:paraId="70C080CC" w14:textId="77777777" w:rsidR="00AB5F28" w:rsidRPr="009569D1" w:rsidRDefault="00AB5F28" w:rsidP="00B63FC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asciiTheme="majorHAnsi" w:eastAsia="MS Mincho" w:hAnsiTheme="majorHAnsi"/>
          <w:sz w:val="20"/>
          <w:szCs w:val="20"/>
        </w:rPr>
      </w:pPr>
    </w:p>
    <w:p w14:paraId="30BD85CC" w14:textId="0D5FEF66" w:rsidR="009569D1" w:rsidRPr="009569D1" w:rsidRDefault="009569D1" w:rsidP="00B63FC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asciiTheme="majorHAnsi" w:eastAsia="MS Mincho" w:hAnsiTheme="majorHAnsi"/>
          <w:sz w:val="20"/>
          <w:szCs w:val="20"/>
        </w:rPr>
      </w:pPr>
      <w:r w:rsidRPr="009569D1">
        <w:rPr>
          <w:rFonts w:asciiTheme="majorHAnsi" w:eastAsia="MS Mincho" w:hAnsiTheme="majorHAnsi"/>
          <w:sz w:val="20"/>
          <w:szCs w:val="20"/>
        </w:rPr>
        <w:t>On the other hand, in relation to numeral 1.5 that deals with pecuniary measures, the Commission observes that, according to the mechanism established in Law 288 of 1996, said measure must be complied with once this approval report has been issued, by which it considers that the measure is pending compliance and thus declares it. The Commission awaits updated information from the parties on its execution after the publication of this report.</w:t>
      </w:r>
    </w:p>
    <w:p w14:paraId="71C29FF3" w14:textId="77777777" w:rsidR="009569D1" w:rsidRPr="009569D1" w:rsidRDefault="009569D1" w:rsidP="00B63FC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asciiTheme="majorHAnsi" w:eastAsia="MS Mincho" w:hAnsiTheme="majorHAnsi"/>
          <w:sz w:val="20"/>
          <w:szCs w:val="20"/>
        </w:rPr>
      </w:pPr>
    </w:p>
    <w:p w14:paraId="080DB1AF" w14:textId="590671E2" w:rsidR="009569D1" w:rsidRDefault="009569D1" w:rsidP="00B63FC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asciiTheme="majorHAnsi" w:eastAsia="MS Mincho" w:hAnsiTheme="majorHAnsi"/>
          <w:sz w:val="20"/>
          <w:szCs w:val="20"/>
        </w:rPr>
      </w:pPr>
      <w:r w:rsidRPr="009569D1">
        <w:rPr>
          <w:rFonts w:asciiTheme="majorHAnsi" w:eastAsia="MS Mincho" w:hAnsiTheme="majorHAnsi"/>
          <w:sz w:val="20"/>
          <w:szCs w:val="20"/>
        </w:rPr>
        <w:t>Based on the aforementioned, the Commission concludes that the third clause on acknowledgment of responsibility is merely declarative and it does not correspond to supervise its compliance. Additionally, the Commission considers that paragraphs 1.1 (act of redress) and 1.4 (measure of justice) of the fourth clause have been fully complied with and</w:t>
      </w:r>
      <w:r w:rsidR="00B63FC8">
        <w:rPr>
          <w:rFonts w:asciiTheme="majorHAnsi" w:eastAsia="MS Mincho" w:hAnsiTheme="majorHAnsi"/>
          <w:sz w:val="20"/>
          <w:szCs w:val="20"/>
        </w:rPr>
        <w:t xml:space="preserve"> so it</w:t>
      </w:r>
      <w:r w:rsidRPr="009569D1">
        <w:rPr>
          <w:rFonts w:asciiTheme="majorHAnsi" w:eastAsia="MS Mincho" w:hAnsiTheme="majorHAnsi"/>
          <w:sz w:val="20"/>
          <w:szCs w:val="20"/>
        </w:rPr>
        <w:t xml:space="preserve"> declares</w:t>
      </w:r>
      <w:r w:rsidR="00B63FC8">
        <w:rPr>
          <w:rFonts w:asciiTheme="majorHAnsi" w:eastAsia="MS Mincho" w:hAnsiTheme="majorHAnsi"/>
          <w:sz w:val="20"/>
          <w:szCs w:val="20"/>
        </w:rPr>
        <w:t xml:space="preserve"> it</w:t>
      </w:r>
      <w:r w:rsidRPr="009569D1">
        <w:rPr>
          <w:rFonts w:asciiTheme="majorHAnsi" w:eastAsia="MS Mincho" w:hAnsiTheme="majorHAnsi"/>
          <w:sz w:val="20"/>
          <w:szCs w:val="20"/>
        </w:rPr>
        <w:t xml:space="preserve"> so. Finally, the Commission considers that numerals 1.2 (publication), 1.3 (training) and 1.5 (financial compensation) of the fourth clause are pending compliance and </w:t>
      </w:r>
      <w:r w:rsidR="00B63FC8">
        <w:rPr>
          <w:rFonts w:asciiTheme="majorHAnsi" w:eastAsia="MS Mincho" w:hAnsiTheme="majorHAnsi"/>
          <w:sz w:val="20"/>
          <w:szCs w:val="20"/>
        </w:rPr>
        <w:t xml:space="preserve">so it </w:t>
      </w:r>
      <w:r w:rsidRPr="009569D1">
        <w:rPr>
          <w:rFonts w:asciiTheme="majorHAnsi" w:eastAsia="MS Mincho" w:hAnsiTheme="majorHAnsi"/>
          <w:sz w:val="20"/>
          <w:szCs w:val="20"/>
        </w:rPr>
        <w:t>declares</w:t>
      </w:r>
      <w:r w:rsidR="00B63FC8">
        <w:rPr>
          <w:rFonts w:asciiTheme="majorHAnsi" w:eastAsia="MS Mincho" w:hAnsiTheme="majorHAnsi"/>
          <w:sz w:val="20"/>
          <w:szCs w:val="20"/>
        </w:rPr>
        <w:t xml:space="preserve"> it</w:t>
      </w:r>
      <w:r w:rsidRPr="009569D1">
        <w:rPr>
          <w:rFonts w:asciiTheme="majorHAnsi" w:eastAsia="MS Mincho" w:hAnsiTheme="majorHAnsi"/>
          <w:sz w:val="20"/>
          <w:szCs w:val="20"/>
        </w:rPr>
        <w:t xml:space="preserve"> so. Based on all the foregoing, the Commission concludes that the friendly settlement agreement is partially complied with, therefore it will continue to monitor the implementation of the pending and partial measures until they are fully complied with.</w:t>
      </w:r>
    </w:p>
    <w:p w14:paraId="568765BF" w14:textId="77777777" w:rsidR="009569D1" w:rsidRPr="006C4116" w:rsidRDefault="009569D1" w:rsidP="00B63FC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asciiTheme="majorHAnsi" w:eastAsia="MS Mincho" w:hAnsiTheme="majorHAnsi"/>
          <w:sz w:val="20"/>
          <w:szCs w:val="20"/>
        </w:rPr>
      </w:pPr>
    </w:p>
    <w:p w14:paraId="62883A79" w14:textId="0197D538" w:rsidR="00D37A1B" w:rsidRPr="00DB4BE4" w:rsidRDefault="00D37A1B" w:rsidP="00B63FC8">
      <w:pPr>
        <w:pStyle w:val="ListParagraph"/>
        <w:numPr>
          <w:ilvl w:val="0"/>
          <w:numId w:val="56"/>
        </w:numPr>
        <w:tabs>
          <w:tab w:val="left" w:pos="720"/>
        </w:tabs>
        <w:ind w:left="0" w:firstLine="720"/>
        <w:rPr>
          <w:rFonts w:asciiTheme="majorHAnsi" w:eastAsia="MS Mincho" w:hAnsiTheme="majorHAnsi"/>
          <w:b/>
          <w:sz w:val="20"/>
          <w:szCs w:val="20"/>
          <w:lang w:val="es-ES"/>
        </w:rPr>
      </w:pPr>
      <w:r w:rsidRPr="00DB4BE4">
        <w:rPr>
          <w:rFonts w:asciiTheme="majorHAnsi" w:eastAsia="MS Mincho" w:hAnsiTheme="majorHAnsi"/>
          <w:b/>
          <w:sz w:val="20"/>
          <w:szCs w:val="20"/>
          <w:lang w:val="es-ES"/>
        </w:rPr>
        <w:t>CONCLUSION</w:t>
      </w:r>
    </w:p>
    <w:p w14:paraId="1F380F12" w14:textId="77777777" w:rsidR="00D37A1B" w:rsidRPr="00DB4BE4" w:rsidRDefault="00D37A1B" w:rsidP="00B63FC8">
      <w:pPr>
        <w:pStyle w:val="ListParagraph"/>
        <w:tabs>
          <w:tab w:val="left" w:pos="720"/>
        </w:tabs>
        <w:ind w:left="0" w:firstLine="720"/>
        <w:jc w:val="both"/>
        <w:rPr>
          <w:rFonts w:asciiTheme="majorHAnsi" w:eastAsia="MS Mincho" w:hAnsiTheme="majorHAnsi"/>
          <w:sz w:val="20"/>
          <w:szCs w:val="20"/>
          <w:lang w:val="es-ES"/>
        </w:rPr>
      </w:pPr>
    </w:p>
    <w:p w14:paraId="4D44E16F" w14:textId="618E1047" w:rsidR="00FD6E55" w:rsidRPr="001D79ED" w:rsidRDefault="00FD6E55" w:rsidP="00B63FC8">
      <w:pPr>
        <w:pStyle w:val="ListParagraph"/>
        <w:numPr>
          <w:ilvl w:val="3"/>
          <w:numId w:val="56"/>
        </w:numPr>
        <w:tabs>
          <w:tab w:val="left" w:pos="720"/>
        </w:tabs>
        <w:ind w:left="0" w:firstLine="720"/>
        <w:jc w:val="both"/>
        <w:rPr>
          <w:rFonts w:asciiTheme="majorHAnsi" w:eastAsia="MS Mincho" w:hAnsiTheme="majorHAnsi"/>
          <w:sz w:val="20"/>
          <w:szCs w:val="20"/>
        </w:rPr>
      </w:pPr>
      <w:r w:rsidRPr="001D79ED">
        <w:rPr>
          <w:rFonts w:asciiTheme="majorHAnsi" w:eastAsia="MS Mincho" w:hAnsiTheme="majorHAnsi"/>
          <w:sz w:val="20"/>
          <w:szCs w:val="20"/>
        </w:rPr>
        <w:t>Based on the foregoing considerations and by virtue of the procedure provided for in Articles 48.1.f and 49 of the American Convention, the Commission wishes to reiterate its deep appreciation for the efforts made by the parties and its satisfaction with the achievement of a solution friendly in the instant case, based on respect for human rights, and compatible with the object and purpose of the American Convention.</w:t>
      </w:r>
    </w:p>
    <w:p w14:paraId="668936B0" w14:textId="77777777" w:rsidR="00FD6E55" w:rsidRPr="00FD6E55" w:rsidRDefault="00FD6E55" w:rsidP="00B63FC8">
      <w:pPr>
        <w:tabs>
          <w:tab w:val="left" w:pos="720"/>
        </w:tabs>
        <w:ind w:firstLine="720"/>
        <w:jc w:val="both"/>
        <w:rPr>
          <w:rFonts w:asciiTheme="majorHAnsi" w:eastAsia="MS Mincho" w:hAnsiTheme="majorHAnsi" w:cs="Cambria"/>
          <w:color w:val="000000"/>
          <w:sz w:val="20"/>
          <w:szCs w:val="20"/>
          <w:u w:color="000000"/>
          <w:lang w:eastAsia="es-ES"/>
        </w:rPr>
      </w:pPr>
    </w:p>
    <w:p w14:paraId="5AD2F384" w14:textId="60F890FE" w:rsidR="00D37A1B" w:rsidRPr="001D79ED" w:rsidRDefault="00FD6E55" w:rsidP="00B63FC8">
      <w:pPr>
        <w:pStyle w:val="ListParagraph"/>
        <w:numPr>
          <w:ilvl w:val="3"/>
          <w:numId w:val="56"/>
        </w:numPr>
        <w:tabs>
          <w:tab w:val="left" w:pos="720"/>
        </w:tabs>
        <w:ind w:left="0" w:firstLine="720"/>
        <w:jc w:val="both"/>
        <w:rPr>
          <w:rFonts w:asciiTheme="majorHAnsi" w:eastAsia="MS Mincho" w:hAnsiTheme="majorHAnsi"/>
          <w:sz w:val="20"/>
          <w:szCs w:val="20"/>
        </w:rPr>
      </w:pPr>
      <w:r w:rsidRPr="001D79ED">
        <w:rPr>
          <w:rFonts w:asciiTheme="majorHAnsi" w:eastAsia="MS Mincho" w:hAnsiTheme="majorHAnsi"/>
          <w:sz w:val="20"/>
          <w:szCs w:val="20"/>
        </w:rPr>
        <w:t>By virtue of the considerations and conclusions set forth in this report,</w:t>
      </w:r>
    </w:p>
    <w:p w14:paraId="344BD2BB" w14:textId="77777777" w:rsidR="00FD6E55" w:rsidRPr="006C4116" w:rsidRDefault="00FD6E55" w:rsidP="00B63FC8">
      <w:pPr>
        <w:tabs>
          <w:tab w:val="left" w:pos="720"/>
        </w:tabs>
        <w:ind w:firstLine="720"/>
        <w:jc w:val="both"/>
        <w:rPr>
          <w:rFonts w:asciiTheme="majorHAnsi" w:eastAsia="MS Mincho" w:hAnsiTheme="majorHAnsi"/>
          <w:sz w:val="20"/>
          <w:szCs w:val="20"/>
        </w:rPr>
      </w:pPr>
    </w:p>
    <w:p w14:paraId="69D4FC45" w14:textId="2345392F" w:rsidR="00D37A1B" w:rsidRPr="00C47ABB" w:rsidRDefault="00C47ABB" w:rsidP="00A72F59">
      <w:pPr>
        <w:tabs>
          <w:tab w:val="left" w:pos="720"/>
        </w:tabs>
        <w:jc w:val="center"/>
        <w:rPr>
          <w:rFonts w:asciiTheme="majorHAnsi" w:eastAsia="MS Mincho" w:hAnsiTheme="majorHAnsi"/>
          <w:b/>
          <w:bCs/>
          <w:sz w:val="20"/>
          <w:szCs w:val="20"/>
        </w:rPr>
      </w:pPr>
      <w:r w:rsidRPr="00C47ABB">
        <w:rPr>
          <w:rFonts w:asciiTheme="majorHAnsi" w:eastAsia="MS Mincho" w:hAnsiTheme="majorHAnsi"/>
          <w:b/>
          <w:bCs/>
          <w:sz w:val="20"/>
          <w:szCs w:val="20"/>
        </w:rPr>
        <w:t>THE INTER-AMERICAN COM</w:t>
      </w:r>
      <w:r>
        <w:rPr>
          <w:rFonts w:asciiTheme="majorHAnsi" w:eastAsia="MS Mincho" w:hAnsiTheme="majorHAnsi"/>
          <w:b/>
          <w:bCs/>
          <w:sz w:val="20"/>
          <w:szCs w:val="20"/>
        </w:rPr>
        <w:t>MISSION ON HUMAN RIGHTS</w:t>
      </w:r>
    </w:p>
    <w:p w14:paraId="2ADEE3CB" w14:textId="77777777" w:rsidR="00D37A1B" w:rsidRPr="00C47ABB" w:rsidRDefault="00D37A1B" w:rsidP="00B63FC8">
      <w:pPr>
        <w:tabs>
          <w:tab w:val="left" w:pos="720"/>
        </w:tabs>
        <w:ind w:firstLine="720"/>
        <w:jc w:val="both"/>
        <w:rPr>
          <w:rFonts w:asciiTheme="majorHAnsi" w:eastAsia="MS Mincho" w:hAnsiTheme="majorHAnsi"/>
          <w:b/>
          <w:bCs/>
          <w:sz w:val="20"/>
          <w:szCs w:val="20"/>
        </w:rPr>
      </w:pPr>
    </w:p>
    <w:p w14:paraId="43D5BED5" w14:textId="31AF72E0" w:rsidR="00D37A1B" w:rsidRPr="00C47ABB" w:rsidRDefault="00D37A1B" w:rsidP="00A72F59">
      <w:pPr>
        <w:tabs>
          <w:tab w:val="left" w:pos="720"/>
        </w:tabs>
        <w:jc w:val="both"/>
        <w:rPr>
          <w:rFonts w:asciiTheme="majorHAnsi" w:eastAsia="MS Mincho" w:hAnsiTheme="majorHAnsi"/>
          <w:sz w:val="20"/>
          <w:szCs w:val="20"/>
        </w:rPr>
      </w:pPr>
      <w:r w:rsidRPr="00C47ABB">
        <w:rPr>
          <w:rFonts w:asciiTheme="majorHAnsi" w:eastAsia="MS Mincho" w:hAnsiTheme="majorHAnsi"/>
          <w:b/>
          <w:bCs/>
          <w:sz w:val="20"/>
          <w:szCs w:val="20"/>
        </w:rPr>
        <w:t>DECIDE</w:t>
      </w:r>
      <w:r w:rsidR="00C47ABB">
        <w:rPr>
          <w:rFonts w:asciiTheme="majorHAnsi" w:eastAsia="MS Mincho" w:hAnsiTheme="majorHAnsi"/>
          <w:b/>
          <w:bCs/>
          <w:sz w:val="20"/>
          <w:szCs w:val="20"/>
        </w:rPr>
        <w:t>S</w:t>
      </w:r>
      <w:r w:rsidRPr="00C47ABB">
        <w:rPr>
          <w:rFonts w:asciiTheme="majorHAnsi" w:eastAsia="MS Mincho" w:hAnsiTheme="majorHAnsi"/>
          <w:b/>
          <w:bCs/>
          <w:sz w:val="20"/>
          <w:szCs w:val="20"/>
        </w:rPr>
        <w:t>:</w:t>
      </w:r>
    </w:p>
    <w:p w14:paraId="7A06D448" w14:textId="77777777" w:rsidR="00D37A1B" w:rsidRPr="00C47ABB" w:rsidRDefault="00D37A1B" w:rsidP="00B63FC8">
      <w:pPr>
        <w:tabs>
          <w:tab w:val="left" w:pos="720"/>
          <w:tab w:val="left" w:pos="1260"/>
        </w:tabs>
        <w:ind w:firstLine="720"/>
        <w:jc w:val="both"/>
        <w:rPr>
          <w:rFonts w:asciiTheme="majorHAnsi" w:eastAsia="MS Mincho" w:hAnsiTheme="majorHAnsi"/>
          <w:sz w:val="20"/>
          <w:szCs w:val="20"/>
        </w:rPr>
      </w:pPr>
    </w:p>
    <w:p w14:paraId="4EA511E5" w14:textId="6F459E51" w:rsidR="00FD6E55" w:rsidRPr="001D79ED" w:rsidRDefault="00FD6E55" w:rsidP="00B63FC8">
      <w:pPr>
        <w:pStyle w:val="ListParagraph"/>
        <w:numPr>
          <w:ilvl w:val="0"/>
          <w:numId w:val="61"/>
        </w:numPr>
        <w:tabs>
          <w:tab w:val="left" w:pos="720"/>
        </w:tabs>
        <w:ind w:left="0" w:firstLine="720"/>
        <w:jc w:val="both"/>
        <w:rPr>
          <w:rFonts w:asciiTheme="majorHAnsi" w:eastAsia="MS Mincho" w:hAnsiTheme="majorHAnsi"/>
          <w:sz w:val="20"/>
          <w:szCs w:val="20"/>
        </w:rPr>
      </w:pPr>
      <w:r w:rsidRPr="001D79ED">
        <w:rPr>
          <w:rFonts w:asciiTheme="majorHAnsi" w:eastAsia="MS Mincho" w:hAnsiTheme="majorHAnsi"/>
          <w:sz w:val="20"/>
          <w:szCs w:val="20"/>
        </w:rPr>
        <w:t>Approve the terms of the friendly settlement agreement signed by the parties on December 2, 2020.</w:t>
      </w:r>
    </w:p>
    <w:p w14:paraId="2DAC54CF" w14:textId="77777777" w:rsidR="00FD6E55" w:rsidRPr="00FD6E55" w:rsidRDefault="00FD6E55" w:rsidP="00B63FC8">
      <w:pPr>
        <w:tabs>
          <w:tab w:val="left" w:pos="720"/>
        </w:tabs>
        <w:ind w:firstLine="720"/>
        <w:jc w:val="both"/>
        <w:rPr>
          <w:rFonts w:asciiTheme="majorHAnsi" w:eastAsia="MS Mincho" w:hAnsiTheme="majorHAnsi"/>
          <w:sz w:val="20"/>
          <w:szCs w:val="20"/>
        </w:rPr>
      </w:pPr>
    </w:p>
    <w:p w14:paraId="473E6224" w14:textId="74DE3045" w:rsidR="00FD6E55" w:rsidRPr="001D79ED" w:rsidRDefault="00FD6E55" w:rsidP="00B63FC8">
      <w:pPr>
        <w:pStyle w:val="ListParagraph"/>
        <w:numPr>
          <w:ilvl w:val="0"/>
          <w:numId w:val="61"/>
        </w:numPr>
        <w:tabs>
          <w:tab w:val="left" w:pos="720"/>
        </w:tabs>
        <w:ind w:left="0" w:firstLine="720"/>
        <w:jc w:val="both"/>
        <w:rPr>
          <w:rFonts w:asciiTheme="majorHAnsi" w:eastAsia="MS Mincho" w:hAnsiTheme="majorHAnsi"/>
          <w:sz w:val="20"/>
          <w:szCs w:val="20"/>
        </w:rPr>
      </w:pPr>
      <w:r w:rsidRPr="001D79ED">
        <w:rPr>
          <w:rFonts w:asciiTheme="majorHAnsi" w:eastAsia="MS Mincho" w:hAnsiTheme="majorHAnsi"/>
          <w:sz w:val="20"/>
          <w:szCs w:val="20"/>
        </w:rPr>
        <w:t>Declare that numerals 1.1 (act of redress) and 1.4 (measure of justice) of the fourth clause are fully complied with, according to the analysis contained in this report.</w:t>
      </w:r>
    </w:p>
    <w:p w14:paraId="3F47C9DB" w14:textId="77777777" w:rsidR="00FD6E55" w:rsidRPr="00FD6E55" w:rsidRDefault="00FD6E55" w:rsidP="00B63FC8">
      <w:pPr>
        <w:tabs>
          <w:tab w:val="left" w:pos="720"/>
        </w:tabs>
        <w:ind w:firstLine="720"/>
        <w:jc w:val="both"/>
        <w:rPr>
          <w:rFonts w:asciiTheme="majorHAnsi" w:eastAsia="MS Mincho" w:hAnsiTheme="majorHAnsi"/>
          <w:sz w:val="20"/>
          <w:szCs w:val="20"/>
        </w:rPr>
      </w:pPr>
    </w:p>
    <w:p w14:paraId="4017BB0A" w14:textId="53824A85" w:rsidR="00FD6E55" w:rsidRPr="001D79ED" w:rsidRDefault="00FD6E55" w:rsidP="004F33E7">
      <w:pPr>
        <w:pStyle w:val="ListParagraph"/>
        <w:numPr>
          <w:ilvl w:val="0"/>
          <w:numId w:val="61"/>
        </w:numPr>
        <w:tabs>
          <w:tab w:val="center" w:pos="720"/>
        </w:tabs>
        <w:ind w:left="0" w:firstLine="720"/>
        <w:jc w:val="both"/>
        <w:rPr>
          <w:rFonts w:asciiTheme="majorHAnsi" w:eastAsia="MS Mincho" w:hAnsiTheme="majorHAnsi"/>
          <w:sz w:val="20"/>
          <w:szCs w:val="20"/>
        </w:rPr>
      </w:pPr>
      <w:r w:rsidRPr="001D79ED">
        <w:rPr>
          <w:rFonts w:asciiTheme="majorHAnsi" w:eastAsia="MS Mincho" w:hAnsiTheme="majorHAnsi"/>
          <w:sz w:val="20"/>
          <w:szCs w:val="20"/>
        </w:rPr>
        <w:t>Declare that numerals 1.2 (publication), 1.3 (training) and 1.5 (financial compensation) of the fourth clause are pending compliance, according to the analysis contained in this report.</w:t>
      </w:r>
    </w:p>
    <w:p w14:paraId="696F385C" w14:textId="77777777" w:rsidR="00FD6E55" w:rsidRPr="00FD6E55" w:rsidRDefault="00FD6E55" w:rsidP="004F33E7">
      <w:pPr>
        <w:tabs>
          <w:tab w:val="center" w:pos="720"/>
        </w:tabs>
        <w:ind w:firstLine="720"/>
        <w:jc w:val="both"/>
        <w:rPr>
          <w:rFonts w:asciiTheme="majorHAnsi" w:eastAsia="MS Mincho" w:hAnsiTheme="majorHAnsi"/>
          <w:sz w:val="20"/>
          <w:szCs w:val="20"/>
        </w:rPr>
      </w:pPr>
    </w:p>
    <w:p w14:paraId="6AD2176F" w14:textId="290B3E82" w:rsidR="00FD6E55" w:rsidRPr="001D79ED" w:rsidRDefault="00FD6E55" w:rsidP="004F33E7">
      <w:pPr>
        <w:pStyle w:val="ListParagraph"/>
        <w:numPr>
          <w:ilvl w:val="0"/>
          <w:numId w:val="61"/>
        </w:numPr>
        <w:tabs>
          <w:tab w:val="center" w:pos="720"/>
        </w:tabs>
        <w:ind w:left="0" w:firstLine="720"/>
        <w:jc w:val="both"/>
        <w:rPr>
          <w:rFonts w:asciiTheme="majorHAnsi" w:eastAsia="MS Mincho" w:hAnsiTheme="majorHAnsi"/>
          <w:sz w:val="20"/>
          <w:szCs w:val="20"/>
        </w:rPr>
      </w:pPr>
      <w:r w:rsidRPr="001D79ED">
        <w:rPr>
          <w:rFonts w:asciiTheme="majorHAnsi" w:eastAsia="MS Mincho" w:hAnsiTheme="majorHAnsi"/>
          <w:sz w:val="20"/>
          <w:szCs w:val="20"/>
        </w:rPr>
        <w:t>Continue with the supervision of the commitments assumed in numbers 1.2 (publication), 1.3 (training) and 1.5 (financial compensation) of the fourth clause of the friendly settlement agreement until full compliance, according to the analysis contained in this report. To this end, remind the parties of their commitment to periodically inform the IACHR on its compliance.</w:t>
      </w:r>
    </w:p>
    <w:p w14:paraId="18D9DA63" w14:textId="77777777" w:rsidR="00FD6E55" w:rsidRPr="00FD6E55" w:rsidRDefault="00FD6E55" w:rsidP="004F33E7">
      <w:pPr>
        <w:tabs>
          <w:tab w:val="center" w:pos="720"/>
        </w:tabs>
        <w:ind w:firstLine="720"/>
        <w:jc w:val="both"/>
        <w:rPr>
          <w:rFonts w:asciiTheme="majorHAnsi" w:eastAsia="MS Mincho" w:hAnsiTheme="majorHAnsi"/>
          <w:sz w:val="20"/>
          <w:szCs w:val="20"/>
        </w:rPr>
      </w:pPr>
    </w:p>
    <w:p w14:paraId="6F6698E3" w14:textId="66FD215E" w:rsidR="00D37A1B" w:rsidRPr="00331988" w:rsidRDefault="00FD6E55" w:rsidP="004F33E7">
      <w:pPr>
        <w:pStyle w:val="ListParagraph"/>
        <w:numPr>
          <w:ilvl w:val="0"/>
          <w:numId w:val="61"/>
        </w:numPr>
        <w:tabs>
          <w:tab w:val="center" w:pos="720"/>
        </w:tabs>
        <w:ind w:left="0" w:firstLine="720"/>
        <w:jc w:val="both"/>
        <w:rPr>
          <w:rFonts w:asciiTheme="majorHAnsi" w:hAnsiTheme="majorHAnsi"/>
          <w:spacing w:val="-2"/>
          <w:sz w:val="20"/>
          <w:szCs w:val="20"/>
        </w:rPr>
      </w:pPr>
      <w:r w:rsidRPr="001D79ED">
        <w:rPr>
          <w:rFonts w:asciiTheme="majorHAnsi" w:eastAsia="MS Mincho" w:hAnsiTheme="majorHAnsi"/>
          <w:sz w:val="20"/>
          <w:szCs w:val="20"/>
        </w:rPr>
        <w:t>Make this report public and include it in its Annual Report to the OAS General Assembly.</w:t>
      </w:r>
      <w:r w:rsidRPr="001D79ED">
        <w:rPr>
          <w:rFonts w:asciiTheme="majorHAnsi" w:eastAsia="MS Mincho" w:hAnsiTheme="majorHAnsi"/>
          <w:spacing w:val="-2"/>
          <w:sz w:val="20"/>
          <w:szCs w:val="20"/>
        </w:rPr>
        <w:t xml:space="preserve"> </w:t>
      </w:r>
    </w:p>
    <w:p w14:paraId="54F844E3" w14:textId="77777777" w:rsidR="00331988" w:rsidRPr="00331988" w:rsidRDefault="00331988" w:rsidP="00331988">
      <w:pPr>
        <w:pStyle w:val="ListParagraph"/>
        <w:rPr>
          <w:rFonts w:asciiTheme="majorHAnsi" w:hAnsiTheme="majorHAnsi"/>
          <w:spacing w:val="-2"/>
          <w:sz w:val="20"/>
          <w:szCs w:val="20"/>
        </w:rPr>
      </w:pPr>
    </w:p>
    <w:p w14:paraId="470CB0F4" w14:textId="46168ABB" w:rsidR="00331988" w:rsidRDefault="00331988" w:rsidP="0033198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Calibri" w:hAnsi="Cambria"/>
          <w:sz w:val="20"/>
          <w:szCs w:val="20"/>
          <w:bdr w:val="none" w:sz="0" w:space="0" w:color="auto"/>
        </w:rPr>
      </w:pPr>
      <w:r w:rsidRPr="00331988">
        <w:rPr>
          <w:rFonts w:ascii="Cambria" w:hAnsi="Cambria" w:cs="Calibri"/>
          <w:sz w:val="20"/>
          <w:szCs w:val="20"/>
        </w:rPr>
        <w:t xml:space="preserve">Approved by the Inter-American Commission on Human Rights on </w:t>
      </w:r>
      <w:r w:rsidR="00E10DF8">
        <w:rPr>
          <w:rFonts w:ascii="Cambria" w:hAnsi="Cambria" w:cs="Calibri"/>
          <w:sz w:val="20"/>
          <w:szCs w:val="20"/>
        </w:rPr>
        <w:t>June</w:t>
      </w:r>
      <w:r w:rsidRPr="00331988">
        <w:rPr>
          <w:rFonts w:ascii="Cambria" w:hAnsi="Cambria" w:cs="Calibri"/>
          <w:sz w:val="20"/>
          <w:szCs w:val="20"/>
        </w:rPr>
        <w:t xml:space="preserve"> </w:t>
      </w:r>
      <w:r w:rsidR="00E10DF8">
        <w:rPr>
          <w:rFonts w:ascii="Cambria" w:hAnsi="Cambria" w:cs="Calibri"/>
          <w:sz w:val="20"/>
          <w:szCs w:val="20"/>
        </w:rPr>
        <w:t>13</w:t>
      </w:r>
      <w:r w:rsidRPr="00331988">
        <w:rPr>
          <w:rFonts w:ascii="Cambria" w:hAnsi="Cambria" w:cs="Calibri"/>
          <w:sz w:val="20"/>
          <w:szCs w:val="20"/>
        </w:rPr>
        <w:t>, 202</w:t>
      </w:r>
      <w:r w:rsidR="00364E38">
        <w:rPr>
          <w:rFonts w:ascii="Cambria" w:hAnsi="Cambria" w:cs="Calibri"/>
          <w:sz w:val="20"/>
          <w:szCs w:val="20"/>
        </w:rPr>
        <w:t>1</w:t>
      </w:r>
      <w:r w:rsidRPr="00331988">
        <w:rPr>
          <w:rFonts w:ascii="Cambria" w:hAnsi="Cambria" w:cs="Calibri"/>
          <w:sz w:val="20"/>
          <w:szCs w:val="20"/>
        </w:rPr>
        <w:t>. (Signed):</w:t>
      </w:r>
      <w:r w:rsidR="00833D27">
        <w:rPr>
          <w:rFonts w:ascii="Cambria" w:hAnsi="Cambria" w:cs="Calibri"/>
          <w:sz w:val="20"/>
          <w:szCs w:val="20"/>
        </w:rPr>
        <w:t xml:space="preserve"> </w:t>
      </w:r>
      <w:r w:rsidRPr="00331988">
        <w:rPr>
          <w:rFonts w:ascii="Cambria" w:eastAsia="Calibri" w:hAnsi="Cambria"/>
          <w:sz w:val="20"/>
          <w:szCs w:val="20"/>
          <w:bdr w:val="none" w:sz="0" w:space="0" w:color="auto"/>
        </w:rPr>
        <w:t>Antonia Urrejola</w:t>
      </w:r>
      <w:r w:rsidR="00833D27">
        <w:rPr>
          <w:rFonts w:ascii="Cambria" w:eastAsia="Calibri" w:hAnsi="Cambria"/>
          <w:sz w:val="20"/>
          <w:szCs w:val="20"/>
          <w:bdr w:val="none" w:sz="0" w:space="0" w:color="auto"/>
        </w:rPr>
        <w:t>,</w:t>
      </w:r>
      <w:r w:rsidRPr="00331988">
        <w:rPr>
          <w:rFonts w:ascii="Cambria" w:eastAsia="Calibri" w:hAnsi="Cambria"/>
          <w:sz w:val="20"/>
          <w:szCs w:val="20"/>
          <w:bdr w:val="none" w:sz="0" w:space="0" w:color="auto"/>
        </w:rPr>
        <w:t xml:space="preserve"> President; Julissa Mantilla Falcón, First Vice President; Flávia Piovesan</w:t>
      </w:r>
      <w:r w:rsidR="00833D27">
        <w:rPr>
          <w:rFonts w:ascii="Cambria" w:eastAsia="Calibri" w:hAnsi="Cambria"/>
          <w:sz w:val="20"/>
          <w:szCs w:val="20"/>
          <w:bdr w:val="none" w:sz="0" w:space="0" w:color="auto"/>
        </w:rPr>
        <w:t>,</w:t>
      </w:r>
      <w:r w:rsidRPr="00331988">
        <w:rPr>
          <w:rFonts w:ascii="Cambria" w:eastAsia="Calibri" w:hAnsi="Cambria"/>
          <w:sz w:val="20"/>
          <w:szCs w:val="20"/>
          <w:bdr w:val="none" w:sz="0" w:space="0" w:color="auto"/>
        </w:rPr>
        <w:t xml:space="preserve"> Second Vice President</w:t>
      </w:r>
      <w:r w:rsidR="00833D27">
        <w:rPr>
          <w:rFonts w:ascii="Cambria" w:eastAsia="Calibri" w:hAnsi="Cambria"/>
          <w:sz w:val="20"/>
          <w:szCs w:val="20"/>
          <w:bdr w:val="none" w:sz="0" w:space="0" w:color="auto"/>
        </w:rPr>
        <w:t>;</w:t>
      </w:r>
      <w:r w:rsidRPr="00331988">
        <w:rPr>
          <w:rFonts w:ascii="Cambria" w:eastAsia="Calibri" w:hAnsi="Cambria"/>
          <w:sz w:val="20"/>
          <w:szCs w:val="20"/>
          <w:bdr w:val="none" w:sz="0" w:space="0" w:color="auto"/>
        </w:rPr>
        <w:t xml:space="preserve"> Margarette May Macaulay</w:t>
      </w:r>
      <w:r w:rsidR="00833D27">
        <w:rPr>
          <w:rFonts w:ascii="Cambria" w:eastAsia="Calibri" w:hAnsi="Cambria"/>
          <w:sz w:val="20"/>
          <w:szCs w:val="20"/>
          <w:bdr w:val="none" w:sz="0" w:space="0" w:color="auto"/>
        </w:rPr>
        <w:t>;</w:t>
      </w:r>
      <w:r w:rsidRPr="00331988">
        <w:rPr>
          <w:rFonts w:ascii="Cambria" w:eastAsia="Calibri" w:hAnsi="Cambria"/>
          <w:sz w:val="20"/>
          <w:szCs w:val="20"/>
          <w:bdr w:val="none" w:sz="0" w:space="0" w:color="auto"/>
        </w:rPr>
        <w:t xml:space="preserve"> Esmeralda E. </w:t>
      </w:r>
      <w:proofErr w:type="spellStart"/>
      <w:r w:rsidRPr="00331988">
        <w:rPr>
          <w:rFonts w:ascii="Cambria" w:eastAsia="Calibri" w:hAnsi="Cambria"/>
          <w:sz w:val="20"/>
          <w:szCs w:val="20"/>
          <w:bdr w:val="none" w:sz="0" w:space="0" w:color="auto"/>
        </w:rPr>
        <w:t>Arosemena</w:t>
      </w:r>
      <w:proofErr w:type="spellEnd"/>
      <w:r w:rsidRPr="00331988">
        <w:rPr>
          <w:rFonts w:ascii="Cambria" w:eastAsia="Calibri" w:hAnsi="Cambria"/>
          <w:sz w:val="20"/>
          <w:szCs w:val="20"/>
          <w:bdr w:val="none" w:sz="0" w:space="0" w:color="auto"/>
        </w:rPr>
        <w:t xml:space="preserve"> Bernal de </w:t>
      </w:r>
      <w:proofErr w:type="spellStart"/>
      <w:r w:rsidRPr="00331988">
        <w:rPr>
          <w:rFonts w:ascii="Cambria" w:eastAsia="Calibri" w:hAnsi="Cambria"/>
          <w:sz w:val="20"/>
          <w:szCs w:val="20"/>
          <w:bdr w:val="none" w:sz="0" w:space="0" w:color="auto"/>
        </w:rPr>
        <w:t>Troitiño</w:t>
      </w:r>
      <w:proofErr w:type="spellEnd"/>
      <w:r w:rsidR="00833D27">
        <w:rPr>
          <w:rFonts w:ascii="Cambria" w:eastAsia="Calibri" w:hAnsi="Cambria"/>
          <w:sz w:val="20"/>
          <w:szCs w:val="20"/>
          <w:bdr w:val="none" w:sz="0" w:space="0" w:color="auto"/>
        </w:rPr>
        <w:t>;</w:t>
      </w:r>
      <w:r w:rsidR="00A72F59" w:rsidRPr="00A72F59">
        <w:rPr>
          <w:rFonts w:ascii="Cambria" w:eastAsia="Calibri" w:hAnsi="Cambria"/>
          <w:sz w:val="20"/>
          <w:szCs w:val="20"/>
          <w:bdr w:val="none" w:sz="0" w:space="0" w:color="auto"/>
        </w:rPr>
        <w:t xml:space="preserve"> </w:t>
      </w:r>
      <w:r w:rsidR="00A72F59" w:rsidRPr="00331988">
        <w:rPr>
          <w:rFonts w:ascii="Cambria" w:eastAsia="Calibri" w:hAnsi="Cambria"/>
          <w:sz w:val="20"/>
          <w:szCs w:val="20"/>
          <w:bdr w:val="none" w:sz="0" w:space="0" w:color="auto"/>
        </w:rPr>
        <w:t>Joel Hernández García</w:t>
      </w:r>
      <w:r w:rsidRPr="00331988">
        <w:rPr>
          <w:rFonts w:ascii="Cambria" w:eastAsia="Calibri" w:hAnsi="Cambria"/>
          <w:sz w:val="20"/>
          <w:szCs w:val="20"/>
          <w:bdr w:val="none" w:sz="0" w:space="0" w:color="auto"/>
        </w:rPr>
        <w:t xml:space="preserve"> </w:t>
      </w:r>
      <w:r w:rsidR="00A72F59">
        <w:rPr>
          <w:rFonts w:ascii="Cambria" w:eastAsia="Calibri" w:hAnsi="Cambria"/>
          <w:sz w:val="20"/>
          <w:szCs w:val="20"/>
          <w:bdr w:val="none" w:sz="0" w:space="0" w:color="auto"/>
        </w:rPr>
        <w:t xml:space="preserve">and </w:t>
      </w:r>
      <w:r w:rsidRPr="00331988">
        <w:rPr>
          <w:rFonts w:ascii="Cambria" w:eastAsia="Calibri" w:hAnsi="Cambria"/>
          <w:sz w:val="20"/>
          <w:szCs w:val="20"/>
          <w:bdr w:val="none" w:sz="0" w:space="0" w:color="auto"/>
        </w:rPr>
        <w:t xml:space="preserve">Edgar </w:t>
      </w:r>
      <w:proofErr w:type="spellStart"/>
      <w:r w:rsidRPr="00331988">
        <w:rPr>
          <w:rFonts w:ascii="Cambria" w:eastAsia="Calibri" w:hAnsi="Cambria"/>
          <w:sz w:val="20"/>
          <w:szCs w:val="20"/>
          <w:bdr w:val="none" w:sz="0" w:space="0" w:color="auto"/>
        </w:rPr>
        <w:t>Stuardo</w:t>
      </w:r>
      <w:proofErr w:type="spellEnd"/>
      <w:r w:rsidRPr="00331988">
        <w:rPr>
          <w:rFonts w:ascii="Cambria" w:eastAsia="Calibri" w:hAnsi="Cambria"/>
          <w:sz w:val="20"/>
          <w:szCs w:val="20"/>
          <w:bdr w:val="none" w:sz="0" w:space="0" w:color="auto"/>
        </w:rPr>
        <w:t xml:space="preserve"> </w:t>
      </w:r>
      <w:proofErr w:type="spellStart"/>
      <w:r w:rsidRPr="00331988">
        <w:rPr>
          <w:rFonts w:ascii="Cambria" w:eastAsia="Calibri" w:hAnsi="Cambria"/>
          <w:sz w:val="20"/>
          <w:szCs w:val="20"/>
          <w:bdr w:val="none" w:sz="0" w:space="0" w:color="auto"/>
        </w:rPr>
        <w:t>Ralon</w:t>
      </w:r>
      <w:proofErr w:type="spellEnd"/>
      <w:r w:rsidRPr="00331988">
        <w:rPr>
          <w:rFonts w:ascii="Cambria" w:eastAsia="Calibri" w:hAnsi="Cambria"/>
          <w:sz w:val="20"/>
          <w:szCs w:val="20"/>
          <w:bdr w:val="none" w:sz="0" w:space="0" w:color="auto"/>
        </w:rPr>
        <w:t xml:space="preserve"> Orellana, Members of the Commission.</w:t>
      </w:r>
    </w:p>
    <w:p w14:paraId="20434834" w14:textId="5035A88A" w:rsidR="00331988" w:rsidRDefault="00331988" w:rsidP="0033198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Calibri" w:hAnsi="Cambria"/>
          <w:sz w:val="20"/>
          <w:szCs w:val="20"/>
          <w:bdr w:val="none" w:sz="0" w:space="0" w:color="auto"/>
        </w:rPr>
      </w:pPr>
    </w:p>
    <w:p w14:paraId="358F9212" w14:textId="5FE39182" w:rsidR="00331988" w:rsidRDefault="00331988" w:rsidP="0033198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Calibri" w:hAnsi="Cambria"/>
          <w:sz w:val="20"/>
          <w:szCs w:val="20"/>
          <w:bdr w:val="none" w:sz="0" w:space="0" w:color="auto"/>
        </w:rPr>
      </w:pPr>
    </w:p>
    <w:p w14:paraId="38520151" w14:textId="77777777" w:rsidR="00331988" w:rsidRPr="00331988" w:rsidRDefault="00331988" w:rsidP="0033198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Calibri" w:hAnsi="Cambria"/>
          <w:sz w:val="20"/>
          <w:szCs w:val="20"/>
          <w:bdr w:val="none" w:sz="0" w:space="0" w:color="auto"/>
        </w:rPr>
      </w:pPr>
    </w:p>
    <w:sectPr w:rsidR="00331988" w:rsidRPr="0033198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E259A" w14:textId="77777777" w:rsidR="007E7C8C" w:rsidRDefault="007E7C8C">
      <w:r>
        <w:separator/>
      </w:r>
    </w:p>
  </w:endnote>
  <w:endnote w:type="continuationSeparator" w:id="0">
    <w:p w14:paraId="3BBCADF8" w14:textId="77777777" w:rsidR="007E7C8C" w:rsidRDefault="007E7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AD58A" w14:textId="77777777" w:rsidR="006E3720" w:rsidRDefault="006E37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14:paraId="6D6EC089" w14:textId="279ABE49" w:rsidR="00263A40" w:rsidRPr="00934A2C" w:rsidRDefault="00263A4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E3720">
          <w:rPr>
            <w:noProof/>
            <w:sz w:val="16"/>
            <w:szCs w:val="22"/>
          </w:rPr>
          <w:t>1</w:t>
        </w:r>
        <w:r w:rsidRPr="00934A2C">
          <w:rPr>
            <w:noProof/>
            <w:sz w:val="16"/>
            <w:szCs w:val="22"/>
          </w:rPr>
          <w:fldChar w:fldCharType="end"/>
        </w:r>
      </w:p>
    </w:sdtContent>
  </w:sdt>
  <w:p w14:paraId="4CDD3F0E" w14:textId="77777777" w:rsidR="00263A40" w:rsidRDefault="00263A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0AB63" w14:textId="77777777" w:rsidR="00263A40" w:rsidRPr="00934A2C" w:rsidRDefault="00263A40">
    <w:pPr>
      <w:pStyle w:val="Footer"/>
      <w:jc w:val="center"/>
      <w:rPr>
        <w:sz w:val="16"/>
        <w:szCs w:val="22"/>
      </w:rPr>
    </w:pPr>
  </w:p>
  <w:p w14:paraId="2C7BE356" w14:textId="77777777" w:rsidR="00263A40" w:rsidRDefault="00263A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7DABA" w14:textId="77777777" w:rsidR="007E7C8C" w:rsidRPr="000F35ED" w:rsidRDefault="007E7C8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1F6D0E2" w14:textId="77777777" w:rsidR="007E7C8C" w:rsidRPr="000F35ED" w:rsidRDefault="007E7C8C" w:rsidP="000F35ED">
      <w:pPr>
        <w:rPr>
          <w:rFonts w:asciiTheme="majorHAnsi" w:hAnsiTheme="majorHAnsi"/>
          <w:sz w:val="16"/>
          <w:szCs w:val="16"/>
        </w:rPr>
      </w:pPr>
      <w:r w:rsidRPr="000F35ED">
        <w:rPr>
          <w:rFonts w:asciiTheme="majorHAnsi" w:hAnsiTheme="majorHAnsi"/>
          <w:sz w:val="16"/>
          <w:szCs w:val="16"/>
        </w:rPr>
        <w:separator/>
      </w:r>
    </w:p>
    <w:p w14:paraId="64B83FD9" w14:textId="77777777" w:rsidR="007E7C8C" w:rsidRPr="000F35ED" w:rsidRDefault="007E7C8C"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53BC49E7" w14:textId="77777777" w:rsidR="007E7C8C" w:rsidRPr="000F35ED" w:rsidRDefault="007E7C8C"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1697821" w14:textId="05365C25" w:rsidR="00CE123B" w:rsidRPr="00540906" w:rsidRDefault="00CE123B" w:rsidP="004F45A9">
      <w:pPr>
        <w:pStyle w:val="FootnoteText"/>
        <w:ind w:firstLine="720"/>
        <w:jc w:val="both"/>
        <w:rPr>
          <w:rFonts w:asciiTheme="majorHAnsi" w:hAnsiTheme="majorHAnsi" w:cs="Times New Roman"/>
          <w:sz w:val="16"/>
          <w:szCs w:val="16"/>
        </w:rPr>
      </w:pPr>
      <w:r w:rsidRPr="00540906">
        <w:rPr>
          <w:rStyle w:val="FootnoteReference"/>
          <w:rFonts w:asciiTheme="majorHAnsi" w:hAnsiTheme="majorHAnsi" w:cs="Times New Roman"/>
          <w:sz w:val="16"/>
          <w:szCs w:val="16"/>
        </w:rPr>
        <w:footnoteRef/>
      </w:r>
      <w:r w:rsidRPr="00540906">
        <w:rPr>
          <w:rFonts w:asciiTheme="majorHAnsi" w:hAnsiTheme="majorHAnsi" w:cs="Times New Roman"/>
          <w:sz w:val="16"/>
          <w:szCs w:val="16"/>
        </w:rPr>
        <w:t xml:space="preserve"> </w:t>
      </w:r>
      <w:r w:rsidR="00216804" w:rsidRPr="00540906">
        <w:rPr>
          <w:rFonts w:asciiTheme="majorHAnsi" w:hAnsiTheme="majorHAnsi" w:cs="Times New Roman"/>
          <w:sz w:val="16"/>
          <w:szCs w:val="16"/>
        </w:rPr>
        <w:t>IACHR petition dated November 21, 2006.</w:t>
      </w:r>
    </w:p>
  </w:footnote>
  <w:footnote w:id="3">
    <w:p w14:paraId="020C80DB" w14:textId="2397A5FE" w:rsidR="00CE123B" w:rsidRDefault="00CE123B" w:rsidP="004F45A9">
      <w:pPr>
        <w:pStyle w:val="FootnoteText"/>
        <w:ind w:firstLine="720"/>
        <w:jc w:val="both"/>
      </w:pPr>
      <w:r w:rsidRPr="00540906">
        <w:rPr>
          <w:rStyle w:val="FootnoteReference"/>
          <w:rFonts w:asciiTheme="majorHAnsi" w:hAnsiTheme="majorHAnsi" w:cs="Times New Roman"/>
          <w:sz w:val="16"/>
          <w:szCs w:val="16"/>
        </w:rPr>
        <w:footnoteRef/>
      </w:r>
      <w:r w:rsidRPr="00540906">
        <w:rPr>
          <w:rFonts w:asciiTheme="majorHAnsi" w:hAnsiTheme="majorHAnsi" w:cs="Times New Roman"/>
          <w:sz w:val="16"/>
          <w:szCs w:val="16"/>
        </w:rPr>
        <w:t xml:space="preserve"> </w:t>
      </w:r>
      <w:r w:rsidR="00216804" w:rsidRPr="00540906">
        <w:rPr>
          <w:rFonts w:asciiTheme="majorHAnsi" w:hAnsiTheme="majorHAnsi" w:cs="Times New Roman"/>
          <w:sz w:val="16"/>
          <w:szCs w:val="16"/>
        </w:rPr>
        <w:t>IACHR petition dated November 21, 2006.</w:t>
      </w:r>
    </w:p>
  </w:footnote>
  <w:footnote w:id="4">
    <w:p w14:paraId="0D1C21A5" w14:textId="366028ED" w:rsidR="00216804" w:rsidRPr="00540906" w:rsidRDefault="00216804" w:rsidP="004F45A9">
      <w:pPr>
        <w:pStyle w:val="FootnoteText"/>
        <w:ind w:firstLine="720"/>
        <w:jc w:val="both"/>
        <w:rPr>
          <w:rFonts w:asciiTheme="majorHAnsi" w:hAnsiTheme="majorHAnsi"/>
        </w:rPr>
      </w:pPr>
      <w:r w:rsidRPr="00540906">
        <w:rPr>
          <w:rStyle w:val="FootnoteReference"/>
          <w:rFonts w:asciiTheme="majorHAnsi" w:hAnsiTheme="majorHAnsi"/>
          <w:sz w:val="16"/>
          <w:szCs w:val="16"/>
        </w:rPr>
        <w:footnoteRef/>
      </w:r>
      <w:r w:rsidRPr="00540906">
        <w:rPr>
          <w:rFonts w:asciiTheme="majorHAnsi" w:hAnsiTheme="majorHAnsi"/>
          <w:sz w:val="16"/>
          <w:szCs w:val="16"/>
        </w:rPr>
        <w:t xml:space="preserve"> Administrative Court of Antioquia. Fourth Chamber of Decision. Judgment of June 2, 2005. Rad. 050012331000199902959. File 1999-2959.</w:t>
      </w:r>
    </w:p>
  </w:footnote>
  <w:footnote w:id="5">
    <w:p w14:paraId="2CD22550" w14:textId="448E48EF" w:rsidR="00216804" w:rsidRPr="00540906" w:rsidRDefault="00216804" w:rsidP="004F45A9">
      <w:pPr>
        <w:pStyle w:val="FootnoteText"/>
        <w:ind w:firstLine="720"/>
        <w:jc w:val="both"/>
        <w:rPr>
          <w:rFonts w:asciiTheme="majorHAnsi" w:hAnsiTheme="majorHAnsi"/>
          <w:sz w:val="16"/>
          <w:szCs w:val="16"/>
        </w:rPr>
      </w:pPr>
      <w:r w:rsidRPr="00540906">
        <w:rPr>
          <w:rStyle w:val="FootnoteReference"/>
          <w:rFonts w:asciiTheme="majorHAnsi" w:hAnsiTheme="majorHAnsi"/>
          <w:sz w:val="16"/>
          <w:szCs w:val="16"/>
        </w:rPr>
        <w:footnoteRef/>
      </w:r>
      <w:r w:rsidRPr="00540906">
        <w:rPr>
          <w:rFonts w:asciiTheme="majorHAnsi" w:hAnsiTheme="majorHAnsi"/>
          <w:sz w:val="16"/>
          <w:szCs w:val="16"/>
        </w:rPr>
        <w:t xml:space="preserve"> Commitment made at the meeting of October 23, 2020 - National Police - Ministry of Defense.</w:t>
      </w:r>
    </w:p>
  </w:footnote>
  <w:footnote w:id="6">
    <w:p w14:paraId="4E7B1812" w14:textId="1A8D1EF2" w:rsidR="00216804" w:rsidRPr="00540906" w:rsidRDefault="00216804" w:rsidP="004F45A9">
      <w:pPr>
        <w:pStyle w:val="FootnoteText"/>
        <w:ind w:firstLine="720"/>
        <w:jc w:val="both"/>
        <w:rPr>
          <w:rFonts w:asciiTheme="majorHAnsi" w:hAnsiTheme="majorHAnsi"/>
          <w:sz w:val="16"/>
          <w:szCs w:val="16"/>
        </w:rPr>
      </w:pPr>
      <w:r w:rsidRPr="00540906">
        <w:rPr>
          <w:rStyle w:val="FootnoteReference"/>
          <w:rFonts w:asciiTheme="majorHAnsi" w:hAnsiTheme="majorHAnsi"/>
          <w:sz w:val="16"/>
          <w:szCs w:val="16"/>
        </w:rPr>
        <w:footnoteRef/>
      </w:r>
      <w:r w:rsidRPr="00540906">
        <w:rPr>
          <w:rFonts w:asciiTheme="majorHAnsi" w:hAnsiTheme="majorHAnsi"/>
          <w:sz w:val="16"/>
          <w:szCs w:val="16"/>
        </w:rPr>
        <w:t xml:space="preserve"> Communication sent via email on November 23, 2020. Ministry of National Defense.</w:t>
      </w:r>
    </w:p>
  </w:footnote>
  <w:footnote w:id="7">
    <w:p w14:paraId="29CA1F47" w14:textId="4835DD47" w:rsidR="00216804" w:rsidRDefault="00216804" w:rsidP="004F45A9">
      <w:pPr>
        <w:pStyle w:val="FootnoteText"/>
        <w:ind w:firstLine="720"/>
        <w:jc w:val="both"/>
      </w:pPr>
      <w:r w:rsidRPr="00540906">
        <w:rPr>
          <w:rStyle w:val="FootnoteReference"/>
          <w:rFonts w:asciiTheme="majorHAnsi" w:hAnsiTheme="majorHAnsi"/>
          <w:sz w:val="16"/>
          <w:szCs w:val="16"/>
        </w:rPr>
        <w:footnoteRef/>
      </w:r>
      <w:r w:rsidRPr="00540906">
        <w:rPr>
          <w:rFonts w:asciiTheme="majorHAnsi" w:hAnsiTheme="majorHAnsi"/>
          <w:sz w:val="16"/>
          <w:szCs w:val="16"/>
        </w:rPr>
        <w:t xml:space="preserve"> OFI20-86604 of October 31, 2020 - Ministry of National Defense.</w:t>
      </w:r>
    </w:p>
  </w:footnote>
  <w:footnote w:id="8">
    <w:p w14:paraId="0D3FC784" w14:textId="1F13BFD1" w:rsidR="001B2EC2" w:rsidRPr="001D79ED" w:rsidRDefault="001B2EC2" w:rsidP="004F45A9">
      <w:pPr>
        <w:pStyle w:val="FootnoteText"/>
        <w:ind w:firstLine="720"/>
        <w:jc w:val="both"/>
        <w:rPr>
          <w:rFonts w:asciiTheme="majorHAnsi" w:hAnsiTheme="majorHAnsi"/>
        </w:rPr>
      </w:pPr>
      <w:r w:rsidRPr="001D79ED">
        <w:rPr>
          <w:rStyle w:val="FootnoteReference"/>
          <w:rFonts w:asciiTheme="majorHAnsi" w:hAnsiTheme="majorHAnsi"/>
          <w:sz w:val="16"/>
          <w:szCs w:val="16"/>
        </w:rPr>
        <w:footnoteRef/>
      </w:r>
      <w:r w:rsidRPr="001D79ED">
        <w:rPr>
          <w:rFonts w:asciiTheme="majorHAnsi" w:hAnsiTheme="majorHAnsi"/>
          <w:sz w:val="16"/>
          <w:szCs w:val="16"/>
        </w:rPr>
        <w:t xml:space="preserve"> Vienna Convention on the Law of Treaties, U.N. Doc. </w:t>
      </w:r>
      <w:r w:rsidRPr="00C27E8A">
        <w:rPr>
          <w:rFonts w:asciiTheme="majorHAnsi" w:hAnsiTheme="majorHAnsi"/>
          <w:sz w:val="16"/>
          <w:szCs w:val="16"/>
          <w:lang w:val="es-CO"/>
        </w:rPr>
        <w:t xml:space="preserve">A / CONF.39 / 27 (1969), </w:t>
      </w:r>
      <w:proofErr w:type="spellStart"/>
      <w:r w:rsidRPr="00C27E8A">
        <w:rPr>
          <w:rFonts w:asciiTheme="majorHAnsi" w:hAnsiTheme="majorHAnsi"/>
          <w:sz w:val="16"/>
          <w:szCs w:val="16"/>
          <w:lang w:val="es-CO"/>
        </w:rPr>
        <w:t>Article</w:t>
      </w:r>
      <w:proofErr w:type="spellEnd"/>
      <w:r w:rsidRPr="00C27E8A">
        <w:rPr>
          <w:rFonts w:asciiTheme="majorHAnsi" w:hAnsiTheme="majorHAnsi"/>
          <w:sz w:val="16"/>
          <w:szCs w:val="16"/>
          <w:lang w:val="es-CO"/>
        </w:rPr>
        <w:t xml:space="preserve"> 26</w:t>
      </w:r>
      <w:r w:rsidRPr="00C27E8A">
        <w:rPr>
          <w:rFonts w:asciiTheme="majorHAnsi" w:hAnsiTheme="majorHAnsi"/>
          <w:i/>
          <w:iCs/>
          <w:sz w:val="16"/>
          <w:szCs w:val="16"/>
          <w:lang w:val="es-CO"/>
        </w:rPr>
        <w:t xml:space="preserve">: "Pacta </w:t>
      </w:r>
      <w:proofErr w:type="spellStart"/>
      <w:r w:rsidRPr="00C27E8A">
        <w:rPr>
          <w:rFonts w:asciiTheme="majorHAnsi" w:hAnsiTheme="majorHAnsi"/>
          <w:i/>
          <w:iCs/>
          <w:sz w:val="16"/>
          <w:szCs w:val="16"/>
          <w:lang w:val="es-CO"/>
        </w:rPr>
        <w:t>sunt</w:t>
      </w:r>
      <w:proofErr w:type="spellEnd"/>
      <w:r w:rsidRPr="00C27E8A">
        <w:rPr>
          <w:rFonts w:asciiTheme="majorHAnsi" w:hAnsiTheme="majorHAnsi"/>
          <w:i/>
          <w:iCs/>
          <w:sz w:val="16"/>
          <w:szCs w:val="16"/>
          <w:lang w:val="es-CO"/>
        </w:rPr>
        <w:t xml:space="preserve"> </w:t>
      </w:r>
      <w:proofErr w:type="spellStart"/>
      <w:r w:rsidRPr="00C27E8A">
        <w:rPr>
          <w:rFonts w:asciiTheme="majorHAnsi" w:hAnsiTheme="majorHAnsi"/>
          <w:i/>
          <w:iCs/>
          <w:sz w:val="16"/>
          <w:szCs w:val="16"/>
          <w:lang w:val="es-CO"/>
        </w:rPr>
        <w:t>servanda</w:t>
      </w:r>
      <w:proofErr w:type="spellEnd"/>
      <w:r w:rsidRPr="00C27E8A">
        <w:rPr>
          <w:rFonts w:asciiTheme="majorHAnsi" w:hAnsiTheme="majorHAnsi"/>
          <w:i/>
          <w:iCs/>
          <w:sz w:val="16"/>
          <w:szCs w:val="16"/>
          <w:lang w:val="es-CO"/>
        </w:rPr>
        <w:t xml:space="preserve">". </w:t>
      </w:r>
      <w:r w:rsidRPr="001D79ED">
        <w:rPr>
          <w:rFonts w:asciiTheme="majorHAnsi" w:hAnsiTheme="majorHAnsi"/>
          <w:i/>
          <w:iCs/>
          <w:sz w:val="16"/>
          <w:szCs w:val="16"/>
        </w:rPr>
        <w:t>Any treaty in force is binding on the parties and must be performed by them in good faith.</w:t>
      </w:r>
    </w:p>
  </w:footnote>
  <w:footnote w:id="9">
    <w:p w14:paraId="007590E9" w14:textId="27D5A95D" w:rsidR="001B2EC2" w:rsidRPr="001D79ED" w:rsidRDefault="001B2EC2" w:rsidP="004F45A9">
      <w:pPr>
        <w:pStyle w:val="FootnoteText"/>
        <w:ind w:firstLine="720"/>
        <w:jc w:val="both"/>
        <w:rPr>
          <w:rFonts w:asciiTheme="majorHAnsi" w:hAnsiTheme="majorHAnsi"/>
        </w:rPr>
      </w:pPr>
      <w:r w:rsidRPr="001D79ED">
        <w:rPr>
          <w:rStyle w:val="FootnoteReference"/>
          <w:rFonts w:asciiTheme="majorHAnsi" w:hAnsiTheme="majorHAnsi"/>
          <w:sz w:val="16"/>
          <w:szCs w:val="16"/>
        </w:rPr>
        <w:footnoteRef/>
      </w:r>
      <w:r w:rsidRPr="001D79ED">
        <w:rPr>
          <w:rFonts w:asciiTheme="majorHAnsi" w:hAnsiTheme="majorHAnsi"/>
          <w:sz w:val="16"/>
          <w:szCs w:val="16"/>
        </w:rPr>
        <w:t xml:space="preserve"> In this regard, see </w:t>
      </w:r>
      <w:proofErr w:type="spellStart"/>
      <w:r w:rsidRPr="001D79ED">
        <w:rPr>
          <w:rFonts w:asciiTheme="majorHAnsi" w:hAnsiTheme="majorHAnsi"/>
          <w:sz w:val="16"/>
          <w:szCs w:val="16"/>
        </w:rPr>
        <w:t>Youtube</w:t>
      </w:r>
      <w:proofErr w:type="spellEnd"/>
      <w:r w:rsidRPr="001D79ED">
        <w:rPr>
          <w:rFonts w:asciiTheme="majorHAnsi" w:hAnsiTheme="majorHAnsi"/>
          <w:sz w:val="16"/>
          <w:szCs w:val="16"/>
        </w:rPr>
        <w:t xml:space="preserve">, </w:t>
      </w:r>
      <w:hyperlink r:id="rId1" w:history="1">
        <w:r w:rsidRPr="004F45A9">
          <w:rPr>
            <w:rStyle w:val="Hyperlink"/>
            <w:rFonts w:asciiTheme="majorHAnsi" w:hAnsiTheme="majorHAnsi"/>
            <w:sz w:val="16"/>
            <w:szCs w:val="16"/>
          </w:rPr>
          <w:t xml:space="preserve">Act of Acknowledgment of Responsibility in the case of Luis </w:t>
        </w:r>
        <w:proofErr w:type="spellStart"/>
        <w:r w:rsidRPr="004F45A9">
          <w:rPr>
            <w:rStyle w:val="Hyperlink"/>
            <w:rFonts w:asciiTheme="majorHAnsi" w:hAnsiTheme="majorHAnsi"/>
            <w:sz w:val="16"/>
            <w:szCs w:val="16"/>
          </w:rPr>
          <w:t>Argemiro</w:t>
        </w:r>
        <w:proofErr w:type="spellEnd"/>
        <w:r w:rsidRPr="004F45A9">
          <w:rPr>
            <w:rStyle w:val="Hyperlink"/>
            <w:rFonts w:asciiTheme="majorHAnsi" w:hAnsiTheme="majorHAnsi"/>
            <w:sz w:val="16"/>
            <w:szCs w:val="16"/>
          </w:rPr>
          <w:t xml:space="preserve"> Gómez </w:t>
        </w:r>
        <w:proofErr w:type="spellStart"/>
        <w:r w:rsidRPr="004F45A9">
          <w:rPr>
            <w:rStyle w:val="Hyperlink"/>
            <w:rFonts w:asciiTheme="majorHAnsi" w:hAnsiTheme="majorHAnsi"/>
            <w:sz w:val="16"/>
            <w:szCs w:val="16"/>
          </w:rPr>
          <w:t>Atehortua</w:t>
        </w:r>
        <w:proofErr w:type="spellEnd"/>
      </w:hyperlink>
      <w:r w:rsidRPr="001D79ED">
        <w:rPr>
          <w:rFonts w:asciiTheme="majorHAnsi" w:hAnsiTheme="majorHAnsi"/>
          <w:sz w:val="16"/>
          <w:szCs w:val="16"/>
        </w:rPr>
        <w:t>. Published by the National Agency for Legal Defense of the Colombian State on February 25, 2021.</w:t>
      </w:r>
    </w:p>
  </w:footnote>
  <w:footnote w:id="10">
    <w:p w14:paraId="1348A1FC" w14:textId="3FF9915D" w:rsidR="001B2EC2" w:rsidRPr="001D79ED" w:rsidRDefault="001B2EC2" w:rsidP="004F45A9">
      <w:pPr>
        <w:pStyle w:val="FootnoteText"/>
        <w:ind w:firstLine="720"/>
        <w:jc w:val="both"/>
        <w:rPr>
          <w:rFonts w:asciiTheme="majorHAnsi" w:hAnsiTheme="majorHAnsi"/>
          <w:sz w:val="16"/>
          <w:szCs w:val="16"/>
        </w:rPr>
      </w:pPr>
      <w:r w:rsidRPr="001D79ED">
        <w:rPr>
          <w:rStyle w:val="FootnoteReference"/>
          <w:rFonts w:asciiTheme="majorHAnsi" w:hAnsiTheme="majorHAnsi"/>
          <w:sz w:val="16"/>
          <w:szCs w:val="16"/>
        </w:rPr>
        <w:footnoteRef/>
      </w:r>
      <w:r w:rsidRPr="001D79ED">
        <w:rPr>
          <w:rFonts w:asciiTheme="majorHAnsi" w:hAnsiTheme="majorHAnsi"/>
          <w:sz w:val="16"/>
          <w:szCs w:val="16"/>
        </w:rPr>
        <w:t xml:space="preserve"> Excerpt from the speech of the Director of International Legal Defense of the National Agency for the Legal Defense of the State.</w:t>
      </w:r>
    </w:p>
  </w:footnote>
  <w:footnote w:id="11">
    <w:p w14:paraId="43B90844" w14:textId="08DAC7B4" w:rsidR="00062C2B" w:rsidRDefault="00062C2B" w:rsidP="004F45A9">
      <w:pPr>
        <w:pStyle w:val="FootnoteText"/>
        <w:ind w:firstLine="720"/>
        <w:jc w:val="both"/>
      </w:pPr>
      <w:r w:rsidRPr="001D79ED">
        <w:rPr>
          <w:rStyle w:val="FootnoteReference"/>
          <w:rFonts w:asciiTheme="majorHAnsi" w:hAnsiTheme="majorHAnsi"/>
          <w:sz w:val="16"/>
          <w:szCs w:val="16"/>
        </w:rPr>
        <w:footnoteRef/>
      </w:r>
      <w:r w:rsidRPr="001D79ED">
        <w:rPr>
          <w:rFonts w:asciiTheme="majorHAnsi" w:hAnsiTheme="majorHAnsi"/>
          <w:sz w:val="16"/>
          <w:szCs w:val="16"/>
        </w:rPr>
        <w:t xml:space="preserve"> In this regard, see El </w:t>
      </w:r>
      <w:proofErr w:type="spellStart"/>
      <w:r w:rsidRPr="001D79ED">
        <w:rPr>
          <w:rFonts w:asciiTheme="majorHAnsi" w:hAnsiTheme="majorHAnsi"/>
          <w:sz w:val="16"/>
          <w:szCs w:val="16"/>
        </w:rPr>
        <w:t>Espectador</w:t>
      </w:r>
      <w:proofErr w:type="spellEnd"/>
      <w:r w:rsidRPr="001D79ED">
        <w:rPr>
          <w:rFonts w:asciiTheme="majorHAnsi" w:hAnsiTheme="majorHAnsi"/>
          <w:sz w:val="16"/>
          <w:szCs w:val="16"/>
        </w:rPr>
        <w:t>, Press Release</w:t>
      </w:r>
      <w:hyperlink r:id="rId2" w:history="1">
        <w:r w:rsidRPr="001D79ED">
          <w:rPr>
            <w:rStyle w:val="Hyperlink"/>
            <w:rFonts w:asciiTheme="majorHAnsi" w:hAnsiTheme="majorHAnsi"/>
            <w:sz w:val="16"/>
            <w:szCs w:val="16"/>
          </w:rPr>
          <w:t xml:space="preserve">. The State acknowledged responsibility and apologized for the death of Luis </w:t>
        </w:r>
        <w:proofErr w:type="spellStart"/>
        <w:r w:rsidRPr="001D79ED">
          <w:rPr>
            <w:rStyle w:val="Hyperlink"/>
            <w:rFonts w:asciiTheme="majorHAnsi" w:hAnsiTheme="majorHAnsi"/>
            <w:sz w:val="16"/>
            <w:szCs w:val="16"/>
          </w:rPr>
          <w:t>Argemiro</w:t>
        </w:r>
        <w:proofErr w:type="spellEnd"/>
        <w:r w:rsidRPr="001D79ED">
          <w:rPr>
            <w:rStyle w:val="Hyperlink"/>
            <w:rFonts w:asciiTheme="majorHAnsi" w:hAnsiTheme="majorHAnsi"/>
            <w:sz w:val="16"/>
            <w:szCs w:val="16"/>
          </w:rPr>
          <w:t xml:space="preserve"> Gómez</w:t>
        </w:r>
      </w:hyperlink>
      <w:r w:rsidRPr="001D79ED">
        <w:rPr>
          <w:rFonts w:asciiTheme="majorHAnsi" w:hAnsiTheme="majorHAnsi"/>
          <w:sz w:val="16"/>
          <w:szCs w:val="16"/>
        </w:rPr>
        <w:t>. Published on February 25, 2021. (Consulted on April 17,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A29EF" w14:textId="77777777" w:rsidR="00263A40" w:rsidRDefault="00263A40" w:rsidP="00660EA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E57B4AE" w14:textId="77777777" w:rsidR="00263A40" w:rsidRDefault="00263A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E1136" w14:textId="766BD560" w:rsidR="00263A40" w:rsidRDefault="00CB2312" w:rsidP="00A50FCF">
    <w:pPr>
      <w:pStyle w:val="Header"/>
      <w:tabs>
        <w:tab w:val="clear" w:pos="4320"/>
        <w:tab w:val="clear" w:pos="8640"/>
      </w:tabs>
      <w:jc w:val="center"/>
      <w:rPr>
        <w:sz w:val="22"/>
        <w:szCs w:val="22"/>
      </w:rPr>
    </w:pPr>
    <w:r>
      <w:rPr>
        <w:noProof/>
        <w:sz w:val="22"/>
        <w:szCs w:val="22"/>
      </w:rPr>
      <w:drawing>
        <wp:inline distT="0" distB="0" distL="0" distR="0" wp14:anchorId="21E5B28C" wp14:editId="03FF6347">
          <wp:extent cx="2209800" cy="117396"/>
          <wp:effectExtent l="0" t="0" r="0" b="0"/>
          <wp:docPr id="14" name="Picture 14"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22C707FB" w14:textId="77777777" w:rsidR="00263A40" w:rsidRPr="00EC7D62" w:rsidRDefault="007E7C8C" w:rsidP="00A50FCF">
    <w:pPr>
      <w:pStyle w:val="Header"/>
      <w:tabs>
        <w:tab w:val="clear" w:pos="4320"/>
        <w:tab w:val="clear" w:pos="8640"/>
      </w:tabs>
      <w:jc w:val="center"/>
      <w:rPr>
        <w:sz w:val="22"/>
        <w:szCs w:val="22"/>
      </w:rPr>
    </w:pPr>
    <w:r>
      <w:rPr>
        <w:noProof/>
        <w:sz w:val="22"/>
        <w:szCs w:val="22"/>
        <w:bdr w:val="nil"/>
      </w:rPr>
      <w:pict w14:anchorId="53514E14">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91408" w14:textId="77777777" w:rsidR="006E3720" w:rsidRDefault="006E37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0C774CD"/>
    <w:multiLevelType w:val="hybridMultilevel"/>
    <w:tmpl w:val="5BC4F604"/>
    <w:lvl w:ilvl="0" w:tplc="EE9A3E0E">
      <w:start w:val="1"/>
      <w:numFmt w:val="decimal"/>
      <w:lvlText w:val="%1."/>
      <w:lvlJc w:val="left"/>
      <w:pPr>
        <w:ind w:left="252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CD650BE"/>
    <w:multiLevelType w:val="hybridMultilevel"/>
    <w:tmpl w:val="8DE86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2462963"/>
    <w:multiLevelType w:val="hybridMultilevel"/>
    <w:tmpl w:val="9DFC71F4"/>
    <w:lvl w:ilvl="0" w:tplc="EE9A3E0E">
      <w:start w:val="1"/>
      <w:numFmt w:val="decimal"/>
      <w:lvlText w:val="%1."/>
      <w:lvlJc w:val="left"/>
      <w:pPr>
        <w:ind w:left="180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71D5CC1"/>
    <w:multiLevelType w:val="hybridMultilevel"/>
    <w:tmpl w:val="EBA6D902"/>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B06CFD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D07374C"/>
    <w:multiLevelType w:val="hybridMultilevel"/>
    <w:tmpl w:val="582E3D9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3"/>
  </w:num>
  <w:num w:numId="4">
    <w:abstractNumId w:val="21"/>
  </w:num>
  <w:num w:numId="5">
    <w:abstractNumId w:val="45"/>
  </w:num>
  <w:num w:numId="6">
    <w:abstractNumId w:val="26"/>
  </w:num>
  <w:num w:numId="7">
    <w:abstractNumId w:val="5"/>
  </w:num>
  <w:num w:numId="8">
    <w:abstractNumId w:val="16"/>
  </w:num>
  <w:num w:numId="9">
    <w:abstractNumId w:val="40"/>
  </w:num>
  <w:num w:numId="10">
    <w:abstractNumId w:val="0"/>
  </w:num>
  <w:num w:numId="11">
    <w:abstractNumId w:val="35"/>
  </w:num>
  <w:num w:numId="12">
    <w:abstractNumId w:val="36"/>
  </w:num>
  <w:num w:numId="13">
    <w:abstractNumId w:val="41"/>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7"/>
  </w:num>
  <w:num w:numId="26">
    <w:abstractNumId w:val="18"/>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4"/>
  </w:num>
  <w:num w:numId="42">
    <w:abstractNumId w:val="46"/>
  </w:num>
  <w:num w:numId="43">
    <w:abstractNumId w:val="47"/>
  </w:num>
  <w:num w:numId="44">
    <w:abstractNumId w:val="50"/>
  </w:num>
  <w:num w:numId="45">
    <w:abstractNumId w:val="52"/>
  </w:num>
  <w:num w:numId="46">
    <w:abstractNumId w:val="54"/>
  </w:num>
  <w:num w:numId="47">
    <w:abstractNumId w:val="55"/>
  </w:num>
  <w:num w:numId="48">
    <w:abstractNumId w:val="56"/>
  </w:num>
  <w:num w:numId="49">
    <w:abstractNumId w:val="58"/>
  </w:num>
  <w:num w:numId="50">
    <w:abstractNumId w:val="59"/>
  </w:num>
  <w:num w:numId="51">
    <w:abstractNumId w:val="20"/>
  </w:num>
  <w:num w:numId="52">
    <w:abstractNumId w:val="39"/>
  </w:num>
  <w:num w:numId="53">
    <w:abstractNumId w:val="48"/>
  </w:num>
  <w:num w:numId="54">
    <w:abstractNumId w:val="42"/>
  </w:num>
  <w:num w:numId="55">
    <w:abstractNumId w:val="49"/>
  </w:num>
  <w:num w:numId="56">
    <w:abstractNumId w:val="51"/>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num>
  <w:num w:numId="59">
    <w:abstractNumId w:val="57"/>
  </w:num>
  <w:num w:numId="60">
    <w:abstractNumId w:val="19"/>
  </w:num>
  <w:num w:numId="61">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27E1A"/>
    <w:rsid w:val="000341E1"/>
    <w:rsid w:val="00040C3A"/>
    <w:rsid w:val="000414AD"/>
    <w:rsid w:val="00062C2B"/>
    <w:rsid w:val="000716C5"/>
    <w:rsid w:val="00073681"/>
    <w:rsid w:val="00075E23"/>
    <w:rsid w:val="0008288D"/>
    <w:rsid w:val="00085FF4"/>
    <w:rsid w:val="0009344A"/>
    <w:rsid w:val="0009775A"/>
    <w:rsid w:val="000A392E"/>
    <w:rsid w:val="000A575F"/>
    <w:rsid w:val="000B23AC"/>
    <w:rsid w:val="000D10DB"/>
    <w:rsid w:val="000D3C78"/>
    <w:rsid w:val="000E5EB5"/>
    <w:rsid w:val="000E7111"/>
    <w:rsid w:val="000F1C4B"/>
    <w:rsid w:val="000F35ED"/>
    <w:rsid w:val="00107131"/>
    <w:rsid w:val="0010736F"/>
    <w:rsid w:val="00113F73"/>
    <w:rsid w:val="00121A15"/>
    <w:rsid w:val="00121CC2"/>
    <w:rsid w:val="00123475"/>
    <w:rsid w:val="00133EE5"/>
    <w:rsid w:val="00151E64"/>
    <w:rsid w:val="00167A34"/>
    <w:rsid w:val="00167B27"/>
    <w:rsid w:val="001742F6"/>
    <w:rsid w:val="00180A36"/>
    <w:rsid w:val="00186EA7"/>
    <w:rsid w:val="001931A3"/>
    <w:rsid w:val="001A1251"/>
    <w:rsid w:val="001A293F"/>
    <w:rsid w:val="001A7243"/>
    <w:rsid w:val="001A7870"/>
    <w:rsid w:val="001B2EC2"/>
    <w:rsid w:val="001C1B41"/>
    <w:rsid w:val="001D12CA"/>
    <w:rsid w:val="001D65EF"/>
    <w:rsid w:val="001D79ED"/>
    <w:rsid w:val="00204342"/>
    <w:rsid w:val="00216804"/>
    <w:rsid w:val="002250A3"/>
    <w:rsid w:val="00235217"/>
    <w:rsid w:val="00246D1F"/>
    <w:rsid w:val="00247403"/>
    <w:rsid w:val="00247542"/>
    <w:rsid w:val="00255338"/>
    <w:rsid w:val="00263A40"/>
    <w:rsid w:val="00266B61"/>
    <w:rsid w:val="0026712A"/>
    <w:rsid w:val="002704DB"/>
    <w:rsid w:val="00297D87"/>
    <w:rsid w:val="002A0AAE"/>
    <w:rsid w:val="002A5820"/>
    <w:rsid w:val="002D1150"/>
    <w:rsid w:val="002D2A39"/>
    <w:rsid w:val="002D2B26"/>
    <w:rsid w:val="002D7EA2"/>
    <w:rsid w:val="002E187C"/>
    <w:rsid w:val="002F4B60"/>
    <w:rsid w:val="00302733"/>
    <w:rsid w:val="00314078"/>
    <w:rsid w:val="0031535D"/>
    <w:rsid w:val="00322597"/>
    <w:rsid w:val="0033169F"/>
    <w:rsid w:val="00331988"/>
    <w:rsid w:val="0034364D"/>
    <w:rsid w:val="00346C95"/>
    <w:rsid w:val="00356185"/>
    <w:rsid w:val="00360380"/>
    <w:rsid w:val="00362208"/>
    <w:rsid w:val="00364C7A"/>
    <w:rsid w:val="00364E38"/>
    <w:rsid w:val="0037519E"/>
    <w:rsid w:val="0037573B"/>
    <w:rsid w:val="00386CF0"/>
    <w:rsid w:val="00396EA9"/>
    <w:rsid w:val="003C676B"/>
    <w:rsid w:val="003D1E86"/>
    <w:rsid w:val="003D3BC2"/>
    <w:rsid w:val="003E6CA1"/>
    <w:rsid w:val="00402058"/>
    <w:rsid w:val="00407C98"/>
    <w:rsid w:val="00416593"/>
    <w:rsid w:val="004165C2"/>
    <w:rsid w:val="00436315"/>
    <w:rsid w:val="00441ECB"/>
    <w:rsid w:val="00446C7B"/>
    <w:rsid w:val="00467B7E"/>
    <w:rsid w:val="00477592"/>
    <w:rsid w:val="00486F1C"/>
    <w:rsid w:val="0049419D"/>
    <w:rsid w:val="004B4A5C"/>
    <w:rsid w:val="004C20D2"/>
    <w:rsid w:val="004C4B62"/>
    <w:rsid w:val="004C54C9"/>
    <w:rsid w:val="004D6025"/>
    <w:rsid w:val="004E2649"/>
    <w:rsid w:val="004F33E7"/>
    <w:rsid w:val="004F45A9"/>
    <w:rsid w:val="004F74A8"/>
    <w:rsid w:val="00501399"/>
    <w:rsid w:val="005046E1"/>
    <w:rsid w:val="0050633D"/>
    <w:rsid w:val="00507BC4"/>
    <w:rsid w:val="005128E4"/>
    <w:rsid w:val="005133DB"/>
    <w:rsid w:val="0052499E"/>
    <w:rsid w:val="00525560"/>
    <w:rsid w:val="00540463"/>
    <w:rsid w:val="00540906"/>
    <w:rsid w:val="00544C49"/>
    <w:rsid w:val="005516A1"/>
    <w:rsid w:val="00557F5E"/>
    <w:rsid w:val="0057402A"/>
    <w:rsid w:val="005771D0"/>
    <w:rsid w:val="005802E9"/>
    <w:rsid w:val="0059191A"/>
    <w:rsid w:val="005921FF"/>
    <w:rsid w:val="005A6D0E"/>
    <w:rsid w:val="005B52B0"/>
    <w:rsid w:val="005B6806"/>
    <w:rsid w:val="005C4225"/>
    <w:rsid w:val="005D1045"/>
    <w:rsid w:val="005D34F8"/>
    <w:rsid w:val="005E311A"/>
    <w:rsid w:val="005F0DAD"/>
    <w:rsid w:val="005F0F33"/>
    <w:rsid w:val="00600DEB"/>
    <w:rsid w:val="00627C9F"/>
    <w:rsid w:val="006311E9"/>
    <w:rsid w:val="00632354"/>
    <w:rsid w:val="00642810"/>
    <w:rsid w:val="00652333"/>
    <w:rsid w:val="006574F0"/>
    <w:rsid w:val="00660EA4"/>
    <w:rsid w:val="00663ECD"/>
    <w:rsid w:val="00667AE7"/>
    <w:rsid w:val="0068009E"/>
    <w:rsid w:val="00687202"/>
    <w:rsid w:val="00692219"/>
    <w:rsid w:val="006A17D2"/>
    <w:rsid w:val="006A73E6"/>
    <w:rsid w:val="006B2D5C"/>
    <w:rsid w:val="006C0FF0"/>
    <w:rsid w:val="006C4116"/>
    <w:rsid w:val="006C4EB1"/>
    <w:rsid w:val="006E0166"/>
    <w:rsid w:val="006E3720"/>
    <w:rsid w:val="006E7B34"/>
    <w:rsid w:val="006F6DAD"/>
    <w:rsid w:val="0070697F"/>
    <w:rsid w:val="007072CF"/>
    <w:rsid w:val="0072199C"/>
    <w:rsid w:val="00722C9F"/>
    <w:rsid w:val="007253B8"/>
    <w:rsid w:val="00731492"/>
    <w:rsid w:val="007332F8"/>
    <w:rsid w:val="0073741F"/>
    <w:rsid w:val="007527F6"/>
    <w:rsid w:val="0076643F"/>
    <w:rsid w:val="00777F63"/>
    <w:rsid w:val="007A5817"/>
    <w:rsid w:val="007B60E9"/>
    <w:rsid w:val="007B6CC3"/>
    <w:rsid w:val="007B6E13"/>
    <w:rsid w:val="007C3334"/>
    <w:rsid w:val="007D2B98"/>
    <w:rsid w:val="007E21BC"/>
    <w:rsid w:val="007E7602"/>
    <w:rsid w:val="007E7C8C"/>
    <w:rsid w:val="00803F1C"/>
    <w:rsid w:val="0080600E"/>
    <w:rsid w:val="008103B8"/>
    <w:rsid w:val="008128A0"/>
    <w:rsid w:val="00817612"/>
    <w:rsid w:val="008338A4"/>
    <w:rsid w:val="00833D27"/>
    <w:rsid w:val="00837C45"/>
    <w:rsid w:val="0084200F"/>
    <w:rsid w:val="00844730"/>
    <w:rsid w:val="008457C2"/>
    <w:rsid w:val="00857A82"/>
    <w:rsid w:val="0086760C"/>
    <w:rsid w:val="0087268F"/>
    <w:rsid w:val="00873836"/>
    <w:rsid w:val="008807B8"/>
    <w:rsid w:val="00885737"/>
    <w:rsid w:val="00890650"/>
    <w:rsid w:val="00897E12"/>
    <w:rsid w:val="008A06BA"/>
    <w:rsid w:val="008A7E0F"/>
    <w:rsid w:val="008B12F5"/>
    <w:rsid w:val="008B5435"/>
    <w:rsid w:val="008C05DB"/>
    <w:rsid w:val="008D0389"/>
    <w:rsid w:val="008D768D"/>
    <w:rsid w:val="008E3759"/>
    <w:rsid w:val="008F1912"/>
    <w:rsid w:val="008F5061"/>
    <w:rsid w:val="0090270B"/>
    <w:rsid w:val="00903984"/>
    <w:rsid w:val="009041DC"/>
    <w:rsid w:val="00904B9B"/>
    <w:rsid w:val="00904BDB"/>
    <w:rsid w:val="00917B5A"/>
    <w:rsid w:val="00920A58"/>
    <w:rsid w:val="00920A8C"/>
    <w:rsid w:val="00931F13"/>
    <w:rsid w:val="00934A2C"/>
    <w:rsid w:val="009569D1"/>
    <w:rsid w:val="0095721D"/>
    <w:rsid w:val="0096706E"/>
    <w:rsid w:val="009708C5"/>
    <w:rsid w:val="00975C4E"/>
    <w:rsid w:val="00981E2C"/>
    <w:rsid w:val="00981FBA"/>
    <w:rsid w:val="009821F8"/>
    <w:rsid w:val="0098463D"/>
    <w:rsid w:val="00984BD6"/>
    <w:rsid w:val="00997BC5"/>
    <w:rsid w:val="009A2941"/>
    <w:rsid w:val="009A4F41"/>
    <w:rsid w:val="009B381B"/>
    <w:rsid w:val="009B3CD3"/>
    <w:rsid w:val="009B4700"/>
    <w:rsid w:val="009C5C94"/>
    <w:rsid w:val="009D1753"/>
    <w:rsid w:val="009D7611"/>
    <w:rsid w:val="009E0B61"/>
    <w:rsid w:val="009E53DE"/>
    <w:rsid w:val="00A1194E"/>
    <w:rsid w:val="00A15E9B"/>
    <w:rsid w:val="00A328B3"/>
    <w:rsid w:val="00A42196"/>
    <w:rsid w:val="00A424CA"/>
    <w:rsid w:val="00A43B6E"/>
    <w:rsid w:val="00A50FCF"/>
    <w:rsid w:val="00A528D1"/>
    <w:rsid w:val="00A54F16"/>
    <w:rsid w:val="00A610CD"/>
    <w:rsid w:val="00A623C6"/>
    <w:rsid w:val="00A72610"/>
    <w:rsid w:val="00A72F59"/>
    <w:rsid w:val="00A75114"/>
    <w:rsid w:val="00A76BC2"/>
    <w:rsid w:val="00A87204"/>
    <w:rsid w:val="00A90169"/>
    <w:rsid w:val="00A97D5F"/>
    <w:rsid w:val="00AA09A2"/>
    <w:rsid w:val="00AA7996"/>
    <w:rsid w:val="00AB1665"/>
    <w:rsid w:val="00AB5F28"/>
    <w:rsid w:val="00AC19CB"/>
    <w:rsid w:val="00AC26B1"/>
    <w:rsid w:val="00AC6E5E"/>
    <w:rsid w:val="00AC72C2"/>
    <w:rsid w:val="00AE4DD5"/>
    <w:rsid w:val="00AE4E6C"/>
    <w:rsid w:val="00AE5488"/>
    <w:rsid w:val="00AE6F91"/>
    <w:rsid w:val="00AF5571"/>
    <w:rsid w:val="00B01DDC"/>
    <w:rsid w:val="00B06C19"/>
    <w:rsid w:val="00B07341"/>
    <w:rsid w:val="00B15823"/>
    <w:rsid w:val="00B15B50"/>
    <w:rsid w:val="00B25AFE"/>
    <w:rsid w:val="00B30539"/>
    <w:rsid w:val="00B314DB"/>
    <w:rsid w:val="00B333BF"/>
    <w:rsid w:val="00B361F2"/>
    <w:rsid w:val="00B3718B"/>
    <w:rsid w:val="00B42533"/>
    <w:rsid w:val="00B42BAB"/>
    <w:rsid w:val="00B4632A"/>
    <w:rsid w:val="00B5009B"/>
    <w:rsid w:val="00B530F1"/>
    <w:rsid w:val="00B63FC8"/>
    <w:rsid w:val="00B8165A"/>
    <w:rsid w:val="00B836D2"/>
    <w:rsid w:val="00B84952"/>
    <w:rsid w:val="00BA00CC"/>
    <w:rsid w:val="00BA0946"/>
    <w:rsid w:val="00BA276C"/>
    <w:rsid w:val="00BB2E19"/>
    <w:rsid w:val="00BB306F"/>
    <w:rsid w:val="00BC44BE"/>
    <w:rsid w:val="00BC6224"/>
    <w:rsid w:val="00BD0E39"/>
    <w:rsid w:val="00BD4B89"/>
    <w:rsid w:val="00BF50B5"/>
    <w:rsid w:val="00BF6FD8"/>
    <w:rsid w:val="00BF7900"/>
    <w:rsid w:val="00C01502"/>
    <w:rsid w:val="00C03680"/>
    <w:rsid w:val="00C054DF"/>
    <w:rsid w:val="00C155AE"/>
    <w:rsid w:val="00C21762"/>
    <w:rsid w:val="00C22E0B"/>
    <w:rsid w:val="00C22F74"/>
    <w:rsid w:val="00C24543"/>
    <w:rsid w:val="00C256A2"/>
    <w:rsid w:val="00C27C17"/>
    <w:rsid w:val="00C27E8A"/>
    <w:rsid w:val="00C323CB"/>
    <w:rsid w:val="00C47541"/>
    <w:rsid w:val="00C47ABB"/>
    <w:rsid w:val="00C51515"/>
    <w:rsid w:val="00C53A3F"/>
    <w:rsid w:val="00C5660B"/>
    <w:rsid w:val="00C66B72"/>
    <w:rsid w:val="00C70EB2"/>
    <w:rsid w:val="00C75819"/>
    <w:rsid w:val="00C92CE9"/>
    <w:rsid w:val="00C94D58"/>
    <w:rsid w:val="00C9567A"/>
    <w:rsid w:val="00CB212D"/>
    <w:rsid w:val="00CB2312"/>
    <w:rsid w:val="00CB2660"/>
    <w:rsid w:val="00CC5E90"/>
    <w:rsid w:val="00CD046C"/>
    <w:rsid w:val="00CE076C"/>
    <w:rsid w:val="00CE123B"/>
    <w:rsid w:val="00CE5199"/>
    <w:rsid w:val="00CE66D5"/>
    <w:rsid w:val="00CF637A"/>
    <w:rsid w:val="00CF6F28"/>
    <w:rsid w:val="00D059DE"/>
    <w:rsid w:val="00D13FCE"/>
    <w:rsid w:val="00D20406"/>
    <w:rsid w:val="00D306D1"/>
    <w:rsid w:val="00D34786"/>
    <w:rsid w:val="00D37A1B"/>
    <w:rsid w:val="00D37BFC"/>
    <w:rsid w:val="00D47A8E"/>
    <w:rsid w:val="00D52D14"/>
    <w:rsid w:val="00D53604"/>
    <w:rsid w:val="00D54467"/>
    <w:rsid w:val="00D60AA9"/>
    <w:rsid w:val="00D67FA8"/>
    <w:rsid w:val="00D702DC"/>
    <w:rsid w:val="00D712D3"/>
    <w:rsid w:val="00D71422"/>
    <w:rsid w:val="00D72DC6"/>
    <w:rsid w:val="00D7558D"/>
    <w:rsid w:val="00D81D92"/>
    <w:rsid w:val="00D8414F"/>
    <w:rsid w:val="00DA30ED"/>
    <w:rsid w:val="00DA7B5F"/>
    <w:rsid w:val="00DB5F63"/>
    <w:rsid w:val="00DC11E7"/>
    <w:rsid w:val="00DC7023"/>
    <w:rsid w:val="00DC769A"/>
    <w:rsid w:val="00DD3D86"/>
    <w:rsid w:val="00DF0987"/>
    <w:rsid w:val="00DF1EC4"/>
    <w:rsid w:val="00DF7EF7"/>
    <w:rsid w:val="00E018F3"/>
    <w:rsid w:val="00E0340B"/>
    <w:rsid w:val="00E04A90"/>
    <w:rsid w:val="00E07A91"/>
    <w:rsid w:val="00E10DF8"/>
    <w:rsid w:val="00E17AE1"/>
    <w:rsid w:val="00E219C7"/>
    <w:rsid w:val="00E22D17"/>
    <w:rsid w:val="00E3436C"/>
    <w:rsid w:val="00E43101"/>
    <w:rsid w:val="00E43157"/>
    <w:rsid w:val="00E461CE"/>
    <w:rsid w:val="00E720CA"/>
    <w:rsid w:val="00E804EE"/>
    <w:rsid w:val="00E84EB5"/>
    <w:rsid w:val="00E85662"/>
    <w:rsid w:val="00E8789F"/>
    <w:rsid w:val="00E97B71"/>
    <w:rsid w:val="00EA3D34"/>
    <w:rsid w:val="00EB454D"/>
    <w:rsid w:val="00ED76BE"/>
    <w:rsid w:val="00EE2DDB"/>
    <w:rsid w:val="00EF619B"/>
    <w:rsid w:val="00F00B55"/>
    <w:rsid w:val="00F02AD1"/>
    <w:rsid w:val="00F07CE9"/>
    <w:rsid w:val="00F253CC"/>
    <w:rsid w:val="00F37106"/>
    <w:rsid w:val="00F519CF"/>
    <w:rsid w:val="00F56BA5"/>
    <w:rsid w:val="00F60E22"/>
    <w:rsid w:val="00F61A31"/>
    <w:rsid w:val="00F81395"/>
    <w:rsid w:val="00F87B80"/>
    <w:rsid w:val="00F917D1"/>
    <w:rsid w:val="00F9653B"/>
    <w:rsid w:val="00FA1808"/>
    <w:rsid w:val="00FA1AB6"/>
    <w:rsid w:val="00FA2F11"/>
    <w:rsid w:val="00FB62CF"/>
    <w:rsid w:val="00FD3C3B"/>
    <w:rsid w:val="00FD6E55"/>
    <w:rsid w:val="00FE5847"/>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3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931F13"/>
    <w:rPr>
      <w:sz w:val="16"/>
      <w:szCs w:val="16"/>
    </w:rPr>
  </w:style>
  <w:style w:type="paragraph" w:styleId="CommentText">
    <w:name w:val="annotation text"/>
    <w:basedOn w:val="Normal"/>
    <w:link w:val="CommentTextChar"/>
    <w:uiPriority w:val="99"/>
    <w:unhideWhenUsed/>
    <w:rsid w:val="00931F13"/>
    <w:rPr>
      <w:sz w:val="20"/>
      <w:szCs w:val="20"/>
    </w:rPr>
  </w:style>
  <w:style w:type="character" w:customStyle="1" w:styleId="CommentTextChar">
    <w:name w:val="Comment Text Char"/>
    <w:basedOn w:val="DefaultParagraphFont"/>
    <w:link w:val="CommentText"/>
    <w:uiPriority w:val="99"/>
    <w:rsid w:val="00931F13"/>
    <w:rPr>
      <w:lang w:val="en-US" w:eastAsia="en-US"/>
    </w:rPr>
  </w:style>
  <w:style w:type="paragraph" w:styleId="Revision">
    <w:name w:val="Revision"/>
    <w:hidden/>
    <w:uiPriority w:val="99"/>
    <w:semiHidden/>
    <w:rsid w:val="00396EA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FA1808"/>
    <w:rPr>
      <w:b/>
      <w:bCs/>
    </w:rPr>
  </w:style>
  <w:style w:type="character" w:customStyle="1" w:styleId="CommentSubjectChar">
    <w:name w:val="Comment Subject Char"/>
    <w:basedOn w:val="CommentTextChar"/>
    <w:link w:val="CommentSubject"/>
    <w:uiPriority w:val="99"/>
    <w:semiHidden/>
    <w:rsid w:val="00FA1808"/>
    <w:rPr>
      <w:b/>
      <w:bCs/>
      <w:lang w:val="en-US" w:eastAsia="en-US"/>
    </w:rPr>
  </w:style>
  <w:style w:type="table" w:styleId="TableGrid">
    <w:name w:val="Table Grid"/>
    <w:basedOn w:val="TableNormal"/>
    <w:uiPriority w:val="59"/>
    <w:rsid w:val="00CE123B"/>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62C2B"/>
    <w:rPr>
      <w:color w:val="605E5C"/>
      <w:shd w:val="clear" w:color="auto" w:fill="E1DFDD"/>
    </w:rPr>
  </w:style>
  <w:style w:type="character" w:styleId="FollowedHyperlink">
    <w:name w:val="FollowedHyperlink"/>
    <w:basedOn w:val="DefaultParagraphFont"/>
    <w:uiPriority w:val="99"/>
    <w:semiHidden/>
    <w:unhideWhenUsed/>
    <w:rsid w:val="00062C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44761">
      <w:bodyDiv w:val="1"/>
      <w:marLeft w:val="0"/>
      <w:marRight w:val="0"/>
      <w:marTop w:val="0"/>
      <w:marBottom w:val="0"/>
      <w:divBdr>
        <w:top w:val="none" w:sz="0" w:space="0" w:color="auto"/>
        <w:left w:val="none" w:sz="0" w:space="0" w:color="auto"/>
        <w:bottom w:val="none" w:sz="0" w:space="0" w:color="auto"/>
        <w:right w:val="none" w:sz="0" w:space="0" w:color="auto"/>
      </w:divBdr>
    </w:div>
    <w:div w:id="386606999">
      <w:bodyDiv w:val="1"/>
      <w:marLeft w:val="0"/>
      <w:marRight w:val="0"/>
      <w:marTop w:val="0"/>
      <w:marBottom w:val="0"/>
      <w:divBdr>
        <w:top w:val="none" w:sz="0" w:space="0" w:color="auto"/>
        <w:left w:val="none" w:sz="0" w:space="0" w:color="auto"/>
        <w:bottom w:val="none" w:sz="0" w:space="0" w:color="auto"/>
        <w:right w:val="none" w:sz="0" w:space="0" w:color="auto"/>
      </w:divBdr>
    </w:div>
    <w:div w:id="936254715">
      <w:bodyDiv w:val="1"/>
      <w:marLeft w:val="0"/>
      <w:marRight w:val="0"/>
      <w:marTop w:val="0"/>
      <w:marBottom w:val="0"/>
      <w:divBdr>
        <w:top w:val="none" w:sz="0" w:space="0" w:color="auto"/>
        <w:left w:val="none" w:sz="0" w:space="0" w:color="auto"/>
        <w:bottom w:val="none" w:sz="0" w:space="0" w:color="auto"/>
        <w:right w:val="none" w:sz="0" w:space="0" w:color="auto"/>
      </w:divBdr>
    </w:div>
    <w:div w:id="117199220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0411184">
      <w:bodyDiv w:val="1"/>
      <w:marLeft w:val="0"/>
      <w:marRight w:val="0"/>
      <w:marTop w:val="0"/>
      <w:marBottom w:val="0"/>
      <w:divBdr>
        <w:top w:val="none" w:sz="0" w:space="0" w:color="auto"/>
        <w:left w:val="none" w:sz="0" w:space="0" w:color="auto"/>
        <w:bottom w:val="none" w:sz="0" w:space="0" w:color="auto"/>
        <w:right w:val="none" w:sz="0" w:space="0" w:color="auto"/>
      </w:divBdr>
    </w:div>
    <w:div w:id="2011831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elespectador.com/judicial/el-estado-pidio-perdon-por-la-muerte-de-luis-argemiro-gomez-atehortua-article/" TargetMode="External"/><Relationship Id="rId1" Type="http://schemas.openxmlformats.org/officeDocument/2006/relationships/hyperlink" Target="https://www.youtube.com/watch?v=bl4w7kSAlU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C9F3E-B281-4A35-96F4-950912C4D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4739</Words>
  <Characters>24599</Characters>
  <Application>Microsoft Office Word</Application>
  <DocSecurity>0</DocSecurity>
  <Lines>546</Lines>
  <Paragraphs>162</Paragraphs>
  <ScaleCrop>false</ScaleCrop>
  <Company/>
  <LinksUpToDate>false</LinksUpToDate>
  <CharactersWithSpaces>29176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115/21</dc:title>
  <dc:creator/>
  <cp:lastModifiedBy/>
  <cp:revision>1</cp:revision>
  <dcterms:created xsi:type="dcterms:W3CDTF">2021-07-07T19:03:00Z</dcterms:created>
  <dcterms:modified xsi:type="dcterms:W3CDTF">2021-07-07T19:03:00Z</dcterms:modified>
</cp:coreProperties>
</file>