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7F57" w14:textId="77777777" w:rsidR="00040C3A" w:rsidRPr="002F71EC" w:rsidRDefault="006311DA" w:rsidP="005404B7">
      <w:pPr>
        <w:jc w:val="both"/>
        <w:rPr>
          <w:rFonts w:asciiTheme="majorHAnsi" w:hAnsiTheme="majorHAnsi" w:cs="Univers"/>
          <w:b/>
          <w:bCs/>
          <w:sz w:val="22"/>
          <w:szCs w:val="22"/>
        </w:rPr>
      </w:pPr>
      <w:r w:rsidRPr="002F71E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B464DF8" wp14:editId="532A1429">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2F71E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545D69" wp14:editId="0F9049EF">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8F6B4" w14:textId="77777777" w:rsidR="00CB2660" w:rsidRDefault="002C1641">
                            <w:r>
                              <w:rPr>
                                <w:noProof/>
                              </w:rPr>
                              <w:drawing>
                                <wp:inline distT="0" distB="0" distL="0" distR="0" wp14:anchorId="05BC6169" wp14:editId="26F1AE4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45D69"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76C8F6B4" w14:textId="77777777" w:rsidR="00CB2660" w:rsidRDefault="002C1641">
                      <w:r>
                        <w:rPr>
                          <w:noProof/>
                        </w:rPr>
                        <w:drawing>
                          <wp:inline distT="0" distB="0" distL="0" distR="0" wp14:anchorId="05BC6169" wp14:editId="26F1AE4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1DAD0A7E" w14:textId="77777777" w:rsidR="00040C3A" w:rsidRPr="002F71EC" w:rsidRDefault="00040C3A" w:rsidP="005404B7">
      <w:pPr>
        <w:tabs>
          <w:tab w:val="center" w:pos="5400"/>
        </w:tabs>
        <w:suppressAutoHyphens/>
        <w:jc w:val="both"/>
        <w:rPr>
          <w:rFonts w:asciiTheme="majorHAnsi" w:hAnsiTheme="majorHAnsi"/>
          <w:sz w:val="22"/>
          <w:szCs w:val="22"/>
        </w:rPr>
      </w:pPr>
    </w:p>
    <w:p w14:paraId="12784E1B" w14:textId="77777777" w:rsidR="00040C3A" w:rsidRPr="002F71EC" w:rsidRDefault="00040C3A" w:rsidP="005404B7">
      <w:pPr>
        <w:tabs>
          <w:tab w:val="center" w:pos="5400"/>
        </w:tabs>
        <w:suppressAutoHyphens/>
        <w:jc w:val="both"/>
        <w:rPr>
          <w:rFonts w:asciiTheme="majorHAnsi" w:hAnsiTheme="majorHAnsi"/>
          <w:sz w:val="22"/>
          <w:szCs w:val="22"/>
        </w:rPr>
      </w:pPr>
    </w:p>
    <w:p w14:paraId="2C591C7B" w14:textId="77777777" w:rsidR="005128E4" w:rsidRPr="002F71EC" w:rsidRDefault="005128E4" w:rsidP="005404B7">
      <w:pPr>
        <w:tabs>
          <w:tab w:val="center" w:pos="5400"/>
        </w:tabs>
        <w:suppressAutoHyphens/>
        <w:rPr>
          <w:rFonts w:asciiTheme="majorHAnsi" w:hAnsiTheme="majorHAnsi"/>
          <w:sz w:val="22"/>
          <w:szCs w:val="22"/>
        </w:rPr>
      </w:pPr>
    </w:p>
    <w:p w14:paraId="71A656C6" w14:textId="77777777" w:rsidR="005128E4" w:rsidRPr="002F71EC" w:rsidRDefault="005128E4" w:rsidP="005404B7">
      <w:pPr>
        <w:tabs>
          <w:tab w:val="center" w:pos="5400"/>
        </w:tabs>
        <w:suppressAutoHyphens/>
        <w:rPr>
          <w:rFonts w:asciiTheme="majorHAnsi" w:hAnsiTheme="majorHAnsi"/>
          <w:sz w:val="22"/>
          <w:szCs w:val="22"/>
        </w:rPr>
      </w:pPr>
    </w:p>
    <w:p w14:paraId="155BDDB2" w14:textId="77777777" w:rsidR="005128E4" w:rsidRPr="002F71EC" w:rsidRDefault="005128E4" w:rsidP="005404B7">
      <w:pPr>
        <w:tabs>
          <w:tab w:val="center" w:pos="5400"/>
        </w:tabs>
        <w:suppressAutoHyphens/>
        <w:rPr>
          <w:rFonts w:asciiTheme="majorHAnsi" w:hAnsiTheme="majorHAnsi"/>
          <w:sz w:val="22"/>
          <w:szCs w:val="22"/>
        </w:rPr>
      </w:pPr>
    </w:p>
    <w:p w14:paraId="0054C192" w14:textId="77777777" w:rsidR="00040C3A" w:rsidRPr="002F71EC" w:rsidRDefault="00040C3A" w:rsidP="005404B7">
      <w:pPr>
        <w:tabs>
          <w:tab w:val="center" w:pos="5400"/>
        </w:tabs>
        <w:suppressAutoHyphens/>
        <w:jc w:val="center"/>
        <w:rPr>
          <w:rFonts w:asciiTheme="majorHAnsi" w:hAnsiTheme="majorHAnsi"/>
          <w:sz w:val="22"/>
          <w:szCs w:val="22"/>
        </w:rPr>
      </w:pPr>
    </w:p>
    <w:p w14:paraId="4E92B197" w14:textId="77777777" w:rsidR="00040C3A" w:rsidRPr="002F71EC" w:rsidRDefault="00040C3A" w:rsidP="005404B7">
      <w:pPr>
        <w:tabs>
          <w:tab w:val="center" w:pos="5400"/>
        </w:tabs>
        <w:suppressAutoHyphens/>
        <w:jc w:val="center"/>
        <w:rPr>
          <w:rFonts w:asciiTheme="majorHAnsi" w:hAnsiTheme="majorHAnsi"/>
          <w:sz w:val="22"/>
          <w:szCs w:val="22"/>
        </w:rPr>
      </w:pPr>
    </w:p>
    <w:p w14:paraId="6CB3C67F" w14:textId="77777777" w:rsidR="005B52B0" w:rsidRPr="002F71EC" w:rsidRDefault="005B52B0" w:rsidP="005404B7">
      <w:pPr>
        <w:tabs>
          <w:tab w:val="center" w:pos="5400"/>
        </w:tabs>
        <w:suppressAutoHyphens/>
        <w:jc w:val="center"/>
        <w:rPr>
          <w:rFonts w:asciiTheme="majorHAnsi" w:hAnsiTheme="majorHAnsi"/>
          <w:sz w:val="22"/>
          <w:szCs w:val="22"/>
        </w:rPr>
      </w:pPr>
    </w:p>
    <w:p w14:paraId="47D2D9CB" w14:textId="77777777" w:rsidR="005B52B0" w:rsidRPr="002F71EC" w:rsidRDefault="005B52B0" w:rsidP="005404B7">
      <w:pPr>
        <w:tabs>
          <w:tab w:val="center" w:pos="5400"/>
        </w:tabs>
        <w:suppressAutoHyphens/>
        <w:jc w:val="center"/>
        <w:rPr>
          <w:rFonts w:asciiTheme="majorHAnsi" w:hAnsiTheme="majorHAnsi"/>
          <w:sz w:val="22"/>
          <w:szCs w:val="22"/>
        </w:rPr>
      </w:pPr>
    </w:p>
    <w:p w14:paraId="7EFA0AB2" w14:textId="77777777" w:rsidR="005B52B0" w:rsidRPr="002F71EC" w:rsidRDefault="005B52B0" w:rsidP="005404B7">
      <w:pPr>
        <w:tabs>
          <w:tab w:val="center" w:pos="5400"/>
        </w:tabs>
        <w:suppressAutoHyphens/>
        <w:jc w:val="center"/>
        <w:rPr>
          <w:rFonts w:asciiTheme="majorHAnsi" w:hAnsiTheme="majorHAnsi"/>
          <w:sz w:val="22"/>
          <w:szCs w:val="22"/>
        </w:rPr>
      </w:pPr>
    </w:p>
    <w:p w14:paraId="59795994" w14:textId="77777777" w:rsidR="00040C3A" w:rsidRPr="002F71EC" w:rsidRDefault="00040C3A" w:rsidP="005404B7">
      <w:pPr>
        <w:tabs>
          <w:tab w:val="center" w:pos="5400"/>
        </w:tabs>
        <w:suppressAutoHyphens/>
        <w:jc w:val="center"/>
        <w:rPr>
          <w:rFonts w:asciiTheme="majorHAnsi" w:hAnsiTheme="majorHAnsi"/>
          <w:sz w:val="22"/>
          <w:szCs w:val="22"/>
        </w:rPr>
      </w:pPr>
    </w:p>
    <w:p w14:paraId="1F6E79FB" w14:textId="77777777" w:rsidR="00040C3A" w:rsidRPr="002F71EC" w:rsidRDefault="00040C3A" w:rsidP="005404B7">
      <w:pPr>
        <w:tabs>
          <w:tab w:val="center" w:pos="5400"/>
        </w:tabs>
        <w:suppressAutoHyphens/>
        <w:jc w:val="center"/>
        <w:rPr>
          <w:rFonts w:asciiTheme="majorHAnsi" w:hAnsiTheme="majorHAnsi"/>
          <w:sz w:val="22"/>
          <w:szCs w:val="22"/>
        </w:rPr>
      </w:pPr>
    </w:p>
    <w:p w14:paraId="6C4A4548" w14:textId="77777777" w:rsidR="00040C3A" w:rsidRPr="002F71EC" w:rsidRDefault="00040C3A" w:rsidP="005404B7">
      <w:pPr>
        <w:tabs>
          <w:tab w:val="center" w:pos="5400"/>
        </w:tabs>
        <w:suppressAutoHyphens/>
        <w:jc w:val="center"/>
        <w:rPr>
          <w:rFonts w:asciiTheme="majorHAnsi" w:hAnsiTheme="majorHAnsi"/>
          <w:sz w:val="22"/>
          <w:szCs w:val="22"/>
        </w:rPr>
      </w:pPr>
    </w:p>
    <w:p w14:paraId="7850D6B6" w14:textId="77777777" w:rsidR="00040C3A" w:rsidRPr="002F71EC" w:rsidRDefault="00E533FF" w:rsidP="005404B7">
      <w:pPr>
        <w:tabs>
          <w:tab w:val="center" w:pos="5400"/>
        </w:tabs>
        <w:suppressAutoHyphens/>
        <w:jc w:val="center"/>
        <w:rPr>
          <w:rFonts w:asciiTheme="majorHAnsi" w:hAnsiTheme="majorHAnsi"/>
          <w:sz w:val="22"/>
          <w:szCs w:val="22"/>
        </w:rPr>
      </w:pPr>
      <w:r w:rsidRPr="002F71E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D70FF90" wp14:editId="6308F174">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F7929" w14:textId="3F8F2B26" w:rsidR="00F628F3" w:rsidRPr="007F3424" w:rsidRDefault="00F628F3" w:rsidP="00F628F3">
                            <w:pPr>
                              <w:spacing w:line="276" w:lineRule="auto"/>
                              <w:rPr>
                                <w:rFonts w:asciiTheme="majorHAnsi" w:hAnsiTheme="majorHAnsi" w:cs="Arial"/>
                                <w:b/>
                                <w:bCs/>
                                <w:color w:val="0D0D0D" w:themeColor="text1" w:themeTint="F2"/>
                                <w:sz w:val="36"/>
                                <w:szCs w:val="22"/>
                              </w:rPr>
                            </w:pPr>
                            <w:r w:rsidRPr="007F3424">
                              <w:rPr>
                                <w:rFonts w:asciiTheme="majorHAnsi" w:hAnsiTheme="majorHAnsi" w:cs="Arial"/>
                                <w:b/>
                                <w:bCs/>
                                <w:color w:val="0D0D0D" w:themeColor="text1" w:themeTint="F2"/>
                                <w:sz w:val="36"/>
                                <w:szCs w:val="22"/>
                              </w:rPr>
                              <w:t xml:space="preserve">REPORT </w:t>
                            </w:r>
                            <w:r w:rsidRPr="007F3424">
                              <w:rPr>
                                <w:rFonts w:asciiTheme="majorHAnsi" w:hAnsiTheme="majorHAnsi" w:cs="Arial"/>
                                <w:b/>
                                <w:bCs/>
                                <w:color w:val="0D0D0D" w:themeColor="text1" w:themeTint="F2"/>
                                <w:sz w:val="36"/>
                                <w:szCs w:val="40"/>
                              </w:rPr>
                              <w:t>No.</w:t>
                            </w:r>
                            <w:r w:rsidRPr="007F3424">
                              <w:rPr>
                                <w:rFonts w:asciiTheme="majorHAnsi" w:hAnsiTheme="majorHAnsi" w:cs="Arial"/>
                                <w:b/>
                                <w:bCs/>
                                <w:color w:val="0D0D0D" w:themeColor="text1" w:themeTint="F2"/>
                                <w:sz w:val="36"/>
                                <w:szCs w:val="22"/>
                              </w:rPr>
                              <w:t xml:space="preserve"> </w:t>
                            </w:r>
                            <w:r w:rsidR="007806A1">
                              <w:rPr>
                                <w:rFonts w:asciiTheme="majorHAnsi" w:hAnsiTheme="majorHAnsi" w:cs="Arial"/>
                                <w:b/>
                                <w:bCs/>
                                <w:color w:val="0D0D0D" w:themeColor="text1" w:themeTint="F2"/>
                                <w:sz w:val="36"/>
                                <w:szCs w:val="22"/>
                              </w:rPr>
                              <w:t>336</w:t>
                            </w:r>
                            <w:r w:rsidRPr="007F3424">
                              <w:rPr>
                                <w:rFonts w:asciiTheme="majorHAnsi" w:hAnsiTheme="majorHAnsi" w:cs="Arial"/>
                                <w:b/>
                                <w:bCs/>
                                <w:color w:val="0D0D0D" w:themeColor="text1" w:themeTint="F2"/>
                                <w:sz w:val="36"/>
                                <w:szCs w:val="22"/>
                              </w:rPr>
                              <w:t>/2</w:t>
                            </w:r>
                            <w:r>
                              <w:rPr>
                                <w:rFonts w:asciiTheme="majorHAnsi" w:hAnsiTheme="majorHAnsi" w:cs="Arial"/>
                                <w:b/>
                                <w:bCs/>
                                <w:color w:val="0D0D0D" w:themeColor="text1" w:themeTint="F2"/>
                                <w:sz w:val="36"/>
                                <w:szCs w:val="22"/>
                              </w:rPr>
                              <w:t>1</w:t>
                            </w:r>
                          </w:p>
                          <w:p w14:paraId="0607DE9C" w14:textId="173D7721" w:rsidR="00F628F3" w:rsidRPr="007F3424" w:rsidRDefault="00854A0C" w:rsidP="00F628F3">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CASE</w:t>
                            </w:r>
                            <w:r w:rsidR="00F628F3" w:rsidRPr="007F3424">
                              <w:rPr>
                                <w:rFonts w:asciiTheme="majorHAnsi" w:hAnsiTheme="majorHAnsi" w:cs="Arial"/>
                                <w:b/>
                                <w:color w:val="0D0D0D" w:themeColor="text1" w:themeTint="F2"/>
                                <w:sz w:val="36"/>
                                <w:szCs w:val="22"/>
                              </w:rPr>
                              <w:t xml:space="preserve"> </w:t>
                            </w:r>
                            <w:r w:rsidR="00F628F3">
                              <w:rPr>
                                <w:rFonts w:asciiTheme="majorHAnsi" w:eastAsia="Cambria" w:hAnsiTheme="majorHAnsi" w:cs="Cambria"/>
                                <w:b/>
                                <w:sz w:val="36"/>
                                <w:szCs w:val="36"/>
                              </w:rPr>
                              <w:t>13.571</w:t>
                            </w:r>
                          </w:p>
                          <w:p w14:paraId="76F3A970" w14:textId="77777777" w:rsidR="00F628F3" w:rsidRPr="007F3424" w:rsidRDefault="00F628F3" w:rsidP="00F628F3">
                            <w:pPr>
                              <w:spacing w:line="276" w:lineRule="auto"/>
                              <w:rPr>
                                <w:rFonts w:asciiTheme="majorHAnsi" w:hAnsiTheme="majorHAnsi" w:cs="Arial"/>
                                <w:color w:val="0D0D0D" w:themeColor="text1" w:themeTint="F2"/>
                                <w:szCs w:val="22"/>
                              </w:rPr>
                            </w:pPr>
                            <w:r w:rsidRPr="007F3424">
                              <w:rPr>
                                <w:rFonts w:asciiTheme="majorHAnsi" w:hAnsiTheme="majorHAnsi" w:cs="Arial"/>
                                <w:color w:val="0D0D0D" w:themeColor="text1" w:themeTint="F2"/>
                                <w:szCs w:val="22"/>
                              </w:rPr>
                              <w:t>FRIENDLY SETTLEMENT</w:t>
                            </w:r>
                            <w:r>
                              <w:rPr>
                                <w:rFonts w:asciiTheme="majorHAnsi" w:hAnsiTheme="majorHAnsi" w:cs="Arial"/>
                                <w:color w:val="0D0D0D" w:themeColor="text1" w:themeTint="F2"/>
                                <w:szCs w:val="22"/>
                              </w:rPr>
                              <w:t xml:space="preserve"> REPORT</w:t>
                            </w:r>
                          </w:p>
                          <w:p w14:paraId="7CB81250" w14:textId="77777777" w:rsidR="00F628F3" w:rsidRDefault="00F628F3" w:rsidP="00F628F3">
                            <w:pPr>
                              <w:spacing w:line="276" w:lineRule="auto"/>
                              <w:rPr>
                                <w:rFonts w:asciiTheme="majorHAnsi" w:hAnsiTheme="majorHAnsi" w:cs="Arial"/>
                                <w:color w:val="0D0D0D" w:themeColor="text1" w:themeTint="F2"/>
                                <w:szCs w:val="22"/>
                              </w:rPr>
                            </w:pPr>
                          </w:p>
                          <w:p w14:paraId="3CA3852B" w14:textId="77777777" w:rsidR="00F628F3" w:rsidRPr="007806A1" w:rsidRDefault="00F628F3" w:rsidP="00F628F3">
                            <w:pPr>
                              <w:spacing w:line="276" w:lineRule="auto"/>
                              <w:rPr>
                                <w:rFonts w:ascii="Cambria" w:hAnsi="Cambria" w:cstheme="minorHAnsi"/>
                                <w:lang w:eastAsia="es-ES"/>
                              </w:rPr>
                            </w:pPr>
                            <w:r w:rsidRPr="007806A1">
                              <w:rPr>
                                <w:rFonts w:asciiTheme="majorHAnsi" w:hAnsiTheme="majorHAnsi" w:cs="Arial"/>
                                <w:color w:val="0D0D0D" w:themeColor="text1" w:themeTint="F2"/>
                                <w:szCs w:val="22"/>
                              </w:rPr>
                              <w:t>CARLOS MARIO MUÑOZ GÓMEZ</w:t>
                            </w:r>
                            <w:r w:rsidRPr="007806A1">
                              <w:rPr>
                                <w:rFonts w:ascii="Cambria" w:hAnsi="Cambria" w:cstheme="minorHAnsi"/>
                                <w:lang w:eastAsia="es-ES"/>
                              </w:rPr>
                              <w:t xml:space="preserve"> </w:t>
                            </w:r>
                          </w:p>
                          <w:p w14:paraId="68389112" w14:textId="77777777" w:rsidR="00F628F3" w:rsidRPr="009D78B6" w:rsidRDefault="00F628F3" w:rsidP="00F628F3">
                            <w:pPr>
                              <w:spacing w:line="276" w:lineRule="auto"/>
                              <w:rPr>
                                <w:rFonts w:ascii="Cambria" w:hAnsi="Cambria" w:cstheme="minorHAnsi"/>
                                <w:lang w:val="es-ES" w:eastAsia="es-ES"/>
                              </w:rPr>
                            </w:pPr>
                            <w:r w:rsidRPr="009D78B6">
                              <w:rPr>
                                <w:rFonts w:ascii="Cambria" w:hAnsi="Cambria" w:cstheme="minorHAnsi"/>
                                <w:lang w:val="es-ES" w:eastAsia="es-ES"/>
                              </w:rPr>
                              <w:t>COLOMBIA</w:t>
                            </w:r>
                          </w:p>
                          <w:p w14:paraId="0FD0B617" w14:textId="472671FB"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0FF90"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28EF7929" w14:textId="3F8F2B26" w:rsidR="00F628F3" w:rsidRPr="007F3424" w:rsidRDefault="00F628F3" w:rsidP="00F628F3">
                      <w:pPr>
                        <w:spacing w:line="276" w:lineRule="auto"/>
                        <w:rPr>
                          <w:rFonts w:asciiTheme="majorHAnsi" w:hAnsiTheme="majorHAnsi" w:cs="Arial"/>
                          <w:b/>
                          <w:bCs/>
                          <w:color w:val="0D0D0D" w:themeColor="text1" w:themeTint="F2"/>
                          <w:sz w:val="36"/>
                          <w:szCs w:val="22"/>
                        </w:rPr>
                      </w:pPr>
                      <w:r w:rsidRPr="007F3424">
                        <w:rPr>
                          <w:rFonts w:asciiTheme="majorHAnsi" w:hAnsiTheme="majorHAnsi" w:cs="Arial"/>
                          <w:b/>
                          <w:bCs/>
                          <w:color w:val="0D0D0D" w:themeColor="text1" w:themeTint="F2"/>
                          <w:sz w:val="36"/>
                          <w:szCs w:val="22"/>
                        </w:rPr>
                        <w:t xml:space="preserve">REPORT </w:t>
                      </w:r>
                      <w:r w:rsidRPr="007F3424">
                        <w:rPr>
                          <w:rFonts w:asciiTheme="majorHAnsi" w:hAnsiTheme="majorHAnsi" w:cs="Arial"/>
                          <w:b/>
                          <w:bCs/>
                          <w:color w:val="0D0D0D" w:themeColor="text1" w:themeTint="F2"/>
                          <w:sz w:val="36"/>
                          <w:szCs w:val="40"/>
                        </w:rPr>
                        <w:t>No.</w:t>
                      </w:r>
                      <w:r w:rsidRPr="007F3424">
                        <w:rPr>
                          <w:rFonts w:asciiTheme="majorHAnsi" w:hAnsiTheme="majorHAnsi" w:cs="Arial"/>
                          <w:b/>
                          <w:bCs/>
                          <w:color w:val="0D0D0D" w:themeColor="text1" w:themeTint="F2"/>
                          <w:sz w:val="36"/>
                          <w:szCs w:val="22"/>
                        </w:rPr>
                        <w:t xml:space="preserve"> </w:t>
                      </w:r>
                      <w:r w:rsidR="007806A1">
                        <w:rPr>
                          <w:rFonts w:asciiTheme="majorHAnsi" w:hAnsiTheme="majorHAnsi" w:cs="Arial"/>
                          <w:b/>
                          <w:bCs/>
                          <w:color w:val="0D0D0D" w:themeColor="text1" w:themeTint="F2"/>
                          <w:sz w:val="36"/>
                          <w:szCs w:val="22"/>
                        </w:rPr>
                        <w:t>336</w:t>
                      </w:r>
                      <w:r w:rsidRPr="007F3424">
                        <w:rPr>
                          <w:rFonts w:asciiTheme="majorHAnsi" w:hAnsiTheme="majorHAnsi" w:cs="Arial"/>
                          <w:b/>
                          <w:bCs/>
                          <w:color w:val="0D0D0D" w:themeColor="text1" w:themeTint="F2"/>
                          <w:sz w:val="36"/>
                          <w:szCs w:val="22"/>
                        </w:rPr>
                        <w:t>/2</w:t>
                      </w:r>
                      <w:r>
                        <w:rPr>
                          <w:rFonts w:asciiTheme="majorHAnsi" w:hAnsiTheme="majorHAnsi" w:cs="Arial"/>
                          <w:b/>
                          <w:bCs/>
                          <w:color w:val="0D0D0D" w:themeColor="text1" w:themeTint="F2"/>
                          <w:sz w:val="36"/>
                          <w:szCs w:val="22"/>
                        </w:rPr>
                        <w:t>1</w:t>
                      </w:r>
                    </w:p>
                    <w:p w14:paraId="0607DE9C" w14:textId="173D7721" w:rsidR="00F628F3" w:rsidRPr="007F3424" w:rsidRDefault="00854A0C" w:rsidP="00F628F3">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CASE</w:t>
                      </w:r>
                      <w:r w:rsidR="00F628F3" w:rsidRPr="007F3424">
                        <w:rPr>
                          <w:rFonts w:asciiTheme="majorHAnsi" w:hAnsiTheme="majorHAnsi" w:cs="Arial"/>
                          <w:b/>
                          <w:color w:val="0D0D0D" w:themeColor="text1" w:themeTint="F2"/>
                          <w:sz w:val="36"/>
                          <w:szCs w:val="22"/>
                        </w:rPr>
                        <w:t xml:space="preserve"> </w:t>
                      </w:r>
                      <w:r w:rsidR="00F628F3">
                        <w:rPr>
                          <w:rFonts w:asciiTheme="majorHAnsi" w:eastAsia="Cambria" w:hAnsiTheme="majorHAnsi" w:cs="Cambria"/>
                          <w:b/>
                          <w:sz w:val="36"/>
                          <w:szCs w:val="36"/>
                        </w:rPr>
                        <w:t>13.571</w:t>
                      </w:r>
                    </w:p>
                    <w:p w14:paraId="76F3A970" w14:textId="77777777" w:rsidR="00F628F3" w:rsidRPr="007F3424" w:rsidRDefault="00F628F3" w:rsidP="00F628F3">
                      <w:pPr>
                        <w:spacing w:line="276" w:lineRule="auto"/>
                        <w:rPr>
                          <w:rFonts w:asciiTheme="majorHAnsi" w:hAnsiTheme="majorHAnsi" w:cs="Arial"/>
                          <w:color w:val="0D0D0D" w:themeColor="text1" w:themeTint="F2"/>
                          <w:szCs w:val="22"/>
                        </w:rPr>
                      </w:pPr>
                      <w:r w:rsidRPr="007F3424">
                        <w:rPr>
                          <w:rFonts w:asciiTheme="majorHAnsi" w:hAnsiTheme="majorHAnsi" w:cs="Arial"/>
                          <w:color w:val="0D0D0D" w:themeColor="text1" w:themeTint="F2"/>
                          <w:szCs w:val="22"/>
                        </w:rPr>
                        <w:t>FRIENDLY SETTLEMENT</w:t>
                      </w:r>
                      <w:r>
                        <w:rPr>
                          <w:rFonts w:asciiTheme="majorHAnsi" w:hAnsiTheme="majorHAnsi" w:cs="Arial"/>
                          <w:color w:val="0D0D0D" w:themeColor="text1" w:themeTint="F2"/>
                          <w:szCs w:val="22"/>
                        </w:rPr>
                        <w:t xml:space="preserve"> REPORT</w:t>
                      </w:r>
                    </w:p>
                    <w:p w14:paraId="7CB81250" w14:textId="77777777" w:rsidR="00F628F3" w:rsidRDefault="00F628F3" w:rsidP="00F628F3">
                      <w:pPr>
                        <w:spacing w:line="276" w:lineRule="auto"/>
                        <w:rPr>
                          <w:rFonts w:asciiTheme="majorHAnsi" w:hAnsiTheme="majorHAnsi" w:cs="Arial"/>
                          <w:color w:val="0D0D0D" w:themeColor="text1" w:themeTint="F2"/>
                          <w:szCs w:val="22"/>
                        </w:rPr>
                      </w:pPr>
                    </w:p>
                    <w:p w14:paraId="3CA3852B" w14:textId="77777777" w:rsidR="00F628F3" w:rsidRPr="007806A1" w:rsidRDefault="00F628F3" w:rsidP="00F628F3">
                      <w:pPr>
                        <w:spacing w:line="276" w:lineRule="auto"/>
                        <w:rPr>
                          <w:rFonts w:ascii="Cambria" w:hAnsi="Cambria" w:cstheme="minorHAnsi"/>
                          <w:lang w:eastAsia="es-ES"/>
                        </w:rPr>
                      </w:pPr>
                      <w:r w:rsidRPr="007806A1">
                        <w:rPr>
                          <w:rFonts w:asciiTheme="majorHAnsi" w:hAnsiTheme="majorHAnsi" w:cs="Arial"/>
                          <w:color w:val="0D0D0D" w:themeColor="text1" w:themeTint="F2"/>
                          <w:szCs w:val="22"/>
                        </w:rPr>
                        <w:t>CARLOS MARIO MUÑOZ GÓMEZ</w:t>
                      </w:r>
                      <w:r w:rsidRPr="007806A1">
                        <w:rPr>
                          <w:rFonts w:ascii="Cambria" w:hAnsi="Cambria" w:cstheme="minorHAnsi"/>
                          <w:lang w:eastAsia="es-ES"/>
                        </w:rPr>
                        <w:t xml:space="preserve"> </w:t>
                      </w:r>
                    </w:p>
                    <w:p w14:paraId="68389112" w14:textId="77777777" w:rsidR="00F628F3" w:rsidRPr="009D78B6" w:rsidRDefault="00F628F3" w:rsidP="00F628F3">
                      <w:pPr>
                        <w:spacing w:line="276" w:lineRule="auto"/>
                        <w:rPr>
                          <w:rFonts w:ascii="Cambria" w:hAnsi="Cambria" w:cstheme="minorHAnsi"/>
                          <w:lang w:val="es-ES" w:eastAsia="es-ES"/>
                        </w:rPr>
                      </w:pPr>
                      <w:r w:rsidRPr="009D78B6">
                        <w:rPr>
                          <w:rFonts w:ascii="Cambria" w:hAnsi="Cambria" w:cstheme="minorHAnsi"/>
                          <w:lang w:val="es-ES" w:eastAsia="es-ES"/>
                        </w:rPr>
                        <w:t>COLOMBIA</w:t>
                      </w:r>
                    </w:p>
                    <w:p w14:paraId="0FD0B617" w14:textId="472671FB"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2F71E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23ED8B" wp14:editId="225CD7B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2A002" w14:textId="0C1B792A"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08412D2B" w14:textId="652F79DD"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7806A1">
                              <w:rPr>
                                <w:rFonts w:asciiTheme="minorHAnsi" w:hAnsiTheme="minorHAnsi"/>
                                <w:color w:val="FFFFFF" w:themeColor="background1"/>
                                <w:sz w:val="22"/>
                                <w:lang w:val="pt-BR"/>
                              </w:rPr>
                              <w:t>346</w:t>
                            </w:r>
                            <w:r w:rsidR="00D92D84">
                              <w:rPr>
                                <w:rFonts w:asciiTheme="minorHAnsi" w:hAnsiTheme="minorHAnsi"/>
                                <w:color w:val="FFFFFF" w:themeColor="background1"/>
                                <w:sz w:val="22"/>
                                <w:lang w:val="pt-BR"/>
                              </w:rPr>
                              <w:t xml:space="preserve"> Corr.1</w:t>
                            </w:r>
                          </w:p>
                          <w:p w14:paraId="476E8630" w14:textId="1A964EC6" w:rsidR="00627C9F" w:rsidRPr="004B7EB6" w:rsidRDefault="007806A1" w:rsidP="002C1641">
                            <w:pPr>
                              <w:jc w:val="right"/>
                              <w:rPr>
                                <w:rFonts w:asciiTheme="minorHAnsi" w:hAnsiTheme="minorHAnsi"/>
                                <w:color w:val="FFFFFF" w:themeColor="background1"/>
                                <w:sz w:val="22"/>
                              </w:rPr>
                            </w:pPr>
                            <w:r>
                              <w:rPr>
                                <w:rFonts w:asciiTheme="minorHAnsi" w:hAnsiTheme="minorHAnsi"/>
                                <w:color w:val="FFFFFF" w:themeColor="background1"/>
                                <w:sz w:val="22"/>
                              </w:rPr>
                              <w:t>22</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F628F3">
                              <w:rPr>
                                <w:rFonts w:asciiTheme="minorHAnsi" w:hAnsiTheme="minorHAnsi"/>
                                <w:color w:val="FFFFFF" w:themeColor="background1"/>
                                <w:sz w:val="22"/>
                              </w:rPr>
                              <w:t xml:space="preserve"> 2021</w:t>
                            </w:r>
                          </w:p>
                          <w:p w14:paraId="761EC8C9" w14:textId="10C080C7"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D152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3ED8B"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2282A002" w14:textId="0C1B792A"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08412D2B" w14:textId="652F79DD"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7806A1">
                        <w:rPr>
                          <w:rFonts w:asciiTheme="minorHAnsi" w:hAnsiTheme="minorHAnsi"/>
                          <w:color w:val="FFFFFF" w:themeColor="background1"/>
                          <w:sz w:val="22"/>
                          <w:lang w:val="pt-BR"/>
                        </w:rPr>
                        <w:t>346</w:t>
                      </w:r>
                      <w:r w:rsidR="00D92D84">
                        <w:rPr>
                          <w:rFonts w:asciiTheme="minorHAnsi" w:hAnsiTheme="minorHAnsi"/>
                          <w:color w:val="FFFFFF" w:themeColor="background1"/>
                          <w:sz w:val="22"/>
                          <w:lang w:val="pt-BR"/>
                        </w:rPr>
                        <w:t xml:space="preserve"> Corr.1</w:t>
                      </w:r>
                    </w:p>
                    <w:p w14:paraId="476E8630" w14:textId="1A964EC6" w:rsidR="00627C9F" w:rsidRPr="004B7EB6" w:rsidRDefault="007806A1" w:rsidP="002C1641">
                      <w:pPr>
                        <w:jc w:val="right"/>
                        <w:rPr>
                          <w:rFonts w:asciiTheme="minorHAnsi" w:hAnsiTheme="minorHAnsi"/>
                          <w:color w:val="FFFFFF" w:themeColor="background1"/>
                          <w:sz w:val="22"/>
                        </w:rPr>
                      </w:pPr>
                      <w:r>
                        <w:rPr>
                          <w:rFonts w:asciiTheme="minorHAnsi" w:hAnsiTheme="minorHAnsi"/>
                          <w:color w:val="FFFFFF" w:themeColor="background1"/>
                          <w:sz w:val="22"/>
                        </w:rPr>
                        <w:t>22</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F628F3">
                        <w:rPr>
                          <w:rFonts w:asciiTheme="minorHAnsi" w:hAnsiTheme="minorHAnsi"/>
                          <w:color w:val="FFFFFF" w:themeColor="background1"/>
                          <w:sz w:val="22"/>
                        </w:rPr>
                        <w:t xml:space="preserve"> 2021</w:t>
                      </w:r>
                    </w:p>
                    <w:p w14:paraId="761EC8C9" w14:textId="10C080C7"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D152E">
                        <w:rPr>
                          <w:rFonts w:asciiTheme="minorHAnsi" w:hAnsiTheme="minorHAnsi"/>
                          <w:color w:val="FFFFFF" w:themeColor="background1"/>
                          <w:sz w:val="22"/>
                        </w:rPr>
                        <w:t>Spanish</w:t>
                      </w:r>
                    </w:p>
                  </w:txbxContent>
                </v:textbox>
              </v:shape>
            </w:pict>
          </mc:Fallback>
        </mc:AlternateContent>
      </w:r>
    </w:p>
    <w:p w14:paraId="5049F230" w14:textId="77777777" w:rsidR="00040C3A" w:rsidRPr="002F71EC" w:rsidRDefault="00040C3A" w:rsidP="005404B7">
      <w:pPr>
        <w:tabs>
          <w:tab w:val="center" w:pos="5400"/>
        </w:tabs>
        <w:suppressAutoHyphens/>
        <w:jc w:val="center"/>
        <w:rPr>
          <w:rFonts w:asciiTheme="majorHAnsi" w:hAnsiTheme="majorHAnsi"/>
          <w:sz w:val="22"/>
          <w:szCs w:val="22"/>
        </w:rPr>
      </w:pPr>
    </w:p>
    <w:p w14:paraId="3FDCEED5" w14:textId="77777777" w:rsidR="00040C3A" w:rsidRPr="002F71EC" w:rsidRDefault="00040C3A" w:rsidP="005404B7">
      <w:pPr>
        <w:tabs>
          <w:tab w:val="center" w:pos="5400"/>
        </w:tabs>
        <w:suppressAutoHyphens/>
        <w:jc w:val="center"/>
        <w:rPr>
          <w:rFonts w:asciiTheme="majorHAnsi" w:hAnsiTheme="majorHAnsi" w:cs="Arial"/>
          <w:sz w:val="22"/>
          <w:szCs w:val="22"/>
        </w:rPr>
      </w:pPr>
    </w:p>
    <w:p w14:paraId="19C34197" w14:textId="77777777" w:rsidR="00040C3A" w:rsidRPr="002F71EC" w:rsidRDefault="00040C3A" w:rsidP="005404B7">
      <w:pPr>
        <w:tabs>
          <w:tab w:val="center" w:pos="5400"/>
        </w:tabs>
        <w:suppressAutoHyphens/>
        <w:jc w:val="center"/>
        <w:rPr>
          <w:rFonts w:asciiTheme="majorHAnsi" w:hAnsiTheme="majorHAnsi"/>
          <w:sz w:val="22"/>
          <w:szCs w:val="22"/>
        </w:rPr>
      </w:pPr>
    </w:p>
    <w:p w14:paraId="72B7FA05" w14:textId="77777777" w:rsidR="00040C3A" w:rsidRPr="002F71EC" w:rsidRDefault="00040C3A" w:rsidP="005404B7">
      <w:pPr>
        <w:tabs>
          <w:tab w:val="center" w:pos="5400"/>
        </w:tabs>
        <w:suppressAutoHyphens/>
        <w:jc w:val="center"/>
        <w:rPr>
          <w:rFonts w:asciiTheme="majorHAnsi" w:hAnsiTheme="majorHAnsi"/>
          <w:sz w:val="22"/>
          <w:szCs w:val="22"/>
        </w:rPr>
      </w:pPr>
    </w:p>
    <w:p w14:paraId="16FF8C8D" w14:textId="77777777" w:rsidR="00040C3A" w:rsidRPr="002F71EC" w:rsidRDefault="00040C3A" w:rsidP="005404B7">
      <w:pPr>
        <w:tabs>
          <w:tab w:val="center" w:pos="5400"/>
        </w:tabs>
        <w:suppressAutoHyphens/>
        <w:jc w:val="center"/>
        <w:rPr>
          <w:rFonts w:asciiTheme="majorHAnsi" w:hAnsiTheme="majorHAnsi"/>
          <w:sz w:val="22"/>
          <w:szCs w:val="22"/>
        </w:rPr>
      </w:pPr>
    </w:p>
    <w:p w14:paraId="64BFC514" w14:textId="77777777" w:rsidR="00040C3A" w:rsidRPr="002F71EC" w:rsidRDefault="00040C3A" w:rsidP="005404B7">
      <w:pPr>
        <w:tabs>
          <w:tab w:val="center" w:pos="5400"/>
        </w:tabs>
        <w:suppressAutoHyphens/>
        <w:jc w:val="center"/>
        <w:rPr>
          <w:rFonts w:asciiTheme="majorHAnsi" w:hAnsiTheme="majorHAnsi"/>
          <w:sz w:val="22"/>
          <w:szCs w:val="22"/>
        </w:rPr>
      </w:pPr>
    </w:p>
    <w:p w14:paraId="2BF87186" w14:textId="77777777" w:rsidR="005128E4" w:rsidRPr="002F71EC" w:rsidRDefault="005128E4" w:rsidP="005404B7">
      <w:pPr>
        <w:tabs>
          <w:tab w:val="center" w:pos="5400"/>
        </w:tabs>
        <w:suppressAutoHyphens/>
        <w:jc w:val="center"/>
        <w:rPr>
          <w:rFonts w:asciiTheme="majorHAnsi" w:hAnsiTheme="majorHAnsi"/>
          <w:sz w:val="22"/>
          <w:szCs w:val="22"/>
        </w:rPr>
      </w:pPr>
    </w:p>
    <w:p w14:paraId="7527F2AD" w14:textId="77777777" w:rsidR="00040C3A" w:rsidRPr="002F71EC" w:rsidRDefault="00040C3A" w:rsidP="005404B7">
      <w:pPr>
        <w:tabs>
          <w:tab w:val="center" w:pos="5400"/>
        </w:tabs>
        <w:suppressAutoHyphens/>
        <w:jc w:val="center"/>
        <w:rPr>
          <w:rFonts w:asciiTheme="majorHAnsi" w:hAnsiTheme="majorHAnsi"/>
          <w:sz w:val="22"/>
          <w:szCs w:val="22"/>
        </w:rPr>
      </w:pPr>
    </w:p>
    <w:p w14:paraId="1895BE40" w14:textId="77777777" w:rsidR="005128E4" w:rsidRPr="002F71EC" w:rsidRDefault="005128E4" w:rsidP="005404B7">
      <w:pPr>
        <w:tabs>
          <w:tab w:val="center" w:pos="5400"/>
        </w:tabs>
        <w:suppressAutoHyphens/>
        <w:jc w:val="center"/>
        <w:rPr>
          <w:rFonts w:asciiTheme="majorHAnsi" w:hAnsiTheme="majorHAnsi"/>
          <w:sz w:val="22"/>
          <w:szCs w:val="22"/>
        </w:rPr>
      </w:pPr>
    </w:p>
    <w:p w14:paraId="43B06A34" w14:textId="77777777" w:rsidR="005128E4" w:rsidRPr="002F71EC" w:rsidRDefault="005128E4" w:rsidP="005404B7">
      <w:pPr>
        <w:tabs>
          <w:tab w:val="center" w:pos="5400"/>
        </w:tabs>
        <w:suppressAutoHyphens/>
        <w:jc w:val="center"/>
        <w:rPr>
          <w:rFonts w:asciiTheme="majorHAnsi" w:hAnsiTheme="majorHAnsi"/>
          <w:sz w:val="22"/>
          <w:szCs w:val="22"/>
        </w:rPr>
      </w:pPr>
    </w:p>
    <w:p w14:paraId="61E71545" w14:textId="77777777" w:rsidR="005128E4" w:rsidRPr="002F71EC" w:rsidRDefault="005128E4" w:rsidP="005404B7">
      <w:pPr>
        <w:tabs>
          <w:tab w:val="center" w:pos="5400"/>
        </w:tabs>
        <w:suppressAutoHyphens/>
        <w:jc w:val="center"/>
        <w:rPr>
          <w:rFonts w:asciiTheme="majorHAnsi" w:hAnsiTheme="majorHAnsi"/>
          <w:sz w:val="22"/>
          <w:szCs w:val="22"/>
        </w:rPr>
      </w:pPr>
    </w:p>
    <w:p w14:paraId="7927E3BC" w14:textId="77777777" w:rsidR="00040C3A" w:rsidRPr="002F71EC" w:rsidRDefault="00040C3A" w:rsidP="005404B7">
      <w:pPr>
        <w:tabs>
          <w:tab w:val="center" w:pos="5400"/>
        </w:tabs>
        <w:suppressAutoHyphens/>
        <w:jc w:val="center"/>
        <w:rPr>
          <w:rFonts w:asciiTheme="majorHAnsi" w:hAnsiTheme="majorHAnsi"/>
          <w:sz w:val="22"/>
          <w:szCs w:val="22"/>
        </w:rPr>
      </w:pPr>
    </w:p>
    <w:p w14:paraId="0A58A42D" w14:textId="77777777" w:rsidR="00040C3A" w:rsidRPr="002F71EC" w:rsidRDefault="00040C3A" w:rsidP="005404B7">
      <w:pPr>
        <w:tabs>
          <w:tab w:val="center" w:pos="5400"/>
        </w:tabs>
        <w:suppressAutoHyphens/>
        <w:jc w:val="center"/>
        <w:rPr>
          <w:rFonts w:asciiTheme="majorHAnsi" w:hAnsiTheme="majorHAnsi"/>
          <w:sz w:val="22"/>
          <w:szCs w:val="22"/>
        </w:rPr>
      </w:pPr>
    </w:p>
    <w:p w14:paraId="059F1603" w14:textId="77777777" w:rsidR="002C1641" w:rsidRPr="002F71EC" w:rsidRDefault="002C1641" w:rsidP="005404B7">
      <w:pPr>
        <w:tabs>
          <w:tab w:val="center" w:pos="5400"/>
        </w:tabs>
        <w:suppressAutoHyphens/>
        <w:jc w:val="center"/>
        <w:rPr>
          <w:rFonts w:asciiTheme="majorHAnsi" w:hAnsiTheme="majorHAnsi"/>
          <w:sz w:val="18"/>
          <w:szCs w:val="22"/>
        </w:rPr>
      </w:pPr>
    </w:p>
    <w:p w14:paraId="431C2564" w14:textId="77777777" w:rsidR="002C1641" w:rsidRPr="002F71EC" w:rsidRDefault="002C1641" w:rsidP="005404B7">
      <w:pPr>
        <w:tabs>
          <w:tab w:val="center" w:pos="5400"/>
        </w:tabs>
        <w:suppressAutoHyphens/>
        <w:jc w:val="center"/>
        <w:rPr>
          <w:rFonts w:asciiTheme="majorHAnsi" w:hAnsiTheme="majorHAnsi"/>
          <w:sz w:val="18"/>
          <w:szCs w:val="22"/>
        </w:rPr>
      </w:pPr>
    </w:p>
    <w:p w14:paraId="29D33EED" w14:textId="77777777" w:rsidR="002C1641" w:rsidRPr="002F71EC" w:rsidRDefault="002C1641" w:rsidP="005404B7">
      <w:pPr>
        <w:tabs>
          <w:tab w:val="center" w:pos="5400"/>
        </w:tabs>
        <w:suppressAutoHyphens/>
        <w:jc w:val="center"/>
        <w:rPr>
          <w:rFonts w:asciiTheme="majorHAnsi" w:hAnsiTheme="majorHAnsi"/>
          <w:sz w:val="18"/>
          <w:szCs w:val="22"/>
        </w:rPr>
      </w:pPr>
    </w:p>
    <w:p w14:paraId="2821DC85" w14:textId="77777777" w:rsidR="002C1641" w:rsidRPr="002F71EC" w:rsidRDefault="002C1641" w:rsidP="005404B7">
      <w:pPr>
        <w:tabs>
          <w:tab w:val="center" w:pos="5400"/>
        </w:tabs>
        <w:suppressAutoHyphens/>
        <w:jc w:val="center"/>
        <w:rPr>
          <w:rFonts w:asciiTheme="majorHAnsi" w:hAnsiTheme="majorHAnsi"/>
          <w:sz w:val="18"/>
          <w:szCs w:val="22"/>
        </w:rPr>
      </w:pPr>
    </w:p>
    <w:p w14:paraId="3615ACAA" w14:textId="77777777" w:rsidR="002C1641" w:rsidRPr="002F71EC" w:rsidRDefault="002C1641" w:rsidP="005404B7">
      <w:pPr>
        <w:tabs>
          <w:tab w:val="center" w:pos="5400"/>
        </w:tabs>
        <w:suppressAutoHyphens/>
        <w:jc w:val="center"/>
        <w:rPr>
          <w:rFonts w:asciiTheme="majorHAnsi" w:hAnsiTheme="majorHAnsi"/>
          <w:sz w:val="18"/>
          <w:szCs w:val="22"/>
        </w:rPr>
      </w:pPr>
    </w:p>
    <w:p w14:paraId="788DC122" w14:textId="77777777" w:rsidR="002C1641" w:rsidRPr="002F71EC" w:rsidRDefault="002C1641" w:rsidP="005404B7">
      <w:pPr>
        <w:tabs>
          <w:tab w:val="center" w:pos="5400"/>
        </w:tabs>
        <w:suppressAutoHyphens/>
        <w:jc w:val="center"/>
        <w:rPr>
          <w:rFonts w:asciiTheme="majorHAnsi" w:hAnsiTheme="majorHAnsi"/>
          <w:sz w:val="18"/>
          <w:szCs w:val="22"/>
        </w:rPr>
      </w:pPr>
    </w:p>
    <w:p w14:paraId="71372B36" w14:textId="77777777" w:rsidR="002C1641" w:rsidRPr="002F71EC" w:rsidRDefault="002C1641" w:rsidP="005404B7">
      <w:pPr>
        <w:tabs>
          <w:tab w:val="center" w:pos="5400"/>
        </w:tabs>
        <w:suppressAutoHyphens/>
        <w:jc w:val="center"/>
        <w:rPr>
          <w:rFonts w:asciiTheme="majorHAnsi" w:hAnsiTheme="majorHAnsi"/>
          <w:sz w:val="18"/>
          <w:szCs w:val="22"/>
        </w:rPr>
      </w:pPr>
    </w:p>
    <w:p w14:paraId="6C81AC2D" w14:textId="77777777" w:rsidR="002C1641" w:rsidRPr="002F71EC" w:rsidRDefault="002C1641" w:rsidP="005404B7">
      <w:pPr>
        <w:tabs>
          <w:tab w:val="center" w:pos="5400"/>
        </w:tabs>
        <w:suppressAutoHyphens/>
        <w:jc w:val="center"/>
        <w:rPr>
          <w:rFonts w:asciiTheme="majorHAnsi" w:hAnsiTheme="majorHAnsi"/>
          <w:sz w:val="18"/>
          <w:szCs w:val="22"/>
        </w:rPr>
      </w:pPr>
    </w:p>
    <w:p w14:paraId="45B73A66" w14:textId="77777777" w:rsidR="002C1641" w:rsidRPr="002F71EC" w:rsidRDefault="002C1641" w:rsidP="005404B7">
      <w:pPr>
        <w:tabs>
          <w:tab w:val="center" w:pos="5400"/>
        </w:tabs>
        <w:suppressAutoHyphens/>
        <w:jc w:val="center"/>
        <w:rPr>
          <w:rFonts w:asciiTheme="majorHAnsi" w:hAnsiTheme="majorHAnsi"/>
          <w:sz w:val="18"/>
          <w:szCs w:val="22"/>
        </w:rPr>
      </w:pPr>
    </w:p>
    <w:p w14:paraId="2148453B" w14:textId="77777777" w:rsidR="002C1641" w:rsidRPr="002F71EC" w:rsidRDefault="002C1641" w:rsidP="005404B7">
      <w:pPr>
        <w:tabs>
          <w:tab w:val="center" w:pos="5400"/>
        </w:tabs>
        <w:suppressAutoHyphens/>
        <w:jc w:val="center"/>
        <w:rPr>
          <w:rFonts w:asciiTheme="majorHAnsi" w:hAnsiTheme="majorHAnsi"/>
          <w:sz w:val="18"/>
          <w:szCs w:val="22"/>
        </w:rPr>
      </w:pPr>
    </w:p>
    <w:p w14:paraId="6C94AAAB" w14:textId="77777777" w:rsidR="002C1641" w:rsidRPr="002F71EC" w:rsidRDefault="002C1641" w:rsidP="005404B7">
      <w:pPr>
        <w:tabs>
          <w:tab w:val="center" w:pos="5400"/>
        </w:tabs>
        <w:suppressAutoHyphens/>
        <w:jc w:val="center"/>
        <w:rPr>
          <w:rFonts w:asciiTheme="majorHAnsi" w:hAnsiTheme="majorHAnsi"/>
          <w:sz w:val="18"/>
          <w:szCs w:val="22"/>
        </w:rPr>
      </w:pPr>
    </w:p>
    <w:p w14:paraId="1E6451D7" w14:textId="77777777" w:rsidR="002C1641" w:rsidRPr="002F71EC" w:rsidRDefault="002C1641" w:rsidP="005404B7">
      <w:pPr>
        <w:tabs>
          <w:tab w:val="center" w:pos="5400"/>
        </w:tabs>
        <w:suppressAutoHyphens/>
        <w:jc w:val="center"/>
        <w:rPr>
          <w:rFonts w:asciiTheme="majorHAnsi" w:hAnsiTheme="majorHAnsi"/>
          <w:sz w:val="18"/>
          <w:szCs w:val="22"/>
        </w:rPr>
      </w:pPr>
    </w:p>
    <w:p w14:paraId="09A4785B" w14:textId="77777777" w:rsidR="002C1641" w:rsidRPr="002F71EC" w:rsidRDefault="003C32BC" w:rsidP="005404B7">
      <w:pPr>
        <w:tabs>
          <w:tab w:val="center" w:pos="5400"/>
        </w:tabs>
        <w:suppressAutoHyphens/>
        <w:jc w:val="center"/>
        <w:rPr>
          <w:rFonts w:asciiTheme="majorHAnsi" w:hAnsiTheme="majorHAnsi"/>
          <w:sz w:val="18"/>
          <w:szCs w:val="22"/>
        </w:rPr>
      </w:pPr>
      <w:r w:rsidRPr="002F71E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ECD8397" wp14:editId="0D3E2375">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30BD4" w14:textId="222D34B3" w:rsidR="00745899" w:rsidRPr="00F628F3" w:rsidRDefault="00F628F3" w:rsidP="004165C2">
                            <w:pPr>
                              <w:tabs>
                                <w:tab w:val="center" w:pos="5400"/>
                              </w:tabs>
                              <w:suppressAutoHyphens/>
                              <w:spacing w:before="60"/>
                              <w:rPr>
                                <w:rFonts w:asciiTheme="minorHAnsi" w:hAnsiTheme="minorHAnsi" w:cs="Univers"/>
                                <w:color w:val="0D0D0D" w:themeColor="text1" w:themeTint="F2"/>
                                <w:sz w:val="20"/>
                                <w:szCs w:val="20"/>
                              </w:rPr>
                            </w:pPr>
                            <w:r w:rsidRPr="00C95515">
                              <w:rPr>
                                <w:rFonts w:asciiTheme="majorHAnsi" w:hAnsiTheme="majorHAnsi"/>
                                <w:color w:val="0D0D0D" w:themeColor="text1" w:themeTint="F2"/>
                                <w:sz w:val="18"/>
                                <w:szCs w:val="22"/>
                              </w:rPr>
                              <w:t xml:space="preserve">Electronically approved by the Commission on </w:t>
                            </w:r>
                            <w:r w:rsidR="007806A1">
                              <w:rPr>
                                <w:rFonts w:asciiTheme="majorHAnsi" w:hAnsiTheme="majorHAnsi"/>
                                <w:color w:val="0D0D0D" w:themeColor="text1" w:themeTint="F2"/>
                                <w:sz w:val="18"/>
                                <w:szCs w:val="22"/>
                              </w:rPr>
                              <w:t>November</w:t>
                            </w:r>
                            <w:r w:rsidRPr="00C95515">
                              <w:rPr>
                                <w:rFonts w:asciiTheme="majorHAnsi" w:hAnsiTheme="majorHAnsi"/>
                                <w:color w:val="0D0D0D" w:themeColor="text1" w:themeTint="F2"/>
                                <w:sz w:val="18"/>
                                <w:szCs w:val="22"/>
                              </w:rPr>
                              <w:t xml:space="preserve"> </w:t>
                            </w:r>
                            <w:r w:rsidR="007806A1">
                              <w:rPr>
                                <w:rFonts w:asciiTheme="majorHAnsi" w:hAnsiTheme="majorHAnsi"/>
                                <w:color w:val="0D0D0D" w:themeColor="text1" w:themeTint="F2"/>
                                <w:sz w:val="18"/>
                                <w:szCs w:val="22"/>
                              </w:rPr>
                              <w:t>22</w:t>
                            </w:r>
                            <w:r w:rsidRPr="00C95515">
                              <w:rPr>
                                <w:rFonts w:asciiTheme="majorHAnsi" w:hAnsiTheme="majorHAnsi"/>
                                <w:color w:val="0D0D0D" w:themeColor="text1" w:themeTint="F2"/>
                                <w:sz w:val="18"/>
                                <w:szCs w:val="22"/>
                              </w:rPr>
                              <w:t>, 202</w:t>
                            </w:r>
                            <w:r>
                              <w:rPr>
                                <w:rFonts w:asciiTheme="majorHAnsi" w:hAnsiTheme="majorHAnsi"/>
                                <w:color w:val="0D0D0D" w:themeColor="text1" w:themeTint="F2"/>
                                <w:sz w:val="18"/>
                                <w:szCs w:val="22"/>
                              </w:rPr>
                              <w:t>1</w:t>
                            </w:r>
                            <w:r>
                              <w:rPr>
                                <w:rFonts w:asciiTheme="minorHAnsi" w:hAnsiTheme="minorHAnsi" w:cs="Univers"/>
                                <w:color w:val="0D0D0D" w:themeColor="text1" w:themeTint="F2"/>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D839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59C30BD4" w14:textId="222D34B3" w:rsidR="00745899" w:rsidRPr="00F628F3" w:rsidRDefault="00F628F3" w:rsidP="004165C2">
                      <w:pPr>
                        <w:tabs>
                          <w:tab w:val="center" w:pos="5400"/>
                        </w:tabs>
                        <w:suppressAutoHyphens/>
                        <w:spacing w:before="60"/>
                        <w:rPr>
                          <w:rFonts w:asciiTheme="minorHAnsi" w:hAnsiTheme="minorHAnsi" w:cs="Univers"/>
                          <w:color w:val="0D0D0D" w:themeColor="text1" w:themeTint="F2"/>
                          <w:sz w:val="20"/>
                          <w:szCs w:val="20"/>
                        </w:rPr>
                      </w:pPr>
                      <w:r w:rsidRPr="00C95515">
                        <w:rPr>
                          <w:rFonts w:asciiTheme="majorHAnsi" w:hAnsiTheme="majorHAnsi"/>
                          <w:color w:val="0D0D0D" w:themeColor="text1" w:themeTint="F2"/>
                          <w:sz w:val="18"/>
                          <w:szCs w:val="22"/>
                        </w:rPr>
                        <w:t xml:space="preserve">Electronically approved by the Commission on </w:t>
                      </w:r>
                      <w:r w:rsidR="007806A1">
                        <w:rPr>
                          <w:rFonts w:asciiTheme="majorHAnsi" w:hAnsiTheme="majorHAnsi"/>
                          <w:color w:val="0D0D0D" w:themeColor="text1" w:themeTint="F2"/>
                          <w:sz w:val="18"/>
                          <w:szCs w:val="22"/>
                        </w:rPr>
                        <w:t>November</w:t>
                      </w:r>
                      <w:r w:rsidRPr="00C95515">
                        <w:rPr>
                          <w:rFonts w:asciiTheme="majorHAnsi" w:hAnsiTheme="majorHAnsi"/>
                          <w:color w:val="0D0D0D" w:themeColor="text1" w:themeTint="F2"/>
                          <w:sz w:val="18"/>
                          <w:szCs w:val="22"/>
                        </w:rPr>
                        <w:t xml:space="preserve"> </w:t>
                      </w:r>
                      <w:r w:rsidR="007806A1">
                        <w:rPr>
                          <w:rFonts w:asciiTheme="majorHAnsi" w:hAnsiTheme="majorHAnsi"/>
                          <w:color w:val="0D0D0D" w:themeColor="text1" w:themeTint="F2"/>
                          <w:sz w:val="18"/>
                          <w:szCs w:val="22"/>
                        </w:rPr>
                        <w:t>22</w:t>
                      </w:r>
                      <w:r w:rsidRPr="00C95515">
                        <w:rPr>
                          <w:rFonts w:asciiTheme="majorHAnsi" w:hAnsiTheme="majorHAnsi"/>
                          <w:color w:val="0D0D0D" w:themeColor="text1" w:themeTint="F2"/>
                          <w:sz w:val="18"/>
                          <w:szCs w:val="22"/>
                        </w:rPr>
                        <w:t>, 202</w:t>
                      </w:r>
                      <w:r>
                        <w:rPr>
                          <w:rFonts w:asciiTheme="majorHAnsi" w:hAnsiTheme="majorHAnsi"/>
                          <w:color w:val="0D0D0D" w:themeColor="text1" w:themeTint="F2"/>
                          <w:sz w:val="18"/>
                          <w:szCs w:val="22"/>
                        </w:rPr>
                        <w:t>1</w:t>
                      </w:r>
                      <w:r>
                        <w:rPr>
                          <w:rFonts w:asciiTheme="minorHAnsi" w:hAnsiTheme="minorHAnsi" w:cs="Univers"/>
                          <w:color w:val="0D0D0D" w:themeColor="text1" w:themeTint="F2"/>
                          <w:sz w:val="20"/>
                          <w:szCs w:val="20"/>
                        </w:rPr>
                        <w:t>.</w:t>
                      </w:r>
                    </w:p>
                  </w:txbxContent>
                </v:textbox>
              </v:shape>
            </w:pict>
          </mc:Fallback>
        </mc:AlternateContent>
      </w:r>
    </w:p>
    <w:p w14:paraId="05A9E6F8" w14:textId="77777777" w:rsidR="002C1641" w:rsidRPr="002F71EC" w:rsidRDefault="002C1641" w:rsidP="005404B7">
      <w:pPr>
        <w:tabs>
          <w:tab w:val="center" w:pos="5400"/>
        </w:tabs>
        <w:suppressAutoHyphens/>
        <w:jc w:val="center"/>
        <w:rPr>
          <w:rFonts w:asciiTheme="majorHAnsi" w:hAnsiTheme="majorHAnsi"/>
          <w:sz w:val="18"/>
          <w:szCs w:val="22"/>
        </w:rPr>
      </w:pPr>
    </w:p>
    <w:p w14:paraId="620E7C80" w14:textId="77777777" w:rsidR="002C1641" w:rsidRPr="002F71EC" w:rsidRDefault="002C1641" w:rsidP="005404B7">
      <w:pPr>
        <w:tabs>
          <w:tab w:val="center" w:pos="5400"/>
        </w:tabs>
        <w:suppressAutoHyphens/>
        <w:jc w:val="center"/>
        <w:rPr>
          <w:rFonts w:asciiTheme="majorHAnsi" w:hAnsiTheme="majorHAnsi"/>
          <w:sz w:val="18"/>
          <w:szCs w:val="22"/>
        </w:rPr>
      </w:pPr>
    </w:p>
    <w:p w14:paraId="60CB347B" w14:textId="77777777" w:rsidR="002C1641" w:rsidRPr="002F71EC" w:rsidRDefault="002C1641" w:rsidP="005404B7">
      <w:pPr>
        <w:tabs>
          <w:tab w:val="center" w:pos="5400"/>
        </w:tabs>
        <w:suppressAutoHyphens/>
        <w:jc w:val="center"/>
        <w:rPr>
          <w:rFonts w:asciiTheme="majorHAnsi" w:hAnsiTheme="majorHAnsi"/>
          <w:sz w:val="18"/>
          <w:szCs w:val="22"/>
        </w:rPr>
      </w:pPr>
    </w:p>
    <w:p w14:paraId="6EA947CB" w14:textId="77777777" w:rsidR="002C1641" w:rsidRPr="002F71EC" w:rsidRDefault="002C1641" w:rsidP="005404B7">
      <w:pPr>
        <w:tabs>
          <w:tab w:val="center" w:pos="5400"/>
        </w:tabs>
        <w:suppressAutoHyphens/>
        <w:jc w:val="center"/>
        <w:rPr>
          <w:rFonts w:asciiTheme="majorHAnsi" w:hAnsiTheme="majorHAnsi"/>
          <w:sz w:val="18"/>
          <w:szCs w:val="22"/>
        </w:rPr>
      </w:pPr>
    </w:p>
    <w:p w14:paraId="6F343346" w14:textId="77777777" w:rsidR="002C1641" w:rsidRPr="002F71EC" w:rsidRDefault="003C32BC" w:rsidP="005404B7">
      <w:pPr>
        <w:tabs>
          <w:tab w:val="center" w:pos="5400"/>
        </w:tabs>
        <w:suppressAutoHyphens/>
        <w:jc w:val="center"/>
        <w:rPr>
          <w:rFonts w:asciiTheme="majorHAnsi" w:hAnsiTheme="majorHAnsi"/>
          <w:sz w:val="18"/>
          <w:szCs w:val="22"/>
        </w:rPr>
      </w:pPr>
      <w:r w:rsidRPr="002F71E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23E2ECB0" wp14:editId="539EE3B8">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C0992" w14:textId="670FD85E" w:rsidR="00F644E6" w:rsidRPr="00F628F3" w:rsidRDefault="00F628F3" w:rsidP="00126ED8">
                            <w:pPr>
                              <w:spacing w:line="276" w:lineRule="auto"/>
                              <w:jc w:val="both"/>
                              <w:rPr>
                                <w:rFonts w:asciiTheme="majorHAnsi" w:hAnsiTheme="majorHAnsi"/>
                                <w:color w:val="595959" w:themeColor="text1" w:themeTint="A6"/>
                                <w:sz w:val="18"/>
                                <w:szCs w:val="18"/>
                              </w:rPr>
                            </w:pPr>
                            <w:r w:rsidRPr="007806A1">
                              <w:rPr>
                                <w:rFonts w:asciiTheme="majorHAnsi" w:hAnsiTheme="majorHAnsi"/>
                                <w:b/>
                                <w:color w:val="595959" w:themeColor="text1" w:themeTint="A6"/>
                                <w:sz w:val="18"/>
                                <w:szCs w:val="18"/>
                              </w:rPr>
                              <w:t>Cite as:</w:t>
                            </w:r>
                            <w:r w:rsidRPr="007806A1">
                              <w:rPr>
                                <w:rFonts w:asciiTheme="majorHAnsi" w:hAnsiTheme="majorHAnsi"/>
                                <w:color w:val="595959" w:themeColor="text1" w:themeTint="A6"/>
                                <w:sz w:val="18"/>
                                <w:szCs w:val="18"/>
                              </w:rPr>
                              <w:t xml:space="preserve"> IACHR, Report No. </w:t>
                            </w:r>
                            <w:r w:rsidR="007806A1">
                              <w:rPr>
                                <w:rFonts w:asciiTheme="majorHAnsi" w:hAnsiTheme="majorHAnsi"/>
                                <w:color w:val="595959" w:themeColor="text1" w:themeTint="A6"/>
                                <w:sz w:val="18"/>
                                <w:szCs w:val="18"/>
                              </w:rPr>
                              <w:t>336</w:t>
                            </w:r>
                            <w:r w:rsidRPr="007F3424">
                              <w:rPr>
                                <w:rFonts w:asciiTheme="majorHAnsi" w:hAnsiTheme="majorHAnsi"/>
                                <w:color w:val="595959" w:themeColor="text1" w:themeTint="A6"/>
                                <w:sz w:val="18"/>
                                <w:szCs w:val="18"/>
                              </w:rPr>
                              <w:t>/2</w:t>
                            </w:r>
                            <w:r>
                              <w:rPr>
                                <w:rFonts w:asciiTheme="majorHAnsi" w:hAnsiTheme="majorHAnsi"/>
                                <w:color w:val="595959" w:themeColor="text1" w:themeTint="A6"/>
                                <w:sz w:val="18"/>
                                <w:szCs w:val="18"/>
                              </w:rPr>
                              <w:t>1</w:t>
                            </w:r>
                            <w:r w:rsidRPr="007F3424">
                              <w:rPr>
                                <w:rFonts w:asciiTheme="majorHAnsi" w:hAnsiTheme="majorHAnsi"/>
                                <w:color w:val="595959" w:themeColor="text1" w:themeTint="A6"/>
                                <w:sz w:val="18"/>
                                <w:szCs w:val="18"/>
                              </w:rPr>
                              <w:t xml:space="preserve">, </w:t>
                            </w:r>
                            <w:r w:rsidR="00854A0C">
                              <w:rPr>
                                <w:rFonts w:asciiTheme="majorHAnsi" w:hAnsiTheme="majorHAnsi"/>
                                <w:color w:val="595959" w:themeColor="text1" w:themeTint="A6"/>
                                <w:sz w:val="18"/>
                                <w:szCs w:val="18"/>
                              </w:rPr>
                              <w:t>Case</w:t>
                            </w:r>
                            <w:r w:rsidRPr="007F3424">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13.571</w:t>
                            </w:r>
                            <w:r w:rsidRPr="007F3424">
                              <w:rPr>
                                <w:rFonts w:asciiTheme="majorHAnsi" w:hAnsiTheme="majorHAnsi"/>
                                <w:color w:val="595959" w:themeColor="text1" w:themeTint="A6"/>
                                <w:sz w:val="18"/>
                                <w:szCs w:val="18"/>
                              </w:rPr>
                              <w:t xml:space="preserve">. </w:t>
                            </w:r>
                            <w:proofErr w:type="spellStart"/>
                            <w:r w:rsidRPr="007806A1">
                              <w:rPr>
                                <w:rFonts w:asciiTheme="majorHAnsi" w:hAnsiTheme="majorHAnsi"/>
                                <w:color w:val="595959" w:themeColor="text1" w:themeTint="A6"/>
                                <w:sz w:val="18"/>
                                <w:szCs w:val="18"/>
                                <w:lang w:val="es-419"/>
                              </w:rPr>
                              <w:t>Friendly</w:t>
                            </w:r>
                            <w:proofErr w:type="spellEnd"/>
                            <w:r w:rsidRPr="007806A1">
                              <w:rPr>
                                <w:rFonts w:asciiTheme="majorHAnsi" w:hAnsiTheme="majorHAnsi"/>
                                <w:color w:val="595959" w:themeColor="text1" w:themeTint="A6"/>
                                <w:sz w:val="18"/>
                                <w:szCs w:val="18"/>
                                <w:lang w:val="es-419"/>
                              </w:rPr>
                              <w:t xml:space="preserve"> </w:t>
                            </w:r>
                            <w:proofErr w:type="spellStart"/>
                            <w:r w:rsidRPr="007806A1">
                              <w:rPr>
                                <w:rFonts w:asciiTheme="majorHAnsi" w:hAnsiTheme="majorHAnsi"/>
                                <w:color w:val="595959" w:themeColor="text1" w:themeTint="A6"/>
                                <w:sz w:val="18"/>
                                <w:szCs w:val="18"/>
                                <w:lang w:val="es-419"/>
                              </w:rPr>
                              <w:t>Settlement</w:t>
                            </w:r>
                            <w:proofErr w:type="spellEnd"/>
                            <w:r w:rsidRPr="007806A1">
                              <w:rPr>
                                <w:rFonts w:asciiTheme="majorHAnsi" w:hAnsiTheme="majorHAnsi"/>
                                <w:color w:val="595959" w:themeColor="text1" w:themeTint="A6"/>
                                <w:sz w:val="18"/>
                                <w:szCs w:val="18"/>
                                <w:lang w:val="es-419"/>
                              </w:rPr>
                              <w:t xml:space="preserve">. Carlos Mario Muñoz Gómez. Colombia. </w:t>
                            </w:r>
                            <w:r w:rsidR="001E1F4D">
                              <w:rPr>
                                <w:rFonts w:asciiTheme="majorHAnsi" w:hAnsiTheme="majorHAnsi"/>
                                <w:color w:val="595959" w:themeColor="text1" w:themeTint="A6"/>
                                <w:sz w:val="18"/>
                                <w:szCs w:val="18"/>
                              </w:rPr>
                              <w:t>November 22, 2021</w:t>
                            </w:r>
                            <w:r w:rsidRPr="009D78B6">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2ECB0"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4B1C0992" w14:textId="670FD85E" w:rsidR="00F644E6" w:rsidRPr="00F628F3" w:rsidRDefault="00F628F3" w:rsidP="00126ED8">
                      <w:pPr>
                        <w:spacing w:line="276" w:lineRule="auto"/>
                        <w:jc w:val="both"/>
                        <w:rPr>
                          <w:rFonts w:asciiTheme="majorHAnsi" w:hAnsiTheme="majorHAnsi"/>
                          <w:color w:val="595959" w:themeColor="text1" w:themeTint="A6"/>
                          <w:sz w:val="18"/>
                          <w:szCs w:val="18"/>
                        </w:rPr>
                      </w:pPr>
                      <w:r w:rsidRPr="007806A1">
                        <w:rPr>
                          <w:rFonts w:asciiTheme="majorHAnsi" w:hAnsiTheme="majorHAnsi"/>
                          <w:b/>
                          <w:color w:val="595959" w:themeColor="text1" w:themeTint="A6"/>
                          <w:sz w:val="18"/>
                          <w:szCs w:val="18"/>
                        </w:rPr>
                        <w:t>Cite as:</w:t>
                      </w:r>
                      <w:r w:rsidRPr="007806A1">
                        <w:rPr>
                          <w:rFonts w:asciiTheme="majorHAnsi" w:hAnsiTheme="majorHAnsi"/>
                          <w:color w:val="595959" w:themeColor="text1" w:themeTint="A6"/>
                          <w:sz w:val="18"/>
                          <w:szCs w:val="18"/>
                        </w:rPr>
                        <w:t xml:space="preserve"> IACHR, Report No. </w:t>
                      </w:r>
                      <w:r w:rsidR="007806A1">
                        <w:rPr>
                          <w:rFonts w:asciiTheme="majorHAnsi" w:hAnsiTheme="majorHAnsi"/>
                          <w:color w:val="595959" w:themeColor="text1" w:themeTint="A6"/>
                          <w:sz w:val="18"/>
                          <w:szCs w:val="18"/>
                        </w:rPr>
                        <w:t>336</w:t>
                      </w:r>
                      <w:r w:rsidRPr="007F3424">
                        <w:rPr>
                          <w:rFonts w:asciiTheme="majorHAnsi" w:hAnsiTheme="majorHAnsi"/>
                          <w:color w:val="595959" w:themeColor="text1" w:themeTint="A6"/>
                          <w:sz w:val="18"/>
                          <w:szCs w:val="18"/>
                        </w:rPr>
                        <w:t>/2</w:t>
                      </w:r>
                      <w:r>
                        <w:rPr>
                          <w:rFonts w:asciiTheme="majorHAnsi" w:hAnsiTheme="majorHAnsi"/>
                          <w:color w:val="595959" w:themeColor="text1" w:themeTint="A6"/>
                          <w:sz w:val="18"/>
                          <w:szCs w:val="18"/>
                        </w:rPr>
                        <w:t>1</w:t>
                      </w:r>
                      <w:r w:rsidRPr="007F3424">
                        <w:rPr>
                          <w:rFonts w:asciiTheme="majorHAnsi" w:hAnsiTheme="majorHAnsi"/>
                          <w:color w:val="595959" w:themeColor="text1" w:themeTint="A6"/>
                          <w:sz w:val="18"/>
                          <w:szCs w:val="18"/>
                        </w:rPr>
                        <w:t xml:space="preserve">, </w:t>
                      </w:r>
                      <w:r w:rsidR="00854A0C">
                        <w:rPr>
                          <w:rFonts w:asciiTheme="majorHAnsi" w:hAnsiTheme="majorHAnsi"/>
                          <w:color w:val="595959" w:themeColor="text1" w:themeTint="A6"/>
                          <w:sz w:val="18"/>
                          <w:szCs w:val="18"/>
                        </w:rPr>
                        <w:t>Case</w:t>
                      </w:r>
                      <w:r w:rsidRPr="007F3424">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13.571</w:t>
                      </w:r>
                      <w:r w:rsidRPr="007F3424">
                        <w:rPr>
                          <w:rFonts w:asciiTheme="majorHAnsi" w:hAnsiTheme="majorHAnsi"/>
                          <w:color w:val="595959" w:themeColor="text1" w:themeTint="A6"/>
                          <w:sz w:val="18"/>
                          <w:szCs w:val="18"/>
                        </w:rPr>
                        <w:t xml:space="preserve">. </w:t>
                      </w:r>
                      <w:proofErr w:type="spellStart"/>
                      <w:r w:rsidRPr="007806A1">
                        <w:rPr>
                          <w:rFonts w:asciiTheme="majorHAnsi" w:hAnsiTheme="majorHAnsi"/>
                          <w:color w:val="595959" w:themeColor="text1" w:themeTint="A6"/>
                          <w:sz w:val="18"/>
                          <w:szCs w:val="18"/>
                          <w:lang w:val="es-419"/>
                        </w:rPr>
                        <w:t>Friendly</w:t>
                      </w:r>
                      <w:proofErr w:type="spellEnd"/>
                      <w:r w:rsidRPr="007806A1">
                        <w:rPr>
                          <w:rFonts w:asciiTheme="majorHAnsi" w:hAnsiTheme="majorHAnsi"/>
                          <w:color w:val="595959" w:themeColor="text1" w:themeTint="A6"/>
                          <w:sz w:val="18"/>
                          <w:szCs w:val="18"/>
                          <w:lang w:val="es-419"/>
                        </w:rPr>
                        <w:t xml:space="preserve"> </w:t>
                      </w:r>
                      <w:proofErr w:type="spellStart"/>
                      <w:r w:rsidRPr="007806A1">
                        <w:rPr>
                          <w:rFonts w:asciiTheme="majorHAnsi" w:hAnsiTheme="majorHAnsi"/>
                          <w:color w:val="595959" w:themeColor="text1" w:themeTint="A6"/>
                          <w:sz w:val="18"/>
                          <w:szCs w:val="18"/>
                          <w:lang w:val="es-419"/>
                        </w:rPr>
                        <w:t>Settlement</w:t>
                      </w:r>
                      <w:proofErr w:type="spellEnd"/>
                      <w:r w:rsidRPr="007806A1">
                        <w:rPr>
                          <w:rFonts w:asciiTheme="majorHAnsi" w:hAnsiTheme="majorHAnsi"/>
                          <w:color w:val="595959" w:themeColor="text1" w:themeTint="A6"/>
                          <w:sz w:val="18"/>
                          <w:szCs w:val="18"/>
                          <w:lang w:val="es-419"/>
                        </w:rPr>
                        <w:t xml:space="preserve">. Carlos Mario Muñoz Gómez. Colombia. </w:t>
                      </w:r>
                      <w:r w:rsidR="001E1F4D">
                        <w:rPr>
                          <w:rFonts w:asciiTheme="majorHAnsi" w:hAnsiTheme="majorHAnsi"/>
                          <w:color w:val="595959" w:themeColor="text1" w:themeTint="A6"/>
                          <w:sz w:val="18"/>
                          <w:szCs w:val="18"/>
                        </w:rPr>
                        <w:t>November 22, 2021</w:t>
                      </w:r>
                      <w:r w:rsidRPr="009D78B6">
                        <w:rPr>
                          <w:rFonts w:asciiTheme="majorHAnsi" w:hAnsiTheme="majorHAnsi"/>
                          <w:color w:val="595959" w:themeColor="text1" w:themeTint="A6"/>
                          <w:sz w:val="18"/>
                          <w:szCs w:val="18"/>
                        </w:rPr>
                        <w:t>.</w:t>
                      </w:r>
                    </w:p>
                  </w:txbxContent>
                </v:textbox>
              </v:shape>
            </w:pict>
          </mc:Fallback>
        </mc:AlternateContent>
      </w:r>
    </w:p>
    <w:p w14:paraId="40A00070" w14:textId="77777777" w:rsidR="002C1641" w:rsidRPr="002F71EC" w:rsidRDefault="002C1641" w:rsidP="005404B7">
      <w:pPr>
        <w:tabs>
          <w:tab w:val="center" w:pos="5400"/>
        </w:tabs>
        <w:suppressAutoHyphens/>
        <w:jc w:val="center"/>
        <w:rPr>
          <w:rFonts w:asciiTheme="majorHAnsi" w:hAnsiTheme="majorHAnsi"/>
          <w:sz w:val="18"/>
          <w:szCs w:val="22"/>
        </w:rPr>
      </w:pPr>
    </w:p>
    <w:p w14:paraId="553D93D7" w14:textId="77777777" w:rsidR="002C1641" w:rsidRPr="002F71EC" w:rsidRDefault="002C1641" w:rsidP="005404B7">
      <w:pPr>
        <w:tabs>
          <w:tab w:val="center" w:pos="5400"/>
        </w:tabs>
        <w:suppressAutoHyphens/>
        <w:jc w:val="center"/>
        <w:rPr>
          <w:rFonts w:asciiTheme="majorHAnsi" w:hAnsiTheme="majorHAnsi"/>
          <w:sz w:val="18"/>
          <w:szCs w:val="22"/>
        </w:rPr>
      </w:pPr>
    </w:p>
    <w:p w14:paraId="365D8010" w14:textId="77777777" w:rsidR="003C32BC" w:rsidRPr="002F71EC" w:rsidRDefault="003C32BC" w:rsidP="005404B7">
      <w:pPr>
        <w:tabs>
          <w:tab w:val="center" w:pos="5400"/>
        </w:tabs>
        <w:suppressAutoHyphens/>
        <w:jc w:val="center"/>
        <w:rPr>
          <w:rFonts w:asciiTheme="majorHAnsi" w:hAnsiTheme="majorHAnsi"/>
          <w:sz w:val="18"/>
          <w:szCs w:val="22"/>
        </w:rPr>
      </w:pPr>
    </w:p>
    <w:p w14:paraId="3C06C14D" w14:textId="77777777" w:rsidR="003C32BC" w:rsidRPr="002F71EC" w:rsidRDefault="006311DA" w:rsidP="005404B7">
      <w:pPr>
        <w:tabs>
          <w:tab w:val="center" w:pos="5400"/>
        </w:tabs>
        <w:suppressAutoHyphens/>
        <w:jc w:val="center"/>
        <w:rPr>
          <w:rFonts w:asciiTheme="majorHAnsi" w:hAnsiTheme="majorHAnsi"/>
          <w:sz w:val="18"/>
          <w:szCs w:val="22"/>
        </w:rPr>
      </w:pPr>
      <w:r w:rsidRPr="002F71E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192E423" wp14:editId="4B46C17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55F39"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2E423"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2355F39"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2F71E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478FF9E" wp14:editId="60F3473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7F7AE" w14:textId="77777777" w:rsidR="003C32BC" w:rsidRDefault="003815A8">
                            <w:r>
                              <w:rPr>
                                <w:noProof/>
                              </w:rPr>
                              <w:drawing>
                                <wp:inline distT="0" distB="0" distL="0" distR="0" wp14:anchorId="20B75E97" wp14:editId="35B4924F">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FF9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1D37F7AE" w14:textId="77777777" w:rsidR="003C32BC" w:rsidRDefault="003815A8">
                      <w:r>
                        <w:rPr>
                          <w:noProof/>
                        </w:rPr>
                        <w:drawing>
                          <wp:inline distT="0" distB="0" distL="0" distR="0" wp14:anchorId="20B75E97" wp14:editId="35B4924F">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6A32787E" w14:textId="77777777" w:rsidR="007607C4" w:rsidRPr="002F71EC" w:rsidRDefault="007607C4" w:rsidP="005404B7">
      <w:pPr>
        <w:tabs>
          <w:tab w:val="center" w:pos="5400"/>
        </w:tabs>
        <w:suppressAutoHyphens/>
        <w:jc w:val="center"/>
        <w:rPr>
          <w:rFonts w:asciiTheme="majorHAnsi" w:hAnsiTheme="majorHAnsi"/>
          <w:sz w:val="18"/>
          <w:szCs w:val="22"/>
        </w:rPr>
        <w:sectPr w:rsidR="007607C4" w:rsidRPr="002F71EC" w:rsidSect="00853419">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7F090129" w14:textId="10627A96" w:rsidR="00F628F3" w:rsidRPr="002F71EC" w:rsidRDefault="00F628F3" w:rsidP="005404B7">
      <w:pPr>
        <w:tabs>
          <w:tab w:val="center" w:pos="5400"/>
        </w:tabs>
        <w:suppressAutoHyphens/>
        <w:jc w:val="center"/>
        <w:rPr>
          <w:rFonts w:asciiTheme="majorHAnsi" w:hAnsiTheme="majorHAnsi"/>
          <w:b/>
          <w:sz w:val="18"/>
          <w:szCs w:val="18"/>
        </w:rPr>
      </w:pPr>
      <w:r w:rsidRPr="002F71EC">
        <w:rPr>
          <w:rFonts w:asciiTheme="majorHAnsi" w:hAnsiTheme="majorHAnsi"/>
          <w:b/>
          <w:sz w:val="18"/>
          <w:szCs w:val="18"/>
        </w:rPr>
        <w:lastRenderedPageBreak/>
        <w:t xml:space="preserve">REPORT No. </w:t>
      </w:r>
      <w:r w:rsidR="001E1F4D">
        <w:rPr>
          <w:rFonts w:asciiTheme="majorHAnsi" w:hAnsiTheme="majorHAnsi"/>
          <w:b/>
          <w:sz w:val="18"/>
          <w:szCs w:val="18"/>
        </w:rPr>
        <w:t>336</w:t>
      </w:r>
      <w:r w:rsidRPr="002F71EC">
        <w:rPr>
          <w:rFonts w:asciiTheme="majorHAnsi" w:hAnsiTheme="majorHAnsi"/>
          <w:b/>
          <w:sz w:val="18"/>
          <w:szCs w:val="18"/>
        </w:rPr>
        <w:t>/21</w:t>
      </w:r>
    </w:p>
    <w:p w14:paraId="177E84B9" w14:textId="00F9379D" w:rsidR="00F628F3" w:rsidRPr="002F71EC" w:rsidRDefault="00B7492C" w:rsidP="005404B7">
      <w:pPr>
        <w:tabs>
          <w:tab w:val="center" w:pos="5400"/>
        </w:tabs>
        <w:suppressAutoHyphens/>
        <w:jc w:val="center"/>
        <w:rPr>
          <w:rFonts w:asciiTheme="majorHAnsi" w:hAnsiTheme="majorHAnsi"/>
          <w:b/>
          <w:sz w:val="18"/>
          <w:szCs w:val="18"/>
        </w:rPr>
      </w:pPr>
      <w:r>
        <w:rPr>
          <w:rFonts w:asciiTheme="majorHAnsi" w:hAnsiTheme="majorHAnsi"/>
          <w:b/>
          <w:sz w:val="18"/>
          <w:szCs w:val="18"/>
        </w:rPr>
        <w:t>CASE</w:t>
      </w:r>
      <w:r w:rsidR="00F628F3" w:rsidRPr="002F71EC">
        <w:rPr>
          <w:rFonts w:asciiTheme="majorHAnsi" w:hAnsiTheme="majorHAnsi"/>
          <w:b/>
          <w:sz w:val="18"/>
          <w:szCs w:val="18"/>
        </w:rPr>
        <w:t xml:space="preserve"> 13.571</w:t>
      </w:r>
    </w:p>
    <w:p w14:paraId="6BB66660" w14:textId="77777777" w:rsidR="00F628F3" w:rsidRPr="002F71EC" w:rsidRDefault="00F628F3" w:rsidP="005404B7">
      <w:pPr>
        <w:tabs>
          <w:tab w:val="center" w:pos="5400"/>
        </w:tabs>
        <w:suppressAutoHyphens/>
        <w:jc w:val="center"/>
        <w:rPr>
          <w:rFonts w:asciiTheme="majorHAnsi" w:hAnsiTheme="majorHAnsi"/>
          <w:sz w:val="18"/>
          <w:szCs w:val="18"/>
        </w:rPr>
      </w:pPr>
      <w:r w:rsidRPr="002F71EC">
        <w:rPr>
          <w:rFonts w:asciiTheme="majorHAnsi" w:hAnsiTheme="majorHAnsi"/>
          <w:sz w:val="18"/>
          <w:szCs w:val="18"/>
        </w:rPr>
        <w:t>FRIENDLY SETTLEMENT REPORT</w:t>
      </w:r>
    </w:p>
    <w:p w14:paraId="4F82616B" w14:textId="77777777" w:rsidR="00F628F3" w:rsidRPr="00D92D84" w:rsidRDefault="00F628F3" w:rsidP="005404B7">
      <w:pPr>
        <w:jc w:val="center"/>
        <w:rPr>
          <w:rFonts w:ascii="Cambria" w:hAnsi="Cambria" w:cstheme="minorHAnsi"/>
          <w:sz w:val="18"/>
          <w:szCs w:val="18"/>
          <w:lang w:val="es-US" w:eastAsia="es-ES"/>
        </w:rPr>
      </w:pPr>
      <w:r w:rsidRPr="00D92D84">
        <w:rPr>
          <w:rFonts w:ascii="Cambria" w:hAnsi="Cambria" w:cstheme="minorHAnsi"/>
          <w:sz w:val="18"/>
          <w:szCs w:val="18"/>
          <w:lang w:val="es-US" w:eastAsia="es-ES"/>
        </w:rPr>
        <w:t>CARLOS MARIO MUÑOZ GÓMEZ</w:t>
      </w:r>
    </w:p>
    <w:p w14:paraId="57E0191E" w14:textId="77777777" w:rsidR="00F628F3" w:rsidRPr="005357BF" w:rsidRDefault="00F628F3" w:rsidP="005404B7">
      <w:pPr>
        <w:tabs>
          <w:tab w:val="center" w:pos="5400"/>
        </w:tabs>
        <w:suppressAutoHyphens/>
        <w:jc w:val="center"/>
        <w:rPr>
          <w:rFonts w:asciiTheme="majorHAnsi" w:hAnsiTheme="majorHAnsi"/>
          <w:sz w:val="18"/>
          <w:szCs w:val="18"/>
          <w:lang w:val="es-CO"/>
        </w:rPr>
      </w:pPr>
      <w:r w:rsidRPr="005357BF">
        <w:rPr>
          <w:rFonts w:asciiTheme="majorHAnsi" w:hAnsiTheme="majorHAnsi"/>
          <w:sz w:val="18"/>
          <w:szCs w:val="18"/>
          <w:lang w:val="es-CO"/>
        </w:rPr>
        <w:t>COLOMBIA</w:t>
      </w:r>
    </w:p>
    <w:p w14:paraId="4B30662B" w14:textId="74ACA85A" w:rsidR="00F628F3" w:rsidRPr="005357BF" w:rsidRDefault="00F0619F" w:rsidP="005404B7">
      <w:pPr>
        <w:tabs>
          <w:tab w:val="center" w:pos="5400"/>
        </w:tabs>
        <w:suppressAutoHyphens/>
        <w:jc w:val="center"/>
        <w:rPr>
          <w:rFonts w:asciiTheme="majorHAnsi" w:hAnsiTheme="majorHAnsi"/>
          <w:sz w:val="18"/>
          <w:szCs w:val="18"/>
          <w:lang w:val="es-CO"/>
        </w:rPr>
      </w:pPr>
      <w:r>
        <w:rPr>
          <w:rFonts w:asciiTheme="majorHAnsi" w:hAnsiTheme="majorHAnsi"/>
          <w:sz w:val="18"/>
          <w:szCs w:val="18"/>
          <w:lang w:val="es-CO"/>
        </w:rPr>
        <w:t>NOVEMBER 22</w:t>
      </w:r>
      <w:r w:rsidRPr="005357BF">
        <w:rPr>
          <w:rFonts w:asciiTheme="majorHAnsi" w:hAnsiTheme="majorHAnsi"/>
          <w:sz w:val="18"/>
          <w:szCs w:val="18"/>
          <w:lang w:val="es-CO"/>
        </w:rPr>
        <w:t>, 2021</w:t>
      </w:r>
    </w:p>
    <w:p w14:paraId="1ACC6A66" w14:textId="77777777" w:rsidR="00F628F3" w:rsidRPr="005357BF" w:rsidRDefault="00F628F3" w:rsidP="005404B7">
      <w:pPr>
        <w:tabs>
          <w:tab w:val="center" w:pos="5400"/>
        </w:tabs>
        <w:suppressAutoHyphens/>
        <w:ind w:left="851" w:hanging="709"/>
        <w:jc w:val="center"/>
        <w:rPr>
          <w:rFonts w:asciiTheme="majorHAnsi" w:hAnsiTheme="majorHAnsi"/>
          <w:sz w:val="22"/>
          <w:szCs w:val="22"/>
          <w:lang w:val="es-CO"/>
        </w:rPr>
      </w:pPr>
    </w:p>
    <w:p w14:paraId="2F1A7850" w14:textId="77777777" w:rsidR="00F628F3" w:rsidRPr="005357BF" w:rsidRDefault="00F628F3" w:rsidP="005404B7">
      <w:pPr>
        <w:tabs>
          <w:tab w:val="center" w:pos="5400"/>
        </w:tabs>
        <w:suppressAutoHyphens/>
        <w:ind w:firstLine="720"/>
        <w:jc w:val="center"/>
        <w:rPr>
          <w:rFonts w:asciiTheme="majorHAnsi" w:hAnsiTheme="majorHAnsi"/>
          <w:sz w:val="20"/>
          <w:szCs w:val="20"/>
          <w:lang w:val="es-CO"/>
        </w:rPr>
      </w:pPr>
    </w:p>
    <w:p w14:paraId="2FAFF8BB" w14:textId="1305B056" w:rsidR="00F628F3" w:rsidRPr="002F71EC" w:rsidRDefault="00F628F3" w:rsidP="00126ED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right="90" w:firstLine="720"/>
        <w:contextualSpacing/>
        <w:jc w:val="both"/>
        <w:rPr>
          <w:rFonts w:eastAsia="Times New Roman" w:cstheme="minorHAnsi"/>
          <w:color w:val="000000" w:themeColor="text1"/>
          <w:sz w:val="20"/>
          <w:szCs w:val="20"/>
        </w:rPr>
      </w:pPr>
      <w:r w:rsidRPr="002F71EC">
        <w:rPr>
          <w:b/>
          <w:sz w:val="20"/>
          <w:szCs w:val="20"/>
        </w:rPr>
        <w:t xml:space="preserve">SUMMARY </w:t>
      </w:r>
      <w:r w:rsidRPr="002F71EC">
        <w:rPr>
          <w:b/>
          <w:bCs/>
          <w:sz w:val="20"/>
          <w:szCs w:val="20"/>
        </w:rPr>
        <w:t>AND RELEVANT PROCEEDINGS OF THE FRIENDLY SETTLEMENT PROCESS</w:t>
      </w:r>
    </w:p>
    <w:p w14:paraId="5C4A8CA3" w14:textId="77777777" w:rsidR="00F628F3" w:rsidRPr="002F71EC" w:rsidRDefault="00F628F3" w:rsidP="005404B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720"/>
        <w:contextualSpacing/>
        <w:jc w:val="both"/>
        <w:rPr>
          <w:rFonts w:eastAsia="Times New Roman" w:cstheme="minorHAnsi"/>
          <w:color w:val="000000" w:themeColor="text1"/>
          <w:sz w:val="20"/>
          <w:szCs w:val="20"/>
        </w:rPr>
      </w:pPr>
    </w:p>
    <w:p w14:paraId="0CE5F36E" w14:textId="77777777" w:rsidR="00F628F3" w:rsidRPr="002F71EC" w:rsidRDefault="00F628F3" w:rsidP="005404B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720"/>
        <w:jc w:val="both"/>
        <w:rPr>
          <w:rFonts w:ascii="Cambria" w:eastAsia="Times New Roman" w:hAnsi="Cambria" w:cstheme="minorHAnsi"/>
          <w:color w:val="000000" w:themeColor="text1"/>
          <w:sz w:val="20"/>
          <w:szCs w:val="20"/>
        </w:rPr>
      </w:pPr>
      <w:r w:rsidRPr="002F71EC">
        <w:rPr>
          <w:rFonts w:ascii="Cambria" w:eastAsia="Times New Roman" w:hAnsi="Cambria" w:cstheme="minorHAnsi"/>
          <w:color w:val="000000" w:themeColor="text1"/>
          <w:sz w:val="20"/>
          <w:szCs w:val="20"/>
        </w:rPr>
        <w:t>On November 4, 2010, the Inter-American Commission on Human Rights (hereinafter “Commission”, “Inter-American Commission” or “IACHR”), received a petition presented by Oscar Darío Villegas Posada, (hereinafter “the petitioner” or “the petitioner party”), in which the international responsibility of the Republic of Colombia (hereinafter “Colombia” or “the Colombian State”) was alleged for the violation of the rights enshrined in Articles 4 (life), 5 (humane treatment), 7 (personal liberty), 8 (fair trial), 11 (privacy), 22 (freedom of movement and residence) and 25 (judicial protection) of the American Convention, as well as of Articles I, XI, and XVIII enshrined in the American Declaration of the Rights and Duties of Man, to the detriment of Mr. Carlos Mario Muñoz Gómez. The foregoing due to the arrest, disappearance and subsequent extrajudicial execution of Mr. Carlos Mario Muñoz Gómez by members of the National Police, as well as the lack of expediency in the investigations of these events and the lack of comprehensive reparation to the next of kin of Mr. Muñoz Gómez.</w:t>
      </w:r>
    </w:p>
    <w:p w14:paraId="6CB8801A"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7D1747AC" w14:textId="77777777" w:rsidR="00F628F3" w:rsidRPr="002F71EC" w:rsidRDefault="00F628F3" w:rsidP="005404B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2F71EC">
        <w:rPr>
          <w:rFonts w:ascii="Cambria" w:eastAsia="Times New Roman" w:hAnsi="Cambria" w:cstheme="minorHAnsi"/>
          <w:color w:val="000000" w:themeColor="text1"/>
          <w:sz w:val="20"/>
          <w:szCs w:val="20"/>
        </w:rPr>
        <w:t>On October 18, 2016, the Commission notified the parties of the decision to defer the treatment of the admissibility of the case until the analysis on the merits of the case, in accordance with Article 36 (3) of its Rules of Procedure and the Resolution 1/16 on measures to reduce procedural backlog.</w:t>
      </w:r>
    </w:p>
    <w:p w14:paraId="012596C9"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1A1655E5" w14:textId="796A0647" w:rsidR="00F628F3" w:rsidRPr="002F71EC" w:rsidRDefault="00F628F3" w:rsidP="005404B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2F71EC">
        <w:rPr>
          <w:rFonts w:ascii="Cambria" w:eastAsia="Times New Roman" w:hAnsi="Cambria" w:cstheme="minorHAnsi"/>
          <w:color w:val="000000" w:themeColor="text1"/>
          <w:sz w:val="20"/>
          <w:szCs w:val="20"/>
        </w:rPr>
        <w:t xml:space="preserve">On July 23, 2019, the parties met in the city of Bogota, and signed a memorandum of understanding, by means of which they committed to starting a friendly settlement process and to working through joint meetings to build the formulas for the friendly </w:t>
      </w:r>
      <w:r w:rsidR="002F71EC">
        <w:rPr>
          <w:rFonts w:ascii="Cambria" w:eastAsia="Times New Roman" w:hAnsi="Cambria" w:cstheme="minorHAnsi"/>
          <w:color w:val="000000" w:themeColor="text1"/>
          <w:sz w:val="20"/>
          <w:szCs w:val="20"/>
        </w:rPr>
        <w:t>settlement</w:t>
      </w:r>
      <w:r w:rsidRPr="002F71EC">
        <w:rPr>
          <w:rFonts w:ascii="Cambria" w:eastAsia="Times New Roman" w:hAnsi="Cambria" w:cstheme="minorHAnsi"/>
          <w:color w:val="000000" w:themeColor="text1"/>
          <w:sz w:val="20"/>
          <w:szCs w:val="20"/>
        </w:rPr>
        <w:t>. Subsequently, on August 2, 2019, the parties jointly informed the Commission of their willingness to initiate a friendly settlement procedure and presented a work schedule to advance in this way.</w:t>
      </w:r>
    </w:p>
    <w:p w14:paraId="65E9E07F"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58565737" w14:textId="77777777" w:rsidR="00F628F3" w:rsidRPr="002F71EC" w:rsidRDefault="00F628F3" w:rsidP="005404B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2F71EC">
        <w:rPr>
          <w:rFonts w:ascii="Cambria" w:eastAsia="Times New Roman" w:hAnsi="Cambria" w:cstheme="minorHAnsi"/>
          <w:color w:val="000000" w:themeColor="text1"/>
          <w:sz w:val="20"/>
          <w:szCs w:val="20"/>
        </w:rPr>
        <w:t>On March 4, 2021, the parties signed a friendly settlement agreement in the city of Bogota, DC, and subsequently, on July 13, 2021, the parties submitted a joint report to the Commission, regarding progress in compliance with the friendly settlement agreement and jointly requested its approval.</w:t>
      </w:r>
    </w:p>
    <w:p w14:paraId="035CD0DF"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1AC5A01B" w14:textId="77777777" w:rsidR="00F628F3" w:rsidRPr="002F71EC" w:rsidRDefault="00F628F3" w:rsidP="005404B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2F71EC">
        <w:rPr>
          <w:rFonts w:ascii="Cambria" w:eastAsia="Times New Roman" w:hAnsi="Cambria" w:cstheme="minorHAnsi"/>
          <w:color w:val="000000" w:themeColor="text1"/>
          <w:sz w:val="20"/>
          <w:szCs w:val="20"/>
        </w:rPr>
        <w:t>In this friendly settlement report, as established in Article 49 of the Convention and in Article 40.5 of the Rules of Procedure of the IACHR, a review is made of the facts alleged by the petitioners and the friendly settlement agreement signed on March 4, 2021 by the petitioner party and the representatives of the state of Colombia is transcribed. Likewise, the agreement signed between the parties is approved and the publication of this report in the Annual Report of the IACHR to the General Assembly of the Organization of American States is agreed upon.</w:t>
      </w:r>
    </w:p>
    <w:p w14:paraId="38506B03"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rPr>
      </w:pPr>
    </w:p>
    <w:p w14:paraId="0026251D" w14:textId="7402C924" w:rsidR="00F628F3" w:rsidRPr="002F71EC" w:rsidRDefault="00F628F3" w:rsidP="005404B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rPr>
      </w:pPr>
      <w:r w:rsidRPr="002F71EC">
        <w:rPr>
          <w:b/>
          <w:sz w:val="20"/>
          <w:szCs w:val="20"/>
        </w:rPr>
        <w:t>THE FACTS ALLEGED</w:t>
      </w:r>
    </w:p>
    <w:p w14:paraId="526A86E7"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Cambria" w:eastAsia="Times New Roman" w:hAnsi="Cambria" w:cstheme="minorHAnsi"/>
          <w:color w:val="000000" w:themeColor="text1"/>
          <w:sz w:val="20"/>
          <w:szCs w:val="20"/>
        </w:rPr>
      </w:pPr>
    </w:p>
    <w:p w14:paraId="5BC61CB1" w14:textId="77777777" w:rsidR="00F628F3" w:rsidRPr="002F71EC" w:rsidRDefault="00F628F3" w:rsidP="005404B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2F71EC">
        <w:rPr>
          <w:rFonts w:ascii="Cambria" w:eastAsia="Times New Roman" w:hAnsi="Cambria" w:cstheme="minorHAnsi"/>
          <w:color w:val="000000" w:themeColor="text1"/>
          <w:sz w:val="20"/>
          <w:szCs w:val="20"/>
        </w:rPr>
        <w:t>According to the petitioners' allegations, on October 29, 1990, in the Municipality of Puerto Boyacá, Carlos Mario Muñoz Gómez and his companion, Jorge Alberto Restrepo Correa, were intercepted by two agents of the National Police, who took them to the Puerto Boyacá Municipality Police Station or Command, where they were held for investigation without a court order and where they were last seen. According to the petitioners' allegations, at the time of their arrest Messrs. Muñoz Gómez and Restrepo Correa were travelling in a vehicle owned by Mr. Muñoz Gómez, which was allegedly confiscated.</w:t>
      </w:r>
    </w:p>
    <w:p w14:paraId="5A47932F"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Cambria" w:eastAsia="Times New Roman" w:hAnsi="Cambria" w:cstheme="minorHAnsi"/>
          <w:color w:val="000000" w:themeColor="text1"/>
          <w:sz w:val="20"/>
          <w:szCs w:val="20"/>
        </w:rPr>
      </w:pPr>
    </w:p>
    <w:p w14:paraId="06E64699" w14:textId="734EAFF8" w:rsidR="00F628F3" w:rsidRPr="002F71EC" w:rsidRDefault="00F628F3" w:rsidP="005404B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2F71EC">
        <w:rPr>
          <w:rFonts w:ascii="Cambria" w:eastAsia="Times New Roman" w:hAnsi="Cambria" w:cstheme="minorHAnsi"/>
          <w:color w:val="000000" w:themeColor="text1"/>
          <w:sz w:val="20"/>
          <w:szCs w:val="20"/>
        </w:rPr>
        <w:t xml:space="preserve">As indicated by the petitioners, Mr. Carlos Mario Muñoz Gómez commercialized the products of his lithography company throughout the national territory, for which he had to travel to various municipalities and, more frequently, to the municipalities of the Magdalena Medio, the place where the events </w:t>
      </w:r>
      <w:r w:rsidRPr="002F71EC">
        <w:rPr>
          <w:rFonts w:ascii="Cambria" w:eastAsia="Times New Roman" w:hAnsi="Cambria" w:cstheme="minorHAnsi"/>
          <w:color w:val="000000" w:themeColor="text1"/>
          <w:sz w:val="20"/>
          <w:szCs w:val="20"/>
        </w:rPr>
        <w:lastRenderedPageBreak/>
        <w:t xml:space="preserve">would have occurred. His relatives, having no news of his whereabouts, went to the Magdalena Medio area, where they learned of the arrest of Mr. Muñoz Gómez who was with  Mr. Jorge Restrepo in the municipality of Puerto Boyacá. However, they would not have been able to locate the whereabouts of his relative. Likewise, the petitioners indicated that during the search for Mr. Muñoz Gómez, members of the National Police of the municipality of San Luis, Antioquia, gave the vehicle in which Mr. Muñoz Gómez and his companion were travelling at the time of their arrest on October 29, </w:t>
      </w:r>
      <w:r w:rsidR="002F71EC" w:rsidRPr="002F71EC">
        <w:rPr>
          <w:rFonts w:ascii="Cambria" w:eastAsia="Times New Roman" w:hAnsi="Cambria" w:cstheme="minorHAnsi"/>
          <w:color w:val="000000" w:themeColor="text1"/>
          <w:sz w:val="20"/>
          <w:szCs w:val="20"/>
        </w:rPr>
        <w:t>1990,</w:t>
      </w:r>
      <w:r w:rsidRPr="002F71EC">
        <w:rPr>
          <w:rFonts w:ascii="Cambria" w:eastAsia="Times New Roman" w:hAnsi="Cambria" w:cstheme="minorHAnsi"/>
          <w:color w:val="000000" w:themeColor="text1"/>
          <w:sz w:val="20"/>
          <w:szCs w:val="20"/>
        </w:rPr>
        <w:t xml:space="preserve"> to their relatives, without providing any information on the whereabouts of Messrs. Muñoz Gómez and Jorge Restrepo or the reasons for their arrest.</w:t>
      </w:r>
    </w:p>
    <w:p w14:paraId="4B2F0ADD"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Cambria" w:eastAsia="Times New Roman" w:hAnsi="Cambria" w:cstheme="minorHAnsi"/>
          <w:color w:val="000000" w:themeColor="text1"/>
          <w:sz w:val="20"/>
          <w:szCs w:val="20"/>
        </w:rPr>
      </w:pPr>
    </w:p>
    <w:p w14:paraId="66C08B5C" w14:textId="77777777" w:rsidR="00F628F3" w:rsidRPr="002F71EC" w:rsidRDefault="00F628F3" w:rsidP="005404B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2F71EC">
        <w:rPr>
          <w:rFonts w:ascii="Cambria" w:eastAsia="Times New Roman" w:hAnsi="Cambria" w:cstheme="minorHAnsi"/>
          <w:color w:val="000000" w:themeColor="text1"/>
          <w:sz w:val="20"/>
          <w:szCs w:val="20"/>
        </w:rPr>
        <w:t>Regarding the disciplinary investigations, on October 4, 1993, the Office of the Delegate Attorney for the Defense of Human Rights confirmed its own decision adopted by resolution No. 014 of 1993, in which it decided to sanction Mr. Ruperto Gallego Muñoz, an agent of the Puerto Boyacá National Police, with a request for dismissal (absolute separation from office) for having been found responsible for the events surrounding the death of Mr. Carlos Mario Muñoz Gómez.</w:t>
      </w:r>
    </w:p>
    <w:p w14:paraId="03AF48C7"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Cambria" w:eastAsia="Times New Roman" w:hAnsi="Cambria" w:cstheme="minorHAnsi"/>
          <w:color w:val="000000" w:themeColor="text1"/>
          <w:sz w:val="20"/>
          <w:szCs w:val="20"/>
        </w:rPr>
      </w:pPr>
    </w:p>
    <w:p w14:paraId="7687B389" w14:textId="46EDB36E" w:rsidR="00F628F3" w:rsidRPr="002F71EC" w:rsidRDefault="00F628F3" w:rsidP="005404B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2F71EC">
        <w:rPr>
          <w:rFonts w:ascii="Cambria" w:eastAsia="Times New Roman" w:hAnsi="Cambria" w:cstheme="minorHAnsi"/>
          <w:color w:val="000000" w:themeColor="text1"/>
          <w:sz w:val="20"/>
          <w:szCs w:val="20"/>
        </w:rPr>
        <w:t xml:space="preserve">On November 15, 1994, the Second Multiple jurisdiction Family Court of Bello, Antioquia, declared the presumed death of Mr. Carlos Mario Muñoz Gómez, a decision that was confirmed on June 6, </w:t>
      </w:r>
      <w:r w:rsidR="00B4126F" w:rsidRPr="002F71EC">
        <w:rPr>
          <w:rFonts w:ascii="Cambria" w:eastAsia="Times New Roman" w:hAnsi="Cambria" w:cstheme="minorHAnsi"/>
          <w:color w:val="000000" w:themeColor="text1"/>
          <w:sz w:val="20"/>
          <w:szCs w:val="20"/>
        </w:rPr>
        <w:t>1995,</w:t>
      </w:r>
      <w:r w:rsidRPr="002F71EC">
        <w:rPr>
          <w:rFonts w:ascii="Cambria" w:eastAsia="Times New Roman" w:hAnsi="Cambria" w:cstheme="minorHAnsi"/>
          <w:color w:val="000000" w:themeColor="text1"/>
          <w:sz w:val="20"/>
          <w:szCs w:val="20"/>
        </w:rPr>
        <w:t xml:space="preserve"> by the Superior Court of Medellín, family chamber, which reached this instance by consultation. However, in the criminal sphere, the Office of the Attorney General of the Nation did not carry out any investigation to clarify the facts surrounding the forced disappearance and subsequent alleged death of Messrs. Carlos Mario Muñoz Gómez and Jorge Alberto Restrepo Correa.</w:t>
      </w:r>
    </w:p>
    <w:p w14:paraId="4EFF8648"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Cambria" w:eastAsia="Times New Roman" w:hAnsi="Cambria" w:cstheme="minorHAnsi"/>
          <w:color w:val="000000" w:themeColor="text1"/>
          <w:sz w:val="20"/>
          <w:szCs w:val="20"/>
        </w:rPr>
      </w:pPr>
    </w:p>
    <w:p w14:paraId="3BCF4735" w14:textId="2BF1B7A5" w:rsidR="00F628F3" w:rsidRPr="002F71EC" w:rsidRDefault="00F628F3" w:rsidP="005404B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2F71EC">
        <w:rPr>
          <w:rFonts w:ascii="Cambria" w:eastAsia="Times New Roman" w:hAnsi="Cambria" w:cstheme="minorHAnsi"/>
          <w:color w:val="000000" w:themeColor="text1"/>
          <w:sz w:val="20"/>
          <w:szCs w:val="20"/>
        </w:rPr>
        <w:t xml:space="preserve">On February 3, 2009, the Eighth Decision Chamber of the Administrative Court of Antioquia, issued a judgment declaring the responsibility of the State (Ministry of Defense and National Police) for the forced disappearance of Carlos Mario Muñoz Gómez. Said decision would have been contested by the plaintiffs on </w:t>
      </w:r>
      <w:r w:rsidR="001E1F4D" w:rsidRPr="002F71EC">
        <w:rPr>
          <w:rFonts w:ascii="Cambria" w:eastAsia="Times New Roman" w:hAnsi="Cambria" w:cstheme="minorHAnsi"/>
          <w:color w:val="000000" w:themeColor="text1"/>
          <w:sz w:val="20"/>
          <w:szCs w:val="20"/>
        </w:rPr>
        <w:t>February 20, 2009 and</w:t>
      </w:r>
      <w:r w:rsidRPr="002F71EC">
        <w:rPr>
          <w:rFonts w:ascii="Cambria" w:eastAsia="Times New Roman" w:hAnsi="Cambria" w:cstheme="minorHAnsi"/>
          <w:color w:val="000000" w:themeColor="text1"/>
          <w:sz w:val="20"/>
          <w:szCs w:val="20"/>
        </w:rPr>
        <w:t xml:space="preserve"> would have been pending a ruling since December 3, 2018.</w:t>
      </w:r>
    </w:p>
    <w:p w14:paraId="19EB87EF" w14:textId="77777777" w:rsidR="00F628F3" w:rsidRPr="002F71EC" w:rsidRDefault="00F628F3" w:rsidP="005404B7">
      <w:pPr>
        <w:tabs>
          <w:tab w:val="center" w:pos="720"/>
        </w:tabs>
        <w:suppressAutoHyphens/>
        <w:ind w:firstLine="720"/>
        <w:jc w:val="both"/>
        <w:rPr>
          <w:rFonts w:ascii="Cambria" w:hAnsi="Cambria"/>
          <w:b/>
          <w:sz w:val="20"/>
          <w:szCs w:val="20"/>
        </w:rPr>
      </w:pPr>
    </w:p>
    <w:p w14:paraId="7BCAA0D4" w14:textId="77777777" w:rsidR="00F628F3" w:rsidRPr="002F71EC" w:rsidRDefault="00F628F3" w:rsidP="005404B7">
      <w:pPr>
        <w:tabs>
          <w:tab w:val="center" w:pos="720"/>
        </w:tabs>
        <w:suppressAutoHyphens/>
        <w:ind w:firstLine="720"/>
        <w:jc w:val="both"/>
        <w:rPr>
          <w:rFonts w:ascii="Cambria" w:hAnsi="Cambria"/>
          <w:b/>
          <w:sz w:val="20"/>
          <w:szCs w:val="20"/>
        </w:rPr>
      </w:pPr>
      <w:r w:rsidRPr="002F71EC">
        <w:rPr>
          <w:rFonts w:ascii="Cambria" w:hAnsi="Cambria"/>
          <w:b/>
          <w:sz w:val="20"/>
          <w:szCs w:val="20"/>
        </w:rPr>
        <w:t>III.          FRIENDLY SETTLEMENT</w:t>
      </w:r>
    </w:p>
    <w:p w14:paraId="2788F062" w14:textId="77777777" w:rsidR="00F628F3" w:rsidRPr="002F71EC" w:rsidRDefault="00F628F3" w:rsidP="005404B7">
      <w:pPr>
        <w:tabs>
          <w:tab w:val="center" w:pos="720"/>
        </w:tabs>
        <w:suppressAutoHyphens/>
        <w:ind w:firstLine="720"/>
        <w:jc w:val="both"/>
        <w:rPr>
          <w:rFonts w:ascii="Cambria" w:hAnsi="Cambria"/>
          <w:sz w:val="20"/>
          <w:szCs w:val="20"/>
        </w:rPr>
      </w:pPr>
    </w:p>
    <w:p w14:paraId="4B7AB3BF" w14:textId="698F25C8" w:rsidR="00F628F3" w:rsidRPr="002F71EC" w:rsidRDefault="00F628F3" w:rsidP="002F71EC">
      <w:pPr>
        <w:pStyle w:val="ListParagraph"/>
        <w:numPr>
          <w:ilvl w:val="0"/>
          <w:numId w:val="58"/>
        </w:numPr>
        <w:tabs>
          <w:tab w:val="center" w:pos="720"/>
        </w:tabs>
        <w:suppressAutoHyphens/>
        <w:ind w:left="0" w:firstLine="720"/>
        <w:jc w:val="both"/>
        <w:rPr>
          <w:sz w:val="20"/>
          <w:szCs w:val="20"/>
        </w:rPr>
      </w:pPr>
      <w:r w:rsidRPr="002F71EC">
        <w:rPr>
          <w:sz w:val="20"/>
          <w:szCs w:val="20"/>
        </w:rPr>
        <w:t>On March 4, 2021, the parties signed a friendly settlement agreement. The text of the friendly settlement agreement establishes the following:</w:t>
      </w:r>
    </w:p>
    <w:p w14:paraId="3D4E7F8D" w14:textId="77777777" w:rsidR="00F628F3" w:rsidRPr="002F71EC" w:rsidRDefault="00F628F3" w:rsidP="005404B7">
      <w:pPr>
        <w:tabs>
          <w:tab w:val="center" w:pos="720"/>
        </w:tabs>
        <w:suppressAutoHyphens/>
        <w:rPr>
          <w:rFonts w:ascii="Cambria" w:hAnsi="Cambria"/>
          <w:sz w:val="20"/>
          <w:szCs w:val="20"/>
        </w:rPr>
      </w:pPr>
    </w:p>
    <w:p w14:paraId="078023E9" w14:textId="7F175AA7" w:rsidR="00F628F3" w:rsidRPr="002F71EC" w:rsidRDefault="00F628F3" w:rsidP="005404B7">
      <w:pPr>
        <w:tabs>
          <w:tab w:val="center" w:pos="720"/>
        </w:tabs>
        <w:suppressAutoHyphens/>
        <w:ind w:left="720" w:right="720"/>
        <w:jc w:val="center"/>
        <w:rPr>
          <w:rFonts w:ascii="Cambria" w:hAnsi="Cambria"/>
          <w:b/>
          <w:sz w:val="20"/>
          <w:szCs w:val="20"/>
        </w:rPr>
      </w:pPr>
      <w:r w:rsidRPr="002F71EC">
        <w:rPr>
          <w:rFonts w:ascii="Cambria" w:hAnsi="Cambria"/>
          <w:b/>
          <w:sz w:val="20"/>
          <w:szCs w:val="20"/>
        </w:rPr>
        <w:t xml:space="preserve">FRIENDLY SETTLEMENT AGREEMENT </w:t>
      </w:r>
      <w:r w:rsidR="00B4126F">
        <w:rPr>
          <w:rFonts w:ascii="Cambria" w:hAnsi="Cambria"/>
          <w:b/>
          <w:sz w:val="20"/>
          <w:szCs w:val="20"/>
        </w:rPr>
        <w:t>CASE</w:t>
      </w:r>
      <w:r w:rsidRPr="002F71EC">
        <w:rPr>
          <w:rFonts w:ascii="Cambria" w:hAnsi="Cambria"/>
          <w:b/>
          <w:sz w:val="20"/>
          <w:szCs w:val="20"/>
        </w:rPr>
        <w:t xml:space="preserve"> 13.571</w:t>
      </w:r>
    </w:p>
    <w:p w14:paraId="59EE5365" w14:textId="77777777" w:rsidR="00F628F3" w:rsidRPr="002F71EC" w:rsidRDefault="00F628F3" w:rsidP="005404B7">
      <w:pPr>
        <w:tabs>
          <w:tab w:val="center" w:pos="720"/>
        </w:tabs>
        <w:suppressAutoHyphens/>
        <w:ind w:left="720" w:right="720"/>
        <w:jc w:val="center"/>
        <w:rPr>
          <w:rFonts w:ascii="Cambria" w:hAnsi="Cambria"/>
          <w:b/>
          <w:sz w:val="20"/>
          <w:szCs w:val="20"/>
        </w:rPr>
      </w:pPr>
      <w:r w:rsidRPr="002F71EC">
        <w:rPr>
          <w:rFonts w:ascii="Cambria" w:hAnsi="Cambria"/>
          <w:b/>
          <w:sz w:val="20"/>
          <w:szCs w:val="20"/>
        </w:rPr>
        <w:t>CARLOS MARIO MUÑOZ GÓMEZ AND OTHERS</w:t>
      </w:r>
    </w:p>
    <w:p w14:paraId="27023AE9" w14:textId="77777777" w:rsidR="00F628F3" w:rsidRPr="002F71EC" w:rsidRDefault="00F628F3" w:rsidP="005404B7">
      <w:pPr>
        <w:tabs>
          <w:tab w:val="center" w:pos="720"/>
        </w:tabs>
        <w:suppressAutoHyphens/>
        <w:ind w:left="720" w:right="720"/>
        <w:jc w:val="center"/>
        <w:rPr>
          <w:rFonts w:ascii="Cambria" w:hAnsi="Cambria"/>
          <w:b/>
          <w:sz w:val="20"/>
          <w:szCs w:val="20"/>
        </w:rPr>
      </w:pPr>
    </w:p>
    <w:p w14:paraId="1B9AC1BB" w14:textId="77777777" w:rsidR="00F628F3" w:rsidRPr="002F71EC" w:rsidRDefault="00F628F3" w:rsidP="005404B7">
      <w:pPr>
        <w:tabs>
          <w:tab w:val="center" w:pos="720"/>
        </w:tabs>
        <w:suppressAutoHyphens/>
        <w:ind w:left="720" w:right="720"/>
        <w:jc w:val="both"/>
        <w:rPr>
          <w:rFonts w:ascii="Cambria" w:hAnsi="Cambria" w:cstheme="minorHAnsi"/>
          <w:sz w:val="20"/>
          <w:szCs w:val="20"/>
        </w:rPr>
      </w:pPr>
      <w:r w:rsidRPr="002F71EC">
        <w:rPr>
          <w:rFonts w:ascii="Cambria" w:hAnsi="Cambria" w:cstheme="minorHAnsi"/>
          <w:sz w:val="20"/>
          <w:szCs w:val="20"/>
        </w:rPr>
        <w:t>On March 4, 2021 in the city of Bogota DC, Ana María Ordóñez Puentes, Director of International Legal Defense of the National Agency for Legal Defense of the State, who acts on behalf of the Colombian State, and who hereinafter will be called “Colombian State”, and on the other hand, the firm Villegas Associated Attorneys Arévalo, who acts as petitioner in this case, and who will be referred to as “the petitioner” hereinafter, sign this Friendly Settlement Agreement in case No. 13.571 Carlos Mario Muñoz Gómez and others, processed before the Inter-American Commission on Human Rights.</w:t>
      </w:r>
    </w:p>
    <w:p w14:paraId="1B06E88B" w14:textId="77777777" w:rsidR="00F628F3" w:rsidRPr="002F71EC" w:rsidRDefault="00F628F3" w:rsidP="005404B7">
      <w:pPr>
        <w:tabs>
          <w:tab w:val="center" w:pos="720"/>
        </w:tabs>
        <w:suppressAutoHyphens/>
        <w:ind w:left="720" w:right="1105"/>
        <w:jc w:val="both"/>
        <w:rPr>
          <w:rFonts w:ascii="Cambria" w:hAnsi="Cambria" w:cstheme="minorHAnsi"/>
          <w:sz w:val="20"/>
          <w:szCs w:val="20"/>
        </w:rPr>
      </w:pPr>
    </w:p>
    <w:p w14:paraId="7313EC84" w14:textId="77777777" w:rsidR="00F628F3" w:rsidRPr="002F71EC" w:rsidRDefault="00F628F3" w:rsidP="005404B7">
      <w:pPr>
        <w:tabs>
          <w:tab w:val="center" w:pos="720"/>
        </w:tabs>
        <w:suppressAutoHyphens/>
        <w:ind w:left="720" w:right="720"/>
        <w:jc w:val="both"/>
        <w:rPr>
          <w:rFonts w:ascii="Cambria" w:hAnsi="Cambria" w:cstheme="minorHAnsi"/>
          <w:b/>
          <w:bCs/>
          <w:sz w:val="20"/>
          <w:szCs w:val="20"/>
        </w:rPr>
      </w:pPr>
      <w:r w:rsidRPr="002F71EC">
        <w:rPr>
          <w:rFonts w:ascii="Cambria" w:hAnsi="Cambria" w:cstheme="minorHAnsi"/>
          <w:b/>
          <w:bCs/>
          <w:sz w:val="20"/>
          <w:szCs w:val="20"/>
        </w:rPr>
        <w:t>FIRST: CONCEPTS</w:t>
      </w:r>
    </w:p>
    <w:p w14:paraId="5E6583DB" w14:textId="77777777" w:rsidR="00F628F3" w:rsidRPr="002F71EC" w:rsidRDefault="00F628F3" w:rsidP="005404B7">
      <w:pPr>
        <w:tabs>
          <w:tab w:val="center" w:pos="720"/>
        </w:tabs>
        <w:suppressAutoHyphens/>
        <w:ind w:left="720" w:right="720"/>
        <w:jc w:val="both"/>
        <w:rPr>
          <w:rFonts w:ascii="Cambria" w:hAnsi="Cambria" w:cstheme="minorHAnsi"/>
          <w:b/>
          <w:bCs/>
          <w:sz w:val="20"/>
          <w:szCs w:val="20"/>
        </w:rPr>
      </w:pPr>
    </w:p>
    <w:p w14:paraId="778044CB" w14:textId="77777777" w:rsidR="00F628F3" w:rsidRPr="002F71EC" w:rsidRDefault="00F628F3" w:rsidP="005404B7">
      <w:pPr>
        <w:tabs>
          <w:tab w:val="center" w:pos="720"/>
        </w:tabs>
        <w:suppressAutoHyphens/>
        <w:ind w:left="720" w:right="720"/>
        <w:jc w:val="both"/>
        <w:rPr>
          <w:rFonts w:ascii="Cambria" w:hAnsi="Cambria" w:cstheme="minorHAnsi"/>
          <w:sz w:val="20"/>
          <w:szCs w:val="20"/>
        </w:rPr>
      </w:pPr>
      <w:r w:rsidRPr="002F71EC">
        <w:rPr>
          <w:rFonts w:ascii="Cambria" w:hAnsi="Cambria" w:cstheme="minorHAnsi"/>
          <w:sz w:val="20"/>
          <w:szCs w:val="20"/>
        </w:rPr>
        <w:t>For the purposes of this Agreement, it will be understood by:</w:t>
      </w:r>
    </w:p>
    <w:p w14:paraId="0EDC1097" w14:textId="77777777" w:rsidR="00F628F3" w:rsidRPr="002F71EC" w:rsidRDefault="00F628F3" w:rsidP="005404B7">
      <w:pPr>
        <w:tabs>
          <w:tab w:val="center" w:pos="720"/>
        </w:tabs>
        <w:suppressAutoHyphens/>
        <w:ind w:left="720" w:right="720"/>
        <w:jc w:val="both"/>
        <w:rPr>
          <w:rFonts w:ascii="Cambria" w:hAnsi="Cambria" w:cstheme="minorHAnsi"/>
          <w:b/>
          <w:bCs/>
          <w:sz w:val="20"/>
          <w:szCs w:val="20"/>
        </w:rPr>
      </w:pPr>
    </w:p>
    <w:p w14:paraId="2B75399D"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r w:rsidRPr="002F71EC">
        <w:rPr>
          <w:rFonts w:ascii="Cambria" w:eastAsia="Times New Roman" w:hAnsi="Cambria" w:cstheme="minorHAnsi"/>
          <w:b/>
          <w:bCs/>
          <w:color w:val="000000" w:themeColor="text1"/>
          <w:sz w:val="20"/>
          <w:szCs w:val="20"/>
        </w:rPr>
        <w:t>IACHR or Inter-American Commission:</w:t>
      </w:r>
      <w:r w:rsidRPr="002F71EC">
        <w:rPr>
          <w:rFonts w:ascii="Cambria" w:eastAsia="Times New Roman" w:hAnsi="Cambria" w:cstheme="minorHAnsi"/>
          <w:color w:val="000000" w:themeColor="text1"/>
          <w:sz w:val="20"/>
          <w:szCs w:val="20"/>
        </w:rPr>
        <w:t xml:space="preserve"> Inter-American Commission on Human Rights.</w:t>
      </w:r>
    </w:p>
    <w:p w14:paraId="4B2FFDD2"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p>
    <w:p w14:paraId="0B294D90"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r w:rsidRPr="002F71EC">
        <w:rPr>
          <w:rFonts w:ascii="Cambria" w:eastAsia="Times New Roman" w:hAnsi="Cambria" w:cstheme="minorHAnsi"/>
          <w:b/>
          <w:bCs/>
          <w:color w:val="000000" w:themeColor="text1"/>
          <w:sz w:val="20"/>
          <w:szCs w:val="20"/>
        </w:rPr>
        <w:t>Non-pecuniary damage:</w:t>
      </w:r>
      <w:r w:rsidRPr="002F71EC">
        <w:rPr>
          <w:rFonts w:ascii="Cambria" w:eastAsia="Times New Roman" w:hAnsi="Cambria" w:cstheme="minorHAnsi"/>
          <w:color w:val="000000" w:themeColor="text1"/>
          <w:sz w:val="20"/>
          <w:szCs w:val="20"/>
        </w:rPr>
        <w:t xml:space="preserve"> Harmful effects of the facts of the case that do not have an economic or patrimonial nature, which are manifested through the pain, affliction, sadness, anguish and anxiety of the victims.</w:t>
      </w:r>
    </w:p>
    <w:p w14:paraId="4A9152D8"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p>
    <w:p w14:paraId="442417E3"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r w:rsidRPr="002F71EC">
        <w:rPr>
          <w:rFonts w:ascii="Cambria" w:eastAsia="Times New Roman" w:hAnsi="Cambria" w:cstheme="minorHAnsi"/>
          <w:b/>
          <w:bCs/>
          <w:color w:val="000000" w:themeColor="text1"/>
          <w:sz w:val="20"/>
          <w:szCs w:val="20"/>
        </w:rPr>
        <w:t>State or Colombia:</w:t>
      </w:r>
      <w:r w:rsidRPr="002F71EC">
        <w:rPr>
          <w:rFonts w:ascii="Cambria" w:eastAsia="Times New Roman" w:hAnsi="Cambria" w:cstheme="minorHAnsi"/>
          <w:color w:val="000000" w:themeColor="text1"/>
          <w:sz w:val="20"/>
          <w:szCs w:val="20"/>
        </w:rPr>
        <w:t xml:space="preserve"> In accordance with Public International Law, it will be understood that it is the signatory of the American Convention on Human Rights (hereinafter “Convention” or “ACHR”); the Colombian State.</w:t>
      </w:r>
    </w:p>
    <w:p w14:paraId="37B53D20"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p>
    <w:p w14:paraId="3EF6D06A"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r w:rsidRPr="002F71EC">
        <w:rPr>
          <w:rFonts w:ascii="Cambria" w:eastAsia="Times New Roman" w:hAnsi="Cambria" w:cstheme="minorHAnsi"/>
          <w:b/>
          <w:bCs/>
          <w:color w:val="000000" w:themeColor="text1"/>
          <w:sz w:val="20"/>
          <w:szCs w:val="20"/>
        </w:rPr>
        <w:t>Measures of satisfaction:</w:t>
      </w:r>
      <w:r w:rsidRPr="002F71EC">
        <w:rPr>
          <w:rFonts w:ascii="Cambria" w:eastAsia="Times New Roman" w:hAnsi="Cambria" w:cstheme="minorHAnsi"/>
          <w:color w:val="000000" w:themeColor="text1"/>
          <w:sz w:val="20"/>
          <w:szCs w:val="20"/>
        </w:rPr>
        <w:t xml:space="preserve"> Non-pecuniary measures whose purpose is to seek the recovery of the victims of the damage that has been caused to them. Some examples of these types of measure are: public knowledge of the truth and acts of redress.</w:t>
      </w:r>
    </w:p>
    <w:p w14:paraId="1DA6398B"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p>
    <w:p w14:paraId="0CFA4478"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r w:rsidRPr="002F71EC">
        <w:rPr>
          <w:rFonts w:ascii="Cambria" w:eastAsia="Times New Roman" w:hAnsi="Cambria" w:cstheme="minorHAnsi"/>
          <w:b/>
          <w:bCs/>
          <w:color w:val="000000" w:themeColor="text1"/>
          <w:sz w:val="20"/>
          <w:szCs w:val="20"/>
        </w:rPr>
        <w:t>Parties:</w:t>
      </w:r>
      <w:r w:rsidRPr="002F71EC">
        <w:rPr>
          <w:rFonts w:ascii="Cambria" w:eastAsia="Times New Roman" w:hAnsi="Cambria" w:cstheme="minorHAnsi"/>
          <w:color w:val="000000" w:themeColor="text1"/>
          <w:sz w:val="20"/>
          <w:szCs w:val="20"/>
        </w:rPr>
        <w:t xml:space="preserve"> State of Colombia, next of kin of the victim, as well as the representatives of the victims.</w:t>
      </w:r>
    </w:p>
    <w:p w14:paraId="78216131"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p>
    <w:p w14:paraId="339A9E72"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r w:rsidRPr="002F71EC">
        <w:rPr>
          <w:rFonts w:ascii="Cambria" w:eastAsia="Times New Roman" w:hAnsi="Cambria" w:cstheme="minorHAnsi"/>
          <w:b/>
          <w:bCs/>
          <w:color w:val="000000" w:themeColor="text1"/>
          <w:sz w:val="20"/>
          <w:szCs w:val="20"/>
        </w:rPr>
        <w:t>Acknowledgment of responsibility:</w:t>
      </w:r>
      <w:r w:rsidRPr="002F71EC">
        <w:rPr>
          <w:rFonts w:ascii="Cambria" w:eastAsia="Times New Roman" w:hAnsi="Cambria" w:cstheme="minorHAnsi"/>
          <w:color w:val="000000" w:themeColor="text1"/>
          <w:sz w:val="20"/>
          <w:szCs w:val="20"/>
        </w:rPr>
        <w:t xml:space="preserve"> Acceptance of the facts and human rights violations attributed to the State.</w:t>
      </w:r>
    </w:p>
    <w:p w14:paraId="4DBD48D1"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p>
    <w:p w14:paraId="719F45C0"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r w:rsidRPr="002F71EC">
        <w:rPr>
          <w:rFonts w:ascii="Cambria" w:eastAsia="Times New Roman" w:hAnsi="Cambria" w:cstheme="minorHAnsi"/>
          <w:b/>
          <w:bCs/>
          <w:color w:val="000000" w:themeColor="text1"/>
          <w:sz w:val="20"/>
          <w:szCs w:val="20"/>
        </w:rPr>
        <w:t>Comprehensive reparation:</w:t>
      </w:r>
      <w:r w:rsidRPr="002F71EC">
        <w:rPr>
          <w:rFonts w:ascii="Cambria" w:eastAsia="Times New Roman" w:hAnsi="Cambria" w:cstheme="minorHAnsi"/>
          <w:color w:val="000000" w:themeColor="text1"/>
          <w:sz w:val="20"/>
          <w:szCs w:val="20"/>
        </w:rPr>
        <w:t xml:space="preserve"> All those measures that objectively and symbolically restore the victim to the previous state of the commission of the damage.</w:t>
      </w:r>
    </w:p>
    <w:p w14:paraId="0643D010"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p>
    <w:p w14:paraId="7291AC48"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r w:rsidRPr="002F71EC">
        <w:rPr>
          <w:rFonts w:ascii="Cambria" w:eastAsia="Times New Roman" w:hAnsi="Cambria" w:cstheme="minorHAnsi"/>
          <w:b/>
          <w:bCs/>
          <w:color w:val="000000" w:themeColor="text1"/>
          <w:sz w:val="20"/>
          <w:szCs w:val="20"/>
        </w:rPr>
        <w:t>Representatives of the victims:</w:t>
      </w:r>
      <w:r w:rsidRPr="002F71EC">
        <w:rPr>
          <w:rFonts w:ascii="Cambria" w:eastAsia="Times New Roman" w:hAnsi="Cambria" w:cstheme="minorHAnsi"/>
          <w:color w:val="000000" w:themeColor="text1"/>
          <w:sz w:val="20"/>
          <w:szCs w:val="20"/>
        </w:rPr>
        <w:t xml:space="preserve"> Villegas Abogados Asociados Firm, represented for these purposes by Dr. Sandra Villegas Arévalo.</w:t>
      </w:r>
    </w:p>
    <w:p w14:paraId="598B4861"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p>
    <w:p w14:paraId="4F64A5C0"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r w:rsidRPr="002F71EC">
        <w:rPr>
          <w:rFonts w:ascii="Cambria" w:eastAsia="Times New Roman" w:hAnsi="Cambria" w:cstheme="minorHAnsi"/>
          <w:b/>
          <w:bCs/>
          <w:color w:val="000000" w:themeColor="text1"/>
          <w:sz w:val="20"/>
          <w:szCs w:val="20"/>
        </w:rPr>
        <w:t>Friendly Settlement:</w:t>
      </w:r>
      <w:r w:rsidRPr="002F71EC">
        <w:rPr>
          <w:rFonts w:ascii="Cambria" w:eastAsia="Times New Roman" w:hAnsi="Cambria" w:cstheme="minorHAnsi"/>
          <w:color w:val="000000" w:themeColor="text1"/>
          <w:sz w:val="20"/>
          <w:szCs w:val="20"/>
        </w:rPr>
        <w:t xml:space="preserve"> Alternative conflict resolution mechanism, used for a peaceful settlement and agreed upon before the Inter-American Commission.</w:t>
      </w:r>
    </w:p>
    <w:p w14:paraId="6337A1E5"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p>
    <w:p w14:paraId="684AC4A7"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rPr>
      </w:pPr>
      <w:r w:rsidRPr="002F71EC">
        <w:rPr>
          <w:rFonts w:ascii="Cambria" w:eastAsia="Times New Roman" w:hAnsi="Cambria" w:cstheme="minorHAnsi"/>
          <w:b/>
          <w:bCs/>
          <w:color w:val="000000" w:themeColor="text1"/>
          <w:sz w:val="20"/>
          <w:szCs w:val="20"/>
        </w:rPr>
        <w:t>Victims:</w:t>
      </w:r>
      <w:r w:rsidRPr="002F71EC">
        <w:rPr>
          <w:rFonts w:ascii="Cambria" w:eastAsia="Times New Roman" w:hAnsi="Cambria" w:cstheme="minorHAnsi"/>
          <w:color w:val="000000" w:themeColor="text1"/>
          <w:sz w:val="20"/>
          <w:szCs w:val="20"/>
        </w:rPr>
        <w:t xml:space="preserve"> Family members of Mr. Carlos Mario Muñoz.</w:t>
      </w:r>
    </w:p>
    <w:p w14:paraId="17671B2E"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698A6563"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b/>
          <w:bCs/>
          <w:color w:val="000000" w:themeColor="text1"/>
          <w:sz w:val="20"/>
          <w:szCs w:val="20"/>
        </w:rPr>
      </w:pPr>
      <w:r w:rsidRPr="002F71EC">
        <w:rPr>
          <w:rFonts w:ascii="Cambria" w:eastAsia="Times New Roman" w:hAnsi="Cambria" w:cstheme="minorHAnsi"/>
          <w:b/>
          <w:bCs/>
          <w:color w:val="000000" w:themeColor="text1"/>
          <w:sz w:val="20"/>
          <w:szCs w:val="20"/>
        </w:rPr>
        <w:t>SECOND: BACKGROUND</w:t>
      </w:r>
    </w:p>
    <w:p w14:paraId="7D607136"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b/>
          <w:bCs/>
          <w:color w:val="000000" w:themeColor="text1"/>
          <w:sz w:val="20"/>
          <w:szCs w:val="20"/>
        </w:rPr>
      </w:pPr>
    </w:p>
    <w:p w14:paraId="77E4142F" w14:textId="406220F2" w:rsidR="00F628F3" w:rsidRPr="002F71EC" w:rsidRDefault="00F628F3" w:rsidP="005404B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firstLine="0"/>
        <w:jc w:val="both"/>
        <w:rPr>
          <w:rFonts w:eastAsia="Times New Roman" w:cstheme="minorHAnsi"/>
          <w:b/>
          <w:bCs/>
          <w:color w:val="000000" w:themeColor="text1"/>
          <w:sz w:val="20"/>
          <w:szCs w:val="20"/>
        </w:rPr>
      </w:pPr>
      <w:r w:rsidRPr="002F71EC">
        <w:rPr>
          <w:rFonts w:eastAsia="Times New Roman" w:cstheme="minorHAnsi"/>
          <w:b/>
          <w:bCs/>
          <w:color w:val="000000" w:themeColor="text1"/>
          <w:sz w:val="20"/>
          <w:szCs w:val="20"/>
        </w:rPr>
        <w:t>Before the Inter-American system of Human Rights</w:t>
      </w:r>
      <w:r w:rsidR="00B4126F">
        <w:rPr>
          <w:rFonts w:eastAsia="Times New Roman" w:cstheme="minorHAnsi"/>
          <w:b/>
          <w:bCs/>
          <w:color w:val="000000" w:themeColor="text1"/>
          <w:sz w:val="20"/>
          <w:szCs w:val="20"/>
        </w:rPr>
        <w:t>.</w:t>
      </w:r>
    </w:p>
    <w:p w14:paraId="03E73AC0"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b/>
          <w:bCs/>
          <w:color w:val="000000" w:themeColor="text1"/>
          <w:sz w:val="20"/>
          <w:szCs w:val="20"/>
        </w:rPr>
      </w:pPr>
    </w:p>
    <w:p w14:paraId="58C58BF9" w14:textId="77777777" w:rsidR="00F628F3" w:rsidRPr="002F71EC" w:rsidRDefault="00F628F3" w:rsidP="005404B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firstLine="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t>On November 4, 2010, the Inter-American Commission on Human Rights received an international complaint against the Colombian State, for the events that occurred on October 29, 1990, when Carlos Mario Muñoz Gómez and Jorge Alberto Restrepo Correa, who were engaged in the distribution of candy products in different sectors of the country, were intercepted by two agents of the National Police, who detained them leading to the investigation of the command of said institution. Their whereabouts remain unknown since that date.</w:t>
      </w:r>
    </w:p>
    <w:p w14:paraId="2D97C073" w14:textId="77777777" w:rsidR="00F628F3" w:rsidRPr="002F71EC" w:rsidRDefault="00F628F3" w:rsidP="005404B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720"/>
        <w:jc w:val="both"/>
        <w:rPr>
          <w:rFonts w:eastAsia="MS Mincho" w:cstheme="minorHAnsi"/>
          <w:color w:val="000000" w:themeColor="text1"/>
          <w:sz w:val="20"/>
          <w:szCs w:val="20"/>
          <w:bdr w:val="none" w:sz="0" w:space="0" w:color="auto" w:frame="1"/>
        </w:rPr>
      </w:pPr>
    </w:p>
    <w:p w14:paraId="31BED252" w14:textId="77777777" w:rsidR="00F628F3" w:rsidRPr="002F71EC" w:rsidRDefault="00F628F3" w:rsidP="005404B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firstLine="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t>By judgment of November 15, 1994, the Multiple Jurisdiction Court of the Municipality of Bello Antioquia declared the presumed death of Mr. Carlos Mario Muñoz Gómez.</w:t>
      </w:r>
    </w:p>
    <w:p w14:paraId="009765C4" w14:textId="77777777" w:rsidR="00F628F3" w:rsidRPr="002F71EC" w:rsidRDefault="00F628F3" w:rsidP="005404B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720"/>
        <w:jc w:val="both"/>
        <w:rPr>
          <w:rFonts w:eastAsia="MS Mincho" w:cstheme="minorHAnsi"/>
          <w:color w:val="000000" w:themeColor="text1"/>
          <w:sz w:val="20"/>
          <w:szCs w:val="20"/>
          <w:bdr w:val="none" w:sz="0" w:space="0" w:color="auto" w:frame="1"/>
        </w:rPr>
      </w:pPr>
    </w:p>
    <w:p w14:paraId="4B27B8BD" w14:textId="77777777" w:rsidR="00F628F3" w:rsidRPr="002F71EC" w:rsidRDefault="00F628F3" w:rsidP="005404B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firstLine="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t>By ruling of February 3, 2009, the Administrative Court of Antioquia declared the responsibility of the State - Ministry of Defense - National Police - for the forced disappearance of Carlos Mario Muñoz Gómez.</w:t>
      </w:r>
    </w:p>
    <w:p w14:paraId="4DE70EC4" w14:textId="77777777" w:rsidR="00F628F3" w:rsidRPr="002F71EC" w:rsidRDefault="00F628F3" w:rsidP="005404B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720"/>
        <w:jc w:val="both"/>
        <w:rPr>
          <w:rFonts w:eastAsia="MS Mincho" w:cstheme="minorHAnsi"/>
          <w:color w:val="000000" w:themeColor="text1"/>
          <w:sz w:val="20"/>
          <w:szCs w:val="20"/>
          <w:bdr w:val="none" w:sz="0" w:space="0" w:color="auto" w:frame="1"/>
        </w:rPr>
      </w:pPr>
    </w:p>
    <w:p w14:paraId="342E4DEB" w14:textId="306C93E7" w:rsidR="00F628F3" w:rsidRPr="002F71EC" w:rsidRDefault="00F628F3" w:rsidP="005404B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firstLine="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t xml:space="preserve">The plaintiffs challenged the decision on February 20, </w:t>
      </w:r>
      <w:r w:rsidR="00B4126F" w:rsidRPr="002F71EC">
        <w:rPr>
          <w:rFonts w:eastAsia="MS Mincho" w:cstheme="minorHAnsi"/>
          <w:color w:val="000000" w:themeColor="text1"/>
          <w:sz w:val="20"/>
          <w:szCs w:val="20"/>
          <w:bdr w:val="none" w:sz="0" w:space="0" w:color="auto" w:frame="1"/>
        </w:rPr>
        <w:t>2009,</w:t>
      </w:r>
      <w:r w:rsidRPr="002F71EC">
        <w:rPr>
          <w:rFonts w:eastAsia="MS Mincho" w:cstheme="minorHAnsi"/>
          <w:color w:val="000000" w:themeColor="text1"/>
          <w:sz w:val="20"/>
          <w:szCs w:val="20"/>
          <w:bdr w:val="none" w:sz="0" w:space="0" w:color="auto" w:frame="1"/>
        </w:rPr>
        <w:t xml:space="preserve"> before the State Council, and since December 3, 2018, the case has been pending a decision.</w:t>
      </w:r>
    </w:p>
    <w:p w14:paraId="6F700C9B" w14:textId="77777777" w:rsidR="00F628F3" w:rsidRPr="002F71EC" w:rsidRDefault="00F628F3" w:rsidP="005404B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720"/>
        <w:jc w:val="both"/>
        <w:rPr>
          <w:rFonts w:eastAsia="MS Mincho" w:cstheme="minorHAnsi"/>
          <w:color w:val="000000" w:themeColor="text1"/>
          <w:sz w:val="20"/>
          <w:szCs w:val="20"/>
          <w:bdr w:val="none" w:sz="0" w:space="0" w:color="auto" w:frame="1"/>
        </w:rPr>
      </w:pPr>
    </w:p>
    <w:p w14:paraId="38A08727" w14:textId="3290B096" w:rsidR="00F628F3" w:rsidRPr="002F71EC" w:rsidRDefault="00F628F3" w:rsidP="005404B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firstLine="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t>On April 19, 2018, the Inter-American Commission on Human Rights decided to apply Article 36.3 of its Rules of Procedure in accordance with its Resolution 1/19 [sic] on Measures to reduce the procedural delay and jointly decided the admissibility and merits of this matter [sic].</w:t>
      </w:r>
      <w:r w:rsidR="00B4126F" w:rsidRPr="00B4126F">
        <w:rPr>
          <w:rStyle w:val="FootnoteReference"/>
          <w:rFonts w:eastAsia="MS Mincho" w:cstheme="minorHAnsi"/>
          <w:color w:val="000000" w:themeColor="text1"/>
          <w:sz w:val="20"/>
          <w:szCs w:val="20"/>
          <w:bdr w:val="none" w:sz="0" w:space="0" w:color="auto" w:frame="1"/>
        </w:rPr>
        <w:t xml:space="preserve"> </w:t>
      </w:r>
      <w:r w:rsidR="00B4126F" w:rsidRPr="002F71EC">
        <w:rPr>
          <w:rStyle w:val="FootnoteReference"/>
          <w:rFonts w:eastAsia="MS Mincho" w:cstheme="minorHAnsi"/>
          <w:color w:val="000000" w:themeColor="text1"/>
          <w:sz w:val="20"/>
          <w:szCs w:val="20"/>
          <w:bdr w:val="none" w:sz="0" w:space="0" w:color="auto" w:frame="1"/>
        </w:rPr>
        <w:footnoteReference w:id="2"/>
      </w:r>
    </w:p>
    <w:p w14:paraId="016DABED" w14:textId="77777777" w:rsidR="00F628F3" w:rsidRPr="002F71EC" w:rsidRDefault="00F628F3" w:rsidP="005404B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720"/>
        <w:jc w:val="both"/>
        <w:rPr>
          <w:rFonts w:eastAsia="MS Mincho" w:cstheme="minorHAnsi"/>
          <w:color w:val="000000" w:themeColor="text1"/>
          <w:sz w:val="20"/>
          <w:szCs w:val="20"/>
          <w:bdr w:val="none" w:sz="0" w:space="0" w:color="auto" w:frame="1"/>
        </w:rPr>
      </w:pPr>
    </w:p>
    <w:p w14:paraId="676964E2" w14:textId="3B9C3BBA" w:rsidR="00F628F3" w:rsidRPr="002F71EC" w:rsidRDefault="00F628F3" w:rsidP="005404B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firstLine="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t>On July 23, 2019, the Colombian State and the victims' representatives signed a Memorandum of Understanding in order to reach a friendly settlement.</w:t>
      </w:r>
    </w:p>
    <w:p w14:paraId="51501E60" w14:textId="77777777" w:rsidR="00F628F3" w:rsidRPr="002F71EC" w:rsidRDefault="00F628F3" w:rsidP="005404B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720"/>
        <w:jc w:val="both"/>
        <w:rPr>
          <w:rFonts w:eastAsia="MS Mincho" w:cstheme="minorHAnsi"/>
          <w:color w:val="000000" w:themeColor="text1"/>
          <w:sz w:val="20"/>
          <w:szCs w:val="20"/>
          <w:bdr w:val="none" w:sz="0" w:space="0" w:color="auto" w:frame="1"/>
        </w:rPr>
      </w:pPr>
    </w:p>
    <w:p w14:paraId="09AA19E0" w14:textId="77777777" w:rsidR="00F628F3" w:rsidRPr="002F71EC" w:rsidRDefault="00F628F3" w:rsidP="005404B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firstLine="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lastRenderedPageBreak/>
        <w:t>In the following months, joint meetings were held to analyze the proposals of both parties in order to build this friendly settlement agreement.</w:t>
      </w:r>
    </w:p>
    <w:p w14:paraId="2D1F1A76" w14:textId="77777777" w:rsidR="00F628F3" w:rsidRPr="002F71EC" w:rsidRDefault="00F628F3" w:rsidP="005404B7">
      <w:pPr>
        <w:rPr>
          <w:rFonts w:ascii="Cambria" w:hAnsi="Cambria" w:cstheme="minorHAnsi"/>
          <w:sz w:val="20"/>
          <w:szCs w:val="20"/>
        </w:rPr>
      </w:pPr>
    </w:p>
    <w:p w14:paraId="1D46E940" w14:textId="3BC08854"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MS Mincho" w:hAnsi="Cambria"/>
          <w:b/>
          <w:bCs/>
          <w:sz w:val="20"/>
          <w:szCs w:val="20"/>
        </w:rPr>
      </w:pPr>
      <w:r w:rsidRPr="002F71EC">
        <w:rPr>
          <w:rFonts w:ascii="Cambria" w:eastAsia="MS Mincho" w:hAnsi="Cambria"/>
          <w:b/>
          <w:bCs/>
          <w:sz w:val="20"/>
          <w:szCs w:val="20"/>
        </w:rPr>
        <w:t>THIRD: ACKNOWLEDGMENT OF RESPONSIBILITY</w:t>
      </w:r>
    </w:p>
    <w:p w14:paraId="643ADD73" w14:textId="77777777" w:rsidR="005404B7" w:rsidRPr="002F71EC" w:rsidRDefault="005404B7" w:rsidP="005404B7">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MS Mincho" w:hAnsi="Cambria"/>
          <w:b/>
          <w:bCs/>
          <w:sz w:val="20"/>
          <w:szCs w:val="20"/>
        </w:rPr>
      </w:pPr>
    </w:p>
    <w:p w14:paraId="446F018F" w14:textId="77777777" w:rsidR="00F628F3" w:rsidRPr="002F71EC" w:rsidRDefault="00F628F3" w:rsidP="005404B7">
      <w:pPr>
        <w:tabs>
          <w:tab w:val="center" w:pos="720"/>
        </w:tabs>
        <w:suppressAutoHyphens/>
        <w:ind w:left="720" w:right="835"/>
        <w:jc w:val="both"/>
        <w:rPr>
          <w:rFonts w:ascii="Cambria" w:eastAsia="MS Mincho" w:hAnsi="Cambria"/>
          <w:sz w:val="20"/>
          <w:szCs w:val="20"/>
        </w:rPr>
      </w:pPr>
      <w:r w:rsidRPr="002F71EC">
        <w:rPr>
          <w:rFonts w:ascii="Cambria" w:eastAsia="MS Mincho" w:hAnsi="Cambria"/>
          <w:sz w:val="20"/>
          <w:szCs w:val="20"/>
        </w:rPr>
        <w:t>The Colombian State recognizes its international responsibility for omission in its duty to guarantee the right to life (article 4), humane treatment (article 5), personal liberty (article 7), fair trial and judicial protection (article 8.1 and 25) and the right to privacy (article 11) recognized in the American Convention on Human Rights in relation to the general obligation established in Article 1.1 of the same instrument, in favor of Carlos Mario Muñoz Gómez.</w:t>
      </w:r>
    </w:p>
    <w:p w14:paraId="719BA576" w14:textId="77777777" w:rsidR="00F628F3" w:rsidRPr="002F71EC" w:rsidRDefault="00F628F3" w:rsidP="005404B7">
      <w:pPr>
        <w:tabs>
          <w:tab w:val="center" w:pos="720"/>
        </w:tabs>
        <w:suppressAutoHyphens/>
        <w:ind w:left="720" w:right="835"/>
        <w:jc w:val="both"/>
        <w:rPr>
          <w:rFonts w:ascii="Cambria" w:eastAsia="MS Mincho" w:hAnsi="Cambria"/>
          <w:b/>
          <w:bCs/>
          <w:sz w:val="20"/>
          <w:szCs w:val="20"/>
        </w:rPr>
      </w:pPr>
    </w:p>
    <w:p w14:paraId="7B2789E3" w14:textId="77777777" w:rsidR="00F628F3" w:rsidRPr="002F71EC" w:rsidRDefault="00F628F3" w:rsidP="005404B7">
      <w:pPr>
        <w:tabs>
          <w:tab w:val="center" w:pos="720"/>
        </w:tabs>
        <w:suppressAutoHyphens/>
        <w:ind w:left="720" w:right="720"/>
        <w:jc w:val="both"/>
        <w:rPr>
          <w:rFonts w:ascii="Cambria" w:eastAsia="MS Mincho" w:hAnsi="Cambria"/>
          <w:b/>
          <w:bCs/>
          <w:sz w:val="20"/>
          <w:szCs w:val="20"/>
        </w:rPr>
      </w:pPr>
      <w:r w:rsidRPr="002F71EC">
        <w:rPr>
          <w:rFonts w:ascii="Cambria" w:eastAsia="MS Mincho" w:hAnsi="Cambria"/>
          <w:b/>
          <w:bCs/>
          <w:sz w:val="20"/>
          <w:szCs w:val="20"/>
        </w:rPr>
        <w:t xml:space="preserve">FOURTH: WITHDRAWAL OF THE DIRECT REPARATION ACTION </w:t>
      </w:r>
    </w:p>
    <w:p w14:paraId="36E1CA91" w14:textId="77777777" w:rsidR="00F628F3" w:rsidRPr="002F71EC" w:rsidRDefault="00F628F3" w:rsidP="005404B7">
      <w:pPr>
        <w:tabs>
          <w:tab w:val="center" w:pos="720"/>
        </w:tabs>
        <w:suppressAutoHyphens/>
        <w:ind w:left="720" w:right="720"/>
        <w:jc w:val="both"/>
        <w:rPr>
          <w:rFonts w:ascii="Cambria" w:eastAsia="MS Mincho" w:hAnsi="Cambria"/>
          <w:b/>
          <w:bCs/>
          <w:sz w:val="20"/>
          <w:szCs w:val="20"/>
        </w:rPr>
      </w:pPr>
    </w:p>
    <w:p w14:paraId="0F24F552" w14:textId="77777777" w:rsidR="00F628F3" w:rsidRPr="002F71EC" w:rsidRDefault="00F628F3" w:rsidP="005404B7">
      <w:pPr>
        <w:tabs>
          <w:tab w:val="center" w:pos="720"/>
        </w:tabs>
        <w:suppressAutoHyphens/>
        <w:ind w:left="720" w:right="720"/>
        <w:jc w:val="both"/>
        <w:rPr>
          <w:rFonts w:ascii="Cambria" w:hAnsi="Cambria" w:cstheme="minorHAnsi"/>
          <w:sz w:val="20"/>
          <w:szCs w:val="20"/>
        </w:rPr>
      </w:pPr>
      <w:r w:rsidRPr="002F71EC">
        <w:rPr>
          <w:rFonts w:ascii="Cambria" w:hAnsi="Cambria" w:cstheme="minorHAnsi"/>
          <w:sz w:val="20"/>
          <w:szCs w:val="20"/>
        </w:rPr>
        <w:t>Given the signing of this Friendly Settlement Agreement between the Colombian State and the petitioner, the latter undertakes to desist from the Direct Reparation Action identified with File No. 05001233100019970137201. Likewise, the petitioner expressly waives to file another judicial action at the domestic level regarding the same facts and for the same claims.</w:t>
      </w:r>
    </w:p>
    <w:p w14:paraId="17E3F9B2" w14:textId="77777777" w:rsidR="00F628F3" w:rsidRPr="002F71EC" w:rsidRDefault="00F628F3" w:rsidP="005404B7">
      <w:pPr>
        <w:tabs>
          <w:tab w:val="center" w:pos="720"/>
        </w:tabs>
        <w:suppressAutoHyphens/>
        <w:ind w:left="720" w:right="720"/>
        <w:jc w:val="both"/>
        <w:rPr>
          <w:rFonts w:ascii="Cambria" w:hAnsi="Cambria" w:cstheme="minorHAnsi"/>
          <w:sz w:val="20"/>
          <w:szCs w:val="20"/>
        </w:rPr>
      </w:pPr>
    </w:p>
    <w:p w14:paraId="1FEEF044" w14:textId="414E63F0"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MS Mincho" w:hAnsi="Cambria"/>
          <w:b/>
          <w:bCs/>
          <w:sz w:val="20"/>
          <w:szCs w:val="20"/>
        </w:rPr>
      </w:pPr>
      <w:r w:rsidRPr="002F71EC">
        <w:rPr>
          <w:rFonts w:ascii="Cambria" w:eastAsia="MS Mincho" w:hAnsi="Cambria"/>
          <w:b/>
          <w:bCs/>
          <w:sz w:val="20"/>
          <w:szCs w:val="20"/>
        </w:rPr>
        <w:t>FIFTH: REPARATION MEASURES AGREED BETWEEN THE PARTIES</w:t>
      </w:r>
    </w:p>
    <w:p w14:paraId="775CBBE3" w14:textId="77777777" w:rsidR="005404B7" w:rsidRPr="002F71EC" w:rsidRDefault="005404B7" w:rsidP="005404B7">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MS Mincho" w:hAnsi="Cambria"/>
          <w:b/>
          <w:bCs/>
          <w:sz w:val="20"/>
          <w:szCs w:val="20"/>
        </w:rPr>
      </w:pPr>
    </w:p>
    <w:p w14:paraId="2C8428EF" w14:textId="3BA0DB2B"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sidRPr="002F71EC">
        <w:rPr>
          <w:rFonts w:ascii="Cambria" w:eastAsia="MS Mincho" w:hAnsi="Cambria"/>
          <w:sz w:val="20"/>
          <w:szCs w:val="20"/>
        </w:rPr>
        <w:t>The State commits itself to carry out the following satisfaction measures consisting of measures of satisfaction, guarantees of non-repetition and compensation in the terms highlighted below:</w:t>
      </w:r>
    </w:p>
    <w:p w14:paraId="2504C316" w14:textId="77777777" w:rsidR="005404B7" w:rsidRPr="002F71EC" w:rsidRDefault="005404B7" w:rsidP="005404B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p>
    <w:p w14:paraId="6523368F" w14:textId="622623A2" w:rsidR="00F628F3" w:rsidRPr="002F71EC" w:rsidRDefault="00F628F3" w:rsidP="005404B7">
      <w:pPr>
        <w:pStyle w:val="ListParagraph"/>
        <w:numPr>
          <w:ilvl w:val="0"/>
          <w:numId w:val="61"/>
        </w:numPr>
        <w:tabs>
          <w:tab w:val="center" w:pos="720"/>
        </w:tabs>
        <w:suppressAutoHyphens/>
        <w:ind w:left="720" w:right="720" w:firstLine="0"/>
        <w:jc w:val="both"/>
        <w:rPr>
          <w:rFonts w:cstheme="minorHAnsi"/>
          <w:b/>
          <w:bCs/>
          <w:sz w:val="20"/>
          <w:szCs w:val="20"/>
        </w:rPr>
      </w:pPr>
      <w:r w:rsidRPr="002F71EC">
        <w:rPr>
          <w:rFonts w:cstheme="minorHAnsi"/>
          <w:b/>
          <w:bCs/>
          <w:sz w:val="20"/>
          <w:szCs w:val="20"/>
        </w:rPr>
        <w:t>Measures of satisfaction</w:t>
      </w:r>
      <w:r w:rsidR="005404B7" w:rsidRPr="002F71EC">
        <w:rPr>
          <w:rFonts w:cstheme="minorHAnsi"/>
          <w:b/>
          <w:bCs/>
          <w:sz w:val="20"/>
          <w:szCs w:val="20"/>
        </w:rPr>
        <w:t>.</w:t>
      </w:r>
    </w:p>
    <w:p w14:paraId="6C31F0A4" w14:textId="77777777" w:rsidR="005404B7" w:rsidRPr="002F71EC" w:rsidRDefault="005404B7" w:rsidP="005404B7">
      <w:pPr>
        <w:pStyle w:val="ListParagraph"/>
        <w:tabs>
          <w:tab w:val="center" w:pos="720"/>
        </w:tabs>
        <w:suppressAutoHyphens/>
        <w:ind w:right="720"/>
        <w:jc w:val="both"/>
        <w:rPr>
          <w:rFonts w:cstheme="minorHAnsi"/>
          <w:sz w:val="20"/>
          <w:szCs w:val="20"/>
        </w:rPr>
      </w:pPr>
    </w:p>
    <w:p w14:paraId="12F0EEB5" w14:textId="77777777" w:rsidR="00F628F3" w:rsidRPr="002F71EC" w:rsidRDefault="00F628F3" w:rsidP="005404B7">
      <w:pPr>
        <w:tabs>
          <w:tab w:val="center" w:pos="720"/>
        </w:tabs>
        <w:suppressAutoHyphens/>
        <w:ind w:left="720" w:right="720"/>
        <w:jc w:val="both"/>
        <w:rPr>
          <w:rFonts w:ascii="Cambria" w:hAnsi="Cambria" w:cstheme="minorHAnsi"/>
          <w:sz w:val="20"/>
          <w:szCs w:val="20"/>
        </w:rPr>
      </w:pPr>
      <w:r w:rsidRPr="002F71EC">
        <w:rPr>
          <w:rFonts w:ascii="Cambria" w:hAnsi="Cambria" w:cstheme="minorHAnsi"/>
          <w:sz w:val="20"/>
          <w:szCs w:val="20"/>
        </w:rPr>
        <w:t>The State of Colombia commits itself to carry out the following measures of satisfaction and rehabilitation measures:</w:t>
      </w:r>
    </w:p>
    <w:p w14:paraId="400258AA" w14:textId="77777777" w:rsidR="00F628F3" w:rsidRPr="002F71EC" w:rsidRDefault="00F628F3" w:rsidP="005404B7">
      <w:pPr>
        <w:tabs>
          <w:tab w:val="center" w:pos="720"/>
        </w:tabs>
        <w:suppressAutoHyphens/>
        <w:ind w:left="720" w:right="720"/>
        <w:jc w:val="both"/>
        <w:rPr>
          <w:rFonts w:ascii="Cambria" w:hAnsi="Cambria" w:cstheme="minorHAnsi"/>
          <w:sz w:val="20"/>
          <w:szCs w:val="20"/>
        </w:rPr>
      </w:pPr>
    </w:p>
    <w:p w14:paraId="35105377" w14:textId="7D0AD6A4" w:rsidR="00F628F3" w:rsidRPr="002F71EC" w:rsidRDefault="00F628F3" w:rsidP="00B4126F">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b/>
          <w:bCs/>
          <w:sz w:val="20"/>
          <w:szCs w:val="20"/>
        </w:rPr>
      </w:pPr>
      <w:r w:rsidRPr="002F71EC">
        <w:rPr>
          <w:rFonts w:eastAsia="MS Mincho"/>
          <w:b/>
          <w:bCs/>
          <w:sz w:val="20"/>
          <w:szCs w:val="20"/>
        </w:rPr>
        <w:t>Act of redress</w:t>
      </w:r>
      <w:r w:rsidR="005404B7" w:rsidRPr="002F71EC">
        <w:rPr>
          <w:rFonts w:eastAsia="MS Mincho"/>
          <w:b/>
          <w:bCs/>
          <w:sz w:val="20"/>
          <w:szCs w:val="20"/>
        </w:rPr>
        <w:t>.</w:t>
      </w:r>
    </w:p>
    <w:p w14:paraId="4872F416" w14:textId="77777777" w:rsidR="005404B7" w:rsidRPr="002F71EC" w:rsidRDefault="005404B7" w:rsidP="00B4126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b/>
          <w:bCs/>
          <w:sz w:val="20"/>
          <w:szCs w:val="20"/>
        </w:rPr>
      </w:pPr>
    </w:p>
    <w:p w14:paraId="4E5ED0AD" w14:textId="77777777" w:rsidR="00F628F3" w:rsidRPr="002F71EC" w:rsidRDefault="00F628F3" w:rsidP="005404B7">
      <w:pPr>
        <w:tabs>
          <w:tab w:val="center" w:pos="720"/>
        </w:tabs>
        <w:suppressAutoHyphens/>
        <w:ind w:left="720" w:right="720"/>
        <w:jc w:val="both"/>
        <w:rPr>
          <w:rFonts w:ascii="Cambria" w:hAnsi="Cambria" w:cstheme="minorHAnsi"/>
          <w:sz w:val="20"/>
          <w:szCs w:val="20"/>
        </w:rPr>
      </w:pPr>
      <w:r w:rsidRPr="002F71EC">
        <w:rPr>
          <w:rFonts w:ascii="Cambria" w:hAnsi="Cambria" w:cstheme="minorHAnsi"/>
          <w:sz w:val="20"/>
          <w:szCs w:val="20"/>
        </w:rPr>
        <w:t>A virtual Act of Acknowledgment of Responsibility. The act of acknowledgment of responsibility will be carried out with the active participation of the next of kin and the representatives of the victims. In it, state responsibility will be recognized in the terms established in this agreement. This measure will be in charge of the National Legal Defense Agency of the State.</w:t>
      </w:r>
    </w:p>
    <w:p w14:paraId="26784B86" w14:textId="77777777" w:rsidR="00F628F3" w:rsidRPr="002F71EC" w:rsidRDefault="00F628F3" w:rsidP="005404B7">
      <w:pPr>
        <w:tabs>
          <w:tab w:val="center" w:pos="720"/>
        </w:tabs>
        <w:suppressAutoHyphens/>
        <w:ind w:left="720" w:right="720"/>
        <w:jc w:val="both"/>
        <w:rPr>
          <w:rFonts w:ascii="Cambria" w:hAnsi="Cambria" w:cstheme="minorHAnsi"/>
          <w:sz w:val="20"/>
          <w:szCs w:val="20"/>
        </w:rPr>
      </w:pPr>
    </w:p>
    <w:p w14:paraId="6FF622E0" w14:textId="34557BEF" w:rsidR="00F628F3" w:rsidRPr="002F71EC" w:rsidRDefault="00F628F3" w:rsidP="00B4126F">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b/>
          <w:bCs/>
          <w:sz w:val="20"/>
          <w:szCs w:val="20"/>
        </w:rPr>
      </w:pPr>
      <w:r w:rsidRPr="002F71EC">
        <w:rPr>
          <w:rFonts w:eastAsia="MS Mincho"/>
          <w:b/>
          <w:bCs/>
          <w:sz w:val="20"/>
          <w:szCs w:val="20"/>
        </w:rPr>
        <w:t>Publication of the facts</w:t>
      </w:r>
      <w:r w:rsidR="005404B7" w:rsidRPr="002F71EC">
        <w:rPr>
          <w:rFonts w:eastAsia="MS Mincho"/>
          <w:b/>
          <w:bCs/>
          <w:sz w:val="20"/>
          <w:szCs w:val="20"/>
        </w:rPr>
        <w:t>.</w:t>
      </w:r>
    </w:p>
    <w:p w14:paraId="6ED9CB34" w14:textId="77777777" w:rsidR="005404B7" w:rsidRPr="002F71EC" w:rsidRDefault="005404B7" w:rsidP="005404B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95" w:right="720"/>
        <w:jc w:val="both"/>
        <w:rPr>
          <w:rFonts w:eastAsia="MS Mincho"/>
          <w:b/>
          <w:bCs/>
          <w:sz w:val="20"/>
          <w:szCs w:val="20"/>
        </w:rPr>
      </w:pPr>
    </w:p>
    <w:p w14:paraId="50A4EB5A" w14:textId="77777777" w:rsidR="00F628F3" w:rsidRPr="002F71EC" w:rsidRDefault="00F628F3" w:rsidP="005404B7">
      <w:pPr>
        <w:tabs>
          <w:tab w:val="center" w:pos="720"/>
        </w:tabs>
        <w:suppressAutoHyphens/>
        <w:ind w:left="720" w:right="720"/>
        <w:jc w:val="both"/>
        <w:rPr>
          <w:rFonts w:ascii="Cambria" w:hAnsi="Cambria" w:cstheme="minorHAnsi"/>
          <w:sz w:val="20"/>
          <w:szCs w:val="20"/>
        </w:rPr>
      </w:pPr>
      <w:r w:rsidRPr="002F71EC">
        <w:rPr>
          <w:rFonts w:ascii="Cambria" w:hAnsi="Cambria" w:cstheme="minorHAnsi"/>
          <w:sz w:val="20"/>
          <w:szCs w:val="20"/>
        </w:rPr>
        <w:t>The Colombian State undertakes to publish the report established on Article 49 of the American Convention on Human Rights issued by the Inter-American Commission on Human Rights that approves the friendly settlement agreement, on the National Police website for a period of one year, thus guaranteeing access to the homologation report and court rulings.</w:t>
      </w:r>
      <w:r w:rsidRPr="002F71EC">
        <w:rPr>
          <w:rStyle w:val="FootnoteReference"/>
          <w:rFonts w:ascii="Cambria" w:hAnsi="Cambria" w:cstheme="minorHAnsi"/>
          <w:sz w:val="20"/>
          <w:szCs w:val="20"/>
        </w:rPr>
        <w:footnoteReference w:id="3"/>
      </w:r>
    </w:p>
    <w:p w14:paraId="61E5BED3" w14:textId="77777777" w:rsidR="00F628F3" w:rsidRPr="002F71EC" w:rsidRDefault="00F628F3" w:rsidP="005404B7">
      <w:pPr>
        <w:tabs>
          <w:tab w:val="center" w:pos="720"/>
        </w:tabs>
        <w:suppressAutoHyphens/>
        <w:ind w:left="720" w:right="835"/>
        <w:jc w:val="both"/>
        <w:rPr>
          <w:rFonts w:ascii="Cambria" w:hAnsi="Cambria" w:cstheme="minorHAnsi"/>
          <w:sz w:val="20"/>
          <w:szCs w:val="20"/>
        </w:rPr>
      </w:pPr>
    </w:p>
    <w:p w14:paraId="45D68A68" w14:textId="0E8ECC8B" w:rsidR="00F628F3" w:rsidRPr="00B4126F" w:rsidRDefault="00F628F3" w:rsidP="00B4126F">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eastAsia="MS Mincho"/>
          <w:b/>
          <w:bCs/>
          <w:sz w:val="20"/>
          <w:szCs w:val="20"/>
        </w:rPr>
      </w:pPr>
      <w:r w:rsidRPr="00B4126F">
        <w:rPr>
          <w:rFonts w:eastAsia="MS Mincho"/>
          <w:b/>
          <w:bCs/>
          <w:sz w:val="20"/>
          <w:szCs w:val="20"/>
        </w:rPr>
        <w:t>Guarantees of non-repetition</w:t>
      </w:r>
      <w:r w:rsidR="005404B7" w:rsidRPr="00B4126F">
        <w:rPr>
          <w:rFonts w:eastAsia="MS Mincho"/>
          <w:b/>
          <w:bCs/>
          <w:sz w:val="20"/>
          <w:szCs w:val="20"/>
        </w:rPr>
        <w:t>.</w:t>
      </w:r>
    </w:p>
    <w:p w14:paraId="6F84BCE8" w14:textId="77777777" w:rsidR="005404B7" w:rsidRPr="002F71EC" w:rsidRDefault="005404B7" w:rsidP="005404B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b/>
          <w:bCs/>
          <w:sz w:val="20"/>
          <w:szCs w:val="20"/>
        </w:rPr>
      </w:pPr>
    </w:p>
    <w:p w14:paraId="528884E2" w14:textId="5A64A674" w:rsidR="00F628F3" w:rsidRPr="002F71EC" w:rsidRDefault="00F628F3" w:rsidP="005404B7">
      <w:pPr>
        <w:tabs>
          <w:tab w:val="center" w:pos="720"/>
        </w:tabs>
        <w:suppressAutoHyphens/>
        <w:ind w:left="720" w:right="835"/>
        <w:jc w:val="both"/>
        <w:rPr>
          <w:rFonts w:ascii="Cambria" w:hAnsi="Cambria" w:cstheme="minorHAnsi"/>
          <w:sz w:val="20"/>
          <w:szCs w:val="20"/>
        </w:rPr>
      </w:pPr>
      <w:r w:rsidRPr="002F71EC">
        <w:rPr>
          <w:rFonts w:ascii="Cambria" w:hAnsi="Cambria" w:cstheme="minorHAnsi"/>
          <w:sz w:val="20"/>
          <w:szCs w:val="20"/>
        </w:rPr>
        <w:t>Once the Friendly Settlement Agreement is approved, the case will be included as a study in the training that the Ministry of Defense carries out within the framework of Permanent Directive No. 11 of 2019, related to the “Guidelines for the strengthening of annual extracurricular training plans [sic] for the Public Force on Human Rights and International Humanitarian Law”</w:t>
      </w:r>
      <w:r w:rsidRPr="002F71EC">
        <w:rPr>
          <w:rStyle w:val="FootnoteReference"/>
          <w:rFonts w:ascii="Cambria" w:hAnsi="Cambria" w:cstheme="minorHAnsi"/>
          <w:sz w:val="20"/>
          <w:szCs w:val="20"/>
        </w:rPr>
        <w:footnoteReference w:id="4"/>
      </w:r>
      <w:r w:rsidRPr="002F71EC">
        <w:rPr>
          <w:rFonts w:ascii="Cambria" w:hAnsi="Cambria" w:cstheme="minorHAnsi"/>
          <w:sz w:val="20"/>
          <w:szCs w:val="20"/>
        </w:rPr>
        <w:t>[sic]</w:t>
      </w:r>
    </w:p>
    <w:p w14:paraId="5A5EA86B" w14:textId="77777777" w:rsidR="00F628F3" w:rsidRPr="002F71EC" w:rsidRDefault="00F628F3" w:rsidP="005404B7">
      <w:pPr>
        <w:tabs>
          <w:tab w:val="center" w:pos="720"/>
        </w:tabs>
        <w:suppressAutoHyphens/>
        <w:ind w:left="720" w:right="835"/>
        <w:jc w:val="both"/>
        <w:rPr>
          <w:rFonts w:ascii="Cambria" w:hAnsi="Cambria" w:cstheme="minorHAnsi"/>
          <w:sz w:val="20"/>
          <w:szCs w:val="20"/>
        </w:rPr>
      </w:pPr>
    </w:p>
    <w:p w14:paraId="48349362" w14:textId="77777777" w:rsidR="005404B7" w:rsidRPr="002F71EC" w:rsidRDefault="00F628F3" w:rsidP="00B4126F">
      <w:pPr>
        <w:pStyle w:val="ListParagraph"/>
        <w:numPr>
          <w:ilvl w:val="0"/>
          <w:numId w:val="66"/>
        </w:numPr>
        <w:tabs>
          <w:tab w:val="center" w:pos="720"/>
        </w:tabs>
        <w:suppressAutoHyphens/>
        <w:ind w:right="835" w:firstLine="0"/>
        <w:jc w:val="both"/>
        <w:rPr>
          <w:rFonts w:cstheme="minorHAnsi"/>
          <w:b/>
          <w:bCs/>
          <w:sz w:val="20"/>
          <w:szCs w:val="20"/>
        </w:rPr>
      </w:pPr>
      <w:r w:rsidRPr="002F71EC">
        <w:rPr>
          <w:rFonts w:cstheme="minorHAnsi"/>
          <w:b/>
          <w:bCs/>
          <w:sz w:val="20"/>
          <w:szCs w:val="20"/>
        </w:rPr>
        <w:t>Pecuniary damages</w:t>
      </w:r>
      <w:r w:rsidR="005404B7" w:rsidRPr="002F71EC">
        <w:rPr>
          <w:rFonts w:cstheme="minorHAnsi"/>
          <w:b/>
          <w:bCs/>
          <w:sz w:val="20"/>
          <w:szCs w:val="20"/>
        </w:rPr>
        <w:t>.</w:t>
      </w:r>
    </w:p>
    <w:p w14:paraId="7C6FF44C" w14:textId="78722169" w:rsidR="00F628F3" w:rsidRPr="002F71EC" w:rsidRDefault="00F628F3" w:rsidP="005404B7">
      <w:pPr>
        <w:pStyle w:val="ListParagraph"/>
        <w:tabs>
          <w:tab w:val="center" w:pos="720"/>
        </w:tabs>
        <w:suppressAutoHyphens/>
        <w:ind w:right="835"/>
        <w:jc w:val="both"/>
        <w:rPr>
          <w:rFonts w:cstheme="minorHAnsi"/>
          <w:b/>
          <w:bCs/>
          <w:sz w:val="20"/>
          <w:szCs w:val="20"/>
        </w:rPr>
      </w:pPr>
    </w:p>
    <w:p w14:paraId="6DFC093C" w14:textId="77777777" w:rsidR="00F628F3" w:rsidRPr="002F71EC" w:rsidRDefault="00F628F3" w:rsidP="005404B7">
      <w:pPr>
        <w:tabs>
          <w:tab w:val="center" w:pos="720"/>
        </w:tabs>
        <w:suppressAutoHyphens/>
        <w:ind w:left="720" w:right="835"/>
        <w:jc w:val="both"/>
        <w:rPr>
          <w:rFonts w:ascii="Cambria" w:hAnsi="Cambria" w:cstheme="minorHAnsi"/>
          <w:sz w:val="20"/>
          <w:szCs w:val="20"/>
        </w:rPr>
      </w:pPr>
      <w:r w:rsidRPr="002F71EC">
        <w:rPr>
          <w:rFonts w:ascii="Cambria" w:hAnsi="Cambria" w:cstheme="minorHAnsi"/>
          <w:sz w:val="20"/>
          <w:szCs w:val="20"/>
        </w:rPr>
        <w:t>The State undertakes to apply Law 288 of 1996, once this friendly settlement agreement is approved by issuing the report established on Article 49 of the American Convention on Human Rights. In this sense, in a session of the Judicial Conciliation and Defense Committee of the Ministry of Defense and the National Police, it was decided to offer a comprehensive conciliation proposal, in the following terms:</w:t>
      </w:r>
      <w:r w:rsidRPr="002F71EC">
        <w:rPr>
          <w:rStyle w:val="FootnoteReference"/>
          <w:rFonts w:ascii="Cambria" w:hAnsi="Cambria" w:cstheme="minorHAnsi"/>
          <w:sz w:val="20"/>
          <w:szCs w:val="20"/>
        </w:rPr>
        <w:footnoteReference w:id="5"/>
      </w:r>
    </w:p>
    <w:p w14:paraId="78FB25ED" w14:textId="77777777" w:rsidR="00F628F3" w:rsidRPr="002F71EC" w:rsidRDefault="00F628F3" w:rsidP="005404B7">
      <w:pPr>
        <w:tabs>
          <w:tab w:val="center" w:pos="720"/>
        </w:tabs>
        <w:suppressAutoHyphens/>
        <w:ind w:left="720" w:right="835"/>
        <w:jc w:val="both"/>
        <w:rPr>
          <w:rFonts w:ascii="Cambria" w:hAnsi="Cambria" w:cstheme="minorHAnsi"/>
          <w:sz w:val="20"/>
          <w:szCs w:val="20"/>
        </w:rPr>
      </w:pPr>
    </w:p>
    <w:p w14:paraId="55EADAED" w14:textId="4D78BE84" w:rsidR="00F628F3" w:rsidRPr="002F71EC" w:rsidRDefault="00F628F3" w:rsidP="005404B7">
      <w:pPr>
        <w:tabs>
          <w:tab w:val="center" w:pos="720"/>
        </w:tabs>
        <w:suppressAutoHyphens/>
        <w:ind w:left="720" w:right="835"/>
        <w:jc w:val="both"/>
        <w:rPr>
          <w:rFonts w:ascii="Cambria" w:hAnsi="Cambria" w:cstheme="minorHAnsi"/>
          <w:b/>
          <w:bCs/>
          <w:sz w:val="20"/>
          <w:szCs w:val="20"/>
          <w:u w:val="single"/>
        </w:rPr>
      </w:pPr>
      <w:r w:rsidRPr="002F71EC">
        <w:rPr>
          <w:rFonts w:ascii="Cambria" w:hAnsi="Cambria" w:cstheme="minorHAnsi"/>
          <w:b/>
          <w:bCs/>
          <w:sz w:val="20"/>
          <w:szCs w:val="20"/>
          <w:u w:val="single"/>
        </w:rPr>
        <w:t>Moral Damages:</w:t>
      </w:r>
    </w:p>
    <w:p w14:paraId="2C31B415" w14:textId="77777777" w:rsidR="005404B7" w:rsidRPr="002F71EC" w:rsidRDefault="005404B7" w:rsidP="005404B7">
      <w:pPr>
        <w:tabs>
          <w:tab w:val="center" w:pos="720"/>
        </w:tabs>
        <w:suppressAutoHyphens/>
        <w:ind w:left="720" w:right="835"/>
        <w:jc w:val="both"/>
        <w:rPr>
          <w:rFonts w:ascii="Cambria" w:hAnsi="Cambria" w:cstheme="minorHAnsi"/>
          <w:b/>
          <w:bCs/>
          <w:sz w:val="20"/>
          <w:szCs w:val="20"/>
          <w:u w:val="single"/>
        </w:rPr>
      </w:pPr>
    </w:p>
    <w:p w14:paraId="2DDD8A3E" w14:textId="77777777" w:rsidR="00F628F3" w:rsidRPr="002F71EC" w:rsidRDefault="00F628F3" w:rsidP="005404B7">
      <w:pPr>
        <w:tabs>
          <w:tab w:val="center" w:pos="720"/>
        </w:tabs>
        <w:suppressAutoHyphens/>
        <w:ind w:left="720" w:right="835"/>
        <w:jc w:val="both"/>
        <w:rPr>
          <w:rFonts w:ascii="Cambria" w:hAnsi="Cambria" w:cstheme="minorHAnsi"/>
          <w:sz w:val="20"/>
          <w:szCs w:val="20"/>
        </w:rPr>
      </w:pPr>
      <w:r w:rsidRPr="002F71EC">
        <w:rPr>
          <w:rFonts w:ascii="Cambria" w:hAnsi="Cambria" w:cstheme="minorHAnsi"/>
          <w:sz w:val="20"/>
          <w:szCs w:val="20"/>
        </w:rPr>
        <w:t>Moral damages will be awarded to the people mentioned below:</w:t>
      </w:r>
    </w:p>
    <w:p w14:paraId="270D45B1" w14:textId="77777777" w:rsidR="00F628F3" w:rsidRPr="002F71EC" w:rsidRDefault="00F628F3" w:rsidP="005404B7">
      <w:pPr>
        <w:tabs>
          <w:tab w:val="center" w:pos="720"/>
        </w:tabs>
        <w:suppressAutoHyphens/>
        <w:ind w:left="720" w:right="835"/>
        <w:jc w:val="both"/>
        <w:rPr>
          <w:rFonts w:ascii="Cambria" w:hAnsi="Cambria" w:cstheme="minorHAnsi"/>
          <w:sz w:val="20"/>
          <w:szCs w:val="20"/>
        </w:rPr>
      </w:pPr>
    </w:p>
    <w:tbl>
      <w:tblPr>
        <w:tblW w:w="6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1710"/>
        <w:gridCol w:w="1710"/>
      </w:tblGrid>
      <w:tr w:rsidR="00F628F3" w:rsidRPr="002F71EC" w14:paraId="4FF2994D" w14:textId="77777777" w:rsidTr="002F71EC">
        <w:trPr>
          <w:trHeight w:val="121"/>
          <w:jc w:val="center"/>
        </w:trPr>
        <w:tc>
          <w:tcPr>
            <w:tcW w:w="2767" w:type="dxa"/>
          </w:tcPr>
          <w:p w14:paraId="4337509F"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106"/>
              <w:jc w:val="center"/>
              <w:rPr>
                <w:rFonts w:ascii="Cambria" w:eastAsia="MS Mincho" w:hAnsi="Cambria" w:cstheme="minorHAnsi"/>
                <w:b/>
                <w:bCs/>
                <w:color w:val="000000" w:themeColor="text1"/>
                <w:sz w:val="20"/>
                <w:szCs w:val="20"/>
                <w:bdr w:val="none" w:sz="0" w:space="0" w:color="auto" w:frame="1"/>
                <w:lang w:eastAsia="es-ES"/>
              </w:rPr>
            </w:pPr>
            <w:r w:rsidRPr="002F71EC">
              <w:rPr>
                <w:rFonts w:ascii="Cambria" w:eastAsia="MS Mincho" w:hAnsi="Cambria" w:cstheme="minorHAnsi"/>
                <w:b/>
                <w:bCs/>
                <w:color w:val="000000" w:themeColor="text1"/>
                <w:sz w:val="20"/>
                <w:szCs w:val="20"/>
                <w:bdr w:val="none" w:sz="0" w:space="0" w:color="auto" w:frame="1"/>
                <w:lang w:eastAsia="es-ES"/>
              </w:rPr>
              <w:t>NAME</w:t>
            </w:r>
          </w:p>
        </w:tc>
        <w:tc>
          <w:tcPr>
            <w:tcW w:w="1710" w:type="dxa"/>
          </w:tcPr>
          <w:p w14:paraId="3C1CBBE1"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4" w:right="-111"/>
              <w:jc w:val="center"/>
              <w:rPr>
                <w:rFonts w:ascii="Cambria" w:eastAsia="MS Mincho" w:hAnsi="Cambria" w:cstheme="minorHAnsi"/>
                <w:b/>
                <w:bCs/>
                <w:color w:val="000000" w:themeColor="text1"/>
                <w:sz w:val="20"/>
                <w:szCs w:val="20"/>
                <w:bdr w:val="none" w:sz="0" w:space="0" w:color="auto" w:frame="1"/>
                <w:lang w:eastAsia="es-ES"/>
              </w:rPr>
            </w:pPr>
            <w:r w:rsidRPr="002F71EC">
              <w:rPr>
                <w:rFonts w:ascii="Cambria" w:eastAsia="MS Mincho" w:hAnsi="Cambria" w:cstheme="minorHAnsi"/>
                <w:b/>
                <w:bCs/>
                <w:color w:val="000000" w:themeColor="text1"/>
                <w:sz w:val="20"/>
                <w:szCs w:val="20"/>
                <w:bdr w:val="none" w:sz="0" w:space="0" w:color="auto" w:frame="1"/>
                <w:lang w:eastAsia="es-ES"/>
              </w:rPr>
              <w:t>RELATIONSHIP</w:t>
            </w:r>
          </w:p>
        </w:tc>
        <w:tc>
          <w:tcPr>
            <w:tcW w:w="1710" w:type="dxa"/>
          </w:tcPr>
          <w:p w14:paraId="35607198"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24"/>
              <w:jc w:val="center"/>
              <w:rPr>
                <w:rFonts w:ascii="Cambria" w:eastAsia="MS Mincho" w:hAnsi="Cambria" w:cstheme="minorHAnsi"/>
                <w:b/>
                <w:bCs/>
                <w:color w:val="000000" w:themeColor="text1"/>
                <w:sz w:val="20"/>
                <w:szCs w:val="20"/>
                <w:bdr w:val="none" w:sz="0" w:space="0" w:color="auto" w:frame="1"/>
                <w:lang w:eastAsia="es-ES"/>
              </w:rPr>
            </w:pPr>
            <w:r w:rsidRPr="002F71EC">
              <w:rPr>
                <w:rFonts w:ascii="Cambria" w:eastAsia="MS Mincho" w:hAnsi="Cambria" w:cstheme="minorHAnsi"/>
                <w:b/>
                <w:bCs/>
                <w:color w:val="000000" w:themeColor="text1"/>
                <w:sz w:val="20"/>
                <w:szCs w:val="20"/>
                <w:bdr w:val="none" w:sz="0" w:space="0" w:color="auto" w:frame="1"/>
                <w:lang w:eastAsia="es-ES"/>
              </w:rPr>
              <w:t>AMOUNT</w:t>
            </w:r>
          </w:p>
        </w:tc>
      </w:tr>
      <w:tr w:rsidR="00F628F3" w:rsidRPr="002F71EC" w14:paraId="0ED368BC" w14:textId="77777777" w:rsidTr="002F71EC">
        <w:trPr>
          <w:trHeight w:val="270"/>
          <w:jc w:val="center"/>
        </w:trPr>
        <w:tc>
          <w:tcPr>
            <w:tcW w:w="2767" w:type="dxa"/>
          </w:tcPr>
          <w:p w14:paraId="28F00AF2"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39" w:right="-106"/>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Jesús María Muñoz Guerra </w:t>
            </w:r>
          </w:p>
        </w:tc>
        <w:tc>
          <w:tcPr>
            <w:tcW w:w="1710" w:type="dxa"/>
          </w:tcPr>
          <w:p w14:paraId="1BE0B5F1"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4" w:right="-111"/>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Father</w:t>
            </w:r>
          </w:p>
        </w:tc>
        <w:tc>
          <w:tcPr>
            <w:tcW w:w="1710" w:type="dxa"/>
          </w:tcPr>
          <w:p w14:paraId="16B091BB"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24"/>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300 S.M.M.L.V </w:t>
            </w:r>
          </w:p>
        </w:tc>
      </w:tr>
      <w:tr w:rsidR="00F628F3" w:rsidRPr="002F71EC" w14:paraId="70393DDB" w14:textId="77777777" w:rsidTr="002F71EC">
        <w:trPr>
          <w:trHeight w:val="270"/>
          <w:jc w:val="center"/>
        </w:trPr>
        <w:tc>
          <w:tcPr>
            <w:tcW w:w="2767" w:type="dxa"/>
          </w:tcPr>
          <w:p w14:paraId="5F65B7CE"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39" w:right="-106"/>
              <w:rPr>
                <w:rFonts w:ascii="Cambria" w:eastAsia="MS Mincho" w:hAnsi="Cambria" w:cstheme="minorHAnsi"/>
                <w:color w:val="000000" w:themeColor="text1"/>
                <w:sz w:val="20"/>
                <w:szCs w:val="20"/>
                <w:bdr w:val="none" w:sz="0" w:space="0" w:color="auto" w:frame="1"/>
                <w:lang w:val="es-CO" w:eastAsia="es-ES"/>
              </w:rPr>
            </w:pPr>
            <w:r w:rsidRPr="002F71EC">
              <w:rPr>
                <w:rFonts w:ascii="Cambria" w:eastAsia="MS Mincho" w:hAnsi="Cambria" w:cstheme="minorHAnsi"/>
                <w:color w:val="000000" w:themeColor="text1"/>
                <w:sz w:val="20"/>
                <w:szCs w:val="20"/>
                <w:bdr w:val="none" w:sz="0" w:space="0" w:color="auto" w:frame="1"/>
                <w:lang w:val="es-CO" w:eastAsia="es-ES"/>
              </w:rPr>
              <w:t xml:space="preserve">Elvia Judith Gómez de Muñoz </w:t>
            </w:r>
          </w:p>
        </w:tc>
        <w:tc>
          <w:tcPr>
            <w:tcW w:w="1710" w:type="dxa"/>
          </w:tcPr>
          <w:p w14:paraId="5C494CED"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4" w:right="-111"/>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Mother </w:t>
            </w:r>
          </w:p>
        </w:tc>
        <w:tc>
          <w:tcPr>
            <w:tcW w:w="1710" w:type="dxa"/>
          </w:tcPr>
          <w:p w14:paraId="0318F9F1"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24"/>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300 S.M.M.L.V </w:t>
            </w:r>
          </w:p>
        </w:tc>
      </w:tr>
      <w:tr w:rsidR="00F628F3" w:rsidRPr="002F71EC" w14:paraId="229894A1" w14:textId="77777777" w:rsidTr="002F71EC">
        <w:trPr>
          <w:trHeight w:val="270"/>
          <w:jc w:val="center"/>
        </w:trPr>
        <w:tc>
          <w:tcPr>
            <w:tcW w:w="2767" w:type="dxa"/>
          </w:tcPr>
          <w:p w14:paraId="5F06FA50"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39" w:right="-106"/>
              <w:rPr>
                <w:rFonts w:ascii="Cambria" w:eastAsia="MS Mincho" w:hAnsi="Cambria" w:cstheme="minorHAnsi"/>
                <w:color w:val="000000" w:themeColor="text1"/>
                <w:sz w:val="20"/>
                <w:szCs w:val="20"/>
                <w:bdr w:val="none" w:sz="0" w:space="0" w:color="auto" w:frame="1"/>
                <w:lang w:val="es-CO" w:eastAsia="es-ES"/>
              </w:rPr>
            </w:pPr>
            <w:r w:rsidRPr="002F71EC">
              <w:rPr>
                <w:rFonts w:ascii="Cambria" w:eastAsia="MS Mincho" w:hAnsi="Cambria" w:cstheme="minorHAnsi"/>
                <w:color w:val="000000" w:themeColor="text1"/>
                <w:sz w:val="20"/>
                <w:szCs w:val="20"/>
                <w:bdr w:val="none" w:sz="0" w:space="0" w:color="auto" w:frame="1"/>
                <w:lang w:val="es-CO" w:eastAsia="es-ES"/>
              </w:rPr>
              <w:t xml:space="preserve">María Patricia Mejía de Muñoz </w:t>
            </w:r>
          </w:p>
        </w:tc>
        <w:tc>
          <w:tcPr>
            <w:tcW w:w="1710" w:type="dxa"/>
          </w:tcPr>
          <w:p w14:paraId="29BDB44B"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4" w:right="-111"/>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Spouse</w:t>
            </w:r>
          </w:p>
        </w:tc>
        <w:tc>
          <w:tcPr>
            <w:tcW w:w="1710" w:type="dxa"/>
          </w:tcPr>
          <w:p w14:paraId="6DBA63EE"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24"/>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300 S.M.M.L.V. </w:t>
            </w:r>
          </w:p>
        </w:tc>
      </w:tr>
      <w:tr w:rsidR="00F628F3" w:rsidRPr="002F71EC" w14:paraId="44359E7C" w14:textId="77777777" w:rsidTr="002F71EC">
        <w:trPr>
          <w:trHeight w:val="121"/>
          <w:jc w:val="center"/>
        </w:trPr>
        <w:tc>
          <w:tcPr>
            <w:tcW w:w="2767" w:type="dxa"/>
          </w:tcPr>
          <w:p w14:paraId="528A9F02"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39" w:right="-106"/>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Lina María Muñoz Mejía </w:t>
            </w:r>
          </w:p>
        </w:tc>
        <w:tc>
          <w:tcPr>
            <w:tcW w:w="1710" w:type="dxa"/>
          </w:tcPr>
          <w:p w14:paraId="2B02E43F"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4" w:right="-111"/>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Daughter</w:t>
            </w:r>
          </w:p>
        </w:tc>
        <w:tc>
          <w:tcPr>
            <w:tcW w:w="1710" w:type="dxa"/>
          </w:tcPr>
          <w:p w14:paraId="28FB1A88"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24"/>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300 S.M.M.L.V </w:t>
            </w:r>
          </w:p>
        </w:tc>
      </w:tr>
      <w:tr w:rsidR="00F628F3" w:rsidRPr="002F71EC" w14:paraId="7E755C70" w14:textId="77777777" w:rsidTr="002F71EC">
        <w:trPr>
          <w:trHeight w:val="270"/>
          <w:jc w:val="center"/>
        </w:trPr>
        <w:tc>
          <w:tcPr>
            <w:tcW w:w="2767" w:type="dxa"/>
          </w:tcPr>
          <w:p w14:paraId="580DD509"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39" w:right="-106"/>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Carlos Andrés Muñoz Mejía </w:t>
            </w:r>
          </w:p>
        </w:tc>
        <w:tc>
          <w:tcPr>
            <w:tcW w:w="1710" w:type="dxa"/>
          </w:tcPr>
          <w:p w14:paraId="25B299E1"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4" w:right="-111"/>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Son</w:t>
            </w:r>
          </w:p>
        </w:tc>
        <w:tc>
          <w:tcPr>
            <w:tcW w:w="1710" w:type="dxa"/>
          </w:tcPr>
          <w:p w14:paraId="4FC61DE3"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24"/>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300 S.M.M.L.V </w:t>
            </w:r>
          </w:p>
        </w:tc>
      </w:tr>
      <w:tr w:rsidR="00F628F3" w:rsidRPr="002F71EC" w14:paraId="28AD54B6" w14:textId="77777777" w:rsidTr="002F71EC">
        <w:trPr>
          <w:trHeight w:val="270"/>
          <w:jc w:val="center"/>
        </w:trPr>
        <w:tc>
          <w:tcPr>
            <w:tcW w:w="2767" w:type="dxa"/>
          </w:tcPr>
          <w:p w14:paraId="77681FC2"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39" w:right="-106"/>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Johana Felisa Muñoz Mejía </w:t>
            </w:r>
          </w:p>
        </w:tc>
        <w:tc>
          <w:tcPr>
            <w:tcW w:w="1710" w:type="dxa"/>
          </w:tcPr>
          <w:p w14:paraId="7097450B"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4" w:right="-111"/>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Daughter </w:t>
            </w:r>
          </w:p>
        </w:tc>
        <w:tc>
          <w:tcPr>
            <w:tcW w:w="1710" w:type="dxa"/>
          </w:tcPr>
          <w:p w14:paraId="7640A2AA"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24"/>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300 S.M.M.L.V </w:t>
            </w:r>
          </w:p>
        </w:tc>
      </w:tr>
      <w:tr w:rsidR="00F628F3" w:rsidRPr="002F71EC" w14:paraId="61F28E80" w14:textId="77777777" w:rsidTr="002F71EC">
        <w:trPr>
          <w:trHeight w:val="121"/>
          <w:jc w:val="center"/>
        </w:trPr>
        <w:tc>
          <w:tcPr>
            <w:tcW w:w="2767" w:type="dxa"/>
          </w:tcPr>
          <w:p w14:paraId="1C9794D3"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39" w:right="-106"/>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Marina Muñoz Gómez </w:t>
            </w:r>
          </w:p>
        </w:tc>
        <w:tc>
          <w:tcPr>
            <w:tcW w:w="1710" w:type="dxa"/>
          </w:tcPr>
          <w:p w14:paraId="7E3519CC"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4" w:right="-111"/>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Sister </w:t>
            </w:r>
          </w:p>
        </w:tc>
        <w:tc>
          <w:tcPr>
            <w:tcW w:w="1710" w:type="dxa"/>
          </w:tcPr>
          <w:p w14:paraId="562B9B52"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24"/>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150 S.M.M.L.V. </w:t>
            </w:r>
          </w:p>
        </w:tc>
      </w:tr>
      <w:tr w:rsidR="00F628F3" w:rsidRPr="002F71EC" w14:paraId="01BBA069" w14:textId="77777777" w:rsidTr="002F71EC">
        <w:trPr>
          <w:trHeight w:val="270"/>
          <w:jc w:val="center"/>
        </w:trPr>
        <w:tc>
          <w:tcPr>
            <w:tcW w:w="2767" w:type="dxa"/>
          </w:tcPr>
          <w:p w14:paraId="3151AC0D"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106"/>
              <w:rPr>
                <w:rFonts w:ascii="Cambria" w:eastAsia="MS Mincho" w:hAnsi="Cambria" w:cstheme="minorHAnsi"/>
                <w:color w:val="000000" w:themeColor="text1"/>
                <w:sz w:val="20"/>
                <w:szCs w:val="20"/>
                <w:bdr w:val="none" w:sz="0" w:space="0" w:color="auto" w:frame="1"/>
                <w:lang w:val="es-CO" w:eastAsia="es-ES"/>
              </w:rPr>
            </w:pPr>
            <w:r w:rsidRPr="002F71EC">
              <w:rPr>
                <w:rFonts w:ascii="Cambria" w:eastAsia="MS Mincho" w:hAnsi="Cambria" w:cstheme="minorHAnsi"/>
                <w:color w:val="000000" w:themeColor="text1"/>
                <w:sz w:val="20"/>
                <w:szCs w:val="20"/>
                <w:bdr w:val="none" w:sz="0" w:space="0" w:color="auto" w:frame="1"/>
                <w:lang w:val="es-CO" w:eastAsia="es-ES"/>
              </w:rPr>
              <w:t xml:space="preserve">Nubia del Socorro Muñoz Gómez </w:t>
            </w:r>
          </w:p>
        </w:tc>
        <w:tc>
          <w:tcPr>
            <w:tcW w:w="1710" w:type="dxa"/>
          </w:tcPr>
          <w:p w14:paraId="2542499D"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4"/>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Sister </w:t>
            </w:r>
          </w:p>
        </w:tc>
        <w:tc>
          <w:tcPr>
            <w:tcW w:w="1710" w:type="dxa"/>
          </w:tcPr>
          <w:p w14:paraId="7B0ECC2C"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150 S.M.M.L.V. </w:t>
            </w:r>
          </w:p>
        </w:tc>
      </w:tr>
      <w:tr w:rsidR="00F628F3" w:rsidRPr="002F71EC" w14:paraId="5EF268F8" w14:textId="77777777" w:rsidTr="002F71EC">
        <w:trPr>
          <w:trHeight w:val="121"/>
          <w:jc w:val="center"/>
        </w:trPr>
        <w:tc>
          <w:tcPr>
            <w:tcW w:w="2767" w:type="dxa"/>
          </w:tcPr>
          <w:p w14:paraId="16058954"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106"/>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Elvia Judith Muñoz Gómez </w:t>
            </w:r>
          </w:p>
        </w:tc>
        <w:tc>
          <w:tcPr>
            <w:tcW w:w="1710" w:type="dxa"/>
          </w:tcPr>
          <w:p w14:paraId="6D72234C"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4"/>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Sister</w:t>
            </w:r>
          </w:p>
        </w:tc>
        <w:tc>
          <w:tcPr>
            <w:tcW w:w="1710" w:type="dxa"/>
          </w:tcPr>
          <w:p w14:paraId="4EC10BE6"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150 S.M.M.L.V. </w:t>
            </w:r>
          </w:p>
        </w:tc>
      </w:tr>
      <w:tr w:rsidR="00F628F3" w:rsidRPr="002F71EC" w14:paraId="57B4852F" w14:textId="77777777" w:rsidTr="002F71EC">
        <w:trPr>
          <w:trHeight w:val="276"/>
          <w:jc w:val="center"/>
        </w:trPr>
        <w:tc>
          <w:tcPr>
            <w:tcW w:w="2767" w:type="dxa"/>
          </w:tcPr>
          <w:p w14:paraId="14B1D9F3"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106"/>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Rubén Darío Muñoz Gómez </w:t>
            </w:r>
          </w:p>
        </w:tc>
        <w:tc>
          <w:tcPr>
            <w:tcW w:w="1710" w:type="dxa"/>
          </w:tcPr>
          <w:p w14:paraId="0602E951"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4"/>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Brother</w:t>
            </w:r>
          </w:p>
        </w:tc>
        <w:tc>
          <w:tcPr>
            <w:tcW w:w="1710" w:type="dxa"/>
          </w:tcPr>
          <w:p w14:paraId="38BD7815"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150 S.M.M.L.V. </w:t>
            </w:r>
          </w:p>
        </w:tc>
      </w:tr>
      <w:tr w:rsidR="00F628F3" w:rsidRPr="002F71EC" w14:paraId="7D67F9A1" w14:textId="77777777" w:rsidTr="002F71EC">
        <w:trPr>
          <w:trHeight w:val="276"/>
          <w:jc w:val="center"/>
        </w:trPr>
        <w:tc>
          <w:tcPr>
            <w:tcW w:w="2767" w:type="dxa"/>
          </w:tcPr>
          <w:p w14:paraId="436647D2"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106"/>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Guillermo León Muñoz Gómez </w:t>
            </w:r>
          </w:p>
        </w:tc>
        <w:tc>
          <w:tcPr>
            <w:tcW w:w="1710" w:type="dxa"/>
          </w:tcPr>
          <w:p w14:paraId="45DE24C5"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4"/>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Brother </w:t>
            </w:r>
          </w:p>
        </w:tc>
        <w:tc>
          <w:tcPr>
            <w:tcW w:w="1710" w:type="dxa"/>
          </w:tcPr>
          <w:p w14:paraId="76357F77"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150 S.M.M.L.V. </w:t>
            </w:r>
          </w:p>
        </w:tc>
      </w:tr>
      <w:tr w:rsidR="00F628F3" w:rsidRPr="002F71EC" w14:paraId="602AFA77" w14:textId="77777777" w:rsidTr="002F71EC">
        <w:trPr>
          <w:trHeight w:val="277"/>
          <w:jc w:val="center"/>
        </w:trPr>
        <w:tc>
          <w:tcPr>
            <w:tcW w:w="2767" w:type="dxa"/>
          </w:tcPr>
          <w:p w14:paraId="18E08A01" w14:textId="77777777" w:rsidR="00F628F3" w:rsidRPr="005357BF"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106"/>
              <w:rPr>
                <w:rFonts w:ascii="Cambria" w:eastAsia="MS Mincho" w:hAnsi="Cambria" w:cstheme="minorHAnsi"/>
                <w:color w:val="000000" w:themeColor="text1"/>
                <w:sz w:val="20"/>
                <w:szCs w:val="20"/>
                <w:bdr w:val="none" w:sz="0" w:space="0" w:color="auto" w:frame="1"/>
                <w:lang w:val="es-CO" w:eastAsia="es-ES"/>
              </w:rPr>
            </w:pPr>
            <w:r w:rsidRPr="005357BF">
              <w:rPr>
                <w:rFonts w:ascii="Cambria" w:eastAsia="MS Mincho" w:hAnsi="Cambria" w:cstheme="minorHAnsi"/>
                <w:color w:val="000000" w:themeColor="text1"/>
                <w:sz w:val="20"/>
                <w:szCs w:val="20"/>
                <w:bdr w:val="none" w:sz="0" w:space="0" w:color="auto" w:frame="1"/>
                <w:lang w:val="es-CO" w:eastAsia="es-ES"/>
              </w:rPr>
              <w:t xml:space="preserve">Omar de Jesús Muñoz Gómez </w:t>
            </w:r>
          </w:p>
        </w:tc>
        <w:tc>
          <w:tcPr>
            <w:tcW w:w="1710" w:type="dxa"/>
          </w:tcPr>
          <w:p w14:paraId="791B0D38"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4"/>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Brother </w:t>
            </w:r>
          </w:p>
        </w:tc>
        <w:tc>
          <w:tcPr>
            <w:tcW w:w="1710" w:type="dxa"/>
          </w:tcPr>
          <w:p w14:paraId="1DD71AC7"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150 S.M.M.L.V </w:t>
            </w:r>
          </w:p>
        </w:tc>
      </w:tr>
      <w:tr w:rsidR="00F628F3" w:rsidRPr="002F71EC" w14:paraId="2EDA02B0" w14:textId="77777777" w:rsidTr="002F71EC">
        <w:trPr>
          <w:trHeight w:val="123"/>
          <w:jc w:val="center"/>
        </w:trPr>
        <w:tc>
          <w:tcPr>
            <w:tcW w:w="2767" w:type="dxa"/>
          </w:tcPr>
          <w:p w14:paraId="6BD78D95"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39" w:right="-106"/>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Jhon Jairo Muñoz Gómez </w:t>
            </w:r>
          </w:p>
        </w:tc>
        <w:tc>
          <w:tcPr>
            <w:tcW w:w="1710" w:type="dxa"/>
          </w:tcPr>
          <w:p w14:paraId="475F6B9D"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hanging="646"/>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Brother </w:t>
            </w:r>
          </w:p>
        </w:tc>
        <w:tc>
          <w:tcPr>
            <w:tcW w:w="1710" w:type="dxa"/>
          </w:tcPr>
          <w:p w14:paraId="32B041D3"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hanging="24"/>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bdr w:val="none" w:sz="0" w:space="0" w:color="auto" w:frame="1"/>
                <w:lang w:eastAsia="es-ES"/>
              </w:rPr>
              <w:t xml:space="preserve">150 S.M.M.L.V </w:t>
            </w:r>
          </w:p>
        </w:tc>
      </w:tr>
    </w:tbl>
    <w:p w14:paraId="7CA5D4E7" w14:textId="77777777" w:rsidR="00F628F3" w:rsidRPr="002F71EC" w:rsidRDefault="00F628F3" w:rsidP="005404B7">
      <w:pPr>
        <w:tabs>
          <w:tab w:val="center" w:pos="720"/>
        </w:tabs>
        <w:suppressAutoHyphens/>
        <w:ind w:left="720" w:right="835"/>
        <w:jc w:val="both"/>
        <w:rPr>
          <w:rFonts w:ascii="Cambria" w:hAnsi="Cambria" w:cstheme="minorHAnsi"/>
          <w:sz w:val="20"/>
          <w:szCs w:val="20"/>
        </w:rPr>
      </w:pPr>
    </w:p>
    <w:p w14:paraId="00E5A040" w14:textId="77777777" w:rsidR="00F628F3" w:rsidRPr="002F71EC" w:rsidRDefault="00F628F3" w:rsidP="002F71EC">
      <w:pPr>
        <w:tabs>
          <w:tab w:val="center" w:pos="720"/>
        </w:tabs>
        <w:suppressAutoHyphens/>
        <w:ind w:left="720" w:right="720"/>
        <w:jc w:val="both"/>
        <w:rPr>
          <w:rFonts w:ascii="Cambria" w:hAnsi="Cambria" w:cstheme="minorHAnsi"/>
          <w:b/>
          <w:bCs/>
          <w:sz w:val="20"/>
          <w:szCs w:val="20"/>
          <w:u w:val="single"/>
        </w:rPr>
      </w:pPr>
      <w:r w:rsidRPr="002F71EC">
        <w:rPr>
          <w:rFonts w:ascii="Cambria" w:hAnsi="Cambria" w:cstheme="minorHAnsi"/>
          <w:b/>
          <w:bCs/>
          <w:sz w:val="20"/>
          <w:szCs w:val="20"/>
          <w:u w:val="single"/>
        </w:rPr>
        <w:t>Impairment or Relevant Violation of Assets or Conventionally Constitutionally Protected Rights</w:t>
      </w:r>
    </w:p>
    <w:p w14:paraId="04417452" w14:textId="77777777" w:rsidR="00F628F3" w:rsidRPr="002F71EC" w:rsidRDefault="00F628F3" w:rsidP="002F71EC">
      <w:pPr>
        <w:tabs>
          <w:tab w:val="center" w:pos="720"/>
        </w:tabs>
        <w:suppressAutoHyphens/>
        <w:ind w:left="720" w:right="720"/>
        <w:jc w:val="both"/>
        <w:rPr>
          <w:rFonts w:ascii="Cambria" w:hAnsi="Cambria" w:cstheme="minorHAnsi"/>
          <w:b/>
          <w:bCs/>
          <w:sz w:val="20"/>
          <w:szCs w:val="20"/>
        </w:rPr>
      </w:pPr>
    </w:p>
    <w:p w14:paraId="5E1822B0" w14:textId="77777777" w:rsidR="00F628F3" w:rsidRPr="002F71EC" w:rsidRDefault="00F628F3" w:rsidP="002F71EC">
      <w:pPr>
        <w:tabs>
          <w:tab w:val="center" w:pos="720"/>
        </w:tabs>
        <w:suppressAutoHyphens/>
        <w:ind w:left="720" w:right="720"/>
        <w:jc w:val="both"/>
        <w:rPr>
          <w:rFonts w:ascii="Cambria" w:hAnsi="Cambria" w:cstheme="minorHAnsi"/>
          <w:sz w:val="20"/>
          <w:szCs w:val="20"/>
        </w:rPr>
      </w:pPr>
      <w:r w:rsidRPr="002F71EC">
        <w:rPr>
          <w:rFonts w:ascii="Cambria" w:hAnsi="Cambria" w:cstheme="minorHAnsi"/>
          <w:sz w:val="20"/>
          <w:szCs w:val="20"/>
        </w:rPr>
        <w:t>For this concept, one hundred (100) current legal monthly minimum wages will be recognized.</w:t>
      </w:r>
    </w:p>
    <w:p w14:paraId="5EF7A86A" w14:textId="77777777" w:rsidR="00F628F3" w:rsidRPr="002F71EC" w:rsidRDefault="00F628F3" w:rsidP="002F71EC">
      <w:pPr>
        <w:tabs>
          <w:tab w:val="center" w:pos="720"/>
        </w:tabs>
        <w:suppressAutoHyphens/>
        <w:ind w:left="720" w:right="720"/>
        <w:jc w:val="both"/>
        <w:rPr>
          <w:rFonts w:ascii="Cambria" w:hAnsi="Cambria" w:cstheme="minorHAnsi"/>
          <w:b/>
          <w:bCs/>
          <w:sz w:val="20"/>
          <w:szCs w:val="20"/>
        </w:rPr>
      </w:pPr>
    </w:p>
    <w:p w14:paraId="5E04C95E" w14:textId="77777777" w:rsidR="00F628F3" w:rsidRPr="002F71EC" w:rsidRDefault="00F628F3" w:rsidP="002F71EC">
      <w:pPr>
        <w:tabs>
          <w:tab w:val="center" w:pos="720"/>
        </w:tabs>
        <w:suppressAutoHyphens/>
        <w:ind w:left="720" w:right="720"/>
        <w:jc w:val="both"/>
        <w:rPr>
          <w:rFonts w:ascii="Cambria" w:hAnsi="Cambria" w:cstheme="minorHAnsi"/>
          <w:b/>
          <w:bCs/>
          <w:sz w:val="20"/>
          <w:szCs w:val="20"/>
          <w:u w:val="single"/>
        </w:rPr>
      </w:pPr>
      <w:r w:rsidRPr="002F71EC">
        <w:rPr>
          <w:rFonts w:ascii="Cambria" w:hAnsi="Cambria" w:cstheme="minorHAnsi"/>
          <w:b/>
          <w:bCs/>
          <w:sz w:val="20"/>
          <w:szCs w:val="20"/>
          <w:u w:val="single"/>
        </w:rPr>
        <w:t>Material Damages</w:t>
      </w:r>
    </w:p>
    <w:p w14:paraId="78ADF356" w14:textId="77777777" w:rsidR="00F628F3" w:rsidRPr="002F71EC" w:rsidRDefault="00F628F3" w:rsidP="005404B7">
      <w:pPr>
        <w:tabs>
          <w:tab w:val="center" w:pos="720"/>
        </w:tabs>
        <w:suppressAutoHyphens/>
        <w:ind w:left="720" w:right="835"/>
        <w:jc w:val="both"/>
        <w:rPr>
          <w:rFonts w:ascii="Cambria" w:hAnsi="Cambria" w:cstheme="minorHAnsi"/>
          <w:b/>
          <w:bCs/>
          <w:sz w:val="20"/>
          <w:szCs w:val="20"/>
        </w:rPr>
      </w:pPr>
    </w:p>
    <w:p w14:paraId="445D226D" w14:textId="77777777" w:rsidR="00F628F3" w:rsidRPr="002F71EC" w:rsidRDefault="00F628F3" w:rsidP="002F71EC">
      <w:pPr>
        <w:tabs>
          <w:tab w:val="center" w:pos="720"/>
        </w:tabs>
        <w:suppressAutoHyphens/>
        <w:ind w:left="720" w:right="720"/>
        <w:jc w:val="both"/>
        <w:rPr>
          <w:rFonts w:ascii="Cambria" w:hAnsi="Cambria" w:cstheme="minorHAnsi"/>
          <w:sz w:val="20"/>
          <w:szCs w:val="20"/>
        </w:rPr>
      </w:pPr>
      <w:r w:rsidRPr="002F71EC">
        <w:rPr>
          <w:rFonts w:ascii="Cambria" w:hAnsi="Cambria" w:cstheme="minorHAnsi"/>
          <w:b/>
          <w:bCs/>
          <w:sz w:val="20"/>
          <w:szCs w:val="20"/>
        </w:rPr>
        <w:t xml:space="preserve">Loss of Earnings: </w:t>
      </w:r>
      <w:r w:rsidRPr="002F71EC">
        <w:rPr>
          <w:rFonts w:ascii="Cambria" w:hAnsi="Cambria" w:cstheme="minorHAnsi"/>
          <w:sz w:val="20"/>
          <w:szCs w:val="20"/>
        </w:rPr>
        <w:t>The values will be recognized according to the indexation of the Consumer Price Index [sic] from 2009 to 2020, in relation to the judgment of February 3, 2009, issued by the Administrative Court of Antioquia within the process: 05001233100019970137201, to the people listed below:</w:t>
      </w:r>
    </w:p>
    <w:p w14:paraId="43FE96ED" w14:textId="77777777" w:rsidR="00F628F3" w:rsidRPr="002F71EC" w:rsidRDefault="00F628F3" w:rsidP="005404B7">
      <w:pPr>
        <w:tabs>
          <w:tab w:val="center" w:pos="720"/>
        </w:tabs>
        <w:suppressAutoHyphens/>
        <w:ind w:left="720" w:right="835"/>
        <w:jc w:val="both"/>
        <w:rPr>
          <w:rFonts w:ascii="Cambria" w:hAnsi="Cambria" w:cstheme="minorHAnsi"/>
          <w:sz w:val="20"/>
          <w:szCs w:val="20"/>
        </w:rPr>
      </w:pPr>
    </w:p>
    <w:tbl>
      <w:tblPr>
        <w:tblStyle w:val="TableGrid"/>
        <w:tblW w:w="6547" w:type="dxa"/>
        <w:jc w:val="center"/>
        <w:tblLook w:val="04A0" w:firstRow="1" w:lastRow="0" w:firstColumn="1" w:lastColumn="0" w:noHBand="0" w:noVBand="1"/>
      </w:tblPr>
      <w:tblGrid>
        <w:gridCol w:w="2829"/>
        <w:gridCol w:w="1617"/>
        <w:gridCol w:w="2101"/>
      </w:tblGrid>
      <w:tr w:rsidR="00F628F3" w:rsidRPr="002F71EC" w14:paraId="1B86018F" w14:textId="77777777" w:rsidTr="002F71EC">
        <w:trPr>
          <w:trHeight w:val="336"/>
          <w:jc w:val="center"/>
        </w:trPr>
        <w:tc>
          <w:tcPr>
            <w:tcW w:w="2829" w:type="dxa"/>
          </w:tcPr>
          <w:p w14:paraId="18F0C815"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8"/>
              <w:rPr>
                <w:rFonts w:ascii="Cambria" w:eastAsia="MS Mincho" w:hAnsi="Cambria" w:cstheme="minorHAnsi"/>
                <w:b/>
                <w:bCs/>
                <w:color w:val="000000" w:themeColor="text1"/>
                <w:sz w:val="20"/>
                <w:szCs w:val="20"/>
                <w:u w:val="single"/>
                <w:bdr w:val="none" w:sz="0" w:space="0" w:color="auto" w:frame="1"/>
                <w:lang w:eastAsia="es-ES"/>
              </w:rPr>
            </w:pPr>
            <w:r w:rsidRPr="002F71EC">
              <w:rPr>
                <w:rFonts w:ascii="Cambria" w:eastAsia="MS Mincho" w:hAnsi="Cambria" w:cstheme="minorHAnsi"/>
                <w:b/>
                <w:bCs/>
                <w:color w:val="000000" w:themeColor="text1"/>
                <w:sz w:val="20"/>
                <w:szCs w:val="20"/>
                <w:u w:val="single"/>
                <w:bdr w:val="none" w:sz="0" w:space="0" w:color="auto" w:frame="1"/>
                <w:lang w:eastAsia="es-ES"/>
              </w:rPr>
              <w:t>NAME</w:t>
            </w:r>
          </w:p>
        </w:tc>
        <w:tc>
          <w:tcPr>
            <w:tcW w:w="1617" w:type="dxa"/>
          </w:tcPr>
          <w:p w14:paraId="68389A21"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1" w:right="-12" w:firstLine="31"/>
              <w:rPr>
                <w:rFonts w:ascii="Cambria" w:eastAsia="MS Mincho" w:hAnsi="Cambria" w:cstheme="minorHAnsi"/>
                <w:b/>
                <w:bCs/>
                <w:color w:val="000000" w:themeColor="text1"/>
                <w:sz w:val="20"/>
                <w:szCs w:val="20"/>
                <w:u w:val="single"/>
                <w:bdr w:val="none" w:sz="0" w:space="0" w:color="auto" w:frame="1"/>
                <w:lang w:eastAsia="es-ES"/>
              </w:rPr>
            </w:pPr>
            <w:r w:rsidRPr="002F71EC">
              <w:rPr>
                <w:rFonts w:ascii="Cambria" w:eastAsia="MS Mincho" w:hAnsi="Cambria" w:cstheme="minorHAnsi"/>
                <w:b/>
                <w:bCs/>
                <w:color w:val="000000" w:themeColor="text1"/>
                <w:sz w:val="20"/>
                <w:szCs w:val="20"/>
                <w:u w:val="single"/>
                <w:bdr w:val="none" w:sz="0" w:space="0" w:color="auto" w:frame="1"/>
                <w:lang w:eastAsia="es-ES"/>
              </w:rPr>
              <w:t>RELATIONSHIP</w:t>
            </w:r>
          </w:p>
        </w:tc>
        <w:tc>
          <w:tcPr>
            <w:tcW w:w="2101" w:type="dxa"/>
          </w:tcPr>
          <w:p w14:paraId="5E7DCF49"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46" w:right="720" w:firstLine="24"/>
              <w:rPr>
                <w:rFonts w:ascii="Cambria" w:eastAsia="MS Mincho" w:hAnsi="Cambria" w:cstheme="minorHAnsi"/>
                <w:b/>
                <w:bCs/>
                <w:color w:val="000000" w:themeColor="text1"/>
                <w:sz w:val="20"/>
                <w:szCs w:val="20"/>
                <w:u w:val="single"/>
                <w:bdr w:val="none" w:sz="0" w:space="0" w:color="auto" w:frame="1"/>
                <w:lang w:eastAsia="es-ES"/>
              </w:rPr>
            </w:pPr>
            <w:r w:rsidRPr="002F71EC">
              <w:rPr>
                <w:rFonts w:ascii="Cambria" w:eastAsia="MS Mincho" w:hAnsi="Cambria" w:cstheme="minorHAnsi"/>
                <w:b/>
                <w:bCs/>
                <w:color w:val="000000" w:themeColor="text1"/>
                <w:sz w:val="20"/>
                <w:szCs w:val="20"/>
                <w:u w:val="single"/>
                <w:bdr w:val="none" w:sz="0" w:space="0" w:color="auto" w:frame="1"/>
                <w:lang w:eastAsia="es-ES"/>
              </w:rPr>
              <w:t>AMOUNT</w:t>
            </w:r>
          </w:p>
        </w:tc>
      </w:tr>
      <w:tr w:rsidR="00F628F3" w:rsidRPr="002F71EC" w14:paraId="6E5A2757" w14:textId="77777777" w:rsidTr="002F71EC">
        <w:trPr>
          <w:trHeight w:val="296"/>
          <w:jc w:val="center"/>
        </w:trPr>
        <w:tc>
          <w:tcPr>
            <w:tcW w:w="2829" w:type="dxa"/>
          </w:tcPr>
          <w:p w14:paraId="7EF67CD9"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8"/>
              <w:jc w:val="both"/>
              <w:rPr>
                <w:rFonts w:ascii="Cambria" w:eastAsia="MS Mincho" w:hAnsi="Cambria" w:cstheme="minorHAnsi"/>
                <w:color w:val="000000" w:themeColor="text1"/>
                <w:sz w:val="20"/>
                <w:szCs w:val="20"/>
                <w:u w:val="single"/>
                <w:bdr w:val="none" w:sz="0" w:space="0" w:color="auto" w:frame="1"/>
                <w:lang w:val="es-CO" w:eastAsia="es-ES"/>
              </w:rPr>
            </w:pPr>
            <w:r w:rsidRPr="002F71EC">
              <w:rPr>
                <w:rFonts w:ascii="Cambria" w:eastAsia="MS Mincho" w:hAnsi="Cambria" w:cstheme="minorHAnsi"/>
                <w:color w:val="000000" w:themeColor="text1"/>
                <w:sz w:val="20"/>
                <w:szCs w:val="20"/>
                <w:u w:val="single"/>
                <w:bdr w:val="none" w:sz="0" w:space="0" w:color="auto" w:frame="1"/>
                <w:lang w:val="es-CO" w:eastAsia="es-ES"/>
              </w:rPr>
              <w:t>María Patricia Mejía de Muñoz</w:t>
            </w:r>
          </w:p>
        </w:tc>
        <w:tc>
          <w:tcPr>
            <w:tcW w:w="1617" w:type="dxa"/>
          </w:tcPr>
          <w:p w14:paraId="51208FFC"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1" w:right="-12" w:firstLine="31"/>
              <w:jc w:val="both"/>
              <w:rPr>
                <w:rFonts w:ascii="Cambria" w:eastAsia="MS Mincho" w:hAnsi="Cambria" w:cstheme="minorHAnsi"/>
                <w:color w:val="000000" w:themeColor="text1"/>
                <w:sz w:val="20"/>
                <w:szCs w:val="20"/>
                <w:u w:val="single"/>
                <w:bdr w:val="none" w:sz="0" w:space="0" w:color="auto" w:frame="1"/>
                <w:lang w:eastAsia="es-ES"/>
              </w:rPr>
            </w:pPr>
            <w:r w:rsidRPr="002F71EC">
              <w:rPr>
                <w:rFonts w:ascii="Cambria" w:eastAsia="MS Mincho" w:hAnsi="Cambria" w:cstheme="minorHAnsi"/>
                <w:color w:val="000000" w:themeColor="text1"/>
                <w:sz w:val="20"/>
                <w:szCs w:val="20"/>
                <w:u w:val="single"/>
                <w:bdr w:val="none" w:sz="0" w:space="0" w:color="auto" w:frame="1"/>
                <w:lang w:eastAsia="es-ES"/>
              </w:rPr>
              <w:t>Spouse</w:t>
            </w:r>
          </w:p>
        </w:tc>
        <w:tc>
          <w:tcPr>
            <w:tcW w:w="2101" w:type="dxa"/>
          </w:tcPr>
          <w:p w14:paraId="694099D3"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46" w:right="-80" w:firstLine="24"/>
              <w:jc w:val="both"/>
              <w:rPr>
                <w:rFonts w:ascii="Cambria" w:eastAsia="MS Mincho" w:hAnsi="Cambria" w:cstheme="minorHAnsi"/>
                <w:color w:val="000000" w:themeColor="text1"/>
                <w:sz w:val="20"/>
                <w:szCs w:val="20"/>
                <w:u w:val="single"/>
                <w:bdr w:val="none" w:sz="0" w:space="0" w:color="auto" w:frame="1"/>
                <w:lang w:eastAsia="es-ES"/>
              </w:rPr>
            </w:pPr>
            <w:r w:rsidRPr="002F71EC">
              <w:rPr>
                <w:rFonts w:ascii="Cambria" w:eastAsia="MS Mincho" w:hAnsi="Cambria" w:cstheme="minorHAnsi"/>
                <w:color w:val="000000" w:themeColor="text1"/>
                <w:sz w:val="20"/>
                <w:szCs w:val="20"/>
                <w:u w:val="single"/>
                <w:bdr w:val="none" w:sz="0" w:space="0" w:color="auto" w:frame="1"/>
                <w:lang w:eastAsia="es-ES"/>
              </w:rPr>
              <w:t>$141 115. 187,01</w:t>
            </w:r>
          </w:p>
        </w:tc>
      </w:tr>
      <w:tr w:rsidR="00F628F3" w:rsidRPr="002F71EC" w14:paraId="0F0FACC3" w14:textId="77777777" w:rsidTr="002F71EC">
        <w:trPr>
          <w:trHeight w:val="350"/>
          <w:jc w:val="center"/>
        </w:trPr>
        <w:tc>
          <w:tcPr>
            <w:tcW w:w="2829" w:type="dxa"/>
          </w:tcPr>
          <w:p w14:paraId="13A41FD5"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8"/>
              <w:jc w:val="both"/>
              <w:rPr>
                <w:rFonts w:ascii="Cambria" w:eastAsia="MS Mincho" w:hAnsi="Cambria" w:cstheme="minorHAnsi"/>
                <w:color w:val="000000" w:themeColor="text1"/>
                <w:sz w:val="20"/>
                <w:szCs w:val="20"/>
                <w:u w:val="single"/>
                <w:bdr w:val="none" w:sz="0" w:space="0" w:color="auto" w:frame="1"/>
                <w:lang w:eastAsia="es-ES"/>
              </w:rPr>
            </w:pPr>
            <w:r w:rsidRPr="002F71EC">
              <w:rPr>
                <w:rFonts w:ascii="Cambria" w:eastAsia="MS Mincho" w:hAnsi="Cambria" w:cstheme="minorHAnsi"/>
                <w:color w:val="000000" w:themeColor="text1"/>
                <w:sz w:val="20"/>
                <w:szCs w:val="20"/>
                <w:u w:val="single"/>
                <w:bdr w:val="none" w:sz="0" w:space="0" w:color="auto" w:frame="1"/>
                <w:lang w:eastAsia="es-ES"/>
              </w:rPr>
              <w:t>Lina María Muñoz Mejía</w:t>
            </w:r>
          </w:p>
        </w:tc>
        <w:tc>
          <w:tcPr>
            <w:tcW w:w="1617" w:type="dxa"/>
          </w:tcPr>
          <w:p w14:paraId="1A65DF29"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1" w:right="-12" w:firstLine="31"/>
              <w:jc w:val="both"/>
              <w:rPr>
                <w:rFonts w:ascii="Cambria" w:eastAsia="MS Mincho" w:hAnsi="Cambria" w:cstheme="minorHAnsi"/>
                <w:color w:val="000000" w:themeColor="text1"/>
                <w:sz w:val="20"/>
                <w:szCs w:val="20"/>
                <w:u w:val="single"/>
                <w:bdr w:val="none" w:sz="0" w:space="0" w:color="auto" w:frame="1"/>
                <w:lang w:eastAsia="es-ES"/>
              </w:rPr>
            </w:pPr>
            <w:r w:rsidRPr="002F71EC">
              <w:rPr>
                <w:rFonts w:ascii="Cambria" w:eastAsia="MS Mincho" w:hAnsi="Cambria" w:cstheme="minorHAnsi"/>
                <w:color w:val="000000" w:themeColor="text1"/>
                <w:sz w:val="20"/>
                <w:szCs w:val="20"/>
                <w:u w:val="single"/>
                <w:bdr w:val="none" w:sz="0" w:space="0" w:color="auto" w:frame="1"/>
                <w:lang w:eastAsia="es-ES"/>
              </w:rPr>
              <w:t>Daughter</w:t>
            </w:r>
          </w:p>
        </w:tc>
        <w:tc>
          <w:tcPr>
            <w:tcW w:w="2101" w:type="dxa"/>
          </w:tcPr>
          <w:p w14:paraId="512EE4E3"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46" w:right="-80" w:firstLine="24"/>
              <w:jc w:val="both"/>
              <w:rPr>
                <w:rFonts w:ascii="Cambria" w:eastAsia="MS Mincho" w:hAnsi="Cambria" w:cstheme="minorHAnsi"/>
                <w:color w:val="000000" w:themeColor="text1"/>
                <w:sz w:val="20"/>
                <w:szCs w:val="20"/>
                <w:u w:val="single"/>
                <w:bdr w:val="none" w:sz="0" w:space="0" w:color="auto" w:frame="1"/>
                <w:lang w:eastAsia="es-ES"/>
              </w:rPr>
            </w:pPr>
            <w:r w:rsidRPr="002F71EC">
              <w:rPr>
                <w:rFonts w:ascii="Cambria" w:eastAsia="MS Mincho" w:hAnsi="Cambria" w:cstheme="minorHAnsi"/>
                <w:color w:val="000000" w:themeColor="text1"/>
                <w:sz w:val="20"/>
                <w:szCs w:val="20"/>
                <w:u w:val="single"/>
                <w:bdr w:val="none" w:sz="0" w:space="0" w:color="auto" w:frame="1"/>
                <w:lang w:eastAsia="es-ES"/>
              </w:rPr>
              <w:t>$24.669.046,06</w:t>
            </w:r>
          </w:p>
        </w:tc>
      </w:tr>
      <w:tr w:rsidR="00F628F3" w:rsidRPr="002F71EC" w14:paraId="1324013A" w14:textId="77777777" w:rsidTr="002F71EC">
        <w:trPr>
          <w:trHeight w:val="336"/>
          <w:jc w:val="center"/>
        </w:trPr>
        <w:tc>
          <w:tcPr>
            <w:tcW w:w="2829" w:type="dxa"/>
          </w:tcPr>
          <w:p w14:paraId="67637593"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8"/>
              <w:jc w:val="both"/>
              <w:rPr>
                <w:rFonts w:ascii="Cambria" w:eastAsia="MS Mincho" w:hAnsi="Cambria" w:cstheme="minorHAnsi"/>
                <w:color w:val="000000" w:themeColor="text1"/>
                <w:sz w:val="20"/>
                <w:szCs w:val="20"/>
                <w:u w:val="single"/>
                <w:bdr w:val="none" w:sz="0" w:space="0" w:color="auto" w:frame="1"/>
                <w:lang w:eastAsia="es-ES"/>
              </w:rPr>
            </w:pPr>
            <w:r w:rsidRPr="002F71EC">
              <w:rPr>
                <w:rFonts w:ascii="Cambria" w:eastAsia="MS Mincho" w:hAnsi="Cambria" w:cstheme="minorHAnsi"/>
                <w:color w:val="000000" w:themeColor="text1"/>
                <w:sz w:val="20"/>
                <w:szCs w:val="20"/>
                <w:u w:val="single"/>
                <w:bdr w:val="none" w:sz="0" w:space="0" w:color="auto" w:frame="1"/>
                <w:lang w:eastAsia="es-ES"/>
              </w:rPr>
              <w:t>Carlos Andrés Muñoz Mejía</w:t>
            </w:r>
          </w:p>
        </w:tc>
        <w:tc>
          <w:tcPr>
            <w:tcW w:w="1617" w:type="dxa"/>
          </w:tcPr>
          <w:p w14:paraId="6DA28634"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1" w:right="-12" w:firstLine="31"/>
              <w:jc w:val="both"/>
              <w:rPr>
                <w:rFonts w:ascii="Cambria" w:eastAsia="MS Mincho" w:hAnsi="Cambria" w:cstheme="minorHAnsi"/>
                <w:color w:val="000000" w:themeColor="text1"/>
                <w:sz w:val="20"/>
                <w:szCs w:val="20"/>
                <w:u w:val="single"/>
                <w:bdr w:val="none" w:sz="0" w:space="0" w:color="auto" w:frame="1"/>
                <w:lang w:eastAsia="es-ES"/>
              </w:rPr>
            </w:pPr>
            <w:r w:rsidRPr="002F71EC">
              <w:rPr>
                <w:rFonts w:ascii="Cambria" w:eastAsia="MS Mincho" w:hAnsi="Cambria" w:cstheme="minorHAnsi"/>
                <w:color w:val="000000" w:themeColor="text1"/>
                <w:sz w:val="20"/>
                <w:szCs w:val="20"/>
                <w:u w:val="single"/>
                <w:bdr w:val="none" w:sz="0" w:space="0" w:color="auto" w:frame="1"/>
                <w:lang w:eastAsia="es-ES"/>
              </w:rPr>
              <w:t>Son</w:t>
            </w:r>
          </w:p>
        </w:tc>
        <w:tc>
          <w:tcPr>
            <w:tcW w:w="2101" w:type="dxa"/>
          </w:tcPr>
          <w:p w14:paraId="0F03781F" w14:textId="2E2D8B91"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46" w:right="-80" w:firstLine="24"/>
              <w:jc w:val="both"/>
              <w:rPr>
                <w:rFonts w:ascii="Cambria" w:eastAsia="MS Mincho" w:hAnsi="Cambria" w:cstheme="minorHAnsi"/>
                <w:color w:val="000000" w:themeColor="text1"/>
                <w:sz w:val="20"/>
                <w:szCs w:val="20"/>
                <w:u w:val="single"/>
                <w:bdr w:val="none" w:sz="0" w:space="0" w:color="auto" w:frame="1"/>
                <w:lang w:eastAsia="es-ES"/>
              </w:rPr>
            </w:pPr>
            <w:r w:rsidRPr="002F71EC">
              <w:rPr>
                <w:rFonts w:ascii="Cambria" w:eastAsia="MS Mincho" w:hAnsi="Cambria" w:cstheme="minorHAnsi"/>
                <w:color w:val="000000" w:themeColor="text1"/>
                <w:sz w:val="20"/>
                <w:szCs w:val="20"/>
                <w:u w:val="single"/>
                <w:bdr w:val="none" w:sz="0" w:space="0" w:color="auto" w:frame="1"/>
                <w:lang w:eastAsia="es-ES"/>
              </w:rPr>
              <w:t>$3</w:t>
            </w:r>
            <w:r w:rsidR="00D92D84">
              <w:rPr>
                <w:rFonts w:ascii="Cambria" w:eastAsia="MS Mincho" w:hAnsi="Cambria" w:cstheme="minorHAnsi"/>
                <w:color w:val="000000" w:themeColor="text1"/>
                <w:sz w:val="20"/>
                <w:szCs w:val="20"/>
                <w:u w:val="single"/>
                <w:bdr w:val="none" w:sz="0" w:space="0" w:color="auto" w:frame="1"/>
                <w:lang w:eastAsia="es-ES"/>
              </w:rPr>
              <w:t>5</w:t>
            </w:r>
            <w:r w:rsidRPr="002F71EC">
              <w:rPr>
                <w:rFonts w:ascii="Cambria" w:eastAsia="MS Mincho" w:hAnsi="Cambria" w:cstheme="minorHAnsi"/>
                <w:color w:val="000000" w:themeColor="text1"/>
                <w:sz w:val="20"/>
                <w:szCs w:val="20"/>
                <w:u w:val="single"/>
                <w:bdr w:val="none" w:sz="0" w:space="0" w:color="auto" w:frame="1"/>
                <w:lang w:eastAsia="es-ES"/>
              </w:rPr>
              <w:t>.095,539,73</w:t>
            </w:r>
          </w:p>
        </w:tc>
      </w:tr>
      <w:tr w:rsidR="00F628F3" w:rsidRPr="002F71EC" w14:paraId="16E0F92E" w14:textId="77777777" w:rsidTr="002F71EC">
        <w:trPr>
          <w:trHeight w:val="350"/>
          <w:jc w:val="center"/>
        </w:trPr>
        <w:tc>
          <w:tcPr>
            <w:tcW w:w="2829" w:type="dxa"/>
          </w:tcPr>
          <w:p w14:paraId="674FB7E1"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8"/>
              <w:jc w:val="both"/>
              <w:rPr>
                <w:rFonts w:ascii="Cambria" w:eastAsia="MS Mincho" w:hAnsi="Cambria" w:cstheme="minorHAnsi"/>
                <w:color w:val="000000" w:themeColor="text1"/>
                <w:sz w:val="20"/>
                <w:szCs w:val="20"/>
                <w:u w:val="single"/>
                <w:bdr w:val="none" w:sz="0" w:space="0" w:color="auto" w:frame="1"/>
                <w:lang w:eastAsia="es-ES"/>
              </w:rPr>
            </w:pPr>
            <w:r w:rsidRPr="002F71EC">
              <w:rPr>
                <w:rFonts w:ascii="Cambria" w:eastAsia="MS Mincho" w:hAnsi="Cambria" w:cstheme="minorHAnsi"/>
                <w:color w:val="000000" w:themeColor="text1"/>
                <w:sz w:val="20"/>
                <w:szCs w:val="20"/>
                <w:u w:val="single"/>
                <w:bdr w:val="none" w:sz="0" w:space="0" w:color="auto" w:frame="1"/>
                <w:lang w:eastAsia="es-ES"/>
              </w:rPr>
              <w:t xml:space="preserve"> Johana Felisa Muñoz Mejía</w:t>
            </w:r>
          </w:p>
        </w:tc>
        <w:tc>
          <w:tcPr>
            <w:tcW w:w="1617" w:type="dxa"/>
          </w:tcPr>
          <w:p w14:paraId="784E1A36"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1" w:right="-12" w:firstLine="31"/>
              <w:jc w:val="both"/>
              <w:rPr>
                <w:rFonts w:ascii="Cambria" w:eastAsia="MS Mincho" w:hAnsi="Cambria" w:cstheme="minorHAnsi"/>
                <w:color w:val="000000" w:themeColor="text1"/>
                <w:sz w:val="20"/>
                <w:szCs w:val="20"/>
                <w:u w:val="single"/>
                <w:bdr w:val="none" w:sz="0" w:space="0" w:color="auto" w:frame="1"/>
                <w:lang w:eastAsia="es-ES"/>
              </w:rPr>
            </w:pPr>
            <w:r w:rsidRPr="002F71EC">
              <w:rPr>
                <w:rFonts w:ascii="Cambria" w:eastAsia="MS Mincho" w:hAnsi="Cambria" w:cstheme="minorHAnsi"/>
                <w:color w:val="000000" w:themeColor="text1"/>
                <w:sz w:val="20"/>
                <w:szCs w:val="20"/>
                <w:u w:val="single"/>
                <w:bdr w:val="none" w:sz="0" w:space="0" w:color="auto" w:frame="1"/>
                <w:lang w:eastAsia="es-ES"/>
              </w:rPr>
              <w:t>Daughter</w:t>
            </w:r>
          </w:p>
        </w:tc>
        <w:tc>
          <w:tcPr>
            <w:tcW w:w="2101" w:type="dxa"/>
          </w:tcPr>
          <w:p w14:paraId="675083E6"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46" w:right="-80" w:firstLine="24"/>
              <w:jc w:val="both"/>
              <w:rPr>
                <w:rFonts w:ascii="Cambria" w:eastAsia="MS Mincho" w:hAnsi="Cambria" w:cstheme="minorHAnsi"/>
                <w:color w:val="000000" w:themeColor="text1"/>
                <w:sz w:val="20"/>
                <w:szCs w:val="20"/>
                <w:bdr w:val="none" w:sz="0" w:space="0" w:color="auto" w:frame="1"/>
                <w:lang w:eastAsia="es-ES"/>
              </w:rPr>
            </w:pPr>
            <w:r w:rsidRPr="002F71EC">
              <w:rPr>
                <w:rFonts w:ascii="Cambria" w:eastAsia="MS Mincho" w:hAnsi="Cambria" w:cstheme="minorHAnsi"/>
                <w:color w:val="000000" w:themeColor="text1"/>
                <w:sz w:val="20"/>
                <w:szCs w:val="20"/>
                <w:u w:val="single"/>
                <w:bdr w:val="none" w:sz="0" w:space="0" w:color="auto" w:frame="1"/>
                <w:lang w:eastAsia="es-ES"/>
              </w:rPr>
              <w:t>$38.802.643,18</w:t>
            </w:r>
          </w:p>
        </w:tc>
      </w:tr>
    </w:tbl>
    <w:p w14:paraId="4FC41F65" w14:textId="77777777" w:rsidR="00F628F3" w:rsidRPr="002F71EC" w:rsidRDefault="00F628F3" w:rsidP="005404B7">
      <w:pPr>
        <w:tabs>
          <w:tab w:val="center" w:pos="720"/>
        </w:tabs>
        <w:suppressAutoHyphens/>
        <w:ind w:left="720" w:right="835"/>
        <w:jc w:val="both"/>
        <w:rPr>
          <w:rFonts w:ascii="Cambria" w:hAnsi="Cambria" w:cstheme="minorHAnsi"/>
          <w:sz w:val="20"/>
          <w:szCs w:val="20"/>
        </w:rPr>
      </w:pPr>
    </w:p>
    <w:p w14:paraId="31F53CAF" w14:textId="77777777" w:rsidR="00F628F3" w:rsidRPr="002F71EC" w:rsidRDefault="00F628F3" w:rsidP="002F71EC">
      <w:pPr>
        <w:tabs>
          <w:tab w:val="center" w:pos="720"/>
        </w:tabs>
        <w:suppressAutoHyphens/>
        <w:ind w:left="720" w:right="720"/>
        <w:jc w:val="both"/>
        <w:rPr>
          <w:rFonts w:ascii="Cambria" w:hAnsi="Cambria" w:cstheme="minorHAnsi"/>
          <w:sz w:val="20"/>
          <w:szCs w:val="20"/>
        </w:rPr>
      </w:pPr>
      <w:r w:rsidRPr="002F71EC">
        <w:rPr>
          <w:rFonts w:ascii="Cambria" w:hAnsi="Cambria" w:cstheme="minorHAnsi"/>
          <w:sz w:val="20"/>
          <w:szCs w:val="20"/>
        </w:rPr>
        <w:t>The values proposed for material damages will be indexed and presented before the Internal Conciliation Committee of the National Police before the conciliation hearing, which will be held before the Attorney General's Office.</w:t>
      </w:r>
    </w:p>
    <w:p w14:paraId="2825DAFF" w14:textId="77777777" w:rsidR="00F628F3" w:rsidRPr="002F71EC" w:rsidRDefault="00F628F3" w:rsidP="002F71EC">
      <w:pPr>
        <w:tabs>
          <w:tab w:val="center" w:pos="720"/>
        </w:tabs>
        <w:suppressAutoHyphens/>
        <w:ind w:left="720" w:right="720"/>
        <w:jc w:val="both"/>
        <w:rPr>
          <w:rFonts w:ascii="Cambria" w:hAnsi="Cambria" w:cstheme="minorHAnsi"/>
          <w:b/>
          <w:bCs/>
          <w:sz w:val="20"/>
          <w:szCs w:val="20"/>
        </w:rPr>
      </w:pPr>
    </w:p>
    <w:p w14:paraId="4F4F1ECF" w14:textId="1A282B45" w:rsidR="00F628F3" w:rsidRDefault="00F628F3" w:rsidP="002F71EC">
      <w:pPr>
        <w:tabs>
          <w:tab w:val="center" w:pos="720"/>
        </w:tabs>
        <w:suppressAutoHyphens/>
        <w:ind w:left="720" w:right="720"/>
        <w:jc w:val="both"/>
        <w:rPr>
          <w:rFonts w:ascii="Cambria" w:hAnsi="Cambria" w:cstheme="minorHAnsi"/>
          <w:b/>
          <w:bCs/>
          <w:sz w:val="20"/>
          <w:szCs w:val="20"/>
        </w:rPr>
      </w:pPr>
      <w:r w:rsidRPr="002F71EC">
        <w:rPr>
          <w:rFonts w:ascii="Cambria" w:hAnsi="Cambria" w:cstheme="minorHAnsi"/>
          <w:b/>
          <w:bCs/>
          <w:sz w:val="20"/>
          <w:szCs w:val="20"/>
        </w:rPr>
        <w:t>SIXTH: APPROVAL AND MONITORING</w:t>
      </w:r>
    </w:p>
    <w:p w14:paraId="1210BD67" w14:textId="77777777" w:rsidR="002F71EC" w:rsidRPr="002F71EC" w:rsidRDefault="002F71EC" w:rsidP="002F71EC">
      <w:pPr>
        <w:tabs>
          <w:tab w:val="center" w:pos="720"/>
        </w:tabs>
        <w:suppressAutoHyphens/>
        <w:ind w:left="720" w:right="720"/>
        <w:jc w:val="both"/>
        <w:rPr>
          <w:rFonts w:ascii="Cambria" w:hAnsi="Cambria" w:cstheme="minorHAnsi"/>
          <w:b/>
          <w:bCs/>
          <w:sz w:val="20"/>
          <w:szCs w:val="20"/>
        </w:rPr>
      </w:pPr>
    </w:p>
    <w:p w14:paraId="295DD18E" w14:textId="273ED466" w:rsidR="00F628F3"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sidRPr="002F71EC">
        <w:rPr>
          <w:rFonts w:ascii="Cambria" w:eastAsia="MS Mincho" w:hAnsi="Cambria"/>
          <w:sz w:val="20"/>
          <w:szCs w:val="20"/>
        </w:rPr>
        <w:t>The parties request that the Inter-American Commission on Human Rights approves this agreement and supervises its implementation.</w:t>
      </w:r>
    </w:p>
    <w:p w14:paraId="30672330" w14:textId="77777777" w:rsidR="002F71EC" w:rsidRPr="002F71EC" w:rsidRDefault="002F71EC" w:rsidP="002F71E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p>
    <w:p w14:paraId="0F3CECB6" w14:textId="7FBDA743" w:rsidR="00F628F3"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sidRPr="002F71EC">
        <w:rPr>
          <w:rFonts w:ascii="Cambria" w:eastAsia="MS Mincho" w:hAnsi="Cambria"/>
          <w:sz w:val="20"/>
          <w:szCs w:val="20"/>
        </w:rPr>
        <w:t>This agreement was endorsed by the state entities committed to carrying out the reparation measures.</w:t>
      </w:r>
    </w:p>
    <w:p w14:paraId="29C6AE17" w14:textId="77777777" w:rsidR="002F71EC" w:rsidRPr="002F71EC" w:rsidRDefault="002F71EC" w:rsidP="002F71E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p>
    <w:p w14:paraId="2F51B778"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sidRPr="002F71EC">
        <w:rPr>
          <w:rFonts w:ascii="Cambria" w:eastAsia="MS Mincho" w:hAnsi="Cambria"/>
          <w:sz w:val="20"/>
          <w:szCs w:val="20"/>
        </w:rPr>
        <w:t>Signed in three copies, in the city of Bogota D.C. on the fourth (4) day of the month of March 2021.</w:t>
      </w:r>
    </w:p>
    <w:p w14:paraId="6CF836A8" w14:textId="77777777" w:rsidR="00F628F3" w:rsidRPr="002F71EC" w:rsidRDefault="00F628F3" w:rsidP="005404B7">
      <w:pPr>
        <w:jc w:val="both"/>
        <w:rPr>
          <w:rFonts w:ascii="Cambria" w:eastAsia="MS Mincho" w:hAnsi="Cambria"/>
          <w:sz w:val="20"/>
          <w:szCs w:val="20"/>
        </w:rPr>
      </w:pPr>
    </w:p>
    <w:p w14:paraId="0955B07D" w14:textId="77777777" w:rsidR="00F628F3" w:rsidRPr="00D843AC" w:rsidRDefault="00F628F3" w:rsidP="002F71EC">
      <w:pPr>
        <w:pStyle w:val="ListParagraph"/>
        <w:numPr>
          <w:ilvl w:val="0"/>
          <w:numId w:val="62"/>
        </w:numPr>
        <w:ind w:left="0" w:firstLine="720"/>
        <w:jc w:val="both"/>
        <w:rPr>
          <w:rFonts w:eastAsia="MS Mincho"/>
          <w:b/>
          <w:sz w:val="20"/>
          <w:szCs w:val="20"/>
        </w:rPr>
      </w:pPr>
      <w:r w:rsidRPr="00D843AC">
        <w:rPr>
          <w:rFonts w:eastAsia="MS Mincho"/>
          <w:b/>
          <w:sz w:val="20"/>
          <w:szCs w:val="20"/>
        </w:rPr>
        <w:t>DETERMINATION OF COMPATIBILITY AND COMPLIANCE</w:t>
      </w:r>
    </w:p>
    <w:p w14:paraId="37605CCA" w14:textId="77777777" w:rsidR="00F628F3" w:rsidRPr="00D843A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both"/>
        <w:rPr>
          <w:rFonts w:ascii="Cambria" w:eastAsia="MS Mincho" w:hAnsi="Cambria"/>
          <w:sz w:val="20"/>
          <w:szCs w:val="20"/>
        </w:rPr>
      </w:pPr>
    </w:p>
    <w:p w14:paraId="6F318602" w14:textId="59EEDFF4" w:rsidR="002F71EC" w:rsidRPr="00D843AC" w:rsidRDefault="00F628F3" w:rsidP="002F71E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bdr w:val="none" w:sz="0" w:space="0" w:color="auto" w:frame="1"/>
        </w:rPr>
      </w:pPr>
      <w:r w:rsidRPr="00D843AC">
        <w:rPr>
          <w:rFonts w:eastAsia="MS Mincho" w:cstheme="minorHAnsi"/>
          <w:color w:val="000000" w:themeColor="text1"/>
          <w:sz w:val="20"/>
          <w:szCs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of carrying out this procedure expresses the good faith of the State to comply with the purposes and objectives of the Convention by virtue of the principle </w:t>
      </w:r>
      <w:r w:rsidRPr="00D843AC">
        <w:rPr>
          <w:rFonts w:eastAsia="MS Mincho" w:cstheme="minorHAnsi"/>
          <w:i/>
          <w:iCs/>
          <w:color w:val="000000" w:themeColor="text1"/>
          <w:sz w:val="20"/>
          <w:szCs w:val="20"/>
          <w:bdr w:val="none" w:sz="0" w:space="0" w:color="auto" w:frame="1"/>
        </w:rPr>
        <w:t>pacta sunt servanda</w:t>
      </w:r>
      <w:r w:rsidRPr="00D843AC">
        <w:rPr>
          <w:rFonts w:eastAsia="MS Mincho" w:cstheme="minorHAnsi"/>
          <w:color w:val="000000" w:themeColor="text1"/>
          <w:sz w:val="20"/>
          <w:szCs w:val="20"/>
          <w:bdr w:val="none" w:sz="0" w:space="0" w:color="auto" w:frame="1"/>
        </w:rPr>
        <w:t>, by which the States must comply in good faith with the obligations assumed in the treaties.</w:t>
      </w:r>
      <w:r w:rsidRPr="00D843AC">
        <w:rPr>
          <w:rStyle w:val="FootnoteReference"/>
          <w:rFonts w:eastAsia="MS Mincho" w:cstheme="minorHAnsi"/>
          <w:color w:val="000000" w:themeColor="text1"/>
          <w:sz w:val="20"/>
          <w:szCs w:val="20"/>
          <w:bdr w:val="none" w:sz="0" w:space="0" w:color="auto" w:frame="1"/>
        </w:rPr>
        <w:footnoteReference w:id="6"/>
      </w:r>
      <w:r w:rsidRPr="00D843AC">
        <w:rPr>
          <w:rFonts w:eastAsia="MS Mincho" w:cstheme="minorHAnsi"/>
          <w:color w:val="000000" w:themeColor="text1"/>
          <w:sz w:val="20"/>
          <w:szCs w:val="20"/>
          <w:bdr w:val="none" w:sz="0" w:space="0" w:color="auto" w:frame="1"/>
        </w:rPr>
        <w:t xml:space="preserve"> It also wishes to reiterate that the friendly settlement procedure contemplated in the Convention allows the termination of individual cases in a non-contentious manner, and has shown, in cases involving several countries, to offer an important vehicle for settlement, which can be used by both parties. </w:t>
      </w:r>
    </w:p>
    <w:p w14:paraId="3C127CC4" w14:textId="77777777" w:rsidR="002F71EC" w:rsidRPr="00D843AC" w:rsidRDefault="002F71EC" w:rsidP="002F71EC">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cstheme="minorHAnsi"/>
          <w:color w:val="000000" w:themeColor="text1"/>
          <w:sz w:val="20"/>
          <w:szCs w:val="20"/>
          <w:bdr w:val="none" w:sz="0" w:space="0" w:color="auto" w:frame="1"/>
        </w:rPr>
      </w:pPr>
    </w:p>
    <w:p w14:paraId="436BF43E" w14:textId="77777777" w:rsidR="002F71EC" w:rsidRPr="00D843AC" w:rsidRDefault="00F628F3" w:rsidP="002F71E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bdr w:val="none" w:sz="0" w:space="0" w:color="auto" w:frame="1"/>
        </w:rPr>
      </w:pPr>
      <w:r w:rsidRPr="00D843AC">
        <w:rPr>
          <w:rFonts w:eastAsia="MS Mincho" w:cstheme="minorHAnsi"/>
          <w:color w:val="000000" w:themeColor="text1"/>
          <w:sz w:val="20"/>
          <w:szCs w:val="20"/>
          <w:bdr w:val="none" w:sz="0" w:space="0" w:color="auto" w:frame="1"/>
        </w:rPr>
        <w:t>The Inter-American Commission has closely followed the development of the friendly settlement reached in the instant case and appreciates the efforts made by both parties during the negotiation of the agreement to reach this friendly settlement, which is compatible with the object and purpose of the Convention.</w:t>
      </w:r>
    </w:p>
    <w:p w14:paraId="1F85C465" w14:textId="77777777" w:rsidR="002F71EC" w:rsidRPr="00D843AC" w:rsidRDefault="002F71EC" w:rsidP="002F71EC">
      <w:pPr>
        <w:pStyle w:val="ListParagraph"/>
        <w:rPr>
          <w:rFonts w:eastAsia="MS Mincho" w:cstheme="minorHAnsi"/>
          <w:color w:val="000000" w:themeColor="text1"/>
          <w:sz w:val="20"/>
          <w:szCs w:val="20"/>
          <w:bdr w:val="none" w:sz="0" w:space="0" w:color="auto" w:frame="1"/>
        </w:rPr>
      </w:pPr>
    </w:p>
    <w:p w14:paraId="0D5D9A12" w14:textId="65EEA488" w:rsidR="002F71EC" w:rsidRPr="00D843AC" w:rsidRDefault="00F628F3" w:rsidP="000F5C4E">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bdr w:val="none" w:sz="0" w:space="0" w:color="auto" w:frame="1"/>
        </w:rPr>
      </w:pPr>
      <w:r w:rsidRPr="00D843AC">
        <w:rPr>
          <w:rFonts w:eastAsia="MS Mincho" w:cstheme="minorHAnsi"/>
          <w:color w:val="000000" w:themeColor="text1"/>
          <w:sz w:val="20"/>
          <w:szCs w:val="20"/>
          <w:bdr w:val="none" w:sz="0" w:space="0" w:color="auto" w:frame="1"/>
        </w:rPr>
        <w:t>In accordance with the provisions of the sixth clause of the friendly settlement agreement, the parties agreed to request the Commission to issue the report contemplated in Article 49 of the American Convention, once the friendly settlement agreement is signed.</w:t>
      </w:r>
      <w:r w:rsidR="00D843AC">
        <w:rPr>
          <w:rFonts w:eastAsia="MS Mincho" w:cstheme="minorHAnsi"/>
          <w:color w:val="000000" w:themeColor="text1"/>
          <w:sz w:val="20"/>
          <w:szCs w:val="20"/>
          <w:bdr w:val="none" w:sz="0" w:space="0" w:color="auto" w:frame="1"/>
        </w:rPr>
        <w:t xml:space="preserve"> </w:t>
      </w:r>
      <w:r w:rsidRPr="00D843AC">
        <w:rPr>
          <w:rFonts w:eastAsia="MS Mincho" w:cstheme="minorHAnsi"/>
          <w:color w:val="000000" w:themeColor="text1"/>
          <w:sz w:val="20"/>
          <w:szCs w:val="20"/>
          <w:bdr w:val="none" w:sz="0" w:space="0" w:color="auto" w:frame="1"/>
        </w:rPr>
        <w:t xml:space="preserve">Likewise, in accordance with the joint brief of the parties dated July 13, 2021, through which they requested the Commission </w:t>
      </w:r>
      <w:r w:rsidR="00D843AC">
        <w:rPr>
          <w:rFonts w:eastAsia="MS Mincho" w:cstheme="minorHAnsi"/>
          <w:color w:val="000000" w:themeColor="text1"/>
          <w:sz w:val="20"/>
          <w:szCs w:val="20"/>
          <w:bdr w:val="none" w:sz="0" w:space="0" w:color="auto" w:frame="1"/>
        </w:rPr>
        <w:t>the homologation of the</w:t>
      </w:r>
      <w:r w:rsidRPr="00D843AC">
        <w:rPr>
          <w:rFonts w:eastAsia="MS Mincho" w:cstheme="minorHAnsi"/>
          <w:color w:val="000000" w:themeColor="text1"/>
          <w:sz w:val="20"/>
          <w:szCs w:val="20"/>
          <w:bdr w:val="none" w:sz="0" w:space="0" w:color="auto" w:frame="1"/>
        </w:rPr>
        <w:t xml:space="preserve"> friendly settlement agreement</w:t>
      </w:r>
      <w:r w:rsidR="005357BF">
        <w:rPr>
          <w:rFonts w:eastAsia="MS Mincho" w:cstheme="minorHAnsi"/>
          <w:color w:val="000000" w:themeColor="text1"/>
          <w:sz w:val="20"/>
          <w:szCs w:val="20"/>
          <w:bdr w:val="none" w:sz="0" w:space="0" w:color="auto" w:frame="1"/>
        </w:rPr>
        <w:t xml:space="preserve"> stablished in article 49 of the American Convention on Human Rights</w:t>
      </w:r>
      <w:r w:rsidRPr="00D843AC">
        <w:rPr>
          <w:rFonts w:eastAsia="MS Mincho" w:cstheme="minorHAnsi"/>
          <w:color w:val="000000" w:themeColor="text1"/>
          <w:sz w:val="20"/>
          <w:szCs w:val="20"/>
          <w:bdr w:val="none" w:sz="0" w:space="0" w:color="auto" w:frame="1"/>
        </w:rPr>
        <w:t>, it corresponds in this moment to assess compliance with the commitments established in the FSA.</w:t>
      </w:r>
    </w:p>
    <w:p w14:paraId="5AEC6966" w14:textId="77777777" w:rsidR="002F71EC" w:rsidRPr="002F71EC" w:rsidRDefault="002F71EC" w:rsidP="002F71EC">
      <w:pPr>
        <w:pStyle w:val="ListParagraph"/>
        <w:rPr>
          <w:rFonts w:eastAsia="MS Mincho" w:cstheme="minorHAnsi"/>
          <w:color w:val="000000" w:themeColor="text1"/>
          <w:sz w:val="20"/>
          <w:szCs w:val="20"/>
          <w:bdr w:val="none" w:sz="0" w:space="0" w:color="auto" w:frame="1"/>
        </w:rPr>
      </w:pPr>
    </w:p>
    <w:p w14:paraId="61AEA358" w14:textId="77777777" w:rsidR="002F71EC" w:rsidRDefault="00F628F3" w:rsidP="002F71E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t>The Inter-American Commission considers that the first (Concepts), second (Background), third (Acknowledgment of Responsibility) and fourth (Withdrawal of Direct Reparation Action) clauses of the agreement are declarative in nature, so it is not appropriate to monitor their execution. In this regard, the Inter-American Commission values ​​the third declarative clause, in which the Colombian State recognizes its international responsibility for the omission of its duty to guarantee the rights enshrined in Articles 4 (right to life), 5 (humane treatment), 7 (personal liberty) 8.1 and 25 (fair trial and judicial protection) and 11 (privacy) of the American Convention on Human Rights, in relation to Article 1.1 (obligation to respect) of the same instrument, to the detriment of Mr. Carlos Mario Muñoz Gómez.</w:t>
      </w:r>
    </w:p>
    <w:p w14:paraId="03BD5E30" w14:textId="77777777" w:rsidR="002F71EC" w:rsidRPr="002F71EC" w:rsidRDefault="002F71EC" w:rsidP="002F71EC">
      <w:pPr>
        <w:pStyle w:val="ListParagraph"/>
        <w:rPr>
          <w:rFonts w:eastAsia="MS Mincho" w:cstheme="minorHAnsi"/>
          <w:color w:val="000000" w:themeColor="text1"/>
          <w:sz w:val="20"/>
          <w:szCs w:val="20"/>
          <w:bdr w:val="none" w:sz="0" w:space="0" w:color="auto" w:frame="1"/>
        </w:rPr>
      </w:pPr>
    </w:p>
    <w:p w14:paraId="3B5FC260" w14:textId="77777777" w:rsidR="002F71EC" w:rsidRDefault="00F628F3" w:rsidP="002F71E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t>In relation to subclause 1.1 of the fifth clause related to the act of redress, as reported jointly by the parties, it was carried out on May 18, 2021, through a virtual platform in the context of the COVID 19 pandemic using different computer tools.</w:t>
      </w:r>
      <w:r w:rsidRPr="002F71EC">
        <w:rPr>
          <w:rStyle w:val="FootnoteReference"/>
          <w:rFonts w:eastAsia="MS Mincho" w:cstheme="minorHAnsi"/>
          <w:color w:val="000000" w:themeColor="text1"/>
          <w:sz w:val="20"/>
          <w:szCs w:val="20"/>
          <w:bdr w:val="none" w:sz="0" w:space="0" w:color="auto" w:frame="1"/>
        </w:rPr>
        <w:footnoteReference w:id="7"/>
      </w:r>
      <w:r w:rsidRPr="002F71EC">
        <w:rPr>
          <w:rFonts w:eastAsia="MS Mincho" w:cstheme="minorHAnsi"/>
          <w:color w:val="000000" w:themeColor="text1"/>
          <w:sz w:val="20"/>
          <w:szCs w:val="20"/>
          <w:bdr w:val="none" w:sz="0" w:space="0" w:color="auto" w:frame="1"/>
        </w:rPr>
        <w:t xml:space="preserve"> The parties reported the existence of “permanent communication between the State, the victims, and their representatives, who agreed on each of the details for compliance with the measure, such as the date and time for the act, as well as the agenda and the logistics required for its development”. In this regard, the parties provided a simple copy of the invitations circulated for said event, in </w:t>
      </w:r>
      <w:r w:rsidRPr="002F71EC">
        <w:rPr>
          <w:rFonts w:eastAsia="MS Mincho" w:cstheme="minorHAnsi"/>
          <w:color w:val="000000" w:themeColor="text1"/>
          <w:sz w:val="20"/>
          <w:szCs w:val="20"/>
          <w:bdr w:val="none" w:sz="0" w:space="0" w:color="auto" w:frame="1"/>
        </w:rPr>
        <w:lastRenderedPageBreak/>
        <w:t>which the victim's family members, close friends and their representatives participated, as well as the National Agency for Legal Defense of the State and the IACHR.</w:t>
      </w:r>
    </w:p>
    <w:p w14:paraId="63B0A3AE" w14:textId="77777777" w:rsidR="002F71EC" w:rsidRPr="002F71EC" w:rsidRDefault="002F71EC" w:rsidP="002F71EC">
      <w:pPr>
        <w:pStyle w:val="ListParagraph"/>
        <w:rPr>
          <w:rFonts w:eastAsia="MS Mincho" w:cstheme="minorHAnsi"/>
          <w:color w:val="000000" w:themeColor="text1"/>
          <w:sz w:val="20"/>
          <w:szCs w:val="20"/>
          <w:bdr w:val="none" w:sz="0" w:space="0" w:color="auto" w:frame="1"/>
        </w:rPr>
      </w:pPr>
    </w:p>
    <w:p w14:paraId="3734F416" w14:textId="62BE58C1" w:rsidR="00F628F3" w:rsidRPr="002F71EC" w:rsidRDefault="00F628F3" w:rsidP="002F71E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t>Likewise, the parties reported on the content of the agenda for the act of acknowledgment of responsibility, which included an opening, musical pieces, testimonial video and photographs to honor the memory of Mr. Muñoz Gómez, followed by the interventions of a sister and a son of the victim, as well as the intervention of Oscar Villegas Posada, representative of the victims. For its part, the State intervention was led by ANDJE's director of International Legal Defense, who apologized for the events that occurred and acknowledged the State's international responsibility under the terms of the friendly settlement agreement, stating the following:</w:t>
      </w:r>
    </w:p>
    <w:p w14:paraId="0584C723"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stheme="minorHAnsi"/>
          <w:color w:val="000000" w:themeColor="text1"/>
          <w:sz w:val="20"/>
          <w:szCs w:val="20"/>
          <w:bdr w:val="none" w:sz="0" w:space="0" w:color="auto" w:frame="1"/>
        </w:rPr>
      </w:pPr>
    </w:p>
    <w:p w14:paraId="51D846B5"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theme="minorHAnsi"/>
          <w:color w:val="000000" w:themeColor="text1"/>
          <w:sz w:val="20"/>
          <w:szCs w:val="20"/>
          <w:bdr w:val="none" w:sz="0" w:space="0" w:color="auto" w:frame="1"/>
        </w:rPr>
      </w:pPr>
      <w:r w:rsidRPr="002F71EC">
        <w:rPr>
          <w:rFonts w:ascii="Cambria" w:eastAsia="MS Mincho" w:hAnsi="Cambria" w:cstheme="minorHAnsi"/>
          <w:color w:val="000000" w:themeColor="text1"/>
          <w:sz w:val="20"/>
          <w:szCs w:val="20"/>
          <w:bdr w:val="none" w:sz="0" w:space="0" w:color="auto" w:frame="1"/>
        </w:rPr>
        <w:t>[…]</w:t>
      </w:r>
    </w:p>
    <w:p w14:paraId="711D620C"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theme="minorHAnsi"/>
          <w:color w:val="000000" w:themeColor="text1"/>
          <w:sz w:val="20"/>
          <w:szCs w:val="20"/>
          <w:bdr w:val="none" w:sz="0" w:space="0" w:color="auto" w:frame="1"/>
        </w:rPr>
      </w:pPr>
    </w:p>
    <w:p w14:paraId="0F474D77"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theme="minorHAnsi"/>
          <w:color w:val="000000" w:themeColor="text1"/>
          <w:sz w:val="20"/>
          <w:szCs w:val="20"/>
          <w:bdr w:val="none" w:sz="0" w:space="0" w:color="auto" w:frame="1"/>
        </w:rPr>
      </w:pPr>
      <w:r w:rsidRPr="002F71EC">
        <w:rPr>
          <w:rFonts w:ascii="Cambria" w:eastAsia="MS Mincho" w:hAnsi="Cambria" w:cstheme="minorHAnsi"/>
          <w:color w:val="000000" w:themeColor="text1"/>
          <w:sz w:val="20"/>
          <w:szCs w:val="20"/>
          <w:bdr w:val="none" w:sz="0" w:space="0" w:color="auto" w:frame="1"/>
        </w:rPr>
        <w:t>It is precisely, recognizing the profound damage that was caused to Mr. Carlos Mario Muñoz Gómez and his family, that today the State apologizes to them, complying with one of the measures agreed in the friendly settlement agreement, proceeding to carry out this act of acknowledgment of responsibility and public apologies, as part of the comprehensive reparation strategy.</w:t>
      </w:r>
    </w:p>
    <w:p w14:paraId="3D737F4F"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theme="minorHAnsi"/>
          <w:color w:val="000000" w:themeColor="text1"/>
          <w:sz w:val="20"/>
          <w:szCs w:val="20"/>
          <w:bdr w:val="none" w:sz="0" w:space="0" w:color="auto" w:frame="1"/>
        </w:rPr>
      </w:pPr>
    </w:p>
    <w:p w14:paraId="12E7D291"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theme="minorHAnsi"/>
          <w:color w:val="000000" w:themeColor="text1"/>
          <w:sz w:val="20"/>
          <w:szCs w:val="20"/>
          <w:bdr w:val="none" w:sz="0" w:space="0" w:color="auto" w:frame="1"/>
        </w:rPr>
      </w:pPr>
      <w:r w:rsidRPr="002F71EC">
        <w:rPr>
          <w:rFonts w:ascii="Cambria" w:eastAsia="MS Mincho" w:hAnsi="Cambria" w:cstheme="minorHAnsi"/>
          <w:color w:val="000000" w:themeColor="text1"/>
          <w:sz w:val="20"/>
          <w:szCs w:val="20"/>
          <w:bdr w:val="none" w:sz="0" w:space="0" w:color="auto" w:frame="1"/>
        </w:rPr>
        <w:t>That is why today we are in this beautiful space, to commemorate the life of Mr. Carlos Mario Muñoz Gómez, who stood out as an honest, hardworking man who loved and fought for his family and with many dreams that he failed to fulfill and against whom such regrettable deeds were committed.</w:t>
      </w:r>
    </w:p>
    <w:p w14:paraId="6285C87C"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theme="minorHAnsi"/>
          <w:color w:val="000000" w:themeColor="text1"/>
          <w:sz w:val="20"/>
          <w:szCs w:val="20"/>
          <w:bdr w:val="none" w:sz="0" w:space="0" w:color="auto" w:frame="1"/>
        </w:rPr>
      </w:pPr>
    </w:p>
    <w:p w14:paraId="416925A6" w14:textId="71CF15AE"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theme="minorHAnsi"/>
          <w:color w:val="000000" w:themeColor="text1"/>
          <w:sz w:val="20"/>
          <w:szCs w:val="20"/>
          <w:bdr w:val="none" w:sz="0" w:space="0" w:color="auto" w:frame="1"/>
        </w:rPr>
      </w:pPr>
      <w:r w:rsidRPr="002F71EC">
        <w:rPr>
          <w:rFonts w:ascii="Cambria" w:eastAsia="MS Mincho" w:hAnsi="Cambria" w:cstheme="minorHAnsi"/>
          <w:color w:val="000000" w:themeColor="text1"/>
          <w:sz w:val="20"/>
          <w:szCs w:val="20"/>
          <w:bdr w:val="none" w:sz="0" w:space="0" w:color="auto" w:frame="1"/>
        </w:rPr>
        <w:t>The State has the duty to ensure the life and integrity of its citizens. That is why it is unacceptable and reprehensible that they are victims of human rights violations while they are in the hands of those who must guarantee their protection and respect. Mr. Carlos Mario Muñoz was not guaranteed that right and his family was deprived in the most deplorable way of the right today to have a father, a brother, a husband, a child.</w:t>
      </w:r>
    </w:p>
    <w:p w14:paraId="79D61AA8"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theme="minorHAnsi"/>
          <w:color w:val="000000" w:themeColor="text1"/>
          <w:sz w:val="20"/>
          <w:szCs w:val="20"/>
          <w:bdr w:val="none" w:sz="0" w:space="0" w:color="auto" w:frame="1"/>
        </w:rPr>
      </w:pPr>
    </w:p>
    <w:p w14:paraId="25C99891"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stheme="minorHAnsi"/>
          <w:color w:val="000000" w:themeColor="text1"/>
          <w:sz w:val="20"/>
          <w:szCs w:val="20"/>
          <w:bdr w:val="none" w:sz="0" w:space="0" w:color="auto" w:frame="1"/>
        </w:rPr>
      </w:pPr>
      <w:r w:rsidRPr="002F71EC">
        <w:rPr>
          <w:rFonts w:ascii="Cambria" w:eastAsia="MS Mincho" w:hAnsi="Cambria" w:cstheme="minorHAnsi"/>
          <w:color w:val="000000" w:themeColor="text1"/>
          <w:sz w:val="20"/>
          <w:szCs w:val="20"/>
          <w:bdr w:val="none" w:sz="0" w:space="0" w:color="auto" w:frame="1"/>
        </w:rPr>
        <w:t>[…]</w:t>
      </w:r>
    </w:p>
    <w:p w14:paraId="41EEBE21"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stheme="minorHAnsi"/>
          <w:color w:val="000000" w:themeColor="text1"/>
          <w:sz w:val="20"/>
          <w:szCs w:val="20"/>
          <w:bdr w:val="none" w:sz="0" w:space="0" w:color="auto" w:frame="1"/>
        </w:rPr>
      </w:pPr>
    </w:p>
    <w:p w14:paraId="293A90EA" w14:textId="6BE78B55" w:rsidR="002F71EC" w:rsidRDefault="00F628F3" w:rsidP="002F71E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t>Finally, the President and Rapporteur of the Inter-American Commission on Human Rights for Colombia, Commissioner Antonia Urrejola, also participated in the event and in this context highlighted the importance of the recognition of responsibility by the Colombian State and its satisfaction component for the relatives of the Mr. Muñoz Gómez through public recognition of the facts</w:t>
      </w:r>
      <w:r w:rsidR="007F7536">
        <w:rPr>
          <w:rFonts w:eastAsia="MS Mincho" w:cstheme="minorHAnsi"/>
          <w:color w:val="000000" w:themeColor="text1"/>
          <w:sz w:val="20"/>
          <w:szCs w:val="20"/>
          <w:bdr w:val="none" w:sz="0" w:space="0" w:color="auto" w:frame="1"/>
        </w:rPr>
        <w:t>, s</w:t>
      </w:r>
      <w:r w:rsidRPr="002F71EC">
        <w:rPr>
          <w:rFonts w:eastAsia="MS Mincho" w:cstheme="minorHAnsi"/>
          <w:color w:val="000000" w:themeColor="text1"/>
          <w:sz w:val="20"/>
          <w:szCs w:val="20"/>
          <w:bdr w:val="none" w:sz="0" w:space="0" w:color="auto" w:frame="1"/>
        </w:rPr>
        <w:t>ince this act constitutes the cornerstone of reconciliation and the vindication of the damages caused. Likewise, she emphasized the importance of the participation of victims in designing their own reparation measures and their restorative and empowering effect within the framework of alternative conflict resolution that characterizes friendly settlement</w:t>
      </w:r>
      <w:r w:rsidR="007F7536">
        <w:rPr>
          <w:rFonts w:eastAsia="MS Mincho" w:cstheme="minorHAnsi"/>
          <w:color w:val="000000" w:themeColor="text1"/>
          <w:sz w:val="20"/>
          <w:szCs w:val="20"/>
          <w:bdr w:val="none" w:sz="0" w:space="0" w:color="auto" w:frame="1"/>
        </w:rPr>
        <w:t>s</w:t>
      </w:r>
      <w:r w:rsidRPr="002F71EC">
        <w:rPr>
          <w:rFonts w:eastAsia="MS Mincho" w:cstheme="minorHAnsi"/>
          <w:color w:val="000000" w:themeColor="text1"/>
          <w:sz w:val="20"/>
          <w:szCs w:val="20"/>
          <w:bdr w:val="none" w:sz="0" w:space="0" w:color="auto" w:frame="1"/>
        </w:rPr>
        <w:t>.</w:t>
      </w:r>
    </w:p>
    <w:p w14:paraId="23A7E7FD" w14:textId="77777777" w:rsidR="002F71EC" w:rsidRDefault="002F71EC" w:rsidP="002F71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bdr w:val="none" w:sz="0" w:space="0" w:color="auto" w:frame="1"/>
        </w:rPr>
      </w:pPr>
    </w:p>
    <w:p w14:paraId="772E3352" w14:textId="0B1B8BEC" w:rsidR="00F628F3" w:rsidRPr="002F71EC" w:rsidRDefault="00F628F3" w:rsidP="002F71E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t>The parties also confirmed the dissemination of the act on the website of the National Legal Defense Agency and on various social networks. In this regard, the Commission verified the publication and dissemination of the act of acknowledgment of responsibility on the respective website and the dissemination of the link of the act through the YouTube channel. Taking into account the foregoing, and the information provided jointly by the parties, the Commission considers that subclause 1.1. of the fifth clause of the friendly settlement agreement related to an act of redress is fully complied with and so</w:t>
      </w:r>
      <w:r w:rsidR="007F7536">
        <w:rPr>
          <w:rFonts w:eastAsia="MS Mincho" w:cstheme="minorHAnsi"/>
          <w:color w:val="000000" w:themeColor="text1"/>
          <w:sz w:val="20"/>
          <w:szCs w:val="20"/>
          <w:bdr w:val="none" w:sz="0" w:space="0" w:color="auto" w:frame="1"/>
        </w:rPr>
        <w:t xml:space="preserve"> it</w:t>
      </w:r>
      <w:r w:rsidRPr="002F71EC">
        <w:rPr>
          <w:rFonts w:eastAsia="MS Mincho" w:cstheme="minorHAnsi"/>
          <w:color w:val="000000" w:themeColor="text1"/>
          <w:sz w:val="20"/>
          <w:szCs w:val="20"/>
          <w:bdr w:val="none" w:sz="0" w:space="0" w:color="auto" w:frame="1"/>
        </w:rPr>
        <w:t xml:space="preserve"> declares</w:t>
      </w:r>
      <w:r w:rsidR="007F7536">
        <w:rPr>
          <w:rFonts w:eastAsia="MS Mincho" w:cstheme="minorHAnsi"/>
          <w:color w:val="000000" w:themeColor="text1"/>
          <w:sz w:val="20"/>
          <w:szCs w:val="20"/>
          <w:bdr w:val="none" w:sz="0" w:space="0" w:color="auto" w:frame="1"/>
        </w:rPr>
        <w:t xml:space="preserve"> it as such</w:t>
      </w:r>
      <w:r w:rsidRPr="002F71EC">
        <w:rPr>
          <w:rFonts w:eastAsia="MS Mincho" w:cstheme="minorHAnsi"/>
          <w:color w:val="000000" w:themeColor="text1"/>
          <w:sz w:val="20"/>
          <w:szCs w:val="20"/>
          <w:bdr w:val="none" w:sz="0" w:space="0" w:color="auto" w:frame="1"/>
        </w:rPr>
        <w:t>.</w:t>
      </w:r>
    </w:p>
    <w:p w14:paraId="4273BB7D" w14:textId="77777777" w:rsidR="00F628F3" w:rsidRPr="002F71EC" w:rsidRDefault="00F628F3" w:rsidP="002F71E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stheme="minorHAnsi"/>
          <w:color w:val="000000" w:themeColor="text1"/>
          <w:sz w:val="20"/>
          <w:szCs w:val="20"/>
          <w:bdr w:val="none" w:sz="0" w:space="0" w:color="auto" w:frame="1"/>
        </w:rPr>
      </w:pPr>
    </w:p>
    <w:p w14:paraId="6CEC770F" w14:textId="0A780787" w:rsidR="00F628F3" w:rsidRPr="002F71EC" w:rsidRDefault="00F628F3" w:rsidP="002F71E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t>Regarding paragraphs 1.2 (publication of the facts) and 2 (guarantees of non-repetition) and 3 (pecuniary reparation) of the fifth clause, the Commission observes that, in accordance with the provisions of the parties in the text of the FSA, these measures must be implemented once the friendly settlement agreement has been approved, for which it considers that they are pending compliance and</w:t>
      </w:r>
      <w:r w:rsidR="007F7536">
        <w:rPr>
          <w:rFonts w:eastAsia="MS Mincho" w:cstheme="minorHAnsi"/>
          <w:color w:val="000000" w:themeColor="text1"/>
          <w:sz w:val="20"/>
          <w:szCs w:val="20"/>
          <w:bdr w:val="none" w:sz="0" w:space="0" w:color="auto" w:frame="1"/>
        </w:rPr>
        <w:t xml:space="preserve"> so it</w:t>
      </w:r>
      <w:r w:rsidRPr="002F71EC">
        <w:rPr>
          <w:rFonts w:eastAsia="MS Mincho" w:cstheme="minorHAnsi"/>
          <w:color w:val="000000" w:themeColor="text1"/>
          <w:sz w:val="20"/>
          <w:szCs w:val="20"/>
          <w:bdr w:val="none" w:sz="0" w:space="0" w:color="auto" w:frame="1"/>
        </w:rPr>
        <w:t xml:space="preserve"> declares </w:t>
      </w:r>
      <w:r w:rsidR="007F7536">
        <w:rPr>
          <w:rFonts w:eastAsia="MS Mincho" w:cstheme="minorHAnsi"/>
          <w:color w:val="000000" w:themeColor="text1"/>
          <w:sz w:val="20"/>
          <w:szCs w:val="20"/>
          <w:bdr w:val="none" w:sz="0" w:space="0" w:color="auto" w:frame="1"/>
        </w:rPr>
        <w:t>them as such</w:t>
      </w:r>
      <w:r w:rsidRPr="002F71EC">
        <w:rPr>
          <w:rFonts w:eastAsia="MS Mincho" w:cstheme="minorHAnsi"/>
          <w:color w:val="000000" w:themeColor="text1"/>
          <w:sz w:val="20"/>
          <w:szCs w:val="20"/>
          <w:bdr w:val="none" w:sz="0" w:space="0" w:color="auto" w:frame="1"/>
        </w:rPr>
        <w:t>. By virtue of the foregoing, the Commission would await updated information from the parties on its execution after the approval of this report.</w:t>
      </w:r>
    </w:p>
    <w:p w14:paraId="1CE6810F" w14:textId="77777777" w:rsidR="002F71EC" w:rsidRDefault="002F71EC" w:rsidP="002F71E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stheme="minorHAnsi"/>
          <w:color w:val="000000" w:themeColor="text1"/>
          <w:sz w:val="20"/>
          <w:szCs w:val="20"/>
          <w:bdr w:val="none" w:sz="0" w:space="0" w:color="auto" w:frame="1"/>
        </w:rPr>
      </w:pPr>
    </w:p>
    <w:p w14:paraId="3756AF3E" w14:textId="7CF1FB95" w:rsidR="002F71EC" w:rsidRDefault="00F628F3" w:rsidP="002F71E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lastRenderedPageBreak/>
        <w:t xml:space="preserve">For the above reasons, the Commission concludes that paragraph 1.1 of the fifth clause has been fully complied with and it declares </w:t>
      </w:r>
      <w:r w:rsidR="007F7536">
        <w:rPr>
          <w:rFonts w:eastAsia="MS Mincho" w:cstheme="minorHAnsi"/>
          <w:color w:val="000000" w:themeColor="text1"/>
          <w:sz w:val="20"/>
          <w:szCs w:val="20"/>
          <w:bdr w:val="none" w:sz="0" w:space="0" w:color="auto" w:frame="1"/>
        </w:rPr>
        <w:t>it</w:t>
      </w:r>
      <w:r w:rsidRPr="002F71EC">
        <w:rPr>
          <w:rFonts w:eastAsia="MS Mincho" w:cstheme="minorHAnsi"/>
          <w:color w:val="000000" w:themeColor="text1"/>
          <w:sz w:val="20"/>
          <w:szCs w:val="20"/>
          <w:bdr w:val="none" w:sz="0" w:space="0" w:color="auto" w:frame="1"/>
        </w:rPr>
        <w:t xml:space="preserve">. In relation to numerals 1.2, 2 and 3 of the fifth clause, the Commission considers that compliance is </w:t>
      </w:r>
      <w:r w:rsidR="007F7536" w:rsidRPr="002F71EC">
        <w:rPr>
          <w:rFonts w:eastAsia="MS Mincho" w:cstheme="minorHAnsi"/>
          <w:color w:val="000000" w:themeColor="text1"/>
          <w:sz w:val="20"/>
          <w:szCs w:val="20"/>
          <w:bdr w:val="none" w:sz="0" w:space="0" w:color="auto" w:frame="1"/>
        </w:rPr>
        <w:t>pending,</w:t>
      </w:r>
      <w:r w:rsidRPr="002F71EC">
        <w:rPr>
          <w:rFonts w:eastAsia="MS Mincho" w:cstheme="minorHAnsi"/>
          <w:color w:val="000000" w:themeColor="text1"/>
          <w:sz w:val="20"/>
          <w:szCs w:val="20"/>
          <w:bdr w:val="none" w:sz="0" w:space="0" w:color="auto" w:frame="1"/>
        </w:rPr>
        <w:t xml:space="preserve"> and it so declares</w:t>
      </w:r>
      <w:r w:rsidR="007F7536">
        <w:rPr>
          <w:rFonts w:eastAsia="MS Mincho" w:cstheme="minorHAnsi"/>
          <w:color w:val="000000" w:themeColor="text1"/>
          <w:sz w:val="20"/>
          <w:szCs w:val="20"/>
          <w:bdr w:val="none" w:sz="0" w:space="0" w:color="auto" w:frame="1"/>
        </w:rPr>
        <w:t xml:space="preserve"> it</w:t>
      </w:r>
      <w:r w:rsidRPr="002F71EC">
        <w:rPr>
          <w:rFonts w:eastAsia="MS Mincho" w:cstheme="minorHAnsi"/>
          <w:color w:val="000000" w:themeColor="text1"/>
          <w:sz w:val="20"/>
          <w:szCs w:val="20"/>
          <w:bdr w:val="none" w:sz="0" w:space="0" w:color="auto" w:frame="1"/>
        </w:rPr>
        <w:t>. Finally, the Commission reiterates that the rest of the content of the agreement is declarative in nature, therefore its monitoring</w:t>
      </w:r>
      <w:r w:rsidR="007F7536">
        <w:rPr>
          <w:rFonts w:eastAsia="MS Mincho" w:cstheme="minorHAnsi"/>
          <w:color w:val="000000" w:themeColor="text1"/>
          <w:sz w:val="20"/>
          <w:szCs w:val="20"/>
          <w:bdr w:val="none" w:sz="0" w:space="0" w:color="auto" w:frame="1"/>
        </w:rPr>
        <w:t xml:space="preserve"> is not up to the Commission.</w:t>
      </w:r>
    </w:p>
    <w:p w14:paraId="138DA4B5" w14:textId="77777777" w:rsidR="002F71EC" w:rsidRPr="002F71EC" w:rsidRDefault="002F71EC" w:rsidP="002F71EC">
      <w:pPr>
        <w:pStyle w:val="ListParagraph"/>
        <w:ind w:left="0" w:firstLine="720"/>
        <w:rPr>
          <w:rFonts w:eastAsia="MS Mincho" w:cstheme="minorHAnsi"/>
          <w:color w:val="000000" w:themeColor="text1"/>
          <w:sz w:val="20"/>
          <w:szCs w:val="20"/>
          <w:bdr w:val="none" w:sz="0" w:space="0" w:color="auto" w:frame="1"/>
        </w:rPr>
      </w:pPr>
    </w:p>
    <w:p w14:paraId="2C9AC9CA" w14:textId="097A63E3" w:rsidR="00F628F3" w:rsidRPr="002F71EC" w:rsidRDefault="00F628F3" w:rsidP="002F71E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t>Based on the foregoing, the Commission declares that the friendly settlement agreement has a partial level of execution, for which reason it will continue to monitor the implementation of the pending aspects of the agreement until its full implementation.</w:t>
      </w:r>
    </w:p>
    <w:p w14:paraId="493C0534"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theme="minorHAnsi"/>
          <w:color w:val="000000" w:themeColor="text1"/>
          <w:sz w:val="20"/>
          <w:szCs w:val="20"/>
          <w:bdr w:val="none" w:sz="0" w:space="0" w:color="auto" w:frame="1"/>
        </w:rPr>
      </w:pPr>
    </w:p>
    <w:p w14:paraId="1EA065EC" w14:textId="1FC4F9C7" w:rsidR="00F628F3" w:rsidRPr="007F7536" w:rsidRDefault="00F628F3" w:rsidP="007F753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b/>
          <w:bCs/>
          <w:color w:val="000000" w:themeColor="text1"/>
          <w:sz w:val="20"/>
          <w:szCs w:val="20"/>
          <w:bdr w:val="none" w:sz="0" w:space="0" w:color="auto" w:frame="1"/>
        </w:rPr>
      </w:pPr>
      <w:r w:rsidRPr="007F7536">
        <w:rPr>
          <w:rFonts w:eastAsia="MS Mincho" w:cstheme="minorHAnsi"/>
          <w:b/>
          <w:bCs/>
          <w:color w:val="000000" w:themeColor="text1"/>
          <w:sz w:val="20"/>
          <w:szCs w:val="20"/>
          <w:bdr w:val="none" w:sz="0" w:space="0" w:color="auto" w:frame="1"/>
        </w:rPr>
        <w:t>CONCLUSIONS</w:t>
      </w:r>
    </w:p>
    <w:p w14:paraId="0A72D3E6" w14:textId="77777777" w:rsidR="00F628F3" w:rsidRPr="002F71EC" w:rsidRDefault="00F628F3" w:rsidP="005404B7">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mbria" w:eastAsia="MS Mincho" w:hAnsi="Cambria" w:cstheme="minorHAnsi"/>
          <w:color w:val="000000" w:themeColor="text1"/>
          <w:sz w:val="20"/>
          <w:szCs w:val="20"/>
          <w:bdr w:val="none" w:sz="0" w:space="0" w:color="auto" w:frame="1"/>
        </w:rPr>
      </w:pPr>
    </w:p>
    <w:p w14:paraId="7237C4C4" w14:textId="3FE60E00" w:rsidR="00F628F3" w:rsidRPr="002F71EC" w:rsidRDefault="00F628F3" w:rsidP="007F7536">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t xml:space="preserve">Based on the foregoing considerations and by virtue of the procedure provided for in Articles 48.1.f and 49 of the American Convention, the Commission wishes to reiterate its deep appreciation for the efforts made by the parties and its satisfaction with the achievement of a friendly </w:t>
      </w:r>
      <w:r w:rsidR="00D843AC">
        <w:rPr>
          <w:rFonts w:eastAsia="MS Mincho" w:cstheme="minorHAnsi"/>
          <w:color w:val="000000" w:themeColor="text1"/>
          <w:sz w:val="20"/>
          <w:szCs w:val="20"/>
          <w:bdr w:val="none" w:sz="0" w:space="0" w:color="auto" w:frame="1"/>
        </w:rPr>
        <w:t>settlement</w:t>
      </w:r>
      <w:r w:rsidRPr="002F71EC">
        <w:rPr>
          <w:rFonts w:eastAsia="MS Mincho" w:cstheme="minorHAnsi"/>
          <w:color w:val="000000" w:themeColor="text1"/>
          <w:sz w:val="20"/>
          <w:szCs w:val="20"/>
          <w:bdr w:val="none" w:sz="0" w:space="0" w:color="auto" w:frame="1"/>
        </w:rPr>
        <w:t xml:space="preserve"> in the instant case, based on respect for human rights, and compatible with the object and purpose of the American Convention.</w:t>
      </w:r>
    </w:p>
    <w:p w14:paraId="60848578" w14:textId="77777777" w:rsidR="00F628F3" w:rsidRPr="002F71EC" w:rsidRDefault="00F628F3" w:rsidP="007F753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MS Mincho" w:cstheme="minorHAnsi"/>
          <w:color w:val="000000" w:themeColor="text1"/>
          <w:sz w:val="20"/>
          <w:szCs w:val="20"/>
          <w:bdr w:val="none" w:sz="0" w:space="0" w:color="auto" w:frame="1"/>
        </w:rPr>
      </w:pPr>
    </w:p>
    <w:p w14:paraId="57012695" w14:textId="77777777" w:rsidR="00F628F3" w:rsidRPr="002F71EC" w:rsidRDefault="00F628F3" w:rsidP="0068092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color w:val="000000" w:themeColor="text1"/>
          <w:sz w:val="20"/>
          <w:szCs w:val="20"/>
          <w:bdr w:val="none" w:sz="0" w:space="0" w:color="auto" w:frame="1"/>
        </w:rPr>
      </w:pPr>
      <w:r w:rsidRPr="002F71EC">
        <w:rPr>
          <w:rFonts w:eastAsia="MS Mincho" w:cstheme="minorHAnsi"/>
          <w:color w:val="000000" w:themeColor="text1"/>
          <w:sz w:val="20"/>
          <w:szCs w:val="20"/>
          <w:bdr w:val="none" w:sz="0" w:space="0" w:color="auto" w:frame="1"/>
        </w:rPr>
        <w:t>By virtue of the considerations and conclusions set forth in this report,</w:t>
      </w:r>
    </w:p>
    <w:p w14:paraId="337980CF" w14:textId="77777777" w:rsidR="00F628F3" w:rsidRPr="002F71EC" w:rsidRDefault="00F628F3" w:rsidP="005404B7">
      <w:pPr>
        <w:tabs>
          <w:tab w:val="center" w:pos="720"/>
        </w:tabs>
        <w:suppressAutoHyphens/>
        <w:jc w:val="both"/>
        <w:rPr>
          <w:rFonts w:ascii="Cambria" w:hAnsi="Cambria"/>
          <w:sz w:val="20"/>
          <w:szCs w:val="20"/>
        </w:rPr>
      </w:pPr>
    </w:p>
    <w:p w14:paraId="574F542C" w14:textId="77777777" w:rsidR="00F628F3" w:rsidRPr="002F71EC" w:rsidRDefault="00F628F3" w:rsidP="005404B7">
      <w:pPr>
        <w:tabs>
          <w:tab w:val="center" w:pos="720"/>
        </w:tabs>
        <w:suppressAutoHyphens/>
        <w:ind w:firstLine="720"/>
        <w:jc w:val="center"/>
        <w:rPr>
          <w:rFonts w:ascii="Cambria" w:hAnsi="Cambria"/>
          <w:b/>
          <w:sz w:val="20"/>
          <w:szCs w:val="20"/>
        </w:rPr>
      </w:pPr>
      <w:r w:rsidRPr="002F71EC">
        <w:rPr>
          <w:rFonts w:ascii="Cambria" w:hAnsi="Cambria"/>
          <w:b/>
          <w:sz w:val="20"/>
          <w:szCs w:val="20"/>
        </w:rPr>
        <w:t>THE INTER-AMERICAN COMMISSION ON HUMAN RIGHTS</w:t>
      </w:r>
    </w:p>
    <w:p w14:paraId="195D070F" w14:textId="77777777" w:rsidR="00F628F3" w:rsidRPr="002F71EC" w:rsidRDefault="00F628F3" w:rsidP="005404B7">
      <w:pPr>
        <w:tabs>
          <w:tab w:val="center" w:pos="720"/>
        </w:tabs>
        <w:suppressAutoHyphens/>
        <w:ind w:firstLine="720"/>
        <w:jc w:val="both"/>
        <w:rPr>
          <w:rFonts w:ascii="Cambria" w:hAnsi="Cambria"/>
          <w:sz w:val="20"/>
          <w:szCs w:val="20"/>
        </w:rPr>
      </w:pPr>
    </w:p>
    <w:p w14:paraId="20E49395" w14:textId="77777777" w:rsidR="00F628F3" w:rsidRPr="002F71EC" w:rsidRDefault="00F628F3" w:rsidP="004358F1">
      <w:pPr>
        <w:tabs>
          <w:tab w:val="center" w:pos="720"/>
        </w:tabs>
        <w:suppressAutoHyphens/>
        <w:ind w:firstLine="720"/>
        <w:jc w:val="both"/>
        <w:rPr>
          <w:rFonts w:ascii="Cambria" w:hAnsi="Cambria"/>
          <w:b/>
          <w:sz w:val="20"/>
          <w:szCs w:val="20"/>
        </w:rPr>
      </w:pPr>
      <w:r w:rsidRPr="002F71EC">
        <w:rPr>
          <w:rFonts w:ascii="Cambria" w:hAnsi="Cambria"/>
          <w:b/>
          <w:sz w:val="20"/>
          <w:szCs w:val="20"/>
        </w:rPr>
        <w:t xml:space="preserve">DECIDES: </w:t>
      </w:r>
    </w:p>
    <w:p w14:paraId="7BFE7964" w14:textId="77777777" w:rsidR="00F628F3" w:rsidRPr="002F71EC" w:rsidRDefault="00F628F3" w:rsidP="005404B7">
      <w:pPr>
        <w:tabs>
          <w:tab w:val="center" w:pos="720"/>
        </w:tabs>
        <w:suppressAutoHyphens/>
        <w:ind w:firstLine="720"/>
        <w:jc w:val="both"/>
        <w:rPr>
          <w:rFonts w:ascii="Cambria" w:hAnsi="Cambria"/>
          <w:sz w:val="20"/>
          <w:szCs w:val="20"/>
        </w:rPr>
      </w:pPr>
    </w:p>
    <w:p w14:paraId="6C83EF5B" w14:textId="77777777" w:rsidR="00F628F3" w:rsidRPr="002F71EC" w:rsidRDefault="00F628F3" w:rsidP="007F7536">
      <w:pPr>
        <w:pStyle w:val="ListParagraph"/>
        <w:numPr>
          <w:ilvl w:val="0"/>
          <w:numId w:val="56"/>
        </w:numPr>
        <w:tabs>
          <w:tab w:val="center" w:pos="720"/>
        </w:tabs>
        <w:suppressAutoHyphens/>
        <w:ind w:left="0" w:firstLine="720"/>
        <w:jc w:val="both"/>
        <w:rPr>
          <w:sz w:val="20"/>
          <w:szCs w:val="20"/>
        </w:rPr>
      </w:pPr>
      <w:r w:rsidRPr="002F71EC">
        <w:rPr>
          <w:sz w:val="20"/>
          <w:szCs w:val="20"/>
        </w:rPr>
        <w:t>To approve the terms of the friendly settlement agreement signed by the parties on March 4, 2021.</w:t>
      </w:r>
    </w:p>
    <w:p w14:paraId="1C8263FB" w14:textId="77777777" w:rsidR="00F628F3" w:rsidRPr="002F71EC" w:rsidRDefault="00F628F3" w:rsidP="007F7536">
      <w:pPr>
        <w:ind w:firstLine="720"/>
        <w:rPr>
          <w:rFonts w:ascii="Cambria" w:hAnsi="Cambria"/>
          <w:sz w:val="20"/>
          <w:szCs w:val="20"/>
        </w:rPr>
      </w:pPr>
    </w:p>
    <w:p w14:paraId="514259A4" w14:textId="5EFCF049" w:rsidR="00F628F3" w:rsidRPr="002F71EC" w:rsidRDefault="00F628F3" w:rsidP="007F7536">
      <w:pPr>
        <w:pStyle w:val="ListParagraph"/>
        <w:numPr>
          <w:ilvl w:val="0"/>
          <w:numId w:val="56"/>
        </w:numPr>
        <w:tabs>
          <w:tab w:val="center" w:pos="720"/>
        </w:tabs>
        <w:suppressAutoHyphens/>
        <w:ind w:left="0" w:firstLine="720"/>
        <w:jc w:val="both"/>
        <w:rPr>
          <w:sz w:val="20"/>
          <w:szCs w:val="20"/>
        </w:rPr>
      </w:pPr>
      <w:r w:rsidRPr="002F71EC">
        <w:rPr>
          <w:sz w:val="20"/>
          <w:szCs w:val="20"/>
        </w:rPr>
        <w:t xml:space="preserve">To declare the </w:t>
      </w:r>
      <w:r w:rsidR="007F7536">
        <w:rPr>
          <w:sz w:val="20"/>
          <w:szCs w:val="20"/>
        </w:rPr>
        <w:t>total compliance</w:t>
      </w:r>
      <w:r w:rsidRPr="002F71EC">
        <w:rPr>
          <w:sz w:val="20"/>
          <w:szCs w:val="20"/>
        </w:rPr>
        <w:t xml:space="preserve"> of subclause 1.1 of the fifth clause based on the analysis included in this report.</w:t>
      </w:r>
    </w:p>
    <w:p w14:paraId="7975D106" w14:textId="77777777" w:rsidR="00F628F3" w:rsidRPr="002F71EC" w:rsidRDefault="00F628F3" w:rsidP="007F7536">
      <w:pPr>
        <w:pStyle w:val="ListParagraph"/>
        <w:ind w:left="0" w:firstLine="720"/>
        <w:rPr>
          <w:sz w:val="20"/>
          <w:szCs w:val="20"/>
        </w:rPr>
      </w:pPr>
    </w:p>
    <w:p w14:paraId="37E0DB53" w14:textId="723DBBFC" w:rsidR="00F628F3" w:rsidRPr="002F71EC" w:rsidRDefault="00F628F3" w:rsidP="007F7536">
      <w:pPr>
        <w:pStyle w:val="ListParagraph"/>
        <w:numPr>
          <w:ilvl w:val="0"/>
          <w:numId w:val="56"/>
        </w:numPr>
        <w:tabs>
          <w:tab w:val="center" w:pos="720"/>
        </w:tabs>
        <w:suppressAutoHyphens/>
        <w:ind w:left="0" w:firstLine="720"/>
        <w:jc w:val="both"/>
        <w:rPr>
          <w:sz w:val="20"/>
          <w:szCs w:val="20"/>
        </w:rPr>
      </w:pPr>
      <w:r w:rsidRPr="002F71EC">
        <w:rPr>
          <w:sz w:val="20"/>
          <w:szCs w:val="20"/>
        </w:rPr>
        <w:t xml:space="preserve">To declare subclauses 1.2 (publication of the facts), 2 (guarantees of non-repetition) and 3 (pecuniary damages) of the fifth clause pending </w:t>
      </w:r>
      <w:r w:rsidR="007F7536">
        <w:rPr>
          <w:sz w:val="20"/>
          <w:szCs w:val="20"/>
        </w:rPr>
        <w:t>compliance</w:t>
      </w:r>
      <w:r w:rsidRPr="002F71EC">
        <w:rPr>
          <w:sz w:val="20"/>
          <w:szCs w:val="20"/>
        </w:rPr>
        <w:t xml:space="preserve"> based on the analysis included in this report.</w:t>
      </w:r>
    </w:p>
    <w:p w14:paraId="484ADAA4" w14:textId="77777777" w:rsidR="00F628F3" w:rsidRPr="002F71EC" w:rsidRDefault="00F628F3" w:rsidP="007F7536">
      <w:pPr>
        <w:pStyle w:val="ListParagraph"/>
        <w:ind w:left="0" w:firstLine="720"/>
        <w:rPr>
          <w:sz w:val="20"/>
          <w:szCs w:val="20"/>
        </w:rPr>
      </w:pPr>
    </w:p>
    <w:p w14:paraId="7AB29719" w14:textId="77777777" w:rsidR="00F628F3" w:rsidRPr="002F71EC" w:rsidRDefault="00F628F3" w:rsidP="007F7536">
      <w:pPr>
        <w:pStyle w:val="ListParagraph"/>
        <w:numPr>
          <w:ilvl w:val="0"/>
          <w:numId w:val="56"/>
        </w:numPr>
        <w:tabs>
          <w:tab w:val="center" w:pos="720"/>
        </w:tabs>
        <w:suppressAutoHyphens/>
        <w:ind w:left="0" w:firstLine="720"/>
        <w:jc w:val="both"/>
        <w:rPr>
          <w:sz w:val="20"/>
          <w:szCs w:val="20"/>
        </w:rPr>
      </w:pPr>
      <w:r w:rsidRPr="002F71EC">
        <w:rPr>
          <w:sz w:val="20"/>
          <w:szCs w:val="20"/>
        </w:rPr>
        <w:t>To continue with the supervision of the commitments established in subclauses 1.2, 2 and 3 of the fifth clause of the agreement based on the analysis included in this report. With this aim, it reminds the parties of their commitment to periodically inform the IACHR of the compliance with said measures.</w:t>
      </w:r>
    </w:p>
    <w:p w14:paraId="305B8BE6" w14:textId="77777777" w:rsidR="00F628F3" w:rsidRPr="002F71EC" w:rsidRDefault="00F628F3" w:rsidP="007F7536">
      <w:pPr>
        <w:pStyle w:val="ListParagraph"/>
        <w:tabs>
          <w:tab w:val="center" w:pos="720"/>
        </w:tabs>
        <w:suppressAutoHyphens/>
        <w:ind w:left="0" w:firstLine="720"/>
        <w:jc w:val="both"/>
        <w:rPr>
          <w:sz w:val="20"/>
          <w:szCs w:val="20"/>
        </w:rPr>
      </w:pPr>
    </w:p>
    <w:p w14:paraId="4312CD19" w14:textId="77777777" w:rsidR="00F628F3" w:rsidRPr="002F71EC" w:rsidRDefault="00F628F3" w:rsidP="007F7536">
      <w:pPr>
        <w:pStyle w:val="ListParagraph"/>
        <w:numPr>
          <w:ilvl w:val="0"/>
          <w:numId w:val="56"/>
        </w:numPr>
        <w:tabs>
          <w:tab w:val="center" w:pos="720"/>
        </w:tabs>
        <w:suppressAutoHyphens/>
        <w:ind w:left="0" w:firstLine="720"/>
        <w:jc w:val="both"/>
        <w:rPr>
          <w:sz w:val="20"/>
          <w:szCs w:val="20"/>
        </w:rPr>
      </w:pPr>
      <w:r w:rsidRPr="002F71EC">
        <w:rPr>
          <w:sz w:val="20"/>
          <w:szCs w:val="20"/>
        </w:rPr>
        <w:t>To publish this report and include it in its Annual Report to the General Assembly of the OAS.</w:t>
      </w:r>
    </w:p>
    <w:p w14:paraId="43530A0E" w14:textId="77777777" w:rsidR="00F628F3" w:rsidRPr="002F71EC" w:rsidRDefault="00F628F3" w:rsidP="007F7536">
      <w:pPr>
        <w:pStyle w:val="ListParagraph"/>
        <w:ind w:left="0" w:firstLine="720"/>
        <w:rPr>
          <w:sz w:val="20"/>
          <w:szCs w:val="20"/>
        </w:rPr>
      </w:pPr>
    </w:p>
    <w:p w14:paraId="63B589FC" w14:textId="77777777" w:rsidR="00F628F3" w:rsidRPr="002F71EC" w:rsidRDefault="00F628F3" w:rsidP="007F7536">
      <w:pPr>
        <w:tabs>
          <w:tab w:val="center" w:pos="720"/>
        </w:tabs>
        <w:suppressAutoHyphens/>
        <w:ind w:firstLine="720"/>
        <w:jc w:val="both"/>
        <w:rPr>
          <w:rFonts w:ascii="Cambria" w:hAnsi="Cambria"/>
          <w:sz w:val="20"/>
          <w:szCs w:val="20"/>
        </w:rPr>
      </w:pPr>
    </w:p>
    <w:p w14:paraId="4E9F5B29" w14:textId="3210564D" w:rsidR="004C6E96" w:rsidRDefault="004C6E96" w:rsidP="004C6E96">
      <w:pPr>
        <w:tabs>
          <w:tab w:val="left" w:pos="720"/>
          <w:tab w:val="center" w:pos="5400"/>
        </w:tabs>
        <w:suppressAutoHyphens/>
        <w:jc w:val="both"/>
        <w:rPr>
          <w:rFonts w:ascii="Cambria" w:hAnsi="Cambria"/>
          <w:sz w:val="20"/>
          <w:szCs w:val="20"/>
        </w:rPr>
      </w:pPr>
      <w:r>
        <w:rPr>
          <w:rFonts w:ascii="Cambria" w:hAnsi="Cambria"/>
          <w:sz w:val="20"/>
          <w:szCs w:val="20"/>
        </w:rPr>
        <w:tab/>
      </w:r>
      <w:r w:rsidRPr="001F2142">
        <w:rPr>
          <w:rFonts w:ascii="Cambria" w:hAnsi="Cambria"/>
          <w:sz w:val="20"/>
          <w:szCs w:val="20"/>
        </w:rPr>
        <w:t xml:space="preserve">Approved by the Inter-American Commission on Human Rights on </w:t>
      </w:r>
      <w:r>
        <w:rPr>
          <w:rFonts w:ascii="Cambria" w:hAnsi="Cambria"/>
          <w:sz w:val="20"/>
          <w:szCs w:val="20"/>
        </w:rPr>
        <w:t>November 22, 2021</w:t>
      </w:r>
      <w:r w:rsidRPr="001F2142">
        <w:rPr>
          <w:rFonts w:ascii="Cambria" w:hAnsi="Cambria"/>
          <w:sz w:val="20"/>
          <w:szCs w:val="20"/>
        </w:rPr>
        <w:t xml:space="preserve">. </w:t>
      </w:r>
      <w:r w:rsidRPr="00AF1E91">
        <w:rPr>
          <w:rFonts w:ascii="Cambria" w:hAnsi="Cambria"/>
          <w:sz w:val="20"/>
          <w:szCs w:val="20"/>
        </w:rPr>
        <w:t>(Signed): Antonia Urrejola</w:t>
      </w:r>
      <w:r>
        <w:rPr>
          <w:rFonts w:ascii="Cambria" w:hAnsi="Cambria"/>
          <w:sz w:val="20"/>
          <w:szCs w:val="20"/>
        </w:rPr>
        <w:t>,</w:t>
      </w:r>
      <w:r w:rsidRPr="00AF1E91">
        <w:rPr>
          <w:rFonts w:ascii="Cambria" w:hAnsi="Cambria"/>
          <w:sz w:val="20"/>
          <w:szCs w:val="20"/>
        </w:rPr>
        <w:t xml:space="preserve"> President; Julissa Mantilla Falcón, First Vice</w:t>
      </w:r>
      <w:r w:rsidR="00867C79">
        <w:rPr>
          <w:rFonts w:ascii="Cambria" w:hAnsi="Cambria"/>
          <w:sz w:val="20"/>
          <w:szCs w:val="20"/>
        </w:rPr>
        <w:t>-</w:t>
      </w:r>
      <w:r w:rsidRPr="00AF1E91">
        <w:rPr>
          <w:rFonts w:ascii="Cambria" w:hAnsi="Cambria"/>
          <w:sz w:val="20"/>
          <w:szCs w:val="20"/>
        </w:rPr>
        <w:t>President; Flávia Piovesan</w:t>
      </w:r>
      <w:r>
        <w:rPr>
          <w:rFonts w:ascii="Cambria" w:hAnsi="Cambria"/>
          <w:sz w:val="20"/>
          <w:szCs w:val="20"/>
        </w:rPr>
        <w:t>,</w:t>
      </w:r>
      <w:r w:rsidRPr="00AF1E91">
        <w:rPr>
          <w:rFonts w:ascii="Cambria" w:hAnsi="Cambria"/>
          <w:sz w:val="20"/>
          <w:szCs w:val="20"/>
        </w:rPr>
        <w:t xml:space="preserve"> Second Vice</w:t>
      </w:r>
      <w:r w:rsidR="00867C79">
        <w:rPr>
          <w:rFonts w:ascii="Cambria" w:hAnsi="Cambria"/>
          <w:sz w:val="20"/>
          <w:szCs w:val="20"/>
        </w:rPr>
        <w:t>-</w:t>
      </w:r>
      <w:r w:rsidRPr="00AF1E91">
        <w:rPr>
          <w:rFonts w:ascii="Cambria" w:hAnsi="Cambria"/>
          <w:sz w:val="20"/>
          <w:szCs w:val="20"/>
        </w:rPr>
        <w:t>President</w:t>
      </w:r>
      <w:r>
        <w:rPr>
          <w:rFonts w:ascii="Cambria" w:hAnsi="Cambria"/>
          <w:sz w:val="20"/>
          <w:szCs w:val="20"/>
        </w:rPr>
        <w:t>;</w:t>
      </w:r>
      <w:r w:rsidRPr="00AF1E91">
        <w:rPr>
          <w:rFonts w:ascii="Cambria" w:hAnsi="Cambria"/>
          <w:sz w:val="20"/>
          <w:szCs w:val="20"/>
        </w:rPr>
        <w:t xml:space="preserve"> Margarette May Macaulay</w:t>
      </w:r>
      <w:r>
        <w:rPr>
          <w:rFonts w:ascii="Cambria" w:hAnsi="Cambria"/>
          <w:sz w:val="20"/>
          <w:szCs w:val="20"/>
        </w:rPr>
        <w:t>;</w:t>
      </w:r>
      <w:r w:rsidRPr="00AF1E91">
        <w:rPr>
          <w:rFonts w:ascii="Cambria" w:hAnsi="Cambria"/>
          <w:sz w:val="20"/>
          <w:szCs w:val="20"/>
        </w:rPr>
        <w:t xml:space="preserve"> Esmeralda E. Arosemena Bernal de Troitiño</w:t>
      </w:r>
      <w:r>
        <w:rPr>
          <w:rFonts w:ascii="Cambria" w:hAnsi="Cambria"/>
          <w:sz w:val="20"/>
          <w:szCs w:val="20"/>
        </w:rPr>
        <w:t>;</w:t>
      </w:r>
      <w:r w:rsidRPr="00AF1E91">
        <w:rPr>
          <w:rFonts w:ascii="Cambria" w:hAnsi="Cambria"/>
          <w:sz w:val="20"/>
          <w:szCs w:val="20"/>
        </w:rPr>
        <w:t xml:space="preserve"> Edgar Stuardo Ral</w:t>
      </w:r>
      <w:r w:rsidR="00867C79">
        <w:rPr>
          <w:rFonts w:ascii="Cambria" w:hAnsi="Cambria"/>
          <w:sz w:val="20"/>
          <w:szCs w:val="20"/>
        </w:rPr>
        <w:t>ó</w:t>
      </w:r>
      <w:r w:rsidRPr="00AF1E91">
        <w:rPr>
          <w:rFonts w:ascii="Cambria" w:hAnsi="Cambria"/>
          <w:sz w:val="20"/>
          <w:szCs w:val="20"/>
        </w:rPr>
        <w:t>n Orellana, y Joel Hernández García Members of the Commission</w:t>
      </w:r>
      <w:r>
        <w:rPr>
          <w:rFonts w:ascii="Cambria" w:hAnsi="Cambria"/>
          <w:sz w:val="20"/>
          <w:szCs w:val="20"/>
        </w:rPr>
        <w:t>.</w:t>
      </w:r>
    </w:p>
    <w:p w14:paraId="52790D22" w14:textId="77777777" w:rsidR="004C6E96" w:rsidRDefault="004C6E96" w:rsidP="004C6E96">
      <w:pPr>
        <w:tabs>
          <w:tab w:val="left" w:pos="720"/>
          <w:tab w:val="center" w:pos="5400"/>
        </w:tabs>
        <w:suppressAutoHyphens/>
        <w:jc w:val="both"/>
        <w:rPr>
          <w:rFonts w:ascii="Cambria" w:hAnsi="Cambria"/>
          <w:sz w:val="20"/>
          <w:szCs w:val="20"/>
        </w:rPr>
      </w:pPr>
    </w:p>
    <w:sectPr w:rsidR="004C6E96" w:rsidSect="00126ED8">
      <w:footerReference w:type="first" r:id="rId16"/>
      <w:pgSz w:w="12240" w:h="15840"/>
      <w:pgMar w:top="1440" w:right="135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9E5A" w14:textId="77777777" w:rsidR="0025455F" w:rsidRDefault="0025455F" w:rsidP="00036A8A">
      <w:r>
        <w:separator/>
      </w:r>
    </w:p>
  </w:endnote>
  <w:endnote w:type="continuationSeparator" w:id="0">
    <w:p w14:paraId="30B16F96" w14:textId="77777777" w:rsidR="0025455F" w:rsidRDefault="0025455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41ADFE5"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160C0503"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2204" w14:textId="77777777" w:rsidR="007607C4" w:rsidRDefault="007607C4">
    <w:pPr>
      <w:pStyle w:val="Footer"/>
      <w:jc w:val="center"/>
    </w:pPr>
  </w:p>
  <w:p w14:paraId="4B42DAB4"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7C09263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060AEA5D"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3689" w14:textId="77777777" w:rsidR="0025455F" w:rsidRPr="00036A8A" w:rsidRDefault="0025455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F79F03E" w14:textId="77777777" w:rsidR="0025455F" w:rsidRPr="00036A8A" w:rsidRDefault="0025455F" w:rsidP="00036A8A">
      <w:pPr>
        <w:rPr>
          <w:rFonts w:asciiTheme="majorHAnsi" w:hAnsiTheme="majorHAnsi"/>
          <w:sz w:val="16"/>
          <w:szCs w:val="16"/>
        </w:rPr>
      </w:pPr>
      <w:r w:rsidRPr="00036A8A">
        <w:rPr>
          <w:rFonts w:asciiTheme="majorHAnsi" w:hAnsiTheme="majorHAnsi"/>
          <w:sz w:val="16"/>
          <w:szCs w:val="16"/>
        </w:rPr>
        <w:separator/>
      </w:r>
    </w:p>
    <w:p w14:paraId="1402611A" w14:textId="77777777" w:rsidR="0025455F" w:rsidRPr="00036A8A" w:rsidRDefault="0025455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116C44E" w14:textId="77777777" w:rsidR="0025455F" w:rsidRPr="0093441A" w:rsidRDefault="0025455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C862D9D" w14:textId="77777777" w:rsidR="00B4126F" w:rsidRPr="002F71EC" w:rsidRDefault="00B4126F" w:rsidP="00B4126F">
      <w:pPr>
        <w:pStyle w:val="FootnoteText"/>
        <w:ind w:firstLine="720"/>
        <w:jc w:val="both"/>
        <w:rPr>
          <w:rFonts w:asciiTheme="majorHAnsi" w:hAnsiTheme="majorHAnsi"/>
          <w:sz w:val="16"/>
          <w:szCs w:val="16"/>
        </w:rPr>
      </w:pPr>
      <w:r w:rsidRPr="002F71EC">
        <w:rPr>
          <w:rStyle w:val="FootnoteReference"/>
          <w:rFonts w:asciiTheme="majorHAnsi" w:hAnsiTheme="majorHAnsi"/>
          <w:sz w:val="16"/>
          <w:szCs w:val="16"/>
        </w:rPr>
        <w:footnoteRef/>
      </w:r>
      <w:r w:rsidRPr="002F71EC">
        <w:rPr>
          <w:rFonts w:asciiTheme="majorHAnsi" w:hAnsiTheme="majorHAnsi"/>
          <w:sz w:val="16"/>
          <w:szCs w:val="16"/>
        </w:rPr>
        <w:t xml:space="preserve"> By applying Resolution 1/16 on measures to reduce procedural backlog, the Commission decided to defer the treatment of the admissibility of the case until the stage of debate on the merits.</w:t>
      </w:r>
    </w:p>
  </w:footnote>
  <w:footnote w:id="3">
    <w:p w14:paraId="1EE38EA1" w14:textId="77777777" w:rsidR="00F628F3" w:rsidRPr="002F71EC" w:rsidRDefault="00F628F3" w:rsidP="002F71EC">
      <w:pPr>
        <w:pStyle w:val="FootnoteText"/>
        <w:ind w:firstLine="720"/>
        <w:jc w:val="both"/>
        <w:rPr>
          <w:rFonts w:asciiTheme="majorHAnsi" w:hAnsiTheme="majorHAnsi"/>
          <w:sz w:val="16"/>
          <w:szCs w:val="16"/>
        </w:rPr>
      </w:pPr>
      <w:r w:rsidRPr="002F71EC">
        <w:rPr>
          <w:rStyle w:val="FootnoteReference"/>
          <w:rFonts w:asciiTheme="majorHAnsi" w:hAnsiTheme="majorHAnsi"/>
          <w:sz w:val="16"/>
          <w:szCs w:val="16"/>
        </w:rPr>
        <w:footnoteRef/>
      </w:r>
      <w:r w:rsidRPr="002F71EC">
        <w:rPr>
          <w:rFonts w:asciiTheme="majorHAnsi" w:hAnsiTheme="majorHAnsi"/>
          <w:sz w:val="16"/>
          <w:szCs w:val="16"/>
        </w:rPr>
        <w:t xml:space="preserve"> Official communication N. OFI20-43738 of June 24, 2020 – National Ministry of Defense.</w:t>
      </w:r>
    </w:p>
  </w:footnote>
  <w:footnote w:id="4">
    <w:p w14:paraId="1AE36B51" w14:textId="77777777" w:rsidR="00F628F3" w:rsidRPr="002F71EC" w:rsidRDefault="00F628F3" w:rsidP="002F71EC">
      <w:pPr>
        <w:pStyle w:val="FootnoteText"/>
        <w:ind w:firstLine="720"/>
        <w:jc w:val="both"/>
        <w:rPr>
          <w:rFonts w:asciiTheme="majorHAnsi" w:hAnsiTheme="majorHAnsi"/>
          <w:sz w:val="16"/>
          <w:szCs w:val="16"/>
        </w:rPr>
      </w:pPr>
      <w:r w:rsidRPr="002F71EC">
        <w:rPr>
          <w:rStyle w:val="FootnoteReference"/>
          <w:rFonts w:asciiTheme="majorHAnsi" w:hAnsiTheme="majorHAnsi"/>
          <w:sz w:val="16"/>
          <w:szCs w:val="16"/>
        </w:rPr>
        <w:footnoteRef/>
      </w:r>
      <w:r w:rsidRPr="002F71EC">
        <w:rPr>
          <w:rFonts w:asciiTheme="majorHAnsi" w:hAnsiTheme="majorHAnsi"/>
          <w:sz w:val="16"/>
          <w:szCs w:val="16"/>
        </w:rPr>
        <w:t xml:space="preserve"> Official communication N. OFI20-43738 of June 24, 2020 – National Ministry of Defense.</w:t>
      </w:r>
    </w:p>
  </w:footnote>
  <w:footnote w:id="5">
    <w:p w14:paraId="2198B814" w14:textId="77777777" w:rsidR="00F628F3" w:rsidRPr="002F71EC" w:rsidRDefault="00F628F3" w:rsidP="002F71EC">
      <w:pPr>
        <w:pStyle w:val="FootnoteText"/>
        <w:ind w:firstLine="720"/>
        <w:jc w:val="both"/>
        <w:rPr>
          <w:rFonts w:asciiTheme="majorHAnsi" w:hAnsiTheme="majorHAnsi"/>
          <w:sz w:val="16"/>
          <w:szCs w:val="16"/>
        </w:rPr>
      </w:pPr>
      <w:r w:rsidRPr="002F71EC">
        <w:rPr>
          <w:rStyle w:val="FootnoteReference"/>
          <w:rFonts w:asciiTheme="majorHAnsi" w:hAnsiTheme="majorHAnsi"/>
          <w:sz w:val="16"/>
          <w:szCs w:val="16"/>
        </w:rPr>
        <w:footnoteRef/>
      </w:r>
      <w:r w:rsidRPr="002F71EC">
        <w:rPr>
          <w:rFonts w:asciiTheme="majorHAnsi" w:hAnsiTheme="majorHAnsi"/>
          <w:sz w:val="16"/>
          <w:szCs w:val="16"/>
        </w:rPr>
        <w:t xml:space="preserve"> Official communication N. OFI20-107273 of December 29, 2020 / OFI21-6609 of January 27, 2021 – National Ministry of Defense – certification issued by the Conciliation and Judicial Defense Committee – December 16, 2020.</w:t>
      </w:r>
    </w:p>
  </w:footnote>
  <w:footnote w:id="6">
    <w:p w14:paraId="7ADA8CD6" w14:textId="2C2A4E88" w:rsidR="00F628F3" w:rsidRPr="00D313C3" w:rsidRDefault="00F628F3" w:rsidP="0090385C">
      <w:pPr>
        <w:pStyle w:val="FootnoteText"/>
        <w:ind w:firstLine="720"/>
        <w:jc w:val="both"/>
        <w:rPr>
          <w:rFonts w:asciiTheme="majorHAnsi" w:hAnsiTheme="majorHAnsi"/>
          <w:i/>
          <w:iCs/>
          <w:sz w:val="16"/>
          <w:szCs w:val="16"/>
        </w:rPr>
      </w:pPr>
      <w:r w:rsidRPr="002F71EC">
        <w:rPr>
          <w:rStyle w:val="FootnoteReference"/>
          <w:rFonts w:asciiTheme="majorHAnsi" w:hAnsiTheme="majorHAnsi"/>
          <w:sz w:val="16"/>
          <w:szCs w:val="16"/>
        </w:rPr>
        <w:footnoteRef/>
      </w:r>
      <w:r w:rsidRPr="002F71EC">
        <w:rPr>
          <w:rFonts w:asciiTheme="majorHAnsi" w:hAnsiTheme="majorHAnsi"/>
          <w:sz w:val="16"/>
          <w:szCs w:val="16"/>
        </w:rPr>
        <w:t xml:space="preserve"> Vienna Convention of the Law of Treaties, U.N. Doc. </w:t>
      </w:r>
      <w:r w:rsidRPr="00126ED8">
        <w:rPr>
          <w:rFonts w:asciiTheme="majorHAnsi" w:hAnsiTheme="majorHAnsi"/>
          <w:sz w:val="16"/>
          <w:szCs w:val="16"/>
          <w:lang w:val="es-CO"/>
        </w:rPr>
        <w:t xml:space="preserve">A/CONF.39/27 (1969), </w:t>
      </w:r>
      <w:proofErr w:type="spellStart"/>
      <w:r w:rsidRPr="00126ED8">
        <w:rPr>
          <w:rFonts w:asciiTheme="majorHAnsi" w:hAnsiTheme="majorHAnsi"/>
          <w:sz w:val="16"/>
          <w:szCs w:val="16"/>
          <w:lang w:val="es-CO"/>
        </w:rPr>
        <w:t>Article</w:t>
      </w:r>
      <w:proofErr w:type="spellEnd"/>
      <w:r w:rsidRPr="00126ED8">
        <w:rPr>
          <w:rFonts w:asciiTheme="majorHAnsi" w:hAnsiTheme="majorHAnsi"/>
          <w:sz w:val="16"/>
          <w:szCs w:val="16"/>
          <w:lang w:val="es-CO"/>
        </w:rPr>
        <w:t xml:space="preserve"> 26</w:t>
      </w:r>
      <w:r w:rsidRPr="00D313C3">
        <w:rPr>
          <w:rFonts w:asciiTheme="majorHAnsi" w:hAnsiTheme="majorHAnsi"/>
          <w:i/>
          <w:iCs/>
          <w:sz w:val="16"/>
          <w:szCs w:val="16"/>
          <w:lang w:val="es-CO"/>
        </w:rPr>
        <w:t xml:space="preserve">: </w:t>
      </w:r>
      <w:r w:rsidRPr="00D313C3">
        <w:rPr>
          <w:rFonts w:asciiTheme="majorHAnsi" w:hAnsiTheme="majorHAnsi"/>
          <w:b/>
          <w:bCs/>
          <w:i/>
          <w:iCs/>
          <w:sz w:val="16"/>
          <w:szCs w:val="16"/>
          <w:lang w:val="es-CO"/>
        </w:rPr>
        <w:t>“</w:t>
      </w:r>
      <w:r w:rsidR="00D313C3" w:rsidRPr="00D313C3">
        <w:rPr>
          <w:rFonts w:asciiTheme="majorHAnsi" w:hAnsiTheme="majorHAnsi"/>
          <w:b/>
          <w:bCs/>
          <w:i/>
          <w:iCs/>
          <w:sz w:val="16"/>
          <w:szCs w:val="16"/>
          <w:lang w:val="es-CO"/>
        </w:rPr>
        <w:t>P</w:t>
      </w:r>
      <w:r w:rsidRPr="00D313C3">
        <w:rPr>
          <w:rFonts w:asciiTheme="majorHAnsi" w:hAnsiTheme="majorHAnsi"/>
          <w:b/>
          <w:bCs/>
          <w:i/>
          <w:iCs/>
          <w:sz w:val="16"/>
          <w:szCs w:val="16"/>
          <w:lang w:val="es-CO"/>
        </w:rPr>
        <w:t xml:space="preserve">acta sunt </w:t>
      </w:r>
      <w:proofErr w:type="spellStart"/>
      <w:r w:rsidRPr="00D313C3">
        <w:rPr>
          <w:rFonts w:asciiTheme="majorHAnsi" w:hAnsiTheme="majorHAnsi"/>
          <w:b/>
          <w:bCs/>
          <w:i/>
          <w:iCs/>
          <w:sz w:val="16"/>
          <w:szCs w:val="16"/>
          <w:lang w:val="es-CO"/>
        </w:rPr>
        <w:t>servanda</w:t>
      </w:r>
      <w:proofErr w:type="spellEnd"/>
      <w:r w:rsidRPr="00D313C3">
        <w:rPr>
          <w:rFonts w:asciiTheme="majorHAnsi" w:hAnsiTheme="majorHAnsi"/>
          <w:b/>
          <w:bCs/>
          <w:i/>
          <w:iCs/>
          <w:sz w:val="16"/>
          <w:szCs w:val="16"/>
          <w:lang w:val="es-CO"/>
        </w:rPr>
        <w:t>”.</w:t>
      </w:r>
      <w:r w:rsidRPr="00D313C3">
        <w:rPr>
          <w:rFonts w:asciiTheme="majorHAnsi" w:hAnsiTheme="majorHAnsi"/>
          <w:i/>
          <w:iCs/>
          <w:sz w:val="16"/>
          <w:szCs w:val="16"/>
          <w:lang w:val="es-CO"/>
        </w:rPr>
        <w:t xml:space="preserve"> </w:t>
      </w:r>
      <w:r w:rsidR="00D313C3" w:rsidRPr="00D313C3">
        <w:rPr>
          <w:rFonts w:asciiTheme="majorHAnsi" w:hAnsiTheme="majorHAnsi"/>
          <w:i/>
          <w:iCs/>
          <w:sz w:val="16"/>
          <w:szCs w:val="16"/>
        </w:rPr>
        <w:t>Any treaty</w:t>
      </w:r>
      <w:r w:rsidRPr="00D313C3">
        <w:rPr>
          <w:rFonts w:asciiTheme="majorHAnsi" w:hAnsiTheme="majorHAnsi"/>
          <w:i/>
          <w:iCs/>
          <w:sz w:val="16"/>
          <w:szCs w:val="16"/>
        </w:rPr>
        <w:t xml:space="preserve"> in force is binding </w:t>
      </w:r>
      <w:r w:rsidR="00D313C3" w:rsidRPr="00D313C3">
        <w:rPr>
          <w:rFonts w:asciiTheme="majorHAnsi" w:hAnsiTheme="majorHAnsi"/>
          <w:i/>
          <w:iCs/>
          <w:sz w:val="16"/>
          <w:szCs w:val="16"/>
        </w:rPr>
        <w:t>on</w:t>
      </w:r>
      <w:r w:rsidRPr="00D313C3">
        <w:rPr>
          <w:rFonts w:asciiTheme="majorHAnsi" w:hAnsiTheme="majorHAnsi"/>
          <w:i/>
          <w:iCs/>
          <w:sz w:val="16"/>
          <w:szCs w:val="16"/>
        </w:rPr>
        <w:t xml:space="preserve"> the parties and must be performed by them in good faith.</w:t>
      </w:r>
    </w:p>
  </w:footnote>
  <w:footnote w:id="7">
    <w:p w14:paraId="2D59E913" w14:textId="77777777" w:rsidR="00F628F3" w:rsidRPr="002F71EC" w:rsidRDefault="00F628F3" w:rsidP="002F71EC">
      <w:pPr>
        <w:pStyle w:val="FootnoteText"/>
        <w:ind w:firstLine="720"/>
        <w:jc w:val="both"/>
        <w:rPr>
          <w:rFonts w:asciiTheme="majorHAnsi" w:hAnsiTheme="majorHAnsi"/>
          <w:sz w:val="16"/>
          <w:szCs w:val="16"/>
        </w:rPr>
      </w:pPr>
      <w:r w:rsidRPr="002F71EC">
        <w:rPr>
          <w:rStyle w:val="FootnoteReference"/>
          <w:rFonts w:asciiTheme="majorHAnsi" w:hAnsiTheme="majorHAnsi"/>
          <w:sz w:val="16"/>
          <w:szCs w:val="16"/>
        </w:rPr>
        <w:footnoteRef/>
      </w:r>
      <w:r w:rsidRPr="002F71EC">
        <w:rPr>
          <w:rFonts w:asciiTheme="majorHAnsi" w:hAnsiTheme="majorHAnsi"/>
          <w:sz w:val="16"/>
          <w:szCs w:val="16"/>
        </w:rPr>
        <w:t xml:space="preserve"> See YouTube. National Agency for Legal Defense of the State channel. Act of acknowledgement of State responsibility in the case of Mr. Carlos Mario Muñoz Gómez. Broadcasted in direct on May 18, 2021. Available electronically at: </w:t>
      </w:r>
      <w:bookmarkStart w:id="0" w:name="_Hlk89183913"/>
      <w:r w:rsidR="00DF2B5C">
        <w:fldChar w:fldCharType="begin"/>
      </w:r>
      <w:r w:rsidR="00DF2B5C">
        <w:instrText xml:space="preserve"> HYPERLINK "https://www.youtube.com/c/AgenciaNacionaldeDefensaJur%C3%ADdicadelEstado/videos" </w:instrText>
      </w:r>
      <w:r w:rsidR="00DF2B5C">
        <w:fldChar w:fldCharType="separate"/>
      </w:r>
      <w:r w:rsidRPr="002F71EC">
        <w:rPr>
          <w:rStyle w:val="Hyperlink"/>
          <w:rFonts w:asciiTheme="majorHAnsi" w:hAnsiTheme="majorHAnsi"/>
          <w:sz w:val="16"/>
          <w:szCs w:val="16"/>
          <w:lang w:val="es-CO"/>
        </w:rPr>
        <w:t>Agencia Nacional de Defensa Jurídica del Estado - YouTube</w:t>
      </w:r>
      <w:r w:rsidR="00DF2B5C">
        <w:rPr>
          <w:rStyle w:val="Hyperlink"/>
          <w:rFonts w:asciiTheme="majorHAnsi" w:hAnsiTheme="majorHAnsi"/>
          <w:sz w:val="16"/>
          <w:szCs w:val="16"/>
          <w:lang w:val="es-CO"/>
        </w:rPr>
        <w:fldChar w:fldCharType="end"/>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A82F"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16A211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1660"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5E5CA42" wp14:editId="4B8D22B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0F42331" w14:textId="77777777" w:rsidR="00040C3A" w:rsidRPr="00EC7D62" w:rsidRDefault="0025455F" w:rsidP="002C1641">
    <w:pPr>
      <w:pStyle w:val="Header"/>
      <w:tabs>
        <w:tab w:val="clear" w:pos="4320"/>
        <w:tab w:val="clear" w:pos="8640"/>
      </w:tabs>
      <w:jc w:val="center"/>
      <w:rPr>
        <w:sz w:val="22"/>
        <w:szCs w:val="22"/>
      </w:rPr>
    </w:pPr>
    <w:r>
      <w:rPr>
        <w:sz w:val="22"/>
        <w:szCs w:val="22"/>
      </w:rPr>
      <w:pict w14:anchorId="007A818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4BC"/>
    <w:multiLevelType w:val="hybridMultilevel"/>
    <w:tmpl w:val="F860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58331E"/>
    <w:multiLevelType w:val="hybridMultilevel"/>
    <w:tmpl w:val="A1CEC8CC"/>
    <w:lvl w:ilvl="0" w:tplc="59B4A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4900C2"/>
    <w:multiLevelType w:val="hybridMultilevel"/>
    <w:tmpl w:val="A508D0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55F6137"/>
    <w:multiLevelType w:val="hybridMultilevel"/>
    <w:tmpl w:val="20ACB770"/>
    <w:lvl w:ilvl="0" w:tplc="6038E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FD12B9"/>
    <w:multiLevelType w:val="hybridMultilevel"/>
    <w:tmpl w:val="A7502556"/>
    <w:lvl w:ilvl="0" w:tplc="A252C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26AA5"/>
    <w:multiLevelType w:val="hybridMultilevel"/>
    <w:tmpl w:val="2A3A706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3B2B93"/>
    <w:multiLevelType w:val="hybridMultilevel"/>
    <w:tmpl w:val="55889AC4"/>
    <w:lvl w:ilvl="0" w:tplc="35D20F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1B508AE"/>
    <w:multiLevelType w:val="hybridMultilevel"/>
    <w:tmpl w:val="DD12BCEE"/>
    <w:lvl w:ilvl="0" w:tplc="F1DE57C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526118E"/>
    <w:multiLevelType w:val="multilevel"/>
    <w:tmpl w:val="47B2C48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02376F"/>
    <w:multiLevelType w:val="hybridMultilevel"/>
    <w:tmpl w:val="B8E25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75322BC"/>
    <w:multiLevelType w:val="hybridMultilevel"/>
    <w:tmpl w:val="E2FEABDA"/>
    <w:lvl w:ilvl="0" w:tplc="7DB623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71D5CC1"/>
    <w:multiLevelType w:val="hybridMultilevel"/>
    <w:tmpl w:val="69C2D2FC"/>
    <w:lvl w:ilvl="0" w:tplc="A3603C8A">
      <w:start w:val="1"/>
      <w:numFmt w:val="upperRoman"/>
      <w:lvlText w:val="%1."/>
      <w:lvlJc w:val="left"/>
      <w:pPr>
        <w:ind w:left="1080" w:hanging="720"/>
      </w:pPr>
      <w:rPr>
        <w:rFonts w:hint="default"/>
        <w:b/>
        <w:bCs/>
      </w:rPr>
    </w:lvl>
    <w:lvl w:ilvl="1" w:tplc="1A687B12">
      <w:numFmt w:val="bullet"/>
      <w:lvlText w:val="•"/>
      <w:lvlJc w:val="left"/>
      <w:pPr>
        <w:ind w:left="1800" w:hanging="720"/>
      </w:pPr>
      <w:rPr>
        <w:rFonts w:ascii="Cambria" w:eastAsia="Arial Unicode MS"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60"/>
  </w:num>
  <w:num w:numId="4">
    <w:abstractNumId w:val="25"/>
  </w:num>
  <w:num w:numId="5">
    <w:abstractNumId w:val="52"/>
  </w:num>
  <w:num w:numId="6">
    <w:abstractNumId w:val="31"/>
  </w:num>
  <w:num w:numId="7">
    <w:abstractNumId w:val="8"/>
  </w:num>
  <w:num w:numId="8">
    <w:abstractNumId w:val="21"/>
  </w:num>
  <w:num w:numId="9">
    <w:abstractNumId w:val="48"/>
  </w:num>
  <w:num w:numId="10">
    <w:abstractNumId w:val="1"/>
  </w:num>
  <w:num w:numId="11">
    <w:abstractNumId w:val="42"/>
  </w:num>
  <w:num w:numId="12">
    <w:abstractNumId w:val="43"/>
  </w:num>
  <w:num w:numId="13">
    <w:abstractNumId w:val="49"/>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8"/>
  </w:num>
  <w:num w:numId="24">
    <w:abstractNumId w:val="19"/>
  </w:num>
  <w:num w:numId="25">
    <w:abstractNumId w:val="22"/>
  </w:num>
  <w:num w:numId="26">
    <w:abstractNumId w:val="23"/>
  </w:num>
  <w:num w:numId="27">
    <w:abstractNumId w:val="27"/>
  </w:num>
  <w:num w:numId="28">
    <w:abstractNumId w:val="28"/>
  </w:num>
  <w:num w:numId="29">
    <w:abstractNumId w:val="29"/>
  </w:num>
  <w:num w:numId="30">
    <w:abstractNumId w:val="30"/>
  </w:num>
  <w:num w:numId="31">
    <w:abstractNumId w:val="32"/>
  </w:num>
  <w:num w:numId="32">
    <w:abstractNumId w:val="33"/>
  </w:num>
  <w:num w:numId="33">
    <w:abstractNumId w:val="35"/>
  </w:num>
  <w:num w:numId="34">
    <w:abstractNumId w:val="36"/>
  </w:num>
  <w:num w:numId="35">
    <w:abstractNumId w:val="37"/>
  </w:num>
  <w:num w:numId="36">
    <w:abstractNumId w:val="39"/>
  </w:num>
  <w:num w:numId="37">
    <w:abstractNumId w:val="40"/>
  </w:num>
  <w:num w:numId="38">
    <w:abstractNumId w:val="41"/>
  </w:num>
  <w:num w:numId="39">
    <w:abstractNumId w:val="45"/>
  </w:num>
  <w:num w:numId="40">
    <w:abstractNumId w:val="46"/>
  </w:num>
  <w:num w:numId="41">
    <w:abstractNumId w:val="51"/>
  </w:num>
  <w:num w:numId="42">
    <w:abstractNumId w:val="54"/>
  </w:num>
  <w:num w:numId="43">
    <w:abstractNumId w:val="55"/>
  </w:num>
  <w:num w:numId="44">
    <w:abstractNumId w:val="57"/>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4"/>
  </w:num>
  <w:num w:numId="52">
    <w:abstractNumId w:val="47"/>
  </w:num>
  <w:num w:numId="53">
    <w:abstractNumId w:val="56"/>
  </w:num>
  <w:num w:numId="54">
    <w:abstractNumId w:val="50"/>
  </w:num>
  <w:num w:numId="55">
    <w:abstractNumId w:val="38"/>
  </w:num>
  <w:num w:numId="56">
    <w:abstractNumId w:val="4"/>
  </w:num>
  <w:num w:numId="57">
    <w:abstractNumId w:val="58"/>
  </w:num>
  <w:num w:numId="58">
    <w:abstractNumId w:val="26"/>
  </w:num>
  <w:num w:numId="59">
    <w:abstractNumId w:val="53"/>
  </w:num>
  <w:num w:numId="60">
    <w:abstractNumId w:val="16"/>
  </w:num>
  <w:num w:numId="61">
    <w:abstractNumId w:val="17"/>
  </w:num>
  <w:num w:numId="62">
    <w:abstractNumId w:val="34"/>
  </w:num>
  <w:num w:numId="63">
    <w:abstractNumId w:val="0"/>
  </w:num>
  <w:num w:numId="64">
    <w:abstractNumId w:val="44"/>
  </w:num>
  <w:num w:numId="65">
    <w:abstractNumId w:val="20"/>
  </w:num>
  <w:num w:numId="66">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6225"/>
    <w:rsid w:val="0001788C"/>
    <w:rsid w:val="00036A8A"/>
    <w:rsid w:val="00040C3A"/>
    <w:rsid w:val="000639C0"/>
    <w:rsid w:val="00070F3A"/>
    <w:rsid w:val="000716C5"/>
    <w:rsid w:val="00075E23"/>
    <w:rsid w:val="00092F32"/>
    <w:rsid w:val="0009344A"/>
    <w:rsid w:val="000A575F"/>
    <w:rsid w:val="000D10DB"/>
    <w:rsid w:val="00126ED8"/>
    <w:rsid w:val="0013104F"/>
    <w:rsid w:val="00137EBA"/>
    <w:rsid w:val="00140EFF"/>
    <w:rsid w:val="00145EDC"/>
    <w:rsid w:val="00152AA5"/>
    <w:rsid w:val="00167A34"/>
    <w:rsid w:val="0018037F"/>
    <w:rsid w:val="001A5F27"/>
    <w:rsid w:val="001A7870"/>
    <w:rsid w:val="001C1B41"/>
    <w:rsid w:val="001E1F4D"/>
    <w:rsid w:val="00210E0E"/>
    <w:rsid w:val="00247403"/>
    <w:rsid w:val="00247542"/>
    <w:rsid w:val="0025455F"/>
    <w:rsid w:val="00257893"/>
    <w:rsid w:val="00266092"/>
    <w:rsid w:val="00266B61"/>
    <w:rsid w:val="0026712A"/>
    <w:rsid w:val="002704DB"/>
    <w:rsid w:val="002A65AC"/>
    <w:rsid w:val="002B06F2"/>
    <w:rsid w:val="002C1641"/>
    <w:rsid w:val="002C4A4A"/>
    <w:rsid w:val="002D7EA2"/>
    <w:rsid w:val="002E15DF"/>
    <w:rsid w:val="002E187C"/>
    <w:rsid w:val="002E6E57"/>
    <w:rsid w:val="002F71EC"/>
    <w:rsid w:val="00301075"/>
    <w:rsid w:val="00302733"/>
    <w:rsid w:val="00311A4F"/>
    <w:rsid w:val="00314078"/>
    <w:rsid w:val="00322450"/>
    <w:rsid w:val="003246B5"/>
    <w:rsid w:val="0033169F"/>
    <w:rsid w:val="003414AC"/>
    <w:rsid w:val="00356185"/>
    <w:rsid w:val="00360380"/>
    <w:rsid w:val="003815A8"/>
    <w:rsid w:val="00386CF0"/>
    <w:rsid w:val="003C32BC"/>
    <w:rsid w:val="003F1BBF"/>
    <w:rsid w:val="004165C2"/>
    <w:rsid w:val="004358F1"/>
    <w:rsid w:val="00450A4A"/>
    <w:rsid w:val="004666FB"/>
    <w:rsid w:val="00467B7E"/>
    <w:rsid w:val="0049419D"/>
    <w:rsid w:val="004A67FD"/>
    <w:rsid w:val="004B2762"/>
    <w:rsid w:val="004B7EB6"/>
    <w:rsid w:val="004C4B62"/>
    <w:rsid w:val="004C6E96"/>
    <w:rsid w:val="004D6025"/>
    <w:rsid w:val="004D72BC"/>
    <w:rsid w:val="00501399"/>
    <w:rsid w:val="00507BC4"/>
    <w:rsid w:val="005128E4"/>
    <w:rsid w:val="00525560"/>
    <w:rsid w:val="005357A6"/>
    <w:rsid w:val="005357BF"/>
    <w:rsid w:val="005404B7"/>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80927"/>
    <w:rsid w:val="006A17D2"/>
    <w:rsid w:val="006A43A0"/>
    <w:rsid w:val="006A73E6"/>
    <w:rsid w:val="006B2D5C"/>
    <w:rsid w:val="006C4EB1"/>
    <w:rsid w:val="006E0166"/>
    <w:rsid w:val="006E7B34"/>
    <w:rsid w:val="00701B24"/>
    <w:rsid w:val="00730912"/>
    <w:rsid w:val="00745899"/>
    <w:rsid w:val="007607C4"/>
    <w:rsid w:val="0076643F"/>
    <w:rsid w:val="007806A1"/>
    <w:rsid w:val="007A2F70"/>
    <w:rsid w:val="007C3334"/>
    <w:rsid w:val="007C52BB"/>
    <w:rsid w:val="007D2B98"/>
    <w:rsid w:val="007F7536"/>
    <w:rsid w:val="00803F1C"/>
    <w:rsid w:val="0080600E"/>
    <w:rsid w:val="00817612"/>
    <w:rsid w:val="00837C45"/>
    <w:rsid w:val="00853419"/>
    <w:rsid w:val="00854A0C"/>
    <w:rsid w:val="00867C79"/>
    <w:rsid w:val="00897E12"/>
    <w:rsid w:val="008D43BA"/>
    <w:rsid w:val="008E3759"/>
    <w:rsid w:val="0090385C"/>
    <w:rsid w:val="009041DC"/>
    <w:rsid w:val="009104B4"/>
    <w:rsid w:val="00925FCD"/>
    <w:rsid w:val="0093441A"/>
    <w:rsid w:val="00954BF7"/>
    <w:rsid w:val="0096706E"/>
    <w:rsid w:val="00981FBA"/>
    <w:rsid w:val="009B381B"/>
    <w:rsid w:val="009D7611"/>
    <w:rsid w:val="009D770B"/>
    <w:rsid w:val="009E53DE"/>
    <w:rsid w:val="00A43458"/>
    <w:rsid w:val="00A528D1"/>
    <w:rsid w:val="00A66BE5"/>
    <w:rsid w:val="00AA1555"/>
    <w:rsid w:val="00AD37C1"/>
    <w:rsid w:val="00AE66EC"/>
    <w:rsid w:val="00AE6F91"/>
    <w:rsid w:val="00AF5571"/>
    <w:rsid w:val="00B167E9"/>
    <w:rsid w:val="00B314DB"/>
    <w:rsid w:val="00B31EBE"/>
    <w:rsid w:val="00B3718B"/>
    <w:rsid w:val="00B4126F"/>
    <w:rsid w:val="00B4632A"/>
    <w:rsid w:val="00B7492C"/>
    <w:rsid w:val="00BA276C"/>
    <w:rsid w:val="00BB306F"/>
    <w:rsid w:val="00BD232B"/>
    <w:rsid w:val="00BD4B89"/>
    <w:rsid w:val="00BE2F83"/>
    <w:rsid w:val="00C21762"/>
    <w:rsid w:val="00C24543"/>
    <w:rsid w:val="00C256A2"/>
    <w:rsid w:val="00C3492D"/>
    <w:rsid w:val="00C55560"/>
    <w:rsid w:val="00C66B72"/>
    <w:rsid w:val="00C72BA4"/>
    <w:rsid w:val="00C9567A"/>
    <w:rsid w:val="00CB2660"/>
    <w:rsid w:val="00CC5E90"/>
    <w:rsid w:val="00CD046C"/>
    <w:rsid w:val="00CD152E"/>
    <w:rsid w:val="00CE5199"/>
    <w:rsid w:val="00CE66D5"/>
    <w:rsid w:val="00D313C3"/>
    <w:rsid w:val="00D34786"/>
    <w:rsid w:val="00D40A1E"/>
    <w:rsid w:val="00D52287"/>
    <w:rsid w:val="00D712D3"/>
    <w:rsid w:val="00D71422"/>
    <w:rsid w:val="00D7145E"/>
    <w:rsid w:val="00D7558D"/>
    <w:rsid w:val="00D81D92"/>
    <w:rsid w:val="00D843AC"/>
    <w:rsid w:val="00D84866"/>
    <w:rsid w:val="00D92D84"/>
    <w:rsid w:val="00D93446"/>
    <w:rsid w:val="00DA37B6"/>
    <w:rsid w:val="00DA7B5F"/>
    <w:rsid w:val="00DF2B5C"/>
    <w:rsid w:val="00E43157"/>
    <w:rsid w:val="00E533FF"/>
    <w:rsid w:val="00E709B3"/>
    <w:rsid w:val="00E8789F"/>
    <w:rsid w:val="00E97B71"/>
    <w:rsid w:val="00EB454D"/>
    <w:rsid w:val="00EE3522"/>
    <w:rsid w:val="00EF619B"/>
    <w:rsid w:val="00F00B55"/>
    <w:rsid w:val="00F0619F"/>
    <w:rsid w:val="00F1380F"/>
    <w:rsid w:val="00F14F0E"/>
    <w:rsid w:val="00F24C29"/>
    <w:rsid w:val="00F253CC"/>
    <w:rsid w:val="00F56BA5"/>
    <w:rsid w:val="00F628F3"/>
    <w:rsid w:val="00F644E6"/>
    <w:rsid w:val="00F9653B"/>
    <w:rsid w:val="00FA675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8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1"/>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table" w:styleId="TableGrid">
    <w:name w:val="Table Grid"/>
    <w:basedOn w:val="TableNormal"/>
    <w:uiPriority w:val="59"/>
    <w:rsid w:val="00F62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DD517-94B7-4C42-AE38-DD9F2FF9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3930</Words>
  <Characters>20829</Characters>
  <Application>Microsoft Office Word</Application>
  <DocSecurity>0</DocSecurity>
  <Lines>495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336/21</dc:title>
  <dc:creator/>
  <cp:lastModifiedBy/>
  <cp:revision>1</cp:revision>
  <dcterms:created xsi:type="dcterms:W3CDTF">2021-12-08T13:36:00Z</dcterms:created>
  <dcterms:modified xsi:type="dcterms:W3CDTF">2022-03-17T18:05:00Z</dcterms:modified>
</cp:coreProperties>
</file>