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659E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675D19"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7764CD0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4463A">
                              <w:rPr>
                                <w:rFonts w:asciiTheme="majorHAnsi" w:hAnsiTheme="majorHAnsi" w:cs="Arial"/>
                                <w:b/>
                                <w:bCs/>
                                <w:color w:val="0D0D0D" w:themeColor="text1" w:themeTint="F2"/>
                                <w:sz w:val="36"/>
                                <w:szCs w:val="40"/>
                              </w:rPr>
                              <w:t>317</w:t>
                            </w:r>
                            <w:r w:rsidR="00322450" w:rsidRPr="004B7EB6">
                              <w:rPr>
                                <w:rFonts w:asciiTheme="majorHAnsi" w:hAnsiTheme="majorHAnsi" w:cs="Arial"/>
                                <w:b/>
                                <w:bCs/>
                                <w:color w:val="0D0D0D" w:themeColor="text1" w:themeTint="F2"/>
                                <w:sz w:val="36"/>
                                <w:szCs w:val="40"/>
                              </w:rPr>
                              <w:t>/</w:t>
                            </w:r>
                            <w:r w:rsidR="008F17F1">
                              <w:rPr>
                                <w:rFonts w:asciiTheme="majorHAnsi" w:hAnsiTheme="majorHAnsi" w:cs="Arial"/>
                                <w:b/>
                                <w:bCs/>
                                <w:color w:val="0D0D0D" w:themeColor="text1" w:themeTint="F2"/>
                                <w:sz w:val="36"/>
                                <w:szCs w:val="40"/>
                              </w:rPr>
                              <w:t>21</w:t>
                            </w:r>
                          </w:p>
                          <w:p w14:paraId="2857F468" w14:textId="36E261B9"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A85041">
                              <w:rPr>
                                <w:rFonts w:asciiTheme="majorHAnsi" w:hAnsiTheme="majorHAnsi" w:cs="Arial"/>
                                <w:b/>
                                <w:bCs/>
                                <w:color w:val="0D0D0D" w:themeColor="text1" w:themeTint="F2"/>
                                <w:sz w:val="36"/>
                                <w:szCs w:val="40"/>
                              </w:rPr>
                              <w:t>1842</w:t>
                            </w:r>
                            <w:r>
                              <w:rPr>
                                <w:rFonts w:asciiTheme="majorHAnsi" w:hAnsiTheme="majorHAnsi" w:cs="Arial"/>
                                <w:b/>
                                <w:bCs/>
                                <w:color w:val="0D0D0D" w:themeColor="text1" w:themeTint="F2"/>
                                <w:sz w:val="36"/>
                                <w:szCs w:val="40"/>
                              </w:rPr>
                              <w:t>-</w:t>
                            </w:r>
                            <w:r w:rsidR="00A02D0B">
                              <w:rPr>
                                <w:rFonts w:asciiTheme="majorHAnsi" w:hAnsiTheme="majorHAnsi" w:cs="Arial"/>
                                <w:b/>
                                <w:bCs/>
                                <w:color w:val="0D0D0D" w:themeColor="text1" w:themeTint="F2"/>
                                <w:sz w:val="36"/>
                                <w:szCs w:val="40"/>
                              </w:rPr>
                              <w:t>1</w:t>
                            </w:r>
                            <w:r w:rsidR="00A85041">
                              <w:rPr>
                                <w:rFonts w:asciiTheme="majorHAnsi" w:hAnsiTheme="majorHAnsi" w:cs="Arial"/>
                                <w:b/>
                                <w:bCs/>
                                <w:color w:val="0D0D0D" w:themeColor="text1" w:themeTint="F2"/>
                                <w:sz w:val="36"/>
                                <w:szCs w:val="40"/>
                              </w:rPr>
                              <w:t>4</w:t>
                            </w:r>
                          </w:p>
                          <w:p w14:paraId="51480B27" w14:textId="1F0FD76A"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7476ECA" w14:textId="7AB518E8" w:rsidR="005B52B0" w:rsidRDefault="00A85041" w:rsidP="00261E08">
                            <w:pPr>
                              <w:spacing w:line="276" w:lineRule="auto"/>
                              <w:rPr>
                                <w:rFonts w:ascii="Cambria" w:hAnsi="Cambria" w:cs="Arial"/>
                                <w:color w:val="0D0D0D"/>
                                <w:szCs w:val="22"/>
                              </w:rPr>
                            </w:pPr>
                            <w:r>
                              <w:rPr>
                                <w:rFonts w:ascii="Cambria" w:hAnsi="Cambria" w:cs="Arial"/>
                                <w:color w:val="0D0D0D"/>
                                <w:szCs w:val="22"/>
                              </w:rPr>
                              <w:t xml:space="preserve">M </w:t>
                            </w:r>
                            <w:r w:rsidR="0074463A">
                              <w:rPr>
                                <w:rFonts w:ascii="Cambria" w:hAnsi="Cambria" w:cs="Arial"/>
                                <w:color w:val="0D0D0D"/>
                                <w:szCs w:val="22"/>
                              </w:rPr>
                              <w:t>&amp;</w:t>
                            </w:r>
                            <w:r>
                              <w:rPr>
                                <w:rFonts w:ascii="Cambria" w:hAnsi="Cambria" w:cs="Arial"/>
                                <w:color w:val="0D0D0D"/>
                                <w:szCs w:val="22"/>
                              </w:rPr>
                              <w:t xml:space="preserve"> C</w:t>
                            </w:r>
                          </w:p>
                          <w:p w14:paraId="0ACEFB07" w14:textId="0D6839AB" w:rsidR="00A85041" w:rsidRPr="000C4365" w:rsidRDefault="00A85041" w:rsidP="00261E08">
                            <w:pPr>
                              <w:spacing w:line="276" w:lineRule="auto"/>
                              <w:rPr>
                                <w:rFonts w:asciiTheme="majorHAnsi" w:hAnsiTheme="majorHAnsi"/>
                                <w:color w:val="0D0D0D" w:themeColor="text1" w:themeTint="F2"/>
                              </w:rPr>
                            </w:pPr>
                            <w:r>
                              <w:rPr>
                                <w:rFonts w:ascii="Cambria" w:hAnsi="Cambria" w:cs="Arial"/>
                                <w:color w:val="0D0D0D"/>
                                <w:szCs w:val="22"/>
                              </w:rPr>
                              <w:t>COSTA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DDC71"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5E98D609" w14:textId="7764CD0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4463A">
                        <w:rPr>
                          <w:rFonts w:asciiTheme="majorHAnsi" w:hAnsiTheme="majorHAnsi" w:cs="Arial"/>
                          <w:b/>
                          <w:bCs/>
                          <w:color w:val="0D0D0D" w:themeColor="text1" w:themeTint="F2"/>
                          <w:sz w:val="36"/>
                          <w:szCs w:val="40"/>
                        </w:rPr>
                        <w:t>317</w:t>
                      </w:r>
                      <w:r w:rsidR="00322450" w:rsidRPr="004B7EB6">
                        <w:rPr>
                          <w:rFonts w:asciiTheme="majorHAnsi" w:hAnsiTheme="majorHAnsi" w:cs="Arial"/>
                          <w:b/>
                          <w:bCs/>
                          <w:color w:val="0D0D0D" w:themeColor="text1" w:themeTint="F2"/>
                          <w:sz w:val="36"/>
                          <w:szCs w:val="40"/>
                        </w:rPr>
                        <w:t>/</w:t>
                      </w:r>
                      <w:r w:rsidR="008F17F1">
                        <w:rPr>
                          <w:rFonts w:asciiTheme="majorHAnsi" w:hAnsiTheme="majorHAnsi" w:cs="Arial"/>
                          <w:b/>
                          <w:bCs/>
                          <w:color w:val="0D0D0D" w:themeColor="text1" w:themeTint="F2"/>
                          <w:sz w:val="36"/>
                          <w:szCs w:val="40"/>
                        </w:rPr>
                        <w:t>21</w:t>
                      </w:r>
                    </w:p>
                    <w:p w14:paraId="2857F468" w14:textId="36E261B9"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A85041">
                        <w:rPr>
                          <w:rFonts w:asciiTheme="majorHAnsi" w:hAnsiTheme="majorHAnsi" w:cs="Arial"/>
                          <w:b/>
                          <w:bCs/>
                          <w:color w:val="0D0D0D" w:themeColor="text1" w:themeTint="F2"/>
                          <w:sz w:val="36"/>
                          <w:szCs w:val="40"/>
                        </w:rPr>
                        <w:t>1842</w:t>
                      </w:r>
                      <w:r>
                        <w:rPr>
                          <w:rFonts w:asciiTheme="majorHAnsi" w:hAnsiTheme="majorHAnsi" w:cs="Arial"/>
                          <w:b/>
                          <w:bCs/>
                          <w:color w:val="0D0D0D" w:themeColor="text1" w:themeTint="F2"/>
                          <w:sz w:val="36"/>
                          <w:szCs w:val="40"/>
                        </w:rPr>
                        <w:t>-</w:t>
                      </w:r>
                      <w:r w:rsidR="00A02D0B">
                        <w:rPr>
                          <w:rFonts w:asciiTheme="majorHAnsi" w:hAnsiTheme="majorHAnsi" w:cs="Arial"/>
                          <w:b/>
                          <w:bCs/>
                          <w:color w:val="0D0D0D" w:themeColor="text1" w:themeTint="F2"/>
                          <w:sz w:val="36"/>
                          <w:szCs w:val="40"/>
                        </w:rPr>
                        <w:t>1</w:t>
                      </w:r>
                      <w:r w:rsidR="00A85041">
                        <w:rPr>
                          <w:rFonts w:asciiTheme="majorHAnsi" w:hAnsiTheme="majorHAnsi" w:cs="Arial"/>
                          <w:b/>
                          <w:bCs/>
                          <w:color w:val="0D0D0D" w:themeColor="text1" w:themeTint="F2"/>
                          <w:sz w:val="36"/>
                          <w:szCs w:val="40"/>
                        </w:rPr>
                        <w:t>4</w:t>
                      </w:r>
                    </w:p>
                    <w:p w14:paraId="51480B27" w14:textId="1F0FD76A"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7476ECA" w14:textId="7AB518E8" w:rsidR="005B52B0" w:rsidRDefault="00A85041" w:rsidP="00261E08">
                      <w:pPr>
                        <w:spacing w:line="276" w:lineRule="auto"/>
                        <w:rPr>
                          <w:rFonts w:ascii="Cambria" w:hAnsi="Cambria" w:cs="Arial"/>
                          <w:color w:val="0D0D0D"/>
                          <w:szCs w:val="22"/>
                        </w:rPr>
                      </w:pPr>
                      <w:r>
                        <w:rPr>
                          <w:rFonts w:ascii="Cambria" w:hAnsi="Cambria" w:cs="Arial"/>
                          <w:color w:val="0D0D0D"/>
                          <w:szCs w:val="22"/>
                        </w:rPr>
                        <w:t xml:space="preserve">M </w:t>
                      </w:r>
                      <w:r w:rsidR="0074463A">
                        <w:rPr>
                          <w:rFonts w:ascii="Cambria" w:hAnsi="Cambria" w:cs="Arial"/>
                          <w:color w:val="0D0D0D"/>
                          <w:szCs w:val="22"/>
                        </w:rPr>
                        <w:t>&amp;</w:t>
                      </w:r>
                      <w:r>
                        <w:rPr>
                          <w:rFonts w:ascii="Cambria" w:hAnsi="Cambria" w:cs="Arial"/>
                          <w:color w:val="0D0D0D"/>
                          <w:szCs w:val="22"/>
                        </w:rPr>
                        <w:t xml:space="preserve"> C</w:t>
                      </w:r>
                    </w:p>
                    <w:p w14:paraId="0ACEFB07" w14:textId="0D6839AB" w:rsidR="00A85041" w:rsidRPr="000C4365" w:rsidRDefault="00A85041" w:rsidP="00261E08">
                      <w:pPr>
                        <w:spacing w:line="276" w:lineRule="auto"/>
                        <w:rPr>
                          <w:rFonts w:asciiTheme="majorHAnsi" w:hAnsiTheme="majorHAnsi"/>
                          <w:color w:val="0D0D0D" w:themeColor="text1" w:themeTint="F2"/>
                        </w:rPr>
                      </w:pPr>
                      <w:r>
                        <w:rPr>
                          <w:rFonts w:ascii="Cambria" w:hAnsi="Cambria" w:cs="Arial"/>
                          <w:color w:val="0D0D0D"/>
                          <w:szCs w:val="22"/>
                        </w:rPr>
                        <w:t>COSTA 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4A64FE72" w:rsidR="00627C9F" w:rsidRPr="00E73149"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2B86BB36" w14:textId="0C4D390D" w:rsidR="00627C9F" w:rsidRPr="001349BA" w:rsidRDefault="00CA6577" w:rsidP="009E566A">
                            <w:pPr>
                              <w:jc w:val="right"/>
                              <w:rPr>
                                <w:rFonts w:asciiTheme="minorHAnsi" w:hAnsiTheme="minorHAnsi"/>
                                <w:color w:val="FFFFFF" w:themeColor="background1"/>
                                <w:sz w:val="22"/>
                                <w:lang w:val="es-US"/>
                              </w:rPr>
                            </w:pPr>
                            <w:r w:rsidRPr="001349BA">
                              <w:rPr>
                                <w:rFonts w:asciiTheme="minorHAnsi" w:hAnsiTheme="minorHAnsi"/>
                                <w:color w:val="FFFFFF" w:themeColor="background1"/>
                                <w:sz w:val="22"/>
                                <w:lang w:val="es-US"/>
                              </w:rPr>
                              <w:t xml:space="preserve">Doc. </w:t>
                            </w:r>
                            <w:r w:rsidR="00E73149" w:rsidRPr="001349BA">
                              <w:rPr>
                                <w:rFonts w:asciiTheme="minorHAnsi" w:hAnsiTheme="minorHAnsi"/>
                                <w:color w:val="FFFFFF" w:themeColor="background1"/>
                                <w:sz w:val="22"/>
                                <w:lang w:val="es-US"/>
                              </w:rPr>
                              <w:t>327</w:t>
                            </w:r>
                          </w:p>
                          <w:p w14:paraId="6AC8D657" w14:textId="250025ED" w:rsidR="00627C9F" w:rsidRPr="00E73149" w:rsidRDefault="00022CF5" w:rsidP="009E566A">
                            <w:pPr>
                              <w:jc w:val="right"/>
                              <w:rPr>
                                <w:rFonts w:asciiTheme="minorHAnsi" w:hAnsiTheme="minorHAnsi"/>
                                <w:color w:val="FFFFFF" w:themeColor="background1"/>
                                <w:sz w:val="22"/>
                              </w:rPr>
                            </w:pPr>
                            <w:r w:rsidRPr="001349BA">
                              <w:rPr>
                                <w:rFonts w:asciiTheme="minorHAnsi" w:hAnsiTheme="minorHAnsi"/>
                                <w:color w:val="FFFFFF" w:themeColor="background1"/>
                                <w:sz w:val="22"/>
                                <w:lang w:val="es-US"/>
                              </w:rPr>
                              <w:t xml:space="preserve"> </w:t>
                            </w:r>
                            <w:r w:rsidR="00E73149">
                              <w:rPr>
                                <w:rFonts w:asciiTheme="minorHAnsi" w:hAnsiTheme="minorHAnsi"/>
                                <w:color w:val="FFFFFF" w:themeColor="background1"/>
                                <w:sz w:val="22"/>
                              </w:rPr>
                              <w:t>4 November</w:t>
                            </w:r>
                            <w:r w:rsidR="000C4365" w:rsidRPr="00E73149">
                              <w:rPr>
                                <w:rFonts w:asciiTheme="minorHAnsi" w:hAnsiTheme="minorHAnsi"/>
                                <w:color w:val="FFFFFF" w:themeColor="background1"/>
                                <w:sz w:val="22"/>
                              </w:rPr>
                              <w:t xml:space="preserve"> </w:t>
                            </w:r>
                            <w:r w:rsidR="002F2697" w:rsidRPr="00E73149">
                              <w:rPr>
                                <w:rFonts w:asciiTheme="minorHAnsi" w:hAnsiTheme="minorHAnsi"/>
                                <w:color w:val="FFFFFF" w:themeColor="background1"/>
                                <w:sz w:val="22"/>
                              </w:rPr>
                              <w:t>202</w:t>
                            </w:r>
                            <w:r w:rsidR="008F17F1" w:rsidRPr="00E73149">
                              <w:rPr>
                                <w:rFonts w:asciiTheme="minorHAnsi" w:hAnsiTheme="minorHAnsi"/>
                                <w:color w:val="FFFFFF" w:themeColor="background1"/>
                                <w:sz w:val="22"/>
                              </w:rPr>
                              <w:t>1</w:t>
                            </w:r>
                          </w:p>
                          <w:p w14:paraId="35D3ABA3" w14:textId="4D5A616E" w:rsidR="00627C9F" w:rsidRPr="00E73149" w:rsidRDefault="00627C9F" w:rsidP="009E566A">
                            <w:pPr>
                              <w:jc w:val="right"/>
                              <w:rPr>
                                <w:rFonts w:asciiTheme="minorHAnsi" w:hAnsiTheme="minorHAnsi"/>
                                <w:color w:val="FFFFFF" w:themeColor="background1"/>
                                <w:sz w:val="22"/>
                              </w:rPr>
                            </w:pPr>
                            <w:r w:rsidRPr="00E73149">
                              <w:rPr>
                                <w:rFonts w:asciiTheme="minorHAnsi" w:hAnsiTheme="minorHAnsi"/>
                                <w:color w:val="FFFFFF" w:themeColor="background1"/>
                                <w:sz w:val="22"/>
                              </w:rPr>
                              <w:t>Original:</w:t>
                            </w:r>
                            <w:r w:rsidR="002C1641" w:rsidRPr="00E73149">
                              <w:rPr>
                                <w:rFonts w:asciiTheme="minorHAnsi" w:hAnsiTheme="minorHAnsi"/>
                                <w:color w:val="FFFFFF" w:themeColor="background1"/>
                                <w:sz w:val="22"/>
                              </w:rPr>
                              <w:t xml:space="preserve"> </w:t>
                            </w:r>
                            <w:r w:rsidR="00F42B71" w:rsidRPr="00E73149">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DC318"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4B703AA5" w14:textId="4A64FE72" w:rsidR="00627C9F" w:rsidRPr="00E73149"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2B86BB36" w14:textId="0C4D390D" w:rsidR="00627C9F" w:rsidRPr="001349BA" w:rsidRDefault="00CA6577" w:rsidP="009E566A">
                      <w:pPr>
                        <w:jc w:val="right"/>
                        <w:rPr>
                          <w:rFonts w:asciiTheme="minorHAnsi" w:hAnsiTheme="minorHAnsi"/>
                          <w:color w:val="FFFFFF" w:themeColor="background1"/>
                          <w:sz w:val="22"/>
                          <w:lang w:val="es-US"/>
                        </w:rPr>
                      </w:pPr>
                      <w:r w:rsidRPr="001349BA">
                        <w:rPr>
                          <w:rFonts w:asciiTheme="minorHAnsi" w:hAnsiTheme="minorHAnsi"/>
                          <w:color w:val="FFFFFF" w:themeColor="background1"/>
                          <w:sz w:val="22"/>
                          <w:lang w:val="es-US"/>
                        </w:rPr>
                        <w:t xml:space="preserve">Doc. </w:t>
                      </w:r>
                      <w:r w:rsidR="00E73149" w:rsidRPr="001349BA">
                        <w:rPr>
                          <w:rFonts w:asciiTheme="minorHAnsi" w:hAnsiTheme="minorHAnsi"/>
                          <w:color w:val="FFFFFF" w:themeColor="background1"/>
                          <w:sz w:val="22"/>
                          <w:lang w:val="es-US"/>
                        </w:rPr>
                        <w:t>327</w:t>
                      </w:r>
                    </w:p>
                    <w:p w14:paraId="6AC8D657" w14:textId="250025ED" w:rsidR="00627C9F" w:rsidRPr="00E73149" w:rsidRDefault="00022CF5" w:rsidP="009E566A">
                      <w:pPr>
                        <w:jc w:val="right"/>
                        <w:rPr>
                          <w:rFonts w:asciiTheme="minorHAnsi" w:hAnsiTheme="minorHAnsi"/>
                          <w:color w:val="FFFFFF" w:themeColor="background1"/>
                          <w:sz w:val="22"/>
                        </w:rPr>
                      </w:pPr>
                      <w:r w:rsidRPr="001349BA">
                        <w:rPr>
                          <w:rFonts w:asciiTheme="minorHAnsi" w:hAnsiTheme="minorHAnsi"/>
                          <w:color w:val="FFFFFF" w:themeColor="background1"/>
                          <w:sz w:val="22"/>
                          <w:lang w:val="es-US"/>
                        </w:rPr>
                        <w:t xml:space="preserve"> </w:t>
                      </w:r>
                      <w:r w:rsidR="00E73149">
                        <w:rPr>
                          <w:rFonts w:asciiTheme="minorHAnsi" w:hAnsiTheme="minorHAnsi"/>
                          <w:color w:val="FFFFFF" w:themeColor="background1"/>
                          <w:sz w:val="22"/>
                        </w:rPr>
                        <w:t>4 November</w:t>
                      </w:r>
                      <w:r w:rsidR="000C4365" w:rsidRPr="00E73149">
                        <w:rPr>
                          <w:rFonts w:asciiTheme="minorHAnsi" w:hAnsiTheme="minorHAnsi"/>
                          <w:color w:val="FFFFFF" w:themeColor="background1"/>
                          <w:sz w:val="22"/>
                        </w:rPr>
                        <w:t xml:space="preserve"> </w:t>
                      </w:r>
                      <w:r w:rsidR="002F2697" w:rsidRPr="00E73149">
                        <w:rPr>
                          <w:rFonts w:asciiTheme="minorHAnsi" w:hAnsiTheme="minorHAnsi"/>
                          <w:color w:val="FFFFFF" w:themeColor="background1"/>
                          <w:sz w:val="22"/>
                        </w:rPr>
                        <w:t>202</w:t>
                      </w:r>
                      <w:r w:rsidR="008F17F1" w:rsidRPr="00E73149">
                        <w:rPr>
                          <w:rFonts w:asciiTheme="minorHAnsi" w:hAnsiTheme="minorHAnsi"/>
                          <w:color w:val="FFFFFF" w:themeColor="background1"/>
                          <w:sz w:val="22"/>
                        </w:rPr>
                        <w:t>1</w:t>
                      </w:r>
                    </w:p>
                    <w:p w14:paraId="35D3ABA3" w14:textId="4D5A616E" w:rsidR="00627C9F" w:rsidRPr="00E73149" w:rsidRDefault="00627C9F" w:rsidP="009E566A">
                      <w:pPr>
                        <w:jc w:val="right"/>
                        <w:rPr>
                          <w:rFonts w:asciiTheme="minorHAnsi" w:hAnsiTheme="minorHAnsi"/>
                          <w:color w:val="FFFFFF" w:themeColor="background1"/>
                          <w:sz w:val="22"/>
                        </w:rPr>
                      </w:pPr>
                      <w:r w:rsidRPr="00E73149">
                        <w:rPr>
                          <w:rFonts w:asciiTheme="minorHAnsi" w:hAnsiTheme="minorHAnsi"/>
                          <w:color w:val="FFFFFF" w:themeColor="background1"/>
                          <w:sz w:val="22"/>
                        </w:rPr>
                        <w:t>Original:</w:t>
                      </w:r>
                      <w:r w:rsidR="002C1641" w:rsidRPr="00E73149">
                        <w:rPr>
                          <w:rFonts w:asciiTheme="minorHAnsi" w:hAnsiTheme="minorHAnsi"/>
                          <w:color w:val="FFFFFF" w:themeColor="background1"/>
                          <w:sz w:val="22"/>
                        </w:rPr>
                        <w:t xml:space="preserve"> </w:t>
                      </w:r>
                      <w:r w:rsidR="00F42B71" w:rsidRPr="00E73149">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418722E5" w:rsidR="009B306D" w:rsidRPr="009B306D" w:rsidRDefault="00E73149"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Pr>
                                <w:rFonts w:asciiTheme="majorHAnsi" w:hAnsiTheme="majorHAnsi"/>
                                <w:color w:val="0D0D0D" w:themeColor="text1" w:themeTint="F2"/>
                                <w:sz w:val="20"/>
                              </w:rPr>
                              <w:t>lectronically by the Commission on</w:t>
                            </w:r>
                            <w:r>
                              <w:rPr>
                                <w:rFonts w:asciiTheme="majorHAnsi" w:hAnsiTheme="majorHAnsi"/>
                                <w:color w:val="0D0D0D" w:themeColor="text1" w:themeTint="F2"/>
                                <w:sz w:val="20"/>
                              </w:rPr>
                              <w:t xml:space="preserve"> November 4,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2BC2D"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" filled="f" stroked="f" strokeweight=".5pt">
                <v:textbox>
                  <w:txbxContent>
                    <w:p w14:paraId="0281491C" w14:textId="418722E5" w:rsidR="009B306D" w:rsidRPr="009B306D" w:rsidRDefault="00E73149"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Pr>
                          <w:rFonts w:asciiTheme="majorHAnsi" w:hAnsiTheme="majorHAnsi"/>
                          <w:color w:val="0D0D0D" w:themeColor="text1" w:themeTint="F2"/>
                          <w:sz w:val="20"/>
                        </w:rPr>
                        <w:t>lectronically by the Commission on</w:t>
                      </w:r>
                      <w:r>
                        <w:rPr>
                          <w:rFonts w:asciiTheme="majorHAnsi" w:hAnsiTheme="majorHAnsi"/>
                          <w:color w:val="0D0D0D" w:themeColor="text1" w:themeTint="F2"/>
                          <w:sz w:val="20"/>
                        </w:rPr>
                        <w:t xml:space="preserve"> November 4, 2021.</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655ED" w14:textId="77777777" w:rsidR="00E73149" w:rsidRDefault="00F644E6" w:rsidP="00F644E6">
                            <w:pPr>
                              <w:spacing w:line="276" w:lineRule="auto"/>
                              <w:rPr>
                                <w:rFonts w:asciiTheme="majorHAnsi" w:hAnsiTheme="majorHAnsi"/>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w:t>
                            </w:r>
                            <w:r w:rsidRPr="00E73149">
                              <w:rPr>
                                <w:rFonts w:asciiTheme="majorHAnsi" w:hAnsiTheme="majorHAnsi"/>
                                <w:sz w:val="18"/>
                              </w:rPr>
                              <w:t xml:space="preserve">HR, Report No. </w:t>
                            </w:r>
                            <w:r w:rsidR="00E73149">
                              <w:rPr>
                                <w:rFonts w:asciiTheme="majorHAnsi" w:hAnsiTheme="majorHAnsi"/>
                                <w:sz w:val="18"/>
                                <w:lang w:val="en-GB"/>
                              </w:rPr>
                              <w:t>317</w:t>
                            </w:r>
                            <w:r w:rsidR="00022CF5" w:rsidRPr="00E73149">
                              <w:rPr>
                                <w:rFonts w:asciiTheme="majorHAnsi" w:hAnsiTheme="majorHAnsi"/>
                                <w:sz w:val="18"/>
                                <w:lang w:val="en-GB"/>
                              </w:rPr>
                              <w:t>/</w:t>
                            </w:r>
                            <w:r w:rsidR="002F2697" w:rsidRPr="00E73149">
                              <w:rPr>
                                <w:rFonts w:asciiTheme="majorHAnsi" w:hAnsiTheme="majorHAnsi"/>
                                <w:sz w:val="18"/>
                                <w:lang w:val="en-GB"/>
                              </w:rPr>
                              <w:t>2</w:t>
                            </w:r>
                            <w:r w:rsidR="008F17F1" w:rsidRPr="00E73149">
                              <w:rPr>
                                <w:rFonts w:asciiTheme="majorHAnsi" w:hAnsiTheme="majorHAnsi"/>
                                <w:sz w:val="18"/>
                                <w:lang w:val="en-GB"/>
                              </w:rPr>
                              <w:t>1</w:t>
                            </w:r>
                            <w:r w:rsidRPr="00E73149">
                              <w:rPr>
                                <w:rFonts w:asciiTheme="majorHAnsi" w:hAnsiTheme="majorHAnsi"/>
                                <w:sz w:val="18"/>
                                <w:lang w:val="en-GB"/>
                              </w:rPr>
                              <w:t xml:space="preserve">, </w:t>
                            </w:r>
                            <w:r w:rsidR="00F42B71" w:rsidRPr="00E73149">
                              <w:rPr>
                                <w:rFonts w:asciiTheme="majorHAnsi" w:hAnsiTheme="majorHAnsi"/>
                                <w:sz w:val="18"/>
                                <w:lang w:val="en-GB"/>
                              </w:rPr>
                              <w:t xml:space="preserve">Petition </w:t>
                            </w:r>
                            <w:r w:rsidR="00A85041" w:rsidRPr="00E73149">
                              <w:rPr>
                                <w:rFonts w:asciiTheme="majorHAnsi" w:hAnsiTheme="majorHAnsi"/>
                                <w:sz w:val="18"/>
                                <w:lang w:val="en-GB"/>
                              </w:rPr>
                              <w:t>1842</w:t>
                            </w:r>
                            <w:r w:rsidR="00F621C3" w:rsidRPr="00E73149">
                              <w:rPr>
                                <w:rFonts w:asciiTheme="majorHAnsi" w:hAnsiTheme="majorHAnsi"/>
                                <w:sz w:val="18"/>
                                <w:lang w:val="en-GB"/>
                              </w:rPr>
                              <w:t>-</w:t>
                            </w:r>
                            <w:r w:rsidR="00A85041" w:rsidRPr="00E73149">
                              <w:rPr>
                                <w:rFonts w:asciiTheme="majorHAnsi" w:hAnsiTheme="majorHAnsi"/>
                                <w:sz w:val="18"/>
                                <w:lang w:val="en-GB"/>
                              </w:rPr>
                              <w:t>14</w:t>
                            </w:r>
                            <w:r w:rsidRPr="00E73149">
                              <w:rPr>
                                <w:rFonts w:asciiTheme="majorHAnsi" w:hAnsiTheme="majorHAnsi"/>
                                <w:sz w:val="18"/>
                                <w:lang w:val="en-GB"/>
                              </w:rPr>
                              <w:t>.</w:t>
                            </w:r>
                            <w:r w:rsidR="009E566A" w:rsidRPr="00E73149">
                              <w:rPr>
                                <w:rFonts w:asciiTheme="majorHAnsi" w:hAnsiTheme="majorHAnsi"/>
                                <w:sz w:val="18"/>
                                <w:lang w:val="en-GB"/>
                              </w:rPr>
                              <w:t xml:space="preserve"> </w:t>
                            </w:r>
                            <w:r w:rsidR="00466CAD" w:rsidRPr="00E73149">
                              <w:rPr>
                                <w:rFonts w:asciiTheme="majorHAnsi" w:hAnsiTheme="majorHAnsi"/>
                                <w:sz w:val="18"/>
                              </w:rPr>
                              <w:t>A</w:t>
                            </w:r>
                            <w:r w:rsidR="00F42B71" w:rsidRPr="00E73149">
                              <w:rPr>
                                <w:rFonts w:asciiTheme="majorHAnsi" w:hAnsiTheme="majorHAnsi"/>
                                <w:sz w:val="18"/>
                              </w:rPr>
                              <w:t>dmissibility</w:t>
                            </w:r>
                            <w:r w:rsidRPr="00E73149">
                              <w:rPr>
                                <w:rFonts w:asciiTheme="majorHAnsi" w:hAnsiTheme="majorHAnsi"/>
                                <w:sz w:val="18"/>
                              </w:rPr>
                              <w:t xml:space="preserve">. </w:t>
                            </w:r>
                            <w:r w:rsidR="00466CAD" w:rsidRPr="00E73149">
                              <w:rPr>
                                <w:rFonts w:asciiTheme="majorHAnsi" w:hAnsiTheme="majorHAnsi"/>
                                <w:sz w:val="18"/>
                              </w:rPr>
                              <w:t>M</w:t>
                            </w:r>
                            <w:r w:rsidR="00A85041" w:rsidRPr="00E73149">
                              <w:rPr>
                                <w:rFonts w:asciiTheme="majorHAnsi" w:hAnsiTheme="majorHAnsi"/>
                                <w:sz w:val="18"/>
                              </w:rPr>
                              <w:t xml:space="preserve"> and C</w:t>
                            </w:r>
                            <w:r w:rsidRPr="00E73149">
                              <w:rPr>
                                <w:rFonts w:asciiTheme="majorHAnsi" w:hAnsiTheme="majorHAnsi"/>
                                <w:sz w:val="18"/>
                              </w:rPr>
                              <w:t xml:space="preserve">. </w:t>
                            </w:r>
                            <w:r w:rsidR="00A85041" w:rsidRPr="00E73149">
                              <w:rPr>
                                <w:rFonts w:asciiTheme="majorHAnsi" w:hAnsiTheme="majorHAnsi"/>
                                <w:sz w:val="18"/>
                              </w:rPr>
                              <w:t>Costa Rica</w:t>
                            </w:r>
                            <w:r w:rsidR="00022CF5" w:rsidRPr="00E73149">
                              <w:rPr>
                                <w:rFonts w:asciiTheme="majorHAnsi" w:hAnsiTheme="majorHAnsi"/>
                                <w:sz w:val="18"/>
                              </w:rPr>
                              <w:t xml:space="preserve">. </w:t>
                            </w:r>
                          </w:p>
                          <w:p w14:paraId="580EB527" w14:textId="75439D36" w:rsidR="00F644E6" w:rsidRPr="003C32BC" w:rsidRDefault="00E73149" w:rsidP="00F644E6">
                            <w:pPr>
                              <w:spacing w:line="276" w:lineRule="auto"/>
                              <w:rPr>
                                <w:rFonts w:asciiTheme="majorHAnsi" w:hAnsiTheme="majorHAnsi"/>
                                <w:color w:val="595959" w:themeColor="text1" w:themeTint="A6"/>
                                <w:sz w:val="18"/>
                              </w:rPr>
                            </w:pPr>
                            <w:r>
                              <w:rPr>
                                <w:rFonts w:asciiTheme="majorHAnsi" w:hAnsiTheme="majorHAnsi"/>
                                <w:sz w:val="18"/>
                              </w:rPr>
                              <w:t>November 4, 2021</w:t>
                            </w:r>
                            <w:r w:rsidR="00F621C3" w:rsidRPr="00E73149">
                              <w:rPr>
                                <w:rFonts w:asciiTheme="majorHAnsi" w:hAnsiTheme="majorHAnsi"/>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38E655ED" w14:textId="77777777" w:rsidR="00E73149" w:rsidRDefault="00F644E6" w:rsidP="00F644E6">
                      <w:pPr>
                        <w:spacing w:line="276" w:lineRule="auto"/>
                        <w:rPr>
                          <w:rFonts w:asciiTheme="majorHAnsi" w:hAnsiTheme="majorHAnsi"/>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w:t>
                      </w:r>
                      <w:r w:rsidRPr="00E73149">
                        <w:rPr>
                          <w:rFonts w:asciiTheme="majorHAnsi" w:hAnsiTheme="majorHAnsi"/>
                          <w:sz w:val="18"/>
                        </w:rPr>
                        <w:t xml:space="preserve">HR, Report No. </w:t>
                      </w:r>
                      <w:r w:rsidR="00E73149">
                        <w:rPr>
                          <w:rFonts w:asciiTheme="majorHAnsi" w:hAnsiTheme="majorHAnsi"/>
                          <w:sz w:val="18"/>
                          <w:lang w:val="en-GB"/>
                        </w:rPr>
                        <w:t>317</w:t>
                      </w:r>
                      <w:r w:rsidR="00022CF5" w:rsidRPr="00E73149">
                        <w:rPr>
                          <w:rFonts w:asciiTheme="majorHAnsi" w:hAnsiTheme="majorHAnsi"/>
                          <w:sz w:val="18"/>
                          <w:lang w:val="en-GB"/>
                        </w:rPr>
                        <w:t>/</w:t>
                      </w:r>
                      <w:r w:rsidR="002F2697" w:rsidRPr="00E73149">
                        <w:rPr>
                          <w:rFonts w:asciiTheme="majorHAnsi" w:hAnsiTheme="majorHAnsi"/>
                          <w:sz w:val="18"/>
                          <w:lang w:val="en-GB"/>
                        </w:rPr>
                        <w:t>2</w:t>
                      </w:r>
                      <w:r w:rsidR="008F17F1" w:rsidRPr="00E73149">
                        <w:rPr>
                          <w:rFonts w:asciiTheme="majorHAnsi" w:hAnsiTheme="majorHAnsi"/>
                          <w:sz w:val="18"/>
                          <w:lang w:val="en-GB"/>
                        </w:rPr>
                        <w:t>1</w:t>
                      </w:r>
                      <w:r w:rsidRPr="00E73149">
                        <w:rPr>
                          <w:rFonts w:asciiTheme="majorHAnsi" w:hAnsiTheme="majorHAnsi"/>
                          <w:sz w:val="18"/>
                          <w:lang w:val="en-GB"/>
                        </w:rPr>
                        <w:t xml:space="preserve">, </w:t>
                      </w:r>
                      <w:r w:rsidR="00F42B71" w:rsidRPr="00E73149">
                        <w:rPr>
                          <w:rFonts w:asciiTheme="majorHAnsi" w:hAnsiTheme="majorHAnsi"/>
                          <w:sz w:val="18"/>
                          <w:lang w:val="en-GB"/>
                        </w:rPr>
                        <w:t xml:space="preserve">Petition </w:t>
                      </w:r>
                      <w:r w:rsidR="00A85041" w:rsidRPr="00E73149">
                        <w:rPr>
                          <w:rFonts w:asciiTheme="majorHAnsi" w:hAnsiTheme="majorHAnsi"/>
                          <w:sz w:val="18"/>
                          <w:lang w:val="en-GB"/>
                        </w:rPr>
                        <w:t>1842</w:t>
                      </w:r>
                      <w:r w:rsidR="00F621C3" w:rsidRPr="00E73149">
                        <w:rPr>
                          <w:rFonts w:asciiTheme="majorHAnsi" w:hAnsiTheme="majorHAnsi"/>
                          <w:sz w:val="18"/>
                          <w:lang w:val="en-GB"/>
                        </w:rPr>
                        <w:t>-</w:t>
                      </w:r>
                      <w:r w:rsidR="00A85041" w:rsidRPr="00E73149">
                        <w:rPr>
                          <w:rFonts w:asciiTheme="majorHAnsi" w:hAnsiTheme="majorHAnsi"/>
                          <w:sz w:val="18"/>
                          <w:lang w:val="en-GB"/>
                        </w:rPr>
                        <w:t>14</w:t>
                      </w:r>
                      <w:r w:rsidRPr="00E73149">
                        <w:rPr>
                          <w:rFonts w:asciiTheme="majorHAnsi" w:hAnsiTheme="majorHAnsi"/>
                          <w:sz w:val="18"/>
                          <w:lang w:val="en-GB"/>
                        </w:rPr>
                        <w:t>.</w:t>
                      </w:r>
                      <w:r w:rsidR="009E566A" w:rsidRPr="00E73149">
                        <w:rPr>
                          <w:rFonts w:asciiTheme="majorHAnsi" w:hAnsiTheme="majorHAnsi"/>
                          <w:sz w:val="18"/>
                          <w:lang w:val="en-GB"/>
                        </w:rPr>
                        <w:t xml:space="preserve"> </w:t>
                      </w:r>
                      <w:r w:rsidR="00466CAD" w:rsidRPr="00E73149">
                        <w:rPr>
                          <w:rFonts w:asciiTheme="majorHAnsi" w:hAnsiTheme="majorHAnsi"/>
                          <w:sz w:val="18"/>
                        </w:rPr>
                        <w:t>A</w:t>
                      </w:r>
                      <w:r w:rsidR="00F42B71" w:rsidRPr="00E73149">
                        <w:rPr>
                          <w:rFonts w:asciiTheme="majorHAnsi" w:hAnsiTheme="majorHAnsi"/>
                          <w:sz w:val="18"/>
                        </w:rPr>
                        <w:t>dmissibility</w:t>
                      </w:r>
                      <w:r w:rsidRPr="00E73149">
                        <w:rPr>
                          <w:rFonts w:asciiTheme="majorHAnsi" w:hAnsiTheme="majorHAnsi"/>
                          <w:sz w:val="18"/>
                        </w:rPr>
                        <w:t xml:space="preserve">. </w:t>
                      </w:r>
                      <w:r w:rsidR="00466CAD" w:rsidRPr="00E73149">
                        <w:rPr>
                          <w:rFonts w:asciiTheme="majorHAnsi" w:hAnsiTheme="majorHAnsi"/>
                          <w:sz w:val="18"/>
                        </w:rPr>
                        <w:t>M</w:t>
                      </w:r>
                      <w:r w:rsidR="00A85041" w:rsidRPr="00E73149">
                        <w:rPr>
                          <w:rFonts w:asciiTheme="majorHAnsi" w:hAnsiTheme="majorHAnsi"/>
                          <w:sz w:val="18"/>
                        </w:rPr>
                        <w:t xml:space="preserve"> and C</w:t>
                      </w:r>
                      <w:r w:rsidRPr="00E73149">
                        <w:rPr>
                          <w:rFonts w:asciiTheme="majorHAnsi" w:hAnsiTheme="majorHAnsi"/>
                          <w:sz w:val="18"/>
                        </w:rPr>
                        <w:t xml:space="preserve">. </w:t>
                      </w:r>
                      <w:r w:rsidR="00A85041" w:rsidRPr="00E73149">
                        <w:rPr>
                          <w:rFonts w:asciiTheme="majorHAnsi" w:hAnsiTheme="majorHAnsi"/>
                          <w:sz w:val="18"/>
                        </w:rPr>
                        <w:t>Costa Rica</w:t>
                      </w:r>
                      <w:r w:rsidR="00022CF5" w:rsidRPr="00E73149">
                        <w:rPr>
                          <w:rFonts w:asciiTheme="majorHAnsi" w:hAnsiTheme="majorHAnsi"/>
                          <w:sz w:val="18"/>
                        </w:rPr>
                        <w:t xml:space="preserve">. </w:t>
                      </w:r>
                    </w:p>
                    <w:p w14:paraId="580EB527" w14:textId="75439D36" w:rsidR="00F644E6" w:rsidRPr="003C32BC" w:rsidRDefault="00E73149" w:rsidP="00F644E6">
                      <w:pPr>
                        <w:spacing w:line="276" w:lineRule="auto"/>
                        <w:rPr>
                          <w:rFonts w:asciiTheme="majorHAnsi" w:hAnsiTheme="majorHAnsi"/>
                          <w:color w:val="595959" w:themeColor="text1" w:themeTint="A6"/>
                          <w:sz w:val="18"/>
                        </w:rPr>
                      </w:pPr>
                      <w:r>
                        <w:rPr>
                          <w:rFonts w:asciiTheme="majorHAnsi" w:hAnsiTheme="majorHAnsi"/>
                          <w:sz w:val="18"/>
                        </w:rPr>
                        <w:t>November 4, 2021</w:t>
                      </w:r>
                      <w:r w:rsidR="00F621C3" w:rsidRPr="00E73149">
                        <w:rPr>
                          <w:rFonts w:asciiTheme="majorHAnsi" w:hAnsiTheme="majorHAnsi"/>
                          <w:sz w:val="18"/>
                        </w:rPr>
                        <w:t>.</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49A9D64F"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E73149">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4450C44B" w14:textId="49A9D64F"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E73149">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0"/>
          <w:cols w:space="720"/>
          <w:titlePg/>
          <w:docGrid w:linePitch="326"/>
        </w:sectPr>
      </w:pPr>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3"/>
        <w:gridCol w:w="5787"/>
      </w:tblGrid>
      <w:tr w:rsidR="00261E08" w:rsidRPr="00466CAD" w14:paraId="0D1CC739" w14:textId="77777777" w:rsidTr="000F326B">
        <w:tc>
          <w:tcPr>
            <w:tcW w:w="3573" w:type="dxa"/>
            <w:tcBorders>
              <w:top w:val="single" w:sz="4" w:space="0" w:color="auto"/>
              <w:bottom w:val="single" w:sz="6" w:space="0" w:color="auto"/>
            </w:tcBorders>
            <w:shd w:val="clear" w:color="auto" w:fill="67AE3C"/>
            <w:vAlign w:val="center"/>
          </w:tcPr>
          <w:p w14:paraId="3914A250" w14:textId="7B7204F8" w:rsidR="00261E08" w:rsidRPr="00AB2A8D" w:rsidRDefault="00261E08" w:rsidP="009163FC">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Petitioner</w:t>
            </w:r>
            <w:r w:rsidR="00466CAD" w:rsidRPr="00AB2A8D">
              <w:rPr>
                <w:rFonts w:asciiTheme="majorHAnsi" w:hAnsiTheme="majorHAnsi"/>
                <w:b/>
                <w:color w:val="FFFFFF" w:themeColor="background1"/>
                <w:sz w:val="20"/>
                <w:szCs w:val="20"/>
              </w:rPr>
              <w:t>s</w:t>
            </w:r>
            <w:r w:rsidR="00B77DBF">
              <w:rPr>
                <w:rFonts w:asciiTheme="majorHAnsi" w:hAnsiTheme="majorHAnsi"/>
                <w:b/>
                <w:color w:val="FFFFFF" w:themeColor="background1"/>
                <w:sz w:val="20"/>
                <w:szCs w:val="20"/>
              </w:rPr>
              <w:t>:</w:t>
            </w:r>
          </w:p>
        </w:tc>
        <w:tc>
          <w:tcPr>
            <w:tcW w:w="5787" w:type="dxa"/>
          </w:tcPr>
          <w:p w14:paraId="67A3AC7B" w14:textId="212301A7" w:rsidR="00261E08" w:rsidRPr="00964B3C" w:rsidRDefault="00A85041" w:rsidP="009163FC">
            <w:pPr>
              <w:jc w:val="both"/>
              <w:rPr>
                <w:rFonts w:asciiTheme="majorHAnsi" w:hAnsiTheme="majorHAnsi"/>
                <w:bCs/>
                <w:sz w:val="20"/>
                <w:szCs w:val="20"/>
              </w:rPr>
            </w:pPr>
            <w:r>
              <w:rPr>
                <w:rFonts w:asciiTheme="majorHAnsi" w:hAnsiTheme="majorHAnsi"/>
                <w:bCs/>
                <w:sz w:val="20"/>
                <w:szCs w:val="20"/>
              </w:rPr>
              <w:t>Center for Justice and International Law (CEJIL)</w:t>
            </w:r>
          </w:p>
        </w:tc>
      </w:tr>
      <w:tr w:rsidR="00261E08" w:rsidRPr="003A5566" w14:paraId="4A730984" w14:textId="77777777" w:rsidTr="000F326B">
        <w:tc>
          <w:tcPr>
            <w:tcW w:w="3573" w:type="dxa"/>
            <w:tcBorders>
              <w:top w:val="single" w:sz="6" w:space="0" w:color="auto"/>
              <w:bottom w:val="single" w:sz="6" w:space="0" w:color="auto"/>
            </w:tcBorders>
            <w:shd w:val="clear" w:color="auto" w:fill="67AE3C"/>
            <w:vAlign w:val="center"/>
          </w:tcPr>
          <w:p w14:paraId="241395B3" w14:textId="6035A3D7" w:rsidR="00261E08" w:rsidRPr="00AB2A8D" w:rsidRDefault="00261E08" w:rsidP="009163FC">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Alleged victim</w:t>
            </w:r>
            <w:r w:rsidR="00B77DBF">
              <w:rPr>
                <w:rFonts w:asciiTheme="majorHAnsi" w:hAnsiTheme="majorHAnsi"/>
                <w:b/>
                <w:color w:val="FFFFFF" w:themeColor="background1"/>
                <w:sz w:val="20"/>
                <w:szCs w:val="20"/>
              </w:rPr>
              <w:t>:</w:t>
            </w:r>
          </w:p>
        </w:tc>
        <w:tc>
          <w:tcPr>
            <w:tcW w:w="5787" w:type="dxa"/>
          </w:tcPr>
          <w:p w14:paraId="1E62AC27" w14:textId="5FAF7D1A" w:rsidR="00261E08" w:rsidRPr="00964B3C" w:rsidRDefault="00A85041" w:rsidP="009163FC">
            <w:pPr>
              <w:jc w:val="both"/>
              <w:rPr>
                <w:rFonts w:asciiTheme="majorHAnsi" w:hAnsiTheme="majorHAnsi"/>
                <w:bCs/>
                <w:sz w:val="20"/>
                <w:szCs w:val="20"/>
              </w:rPr>
            </w:pPr>
            <w:r>
              <w:rPr>
                <w:rFonts w:asciiTheme="majorHAnsi" w:hAnsiTheme="majorHAnsi"/>
                <w:bCs/>
                <w:sz w:val="20"/>
                <w:szCs w:val="20"/>
              </w:rPr>
              <w:t>M and C</w:t>
            </w:r>
            <w:r w:rsidR="000E5748">
              <w:rPr>
                <w:rStyle w:val="FootnoteReference"/>
                <w:rFonts w:asciiTheme="majorHAnsi" w:hAnsiTheme="majorHAnsi"/>
                <w:bCs/>
                <w:sz w:val="20"/>
                <w:szCs w:val="20"/>
              </w:rPr>
              <w:footnoteReference w:id="2"/>
            </w:r>
          </w:p>
        </w:tc>
      </w:tr>
      <w:tr w:rsidR="00261E08" w:rsidRPr="003A5566" w14:paraId="03D81EE5" w14:textId="77777777" w:rsidTr="000F326B">
        <w:tc>
          <w:tcPr>
            <w:tcW w:w="3573" w:type="dxa"/>
            <w:tcBorders>
              <w:top w:val="single" w:sz="6" w:space="0" w:color="auto"/>
              <w:bottom w:val="single" w:sz="6" w:space="0" w:color="auto"/>
            </w:tcBorders>
            <w:shd w:val="clear" w:color="auto" w:fill="67AE3C"/>
            <w:vAlign w:val="center"/>
          </w:tcPr>
          <w:p w14:paraId="3A40F361" w14:textId="04DB51CA" w:rsidR="00261E08" w:rsidRPr="00AB2A8D" w:rsidRDefault="00261E08" w:rsidP="005816E5">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Respondent State</w:t>
            </w:r>
            <w:r w:rsidR="00B77DBF">
              <w:rPr>
                <w:rFonts w:asciiTheme="majorHAnsi" w:hAnsiTheme="majorHAnsi"/>
                <w:b/>
                <w:color w:val="FFFFFF" w:themeColor="background1"/>
                <w:sz w:val="20"/>
                <w:szCs w:val="20"/>
              </w:rPr>
              <w:t>:</w:t>
            </w:r>
          </w:p>
        </w:tc>
        <w:tc>
          <w:tcPr>
            <w:tcW w:w="5787" w:type="dxa"/>
          </w:tcPr>
          <w:p w14:paraId="68C5B5B0" w14:textId="2DDB849F" w:rsidR="00261E08" w:rsidRPr="00964B3C" w:rsidRDefault="00A85041" w:rsidP="009163FC">
            <w:pPr>
              <w:jc w:val="both"/>
              <w:rPr>
                <w:rFonts w:asciiTheme="majorHAnsi" w:hAnsiTheme="majorHAnsi"/>
                <w:bCs/>
                <w:sz w:val="20"/>
                <w:szCs w:val="20"/>
              </w:rPr>
            </w:pPr>
            <w:r>
              <w:rPr>
                <w:rFonts w:asciiTheme="majorHAnsi" w:hAnsiTheme="majorHAnsi"/>
                <w:bCs/>
                <w:sz w:val="20"/>
                <w:szCs w:val="20"/>
              </w:rPr>
              <w:t>Republic of Costa Rica</w:t>
            </w:r>
          </w:p>
        </w:tc>
      </w:tr>
      <w:tr w:rsidR="00261E08" w:rsidRPr="003A5566" w14:paraId="61049B38" w14:textId="77777777" w:rsidTr="000F326B">
        <w:tc>
          <w:tcPr>
            <w:tcW w:w="3573" w:type="dxa"/>
            <w:tcBorders>
              <w:top w:val="single" w:sz="6" w:space="0" w:color="auto"/>
              <w:bottom w:val="single" w:sz="6" w:space="0" w:color="auto"/>
            </w:tcBorders>
            <w:shd w:val="clear" w:color="auto" w:fill="67AE3C"/>
            <w:vAlign w:val="center"/>
          </w:tcPr>
          <w:p w14:paraId="1525F7A2" w14:textId="6CDD6E53" w:rsidR="00261E08" w:rsidRPr="00AB2A8D" w:rsidRDefault="00261E08" w:rsidP="00E7588C">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Rights invoked</w:t>
            </w:r>
            <w:r w:rsidR="00B77DBF">
              <w:rPr>
                <w:rFonts w:asciiTheme="majorHAnsi" w:hAnsiTheme="majorHAnsi"/>
                <w:b/>
                <w:color w:val="FFFFFF" w:themeColor="background1"/>
                <w:sz w:val="20"/>
                <w:szCs w:val="20"/>
              </w:rPr>
              <w:t>:</w:t>
            </w:r>
          </w:p>
        </w:tc>
        <w:tc>
          <w:tcPr>
            <w:tcW w:w="5787" w:type="dxa"/>
          </w:tcPr>
          <w:p w14:paraId="6C99BD6B" w14:textId="3A798455" w:rsidR="00261E08" w:rsidRPr="00964B3C" w:rsidRDefault="00A85041" w:rsidP="00261E08">
            <w:pPr>
              <w:jc w:val="both"/>
              <w:rPr>
                <w:rFonts w:asciiTheme="majorHAnsi" w:hAnsiTheme="majorHAnsi"/>
                <w:bCs/>
                <w:sz w:val="20"/>
                <w:szCs w:val="20"/>
              </w:rPr>
            </w:pPr>
            <w:r>
              <w:rPr>
                <w:rFonts w:asciiTheme="majorHAnsi" w:hAnsiTheme="majorHAnsi"/>
                <w:bCs/>
                <w:sz w:val="20"/>
                <w:szCs w:val="20"/>
              </w:rPr>
              <w:t>Articles 5 (humane treatment), 7 (personal liberty), 8 (fair trial), 11 (privacy), 17 (</w:t>
            </w:r>
            <w:r w:rsidR="00FC53BD">
              <w:rPr>
                <w:rFonts w:asciiTheme="majorHAnsi" w:hAnsiTheme="majorHAnsi"/>
                <w:bCs/>
                <w:sz w:val="20"/>
                <w:szCs w:val="20"/>
              </w:rPr>
              <w:t>r</w:t>
            </w:r>
            <w:r>
              <w:rPr>
                <w:rFonts w:asciiTheme="majorHAnsi" w:hAnsiTheme="majorHAnsi"/>
                <w:bCs/>
                <w:sz w:val="20"/>
                <w:szCs w:val="20"/>
              </w:rPr>
              <w:t>ights of the family), 19 (</w:t>
            </w:r>
            <w:r w:rsidR="00FC53BD">
              <w:rPr>
                <w:rFonts w:asciiTheme="majorHAnsi" w:hAnsiTheme="majorHAnsi"/>
                <w:bCs/>
                <w:sz w:val="20"/>
                <w:szCs w:val="20"/>
              </w:rPr>
              <w:t>r</w:t>
            </w:r>
            <w:r>
              <w:rPr>
                <w:rFonts w:asciiTheme="majorHAnsi" w:hAnsiTheme="majorHAnsi"/>
                <w:bCs/>
                <w:sz w:val="20"/>
                <w:szCs w:val="20"/>
              </w:rPr>
              <w:t>ights of the child), 24 (equal protection), and 25 (</w:t>
            </w:r>
            <w:r w:rsidR="00FC53BD">
              <w:rPr>
                <w:rFonts w:asciiTheme="majorHAnsi" w:hAnsiTheme="majorHAnsi"/>
                <w:bCs/>
                <w:sz w:val="20"/>
                <w:szCs w:val="20"/>
              </w:rPr>
              <w:t>j</w:t>
            </w:r>
            <w:r>
              <w:rPr>
                <w:rFonts w:asciiTheme="majorHAnsi" w:hAnsiTheme="majorHAnsi"/>
                <w:bCs/>
                <w:sz w:val="20"/>
                <w:szCs w:val="20"/>
              </w:rPr>
              <w:t>udicial protection)</w:t>
            </w:r>
            <w:r w:rsidR="00D3587A">
              <w:rPr>
                <w:rFonts w:asciiTheme="majorHAnsi" w:hAnsiTheme="majorHAnsi"/>
                <w:bCs/>
                <w:sz w:val="20"/>
                <w:szCs w:val="20"/>
              </w:rPr>
              <w:t xml:space="preserve"> of the American Convention on Human Rights,</w:t>
            </w:r>
            <w:r w:rsidR="00D3587A">
              <w:rPr>
                <w:rStyle w:val="FootnoteReference"/>
                <w:rFonts w:asciiTheme="majorHAnsi" w:hAnsiTheme="majorHAnsi"/>
                <w:bCs/>
                <w:sz w:val="20"/>
                <w:szCs w:val="20"/>
              </w:rPr>
              <w:footnoteReference w:id="3"/>
            </w:r>
            <w:r w:rsidR="00D3587A">
              <w:rPr>
                <w:rFonts w:asciiTheme="majorHAnsi" w:hAnsiTheme="majorHAnsi"/>
                <w:bCs/>
                <w:sz w:val="20"/>
                <w:szCs w:val="20"/>
              </w:rPr>
              <w:t xml:space="preserve"> regarding Articles 1.1 (</w:t>
            </w:r>
            <w:r w:rsidR="00FC53BD">
              <w:rPr>
                <w:rFonts w:asciiTheme="majorHAnsi" w:hAnsiTheme="majorHAnsi"/>
                <w:bCs/>
                <w:sz w:val="20"/>
                <w:szCs w:val="20"/>
              </w:rPr>
              <w:t>o</w:t>
            </w:r>
            <w:r w:rsidR="00D3587A">
              <w:rPr>
                <w:rFonts w:asciiTheme="majorHAnsi" w:hAnsiTheme="majorHAnsi"/>
                <w:bCs/>
                <w:sz w:val="20"/>
                <w:szCs w:val="20"/>
              </w:rPr>
              <w:t>bligation to respect rights) and 2 (</w:t>
            </w:r>
            <w:r w:rsidR="00FC53BD">
              <w:rPr>
                <w:rFonts w:asciiTheme="majorHAnsi" w:hAnsiTheme="majorHAnsi"/>
                <w:bCs/>
                <w:sz w:val="20"/>
                <w:szCs w:val="20"/>
              </w:rPr>
              <w:t>d</w:t>
            </w:r>
            <w:r w:rsidR="00D3587A">
              <w:rPr>
                <w:rFonts w:asciiTheme="majorHAnsi" w:hAnsiTheme="majorHAnsi"/>
                <w:bCs/>
                <w:sz w:val="20"/>
                <w:szCs w:val="20"/>
              </w:rPr>
              <w:t>omestic legal effects) thereof; and Article 7 of the Inter-American Convention on the Prevention, Punishment, and Eradication of Violence against Women</w:t>
            </w:r>
            <w:r w:rsidR="00453B4B">
              <w:rPr>
                <w:rStyle w:val="FootnoteReference"/>
                <w:rFonts w:asciiTheme="majorHAnsi" w:hAnsiTheme="majorHAnsi"/>
                <w:bCs/>
                <w:sz w:val="20"/>
                <w:szCs w:val="20"/>
              </w:rPr>
              <w:footnoteReference w:id="4"/>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3"/>
        <w:gridCol w:w="5787"/>
      </w:tblGrid>
      <w:tr w:rsidR="00261E08" w:rsidRPr="003A5566" w14:paraId="6DA75E12" w14:textId="77777777" w:rsidTr="000F326B">
        <w:tc>
          <w:tcPr>
            <w:tcW w:w="3573" w:type="dxa"/>
            <w:tcBorders>
              <w:top w:val="single" w:sz="6" w:space="0" w:color="auto"/>
              <w:bottom w:val="single" w:sz="6" w:space="0" w:color="auto"/>
            </w:tcBorders>
            <w:shd w:val="clear" w:color="auto" w:fill="67AE3C"/>
            <w:vAlign w:val="center"/>
          </w:tcPr>
          <w:p w14:paraId="534AFBE1" w14:textId="5987CD57" w:rsidR="00261E08" w:rsidRPr="00AB2A8D" w:rsidRDefault="00B77DBF" w:rsidP="00B06BB7">
            <w:pPr>
              <w:jc w:val="center"/>
              <w:rPr>
                <w:rFonts w:asciiTheme="majorHAnsi" w:hAnsiTheme="majorHAnsi"/>
                <w:b/>
                <w:color w:val="FFFFFF" w:themeColor="background1"/>
                <w:sz w:val="20"/>
                <w:szCs w:val="20"/>
              </w:rPr>
            </w:pPr>
            <w:r>
              <w:rPr>
                <w:rFonts w:asciiTheme="majorHAnsi" w:hAnsiTheme="majorHAnsi"/>
                <w:b/>
                <w:color w:val="FFFFFF" w:themeColor="background1"/>
                <w:sz w:val="20"/>
                <w:szCs w:val="20"/>
              </w:rPr>
              <w:t>F</w:t>
            </w:r>
            <w:r w:rsidR="006E270D" w:rsidRPr="00AB2A8D">
              <w:rPr>
                <w:rFonts w:asciiTheme="majorHAnsi" w:hAnsiTheme="majorHAnsi"/>
                <w:b/>
                <w:color w:val="FFFFFF" w:themeColor="background1"/>
                <w:sz w:val="20"/>
                <w:szCs w:val="20"/>
              </w:rPr>
              <w:t>iling</w:t>
            </w:r>
            <w:r>
              <w:rPr>
                <w:rFonts w:asciiTheme="majorHAnsi" w:hAnsiTheme="majorHAnsi"/>
                <w:b/>
                <w:color w:val="FFFFFF" w:themeColor="background1"/>
                <w:sz w:val="20"/>
                <w:szCs w:val="20"/>
              </w:rPr>
              <w:t xml:space="preserve"> of the petition:</w:t>
            </w:r>
          </w:p>
        </w:tc>
        <w:tc>
          <w:tcPr>
            <w:tcW w:w="5787" w:type="dxa"/>
            <w:vAlign w:val="center"/>
          </w:tcPr>
          <w:p w14:paraId="7EADD3E8" w14:textId="40690D1E" w:rsidR="00261E08" w:rsidRPr="00964B3C" w:rsidRDefault="000E5748" w:rsidP="009163FC">
            <w:pPr>
              <w:jc w:val="both"/>
              <w:rPr>
                <w:rFonts w:asciiTheme="majorHAnsi" w:hAnsiTheme="majorHAnsi"/>
                <w:bCs/>
                <w:sz w:val="20"/>
                <w:szCs w:val="20"/>
              </w:rPr>
            </w:pPr>
            <w:r>
              <w:rPr>
                <w:rFonts w:asciiTheme="majorHAnsi" w:hAnsiTheme="majorHAnsi"/>
                <w:bCs/>
                <w:sz w:val="20"/>
                <w:szCs w:val="20"/>
              </w:rPr>
              <w:t>December 12, 2014</w:t>
            </w:r>
          </w:p>
        </w:tc>
      </w:tr>
      <w:tr w:rsidR="00261E08" w:rsidRPr="003A5566" w14:paraId="070BC314" w14:textId="77777777" w:rsidTr="000F326B">
        <w:tc>
          <w:tcPr>
            <w:tcW w:w="3573" w:type="dxa"/>
            <w:tcBorders>
              <w:top w:val="single" w:sz="6" w:space="0" w:color="auto"/>
              <w:bottom w:val="single" w:sz="6" w:space="0" w:color="auto"/>
            </w:tcBorders>
            <w:shd w:val="clear" w:color="auto" w:fill="67AE3C"/>
            <w:vAlign w:val="center"/>
          </w:tcPr>
          <w:p w14:paraId="1B91C5C6" w14:textId="6DB51B85" w:rsidR="00261E08" w:rsidRPr="00AB2A8D" w:rsidRDefault="00261E08" w:rsidP="00C355B4">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Notification of the petition</w:t>
            </w:r>
            <w:r w:rsidR="00B77DBF">
              <w:rPr>
                <w:rFonts w:asciiTheme="majorHAnsi" w:hAnsiTheme="majorHAnsi"/>
                <w:b/>
                <w:color w:val="FFFFFF" w:themeColor="background1"/>
                <w:sz w:val="20"/>
                <w:szCs w:val="20"/>
              </w:rPr>
              <w:t xml:space="preserve"> </w:t>
            </w:r>
            <w:r w:rsidR="00B77DBF">
              <w:rPr>
                <w:rFonts w:asciiTheme="majorHAnsi" w:hAnsiTheme="majorHAnsi"/>
                <w:b/>
                <w:color w:val="FFFFFF" w:themeColor="background1"/>
                <w:sz w:val="20"/>
                <w:szCs w:val="20"/>
              </w:rPr>
              <w:br/>
              <w:t>to the State:</w:t>
            </w:r>
          </w:p>
        </w:tc>
        <w:tc>
          <w:tcPr>
            <w:tcW w:w="5787" w:type="dxa"/>
            <w:vAlign w:val="center"/>
          </w:tcPr>
          <w:p w14:paraId="425D0EC0" w14:textId="15F8FFD8" w:rsidR="00261E08" w:rsidRPr="00964B3C" w:rsidRDefault="000E5748" w:rsidP="009163FC">
            <w:pPr>
              <w:jc w:val="both"/>
              <w:rPr>
                <w:rFonts w:asciiTheme="majorHAnsi" w:hAnsiTheme="majorHAnsi"/>
                <w:bCs/>
                <w:sz w:val="20"/>
                <w:szCs w:val="20"/>
              </w:rPr>
            </w:pPr>
            <w:r>
              <w:rPr>
                <w:rFonts w:asciiTheme="majorHAnsi" w:hAnsiTheme="majorHAnsi"/>
                <w:bCs/>
                <w:sz w:val="20"/>
                <w:szCs w:val="20"/>
              </w:rPr>
              <w:t>April 24, 2019</w:t>
            </w:r>
          </w:p>
        </w:tc>
      </w:tr>
      <w:tr w:rsidR="00261E08" w:rsidRPr="003A5566" w14:paraId="3063240C" w14:textId="77777777" w:rsidTr="000F326B">
        <w:trPr>
          <w:trHeight w:val="264"/>
        </w:trPr>
        <w:tc>
          <w:tcPr>
            <w:tcW w:w="3573" w:type="dxa"/>
            <w:tcBorders>
              <w:top w:val="single" w:sz="6" w:space="0" w:color="auto"/>
              <w:bottom w:val="single" w:sz="6" w:space="0" w:color="auto"/>
            </w:tcBorders>
            <w:shd w:val="clear" w:color="auto" w:fill="67AE3C"/>
            <w:vAlign w:val="center"/>
          </w:tcPr>
          <w:p w14:paraId="69479C3F" w14:textId="3F813C2C" w:rsidR="00261E08" w:rsidRPr="00AB2A8D" w:rsidRDefault="00261E08" w:rsidP="009163FC">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State’s first response</w:t>
            </w:r>
            <w:r w:rsidR="00B77DBF">
              <w:rPr>
                <w:rFonts w:asciiTheme="majorHAnsi" w:hAnsiTheme="majorHAnsi"/>
                <w:b/>
                <w:color w:val="FFFFFF" w:themeColor="background1"/>
                <w:sz w:val="20"/>
                <w:szCs w:val="20"/>
              </w:rPr>
              <w:t>:</w:t>
            </w:r>
          </w:p>
        </w:tc>
        <w:tc>
          <w:tcPr>
            <w:tcW w:w="5787" w:type="dxa"/>
            <w:vAlign w:val="center"/>
          </w:tcPr>
          <w:p w14:paraId="7B420FC0" w14:textId="0D6C7091" w:rsidR="00261E08" w:rsidRPr="00964B3C" w:rsidRDefault="000E5748" w:rsidP="009163FC">
            <w:pPr>
              <w:jc w:val="both"/>
              <w:rPr>
                <w:rFonts w:asciiTheme="majorHAnsi" w:hAnsiTheme="majorHAnsi"/>
                <w:bCs/>
                <w:sz w:val="20"/>
                <w:szCs w:val="20"/>
              </w:rPr>
            </w:pPr>
            <w:r>
              <w:rPr>
                <w:rFonts w:asciiTheme="majorHAnsi" w:hAnsiTheme="majorHAnsi"/>
                <w:bCs/>
                <w:sz w:val="20"/>
                <w:szCs w:val="20"/>
              </w:rPr>
              <w:t>August 26, 2019</w:t>
            </w:r>
          </w:p>
        </w:tc>
      </w:tr>
      <w:tr w:rsidR="00261E08" w:rsidRPr="003A5566" w14:paraId="158C8FCC" w14:textId="77777777" w:rsidTr="000F326B">
        <w:tc>
          <w:tcPr>
            <w:tcW w:w="3573" w:type="dxa"/>
            <w:tcBorders>
              <w:top w:val="single" w:sz="6" w:space="0" w:color="auto"/>
              <w:bottom w:val="single" w:sz="6" w:space="0" w:color="auto"/>
            </w:tcBorders>
            <w:shd w:val="clear" w:color="auto" w:fill="67AE3C"/>
            <w:vAlign w:val="center"/>
          </w:tcPr>
          <w:p w14:paraId="666ABE64" w14:textId="40BD636E" w:rsidR="00261E08" w:rsidRPr="00AB2A8D" w:rsidRDefault="00261E08" w:rsidP="0023351C">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 xml:space="preserve">Additional observations </w:t>
            </w:r>
            <w:r w:rsidR="00B77DBF">
              <w:rPr>
                <w:rFonts w:asciiTheme="majorHAnsi" w:hAnsiTheme="majorHAnsi"/>
                <w:b/>
                <w:color w:val="FFFFFF" w:themeColor="background1"/>
                <w:sz w:val="20"/>
                <w:szCs w:val="20"/>
              </w:rPr>
              <w:br/>
            </w:r>
            <w:r w:rsidRPr="00AB2A8D">
              <w:rPr>
                <w:rFonts w:asciiTheme="majorHAnsi" w:hAnsiTheme="majorHAnsi"/>
                <w:b/>
                <w:color w:val="FFFFFF" w:themeColor="background1"/>
                <w:sz w:val="20"/>
                <w:szCs w:val="20"/>
              </w:rPr>
              <w:t>from the petitioner</w:t>
            </w:r>
            <w:r w:rsidR="00B77DBF">
              <w:rPr>
                <w:rFonts w:asciiTheme="majorHAnsi" w:hAnsiTheme="majorHAnsi"/>
                <w:b/>
                <w:color w:val="FFFFFF" w:themeColor="background1"/>
                <w:sz w:val="20"/>
                <w:szCs w:val="20"/>
              </w:rPr>
              <w:t>:</w:t>
            </w:r>
          </w:p>
        </w:tc>
        <w:tc>
          <w:tcPr>
            <w:tcW w:w="5787" w:type="dxa"/>
            <w:vAlign w:val="center"/>
          </w:tcPr>
          <w:p w14:paraId="281700F5" w14:textId="461B1C7C" w:rsidR="00261E08" w:rsidRPr="00964B3C" w:rsidRDefault="000E5748" w:rsidP="009163FC">
            <w:pPr>
              <w:jc w:val="both"/>
              <w:rPr>
                <w:rFonts w:asciiTheme="majorHAnsi" w:hAnsiTheme="majorHAnsi"/>
                <w:bCs/>
                <w:sz w:val="20"/>
                <w:szCs w:val="20"/>
              </w:rPr>
            </w:pPr>
            <w:r>
              <w:rPr>
                <w:rFonts w:asciiTheme="majorHAnsi" w:hAnsiTheme="majorHAnsi"/>
                <w:bCs/>
                <w:sz w:val="20"/>
                <w:szCs w:val="20"/>
              </w:rPr>
              <w:t>August 19, 2020</w:t>
            </w:r>
          </w:p>
        </w:tc>
      </w:tr>
      <w:tr w:rsidR="00261E08" w:rsidRPr="003A5566" w14:paraId="66F06CFA" w14:textId="77777777" w:rsidTr="000F326B">
        <w:tc>
          <w:tcPr>
            <w:tcW w:w="3573" w:type="dxa"/>
            <w:tcBorders>
              <w:top w:val="single" w:sz="6" w:space="0" w:color="auto"/>
              <w:bottom w:val="single" w:sz="6" w:space="0" w:color="auto"/>
            </w:tcBorders>
            <w:shd w:val="clear" w:color="auto" w:fill="67AE3C"/>
            <w:vAlign w:val="center"/>
          </w:tcPr>
          <w:p w14:paraId="4C7541F3" w14:textId="6C137005" w:rsidR="00261E08" w:rsidRPr="00AB2A8D" w:rsidRDefault="00261E08" w:rsidP="00653EA6">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 xml:space="preserve">Additional observations </w:t>
            </w:r>
            <w:r w:rsidR="00B77DBF">
              <w:rPr>
                <w:rFonts w:asciiTheme="majorHAnsi" w:hAnsiTheme="majorHAnsi"/>
                <w:b/>
                <w:color w:val="FFFFFF" w:themeColor="background1"/>
                <w:sz w:val="20"/>
                <w:szCs w:val="20"/>
              </w:rPr>
              <w:br/>
            </w:r>
            <w:r w:rsidRPr="00AB2A8D">
              <w:rPr>
                <w:rFonts w:asciiTheme="majorHAnsi" w:hAnsiTheme="majorHAnsi"/>
                <w:b/>
                <w:color w:val="FFFFFF" w:themeColor="background1"/>
                <w:sz w:val="20"/>
                <w:szCs w:val="20"/>
              </w:rPr>
              <w:t>from the State</w:t>
            </w:r>
            <w:r w:rsidR="00B77DBF">
              <w:rPr>
                <w:rFonts w:asciiTheme="majorHAnsi" w:hAnsiTheme="majorHAnsi"/>
                <w:b/>
                <w:color w:val="FFFFFF" w:themeColor="background1"/>
                <w:sz w:val="20"/>
                <w:szCs w:val="20"/>
              </w:rPr>
              <w:t>:</w:t>
            </w:r>
          </w:p>
        </w:tc>
        <w:tc>
          <w:tcPr>
            <w:tcW w:w="5787" w:type="dxa"/>
            <w:vAlign w:val="center"/>
          </w:tcPr>
          <w:p w14:paraId="496FF3FF" w14:textId="095DC42F" w:rsidR="00261E08" w:rsidRPr="00964B3C" w:rsidRDefault="000E5748" w:rsidP="009163FC">
            <w:pPr>
              <w:jc w:val="both"/>
              <w:rPr>
                <w:rFonts w:asciiTheme="majorHAnsi" w:hAnsiTheme="majorHAnsi"/>
                <w:bCs/>
                <w:sz w:val="20"/>
                <w:szCs w:val="20"/>
              </w:rPr>
            </w:pPr>
            <w:r>
              <w:rPr>
                <w:rFonts w:asciiTheme="majorHAnsi" w:hAnsiTheme="majorHAnsi"/>
                <w:bCs/>
                <w:sz w:val="20"/>
                <w:szCs w:val="20"/>
              </w:rPr>
              <w:t>March 24, 2021</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573"/>
        <w:gridCol w:w="5812"/>
      </w:tblGrid>
      <w:tr w:rsidR="00261E08" w:rsidRPr="003A5566" w14:paraId="684F4233" w14:textId="77777777" w:rsidTr="000F326B">
        <w:trPr>
          <w:cantSplit/>
        </w:trPr>
        <w:tc>
          <w:tcPr>
            <w:tcW w:w="3573" w:type="dxa"/>
            <w:tcBorders>
              <w:top w:val="single" w:sz="4" w:space="0" w:color="auto"/>
              <w:bottom w:val="single" w:sz="6" w:space="0" w:color="auto"/>
            </w:tcBorders>
            <w:shd w:val="clear" w:color="auto" w:fill="67AE3C"/>
            <w:vAlign w:val="center"/>
          </w:tcPr>
          <w:p w14:paraId="60150448" w14:textId="24C7BB88" w:rsidR="00261E08" w:rsidRPr="00AB2A8D" w:rsidRDefault="00B77DBF" w:rsidP="009163FC">
            <w:pPr>
              <w:jc w:val="center"/>
              <w:rPr>
                <w:rFonts w:asciiTheme="majorHAnsi" w:hAnsiTheme="majorHAnsi"/>
                <w:b/>
                <w:i/>
                <w:color w:val="FFFFFF" w:themeColor="background1"/>
                <w:sz w:val="20"/>
                <w:szCs w:val="20"/>
              </w:rPr>
            </w:pPr>
            <w:r w:rsidRPr="00B77DBF">
              <w:rPr>
                <w:rFonts w:asciiTheme="majorHAnsi" w:hAnsiTheme="majorHAnsi"/>
                <w:b/>
                <w:iCs/>
                <w:color w:val="FFFFFF" w:themeColor="background1"/>
                <w:sz w:val="20"/>
                <w:szCs w:val="20"/>
              </w:rPr>
              <w:t xml:space="preserve">Competence </w:t>
            </w:r>
            <w:r w:rsidR="00261E08" w:rsidRPr="00AB2A8D">
              <w:rPr>
                <w:rFonts w:asciiTheme="majorHAnsi" w:hAnsiTheme="majorHAnsi"/>
                <w:b/>
                <w:i/>
                <w:color w:val="FFFFFF" w:themeColor="background1"/>
                <w:sz w:val="20"/>
                <w:szCs w:val="20"/>
              </w:rPr>
              <w:t>Ratione personae</w:t>
            </w:r>
            <w:r w:rsidRPr="00B77DBF">
              <w:rPr>
                <w:rFonts w:asciiTheme="majorHAnsi" w:hAnsiTheme="majorHAnsi"/>
                <w:b/>
                <w:iCs/>
                <w:color w:val="FFFFFF" w:themeColor="background1"/>
                <w:sz w:val="20"/>
                <w:szCs w:val="20"/>
              </w:rPr>
              <w:t>:</w:t>
            </w:r>
          </w:p>
        </w:tc>
        <w:tc>
          <w:tcPr>
            <w:tcW w:w="5812" w:type="dxa"/>
            <w:vAlign w:val="center"/>
          </w:tcPr>
          <w:p w14:paraId="21522B2E" w14:textId="626EC50F" w:rsidR="00261E08" w:rsidRPr="00964B3C" w:rsidRDefault="000E5748" w:rsidP="009163FC">
            <w:pPr>
              <w:rPr>
                <w:rFonts w:asciiTheme="majorHAnsi" w:hAnsiTheme="majorHAnsi"/>
                <w:bCs/>
                <w:sz w:val="20"/>
                <w:szCs w:val="20"/>
              </w:rPr>
            </w:pPr>
            <w:r>
              <w:rPr>
                <w:rFonts w:asciiTheme="majorHAnsi" w:hAnsiTheme="majorHAnsi"/>
                <w:bCs/>
                <w:sz w:val="20"/>
                <w:szCs w:val="20"/>
              </w:rPr>
              <w:t>Yes</w:t>
            </w:r>
          </w:p>
        </w:tc>
      </w:tr>
      <w:tr w:rsidR="00261E08" w:rsidRPr="003A5566" w14:paraId="6438DD58" w14:textId="77777777" w:rsidTr="000F326B">
        <w:trPr>
          <w:cantSplit/>
        </w:trPr>
        <w:tc>
          <w:tcPr>
            <w:tcW w:w="3573" w:type="dxa"/>
            <w:tcBorders>
              <w:top w:val="single" w:sz="6" w:space="0" w:color="auto"/>
              <w:bottom w:val="single" w:sz="6" w:space="0" w:color="auto"/>
            </w:tcBorders>
            <w:shd w:val="clear" w:color="auto" w:fill="67AE3C"/>
            <w:vAlign w:val="center"/>
          </w:tcPr>
          <w:p w14:paraId="43AB8B19" w14:textId="1D72144B" w:rsidR="00261E08" w:rsidRPr="00AB2A8D" w:rsidRDefault="00B77DBF" w:rsidP="00C355B4">
            <w:pPr>
              <w:jc w:val="center"/>
              <w:rPr>
                <w:rFonts w:asciiTheme="majorHAnsi" w:hAnsiTheme="majorHAnsi"/>
                <w:b/>
                <w:color w:val="FFFFFF" w:themeColor="background1"/>
                <w:sz w:val="20"/>
                <w:szCs w:val="20"/>
              </w:rPr>
            </w:pPr>
            <w:r w:rsidRPr="00B77DBF">
              <w:rPr>
                <w:rFonts w:asciiTheme="majorHAnsi" w:hAnsiTheme="majorHAnsi"/>
                <w:b/>
                <w:iCs/>
                <w:color w:val="FFFFFF" w:themeColor="background1"/>
                <w:sz w:val="20"/>
                <w:szCs w:val="20"/>
              </w:rPr>
              <w:t xml:space="preserve">Competence </w:t>
            </w:r>
            <w:r w:rsidR="00261E08" w:rsidRPr="00AB2A8D">
              <w:rPr>
                <w:rFonts w:asciiTheme="majorHAnsi" w:hAnsiTheme="majorHAnsi"/>
                <w:b/>
                <w:i/>
                <w:color w:val="FFFFFF" w:themeColor="background1"/>
                <w:sz w:val="20"/>
                <w:szCs w:val="20"/>
              </w:rPr>
              <w:t>Ratione loci</w:t>
            </w:r>
            <w:r w:rsidRPr="00B77DBF">
              <w:rPr>
                <w:rFonts w:asciiTheme="majorHAnsi" w:hAnsiTheme="majorHAnsi"/>
                <w:b/>
                <w:iCs/>
                <w:color w:val="FFFFFF" w:themeColor="background1"/>
                <w:sz w:val="20"/>
                <w:szCs w:val="20"/>
              </w:rPr>
              <w:t>:</w:t>
            </w:r>
          </w:p>
        </w:tc>
        <w:tc>
          <w:tcPr>
            <w:tcW w:w="5812" w:type="dxa"/>
            <w:vAlign w:val="center"/>
          </w:tcPr>
          <w:p w14:paraId="27041F7E" w14:textId="08AB9E48" w:rsidR="00261E08" w:rsidRPr="00964B3C" w:rsidRDefault="000E5748" w:rsidP="009163FC">
            <w:pPr>
              <w:rPr>
                <w:rFonts w:asciiTheme="majorHAnsi" w:hAnsiTheme="majorHAnsi"/>
                <w:bCs/>
                <w:sz w:val="20"/>
                <w:szCs w:val="20"/>
              </w:rPr>
            </w:pPr>
            <w:r>
              <w:rPr>
                <w:rFonts w:asciiTheme="majorHAnsi" w:hAnsiTheme="majorHAnsi"/>
                <w:bCs/>
                <w:sz w:val="20"/>
                <w:szCs w:val="20"/>
              </w:rPr>
              <w:t>Yes</w:t>
            </w:r>
          </w:p>
        </w:tc>
      </w:tr>
      <w:tr w:rsidR="00261E08" w:rsidRPr="003A5566" w14:paraId="5140C2B6" w14:textId="77777777" w:rsidTr="000F326B">
        <w:trPr>
          <w:cantSplit/>
        </w:trPr>
        <w:tc>
          <w:tcPr>
            <w:tcW w:w="3573" w:type="dxa"/>
            <w:tcBorders>
              <w:top w:val="single" w:sz="6" w:space="0" w:color="auto"/>
              <w:bottom w:val="single" w:sz="6" w:space="0" w:color="auto"/>
            </w:tcBorders>
            <w:shd w:val="clear" w:color="auto" w:fill="67AE3C"/>
            <w:vAlign w:val="center"/>
          </w:tcPr>
          <w:p w14:paraId="74905820" w14:textId="3C814A74" w:rsidR="00261E08" w:rsidRPr="00AB2A8D" w:rsidRDefault="00B77DBF" w:rsidP="009163FC">
            <w:pPr>
              <w:jc w:val="center"/>
              <w:rPr>
                <w:rFonts w:asciiTheme="majorHAnsi" w:hAnsiTheme="majorHAnsi"/>
                <w:b/>
                <w:color w:val="FFFFFF" w:themeColor="background1"/>
                <w:sz w:val="20"/>
                <w:szCs w:val="20"/>
              </w:rPr>
            </w:pPr>
            <w:r w:rsidRPr="00B77DBF">
              <w:rPr>
                <w:rFonts w:asciiTheme="majorHAnsi" w:hAnsiTheme="majorHAnsi"/>
                <w:b/>
                <w:iCs/>
                <w:color w:val="FFFFFF" w:themeColor="background1"/>
                <w:sz w:val="20"/>
                <w:szCs w:val="20"/>
              </w:rPr>
              <w:t xml:space="preserve">Competence </w:t>
            </w:r>
            <w:r w:rsidR="00261E08" w:rsidRPr="00AB2A8D">
              <w:rPr>
                <w:rFonts w:asciiTheme="majorHAnsi" w:hAnsiTheme="majorHAnsi"/>
                <w:b/>
                <w:i/>
                <w:color w:val="FFFFFF" w:themeColor="background1"/>
                <w:sz w:val="20"/>
                <w:szCs w:val="20"/>
              </w:rPr>
              <w:t>Ratione temporis</w:t>
            </w:r>
            <w:r w:rsidRPr="00B77DBF">
              <w:rPr>
                <w:rFonts w:asciiTheme="majorHAnsi" w:hAnsiTheme="majorHAnsi"/>
                <w:b/>
                <w:iCs/>
                <w:color w:val="FFFFFF" w:themeColor="background1"/>
                <w:sz w:val="20"/>
                <w:szCs w:val="20"/>
              </w:rPr>
              <w:t>:</w:t>
            </w:r>
          </w:p>
        </w:tc>
        <w:tc>
          <w:tcPr>
            <w:tcW w:w="5812" w:type="dxa"/>
            <w:vAlign w:val="center"/>
          </w:tcPr>
          <w:p w14:paraId="6091B7B0" w14:textId="3AE3F1B8" w:rsidR="00261E08" w:rsidRPr="00964B3C" w:rsidRDefault="000E5748" w:rsidP="009163FC">
            <w:pPr>
              <w:rPr>
                <w:rFonts w:asciiTheme="majorHAnsi" w:hAnsiTheme="majorHAnsi"/>
                <w:bCs/>
                <w:sz w:val="20"/>
                <w:szCs w:val="20"/>
              </w:rPr>
            </w:pPr>
            <w:r>
              <w:rPr>
                <w:rFonts w:asciiTheme="majorHAnsi" w:hAnsiTheme="majorHAnsi"/>
                <w:bCs/>
                <w:sz w:val="20"/>
                <w:szCs w:val="20"/>
              </w:rPr>
              <w:t>Yes</w:t>
            </w:r>
          </w:p>
        </w:tc>
      </w:tr>
      <w:tr w:rsidR="00261E08" w:rsidRPr="003A5566" w14:paraId="33238134" w14:textId="77777777" w:rsidTr="000F326B">
        <w:trPr>
          <w:cantSplit/>
        </w:trPr>
        <w:tc>
          <w:tcPr>
            <w:tcW w:w="3573" w:type="dxa"/>
            <w:tcBorders>
              <w:top w:val="single" w:sz="6" w:space="0" w:color="auto"/>
              <w:bottom w:val="single" w:sz="6" w:space="0" w:color="auto"/>
            </w:tcBorders>
            <w:shd w:val="clear" w:color="auto" w:fill="67AE3C"/>
            <w:vAlign w:val="center"/>
          </w:tcPr>
          <w:p w14:paraId="3C7AAFE9" w14:textId="47120960" w:rsidR="00261E08" w:rsidRPr="00AB2A8D" w:rsidRDefault="00B77DBF" w:rsidP="009163FC">
            <w:pPr>
              <w:jc w:val="center"/>
              <w:rPr>
                <w:rFonts w:asciiTheme="majorHAnsi" w:hAnsiTheme="majorHAnsi"/>
                <w:b/>
                <w:color w:val="FFFFFF" w:themeColor="background1"/>
                <w:sz w:val="20"/>
                <w:szCs w:val="20"/>
              </w:rPr>
            </w:pPr>
            <w:r w:rsidRPr="00B77DBF">
              <w:rPr>
                <w:rFonts w:asciiTheme="majorHAnsi" w:hAnsiTheme="majorHAnsi"/>
                <w:b/>
                <w:iCs/>
                <w:color w:val="FFFFFF" w:themeColor="background1"/>
                <w:sz w:val="20"/>
                <w:szCs w:val="20"/>
              </w:rPr>
              <w:t xml:space="preserve">Competence </w:t>
            </w:r>
            <w:r w:rsidR="00261E08" w:rsidRPr="00AB2A8D">
              <w:rPr>
                <w:rFonts w:asciiTheme="majorHAnsi" w:hAnsiTheme="majorHAnsi"/>
                <w:b/>
                <w:i/>
                <w:color w:val="FFFFFF" w:themeColor="background1"/>
                <w:sz w:val="20"/>
                <w:szCs w:val="20"/>
              </w:rPr>
              <w:t>Ratione materiae</w:t>
            </w:r>
            <w:r w:rsidRPr="00B77DBF">
              <w:rPr>
                <w:rFonts w:asciiTheme="majorHAnsi" w:hAnsiTheme="majorHAnsi"/>
                <w:b/>
                <w:iCs/>
                <w:color w:val="FFFFFF" w:themeColor="background1"/>
                <w:sz w:val="20"/>
                <w:szCs w:val="20"/>
              </w:rPr>
              <w:t>:</w:t>
            </w:r>
          </w:p>
        </w:tc>
        <w:tc>
          <w:tcPr>
            <w:tcW w:w="5812" w:type="dxa"/>
            <w:vAlign w:val="center"/>
          </w:tcPr>
          <w:p w14:paraId="49BB57C8" w14:textId="50C3123B" w:rsidR="00261E08" w:rsidRPr="00964B3C" w:rsidRDefault="000E5748" w:rsidP="009163FC">
            <w:pPr>
              <w:jc w:val="both"/>
              <w:rPr>
                <w:rFonts w:asciiTheme="majorHAnsi" w:hAnsiTheme="majorHAnsi"/>
                <w:bCs/>
                <w:sz w:val="20"/>
                <w:szCs w:val="20"/>
              </w:rPr>
            </w:pPr>
            <w:r>
              <w:rPr>
                <w:rFonts w:asciiTheme="majorHAnsi" w:hAnsiTheme="majorHAnsi"/>
                <w:bCs/>
                <w:sz w:val="20"/>
                <w:szCs w:val="20"/>
              </w:rPr>
              <w:t xml:space="preserve">Yes, American Convention (instrument of ratification deposited on August 4, 1970) and Convention of </w:t>
            </w:r>
            <w:proofErr w:type="spellStart"/>
            <w:r w:rsidRPr="002B0CBC">
              <w:rPr>
                <w:rFonts w:asciiTheme="majorHAnsi" w:hAnsiTheme="majorHAnsi"/>
                <w:bCs/>
                <w:sz w:val="20"/>
                <w:szCs w:val="20"/>
              </w:rPr>
              <w:t>Belé</w:t>
            </w:r>
            <w:r w:rsidR="00FC53BD" w:rsidRPr="002B0CBC">
              <w:rPr>
                <w:rFonts w:asciiTheme="majorHAnsi" w:hAnsiTheme="majorHAnsi"/>
                <w:bCs/>
                <w:sz w:val="20"/>
                <w:szCs w:val="20"/>
              </w:rPr>
              <w:t>m</w:t>
            </w:r>
            <w:proofErr w:type="spellEnd"/>
            <w:r w:rsidRPr="002B0CBC">
              <w:rPr>
                <w:rFonts w:asciiTheme="majorHAnsi" w:hAnsiTheme="majorHAnsi"/>
                <w:bCs/>
                <w:sz w:val="20"/>
                <w:szCs w:val="20"/>
              </w:rPr>
              <w:t xml:space="preserve"> do Pará</w:t>
            </w:r>
            <w:r>
              <w:rPr>
                <w:rFonts w:asciiTheme="majorHAnsi" w:hAnsiTheme="majorHAnsi"/>
                <w:bCs/>
                <w:sz w:val="20"/>
                <w:szCs w:val="20"/>
              </w:rPr>
              <w:t xml:space="preserve"> (instrument of ratification deposited on December 7, 1995)</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573"/>
        <w:gridCol w:w="5812"/>
      </w:tblGrid>
      <w:tr w:rsidR="00261E08" w:rsidRPr="003A5566" w14:paraId="47EC0E6D" w14:textId="77777777" w:rsidTr="00D3587A">
        <w:trPr>
          <w:cantSplit/>
          <w:trHeight w:val="58"/>
        </w:trPr>
        <w:tc>
          <w:tcPr>
            <w:tcW w:w="3573" w:type="dxa"/>
            <w:tcBorders>
              <w:top w:val="single" w:sz="4" w:space="0" w:color="auto"/>
              <w:bottom w:val="single" w:sz="6" w:space="0" w:color="auto"/>
            </w:tcBorders>
            <w:shd w:val="clear" w:color="auto" w:fill="67AE3C"/>
            <w:vAlign w:val="center"/>
          </w:tcPr>
          <w:p w14:paraId="1B9411D6" w14:textId="52D1A604" w:rsidR="00261E08" w:rsidRPr="00AB2A8D" w:rsidRDefault="00261E08" w:rsidP="008546E5">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 xml:space="preserve">Duplication of procedures </w:t>
            </w:r>
            <w:r w:rsidR="00B77DBF">
              <w:rPr>
                <w:rFonts w:asciiTheme="majorHAnsi" w:hAnsiTheme="majorHAnsi"/>
                <w:b/>
                <w:color w:val="FFFFFF" w:themeColor="background1"/>
                <w:sz w:val="20"/>
                <w:szCs w:val="20"/>
              </w:rPr>
              <w:br/>
            </w:r>
            <w:r w:rsidRPr="00AB2A8D">
              <w:rPr>
                <w:rFonts w:asciiTheme="majorHAnsi" w:hAnsiTheme="majorHAnsi"/>
                <w:b/>
                <w:color w:val="FFFFFF" w:themeColor="background1"/>
                <w:sz w:val="20"/>
                <w:szCs w:val="20"/>
              </w:rPr>
              <w:t xml:space="preserve">and international </w:t>
            </w:r>
            <w:r w:rsidRPr="00AB2A8D">
              <w:rPr>
                <w:rFonts w:asciiTheme="majorHAnsi" w:hAnsiTheme="majorHAnsi"/>
                <w:b/>
                <w:i/>
                <w:color w:val="FFFFFF" w:themeColor="background1"/>
                <w:sz w:val="20"/>
                <w:szCs w:val="20"/>
              </w:rPr>
              <w:t>res judicata</w:t>
            </w:r>
            <w:r w:rsidR="00B77DBF" w:rsidRPr="00B77DBF">
              <w:rPr>
                <w:rFonts w:asciiTheme="majorHAnsi" w:hAnsiTheme="majorHAnsi"/>
                <w:b/>
                <w:iCs/>
                <w:color w:val="FFFFFF" w:themeColor="background1"/>
                <w:sz w:val="20"/>
                <w:szCs w:val="20"/>
              </w:rPr>
              <w:t>:</w:t>
            </w:r>
          </w:p>
        </w:tc>
        <w:tc>
          <w:tcPr>
            <w:tcW w:w="5812" w:type="dxa"/>
            <w:vAlign w:val="center"/>
          </w:tcPr>
          <w:p w14:paraId="1A7CFC69" w14:textId="4CFE9E66" w:rsidR="00261E08" w:rsidRPr="00964B3C" w:rsidRDefault="000E5748" w:rsidP="009163FC">
            <w:pPr>
              <w:jc w:val="both"/>
              <w:rPr>
                <w:rFonts w:asciiTheme="majorHAnsi" w:hAnsiTheme="majorHAnsi"/>
                <w:bCs/>
                <w:sz w:val="20"/>
                <w:szCs w:val="20"/>
              </w:rPr>
            </w:pPr>
            <w:r>
              <w:rPr>
                <w:rFonts w:asciiTheme="majorHAnsi" w:hAnsiTheme="majorHAnsi"/>
                <w:bCs/>
                <w:sz w:val="20"/>
                <w:szCs w:val="20"/>
              </w:rPr>
              <w:t>No</w:t>
            </w:r>
          </w:p>
        </w:tc>
      </w:tr>
      <w:tr w:rsidR="00261E08" w:rsidRPr="003A5566" w14:paraId="2E3D009A" w14:textId="77777777" w:rsidTr="000F326B">
        <w:trPr>
          <w:cantSplit/>
        </w:trPr>
        <w:tc>
          <w:tcPr>
            <w:tcW w:w="3573" w:type="dxa"/>
            <w:tcBorders>
              <w:top w:val="single" w:sz="6" w:space="0" w:color="auto"/>
              <w:bottom w:val="single" w:sz="6" w:space="0" w:color="auto"/>
            </w:tcBorders>
            <w:shd w:val="clear" w:color="auto" w:fill="67AE3C"/>
            <w:vAlign w:val="center"/>
          </w:tcPr>
          <w:p w14:paraId="45F253F9" w14:textId="77777777" w:rsidR="00261E08" w:rsidRPr="00AB2A8D" w:rsidRDefault="00261E08" w:rsidP="009163FC">
            <w:pPr>
              <w:jc w:val="center"/>
              <w:rPr>
                <w:rFonts w:asciiTheme="majorHAnsi" w:hAnsiTheme="majorHAnsi"/>
                <w:b/>
                <w:i/>
                <w:color w:val="FFFFFF" w:themeColor="background1"/>
                <w:sz w:val="20"/>
                <w:szCs w:val="20"/>
              </w:rPr>
            </w:pPr>
            <w:r w:rsidRPr="00AB2A8D">
              <w:rPr>
                <w:rFonts w:asciiTheme="majorHAnsi" w:hAnsiTheme="majorHAnsi"/>
                <w:b/>
                <w:color w:val="FFFFFF" w:themeColor="background1"/>
                <w:sz w:val="20"/>
                <w:szCs w:val="20"/>
              </w:rPr>
              <w:t>Rights declared admissible</w:t>
            </w:r>
          </w:p>
        </w:tc>
        <w:tc>
          <w:tcPr>
            <w:tcW w:w="5812" w:type="dxa"/>
            <w:vAlign w:val="center"/>
          </w:tcPr>
          <w:p w14:paraId="7C8C5244" w14:textId="3CBC7A27" w:rsidR="00261E08" w:rsidRPr="00964B3C" w:rsidRDefault="00D3587A" w:rsidP="009163FC">
            <w:pPr>
              <w:jc w:val="both"/>
              <w:rPr>
                <w:rFonts w:asciiTheme="majorHAnsi" w:hAnsiTheme="majorHAnsi"/>
                <w:bCs/>
                <w:sz w:val="20"/>
                <w:szCs w:val="20"/>
              </w:rPr>
            </w:pPr>
            <w:r>
              <w:rPr>
                <w:rFonts w:asciiTheme="majorHAnsi" w:hAnsiTheme="majorHAnsi"/>
                <w:bCs/>
                <w:sz w:val="20"/>
                <w:szCs w:val="20"/>
              </w:rPr>
              <w:t>Articles 5 (humane treatment), 7 (personal liberty), 8 (a fair trial), 11 (privacy), 17 (</w:t>
            </w:r>
            <w:r w:rsidR="002B0CBC">
              <w:rPr>
                <w:rFonts w:asciiTheme="majorHAnsi" w:hAnsiTheme="majorHAnsi"/>
                <w:bCs/>
                <w:sz w:val="20"/>
                <w:szCs w:val="20"/>
              </w:rPr>
              <w:t>r</w:t>
            </w:r>
            <w:r>
              <w:rPr>
                <w:rFonts w:asciiTheme="majorHAnsi" w:hAnsiTheme="majorHAnsi"/>
                <w:bCs/>
                <w:sz w:val="20"/>
                <w:szCs w:val="20"/>
              </w:rPr>
              <w:t>ights of the family), 19 (</w:t>
            </w:r>
            <w:r w:rsidR="002B0CBC">
              <w:rPr>
                <w:rFonts w:asciiTheme="majorHAnsi" w:hAnsiTheme="majorHAnsi"/>
                <w:bCs/>
                <w:sz w:val="20"/>
                <w:szCs w:val="20"/>
              </w:rPr>
              <w:t>r</w:t>
            </w:r>
            <w:r>
              <w:rPr>
                <w:rFonts w:asciiTheme="majorHAnsi" w:hAnsiTheme="majorHAnsi"/>
                <w:bCs/>
                <w:sz w:val="20"/>
                <w:szCs w:val="20"/>
              </w:rPr>
              <w:t>ights of the child), 24 (equal protection), and 25 (judicial protection) of the American Convention, in relation to Articles 1.1 (</w:t>
            </w:r>
            <w:r w:rsidR="002B0CBC">
              <w:rPr>
                <w:rFonts w:asciiTheme="majorHAnsi" w:hAnsiTheme="majorHAnsi"/>
                <w:bCs/>
                <w:sz w:val="20"/>
                <w:szCs w:val="20"/>
              </w:rPr>
              <w:t>o</w:t>
            </w:r>
            <w:r>
              <w:rPr>
                <w:rFonts w:asciiTheme="majorHAnsi" w:hAnsiTheme="majorHAnsi"/>
                <w:bCs/>
                <w:sz w:val="20"/>
                <w:szCs w:val="20"/>
              </w:rPr>
              <w:t>bligation to respect rights) and 2 (</w:t>
            </w:r>
            <w:r w:rsidR="002B0CBC">
              <w:rPr>
                <w:rFonts w:asciiTheme="majorHAnsi" w:hAnsiTheme="majorHAnsi"/>
                <w:bCs/>
                <w:sz w:val="20"/>
                <w:szCs w:val="20"/>
              </w:rPr>
              <w:t>d</w:t>
            </w:r>
            <w:r>
              <w:rPr>
                <w:rFonts w:asciiTheme="majorHAnsi" w:hAnsiTheme="majorHAnsi"/>
                <w:bCs/>
                <w:sz w:val="20"/>
                <w:szCs w:val="20"/>
              </w:rPr>
              <w:t xml:space="preserve">omestic legal effects) thereof; and Article 7 of the Convention of </w:t>
            </w:r>
            <w:proofErr w:type="spellStart"/>
            <w:r>
              <w:rPr>
                <w:rFonts w:asciiTheme="majorHAnsi" w:hAnsiTheme="majorHAnsi"/>
                <w:bCs/>
                <w:sz w:val="20"/>
                <w:szCs w:val="20"/>
              </w:rPr>
              <w:t>Belé</w:t>
            </w:r>
            <w:r w:rsidR="002B0CBC">
              <w:rPr>
                <w:rFonts w:asciiTheme="majorHAnsi" w:hAnsiTheme="majorHAnsi"/>
                <w:bCs/>
                <w:sz w:val="20"/>
                <w:szCs w:val="20"/>
              </w:rPr>
              <w:t>m</w:t>
            </w:r>
            <w:proofErr w:type="spellEnd"/>
            <w:r>
              <w:rPr>
                <w:rFonts w:asciiTheme="majorHAnsi" w:hAnsiTheme="majorHAnsi"/>
                <w:bCs/>
                <w:sz w:val="20"/>
                <w:szCs w:val="20"/>
              </w:rPr>
              <w:t xml:space="preserve"> do Pará</w:t>
            </w:r>
          </w:p>
        </w:tc>
      </w:tr>
      <w:tr w:rsidR="00261E08" w:rsidRPr="003A5566" w14:paraId="77899B94" w14:textId="77777777" w:rsidTr="000F326B">
        <w:trPr>
          <w:cantSplit/>
        </w:trPr>
        <w:tc>
          <w:tcPr>
            <w:tcW w:w="3573" w:type="dxa"/>
            <w:tcBorders>
              <w:top w:val="single" w:sz="6" w:space="0" w:color="auto"/>
              <w:bottom w:val="single" w:sz="6" w:space="0" w:color="auto"/>
            </w:tcBorders>
            <w:shd w:val="clear" w:color="auto" w:fill="67AE3C"/>
            <w:vAlign w:val="center"/>
          </w:tcPr>
          <w:p w14:paraId="754CDE32" w14:textId="16476B25" w:rsidR="00261E08" w:rsidRPr="00AB2A8D" w:rsidRDefault="00261E08" w:rsidP="008546E5">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Exhaustion or exception</w:t>
            </w:r>
            <w:r w:rsidR="00B77DBF">
              <w:rPr>
                <w:rFonts w:asciiTheme="majorHAnsi" w:hAnsiTheme="majorHAnsi"/>
                <w:b/>
                <w:color w:val="FFFFFF" w:themeColor="background1"/>
                <w:sz w:val="20"/>
                <w:szCs w:val="20"/>
              </w:rPr>
              <w:br/>
            </w:r>
            <w:r w:rsidRPr="00AB2A8D">
              <w:rPr>
                <w:rFonts w:asciiTheme="majorHAnsi" w:hAnsiTheme="majorHAnsi"/>
                <w:b/>
                <w:color w:val="FFFFFF" w:themeColor="background1"/>
                <w:sz w:val="20"/>
                <w:szCs w:val="20"/>
              </w:rPr>
              <w:t xml:space="preserve"> to the exhaustion of remedies</w:t>
            </w:r>
            <w:r w:rsidR="00B77DBF">
              <w:rPr>
                <w:rFonts w:asciiTheme="majorHAnsi" w:hAnsiTheme="majorHAnsi"/>
                <w:b/>
                <w:color w:val="FFFFFF" w:themeColor="background1"/>
                <w:sz w:val="20"/>
                <w:szCs w:val="20"/>
              </w:rPr>
              <w:t>:</w:t>
            </w:r>
            <w:r w:rsidRPr="00AB2A8D">
              <w:rPr>
                <w:rFonts w:asciiTheme="majorHAnsi" w:hAnsiTheme="majorHAnsi"/>
                <w:b/>
                <w:color w:val="FFFFFF" w:themeColor="background1"/>
                <w:sz w:val="20"/>
                <w:szCs w:val="20"/>
              </w:rPr>
              <w:t xml:space="preserve"> </w:t>
            </w:r>
          </w:p>
        </w:tc>
        <w:tc>
          <w:tcPr>
            <w:tcW w:w="5812" w:type="dxa"/>
            <w:vAlign w:val="center"/>
          </w:tcPr>
          <w:p w14:paraId="20F52498" w14:textId="29B2D9B2" w:rsidR="00261E08" w:rsidRPr="00964B3C" w:rsidRDefault="00D3587A" w:rsidP="009163FC">
            <w:pPr>
              <w:rPr>
                <w:rFonts w:asciiTheme="majorHAnsi" w:hAnsiTheme="majorHAnsi"/>
                <w:bCs/>
                <w:sz w:val="20"/>
                <w:szCs w:val="20"/>
              </w:rPr>
            </w:pPr>
            <w:r>
              <w:rPr>
                <w:rFonts w:asciiTheme="majorHAnsi" w:hAnsiTheme="majorHAnsi"/>
                <w:bCs/>
                <w:sz w:val="20"/>
                <w:szCs w:val="20"/>
              </w:rPr>
              <w:t>Yes, exception in Article 46.2.a of the Convention applies</w:t>
            </w:r>
          </w:p>
        </w:tc>
      </w:tr>
      <w:tr w:rsidR="00261E08" w:rsidRPr="003A5566" w14:paraId="4F59B7C5" w14:textId="77777777" w:rsidTr="000F326B">
        <w:trPr>
          <w:cantSplit/>
        </w:trPr>
        <w:tc>
          <w:tcPr>
            <w:tcW w:w="3573" w:type="dxa"/>
            <w:tcBorders>
              <w:top w:val="single" w:sz="6" w:space="0" w:color="auto"/>
              <w:bottom w:val="single" w:sz="6" w:space="0" w:color="auto"/>
            </w:tcBorders>
            <w:shd w:val="clear" w:color="auto" w:fill="67AE3C"/>
            <w:vAlign w:val="center"/>
          </w:tcPr>
          <w:p w14:paraId="75227E17" w14:textId="4CE62B1B" w:rsidR="00261E08" w:rsidRPr="00AB2A8D" w:rsidRDefault="00261E08" w:rsidP="009163FC">
            <w:pPr>
              <w:jc w:val="center"/>
              <w:rPr>
                <w:rFonts w:asciiTheme="majorHAnsi" w:hAnsiTheme="majorHAnsi"/>
                <w:b/>
                <w:color w:val="FFFFFF" w:themeColor="background1"/>
                <w:sz w:val="20"/>
                <w:szCs w:val="20"/>
              </w:rPr>
            </w:pPr>
            <w:r w:rsidRPr="00AB2A8D">
              <w:rPr>
                <w:rFonts w:asciiTheme="majorHAnsi" w:hAnsiTheme="majorHAnsi"/>
                <w:b/>
                <w:color w:val="FFFFFF" w:themeColor="background1"/>
                <w:sz w:val="20"/>
                <w:szCs w:val="20"/>
              </w:rPr>
              <w:t>Timeliness of the petition</w:t>
            </w:r>
            <w:r w:rsidR="00B77DBF">
              <w:rPr>
                <w:rFonts w:asciiTheme="majorHAnsi" w:hAnsiTheme="majorHAnsi"/>
                <w:b/>
                <w:color w:val="FFFFFF" w:themeColor="background1"/>
                <w:sz w:val="20"/>
                <w:szCs w:val="20"/>
              </w:rPr>
              <w:t>:</w:t>
            </w:r>
          </w:p>
        </w:tc>
        <w:tc>
          <w:tcPr>
            <w:tcW w:w="5812" w:type="dxa"/>
            <w:vAlign w:val="center"/>
          </w:tcPr>
          <w:p w14:paraId="474C25FA" w14:textId="1041FF1C" w:rsidR="00261E08" w:rsidRPr="00964B3C" w:rsidRDefault="00D3587A" w:rsidP="009163FC">
            <w:pPr>
              <w:rPr>
                <w:rFonts w:asciiTheme="majorHAnsi" w:hAnsiTheme="majorHAnsi"/>
                <w:bCs/>
                <w:sz w:val="20"/>
                <w:szCs w:val="20"/>
              </w:rPr>
            </w:pPr>
            <w:r>
              <w:rPr>
                <w:rFonts w:asciiTheme="majorHAnsi" w:hAnsiTheme="majorHAnsi"/>
                <w:bCs/>
                <w:sz w:val="20"/>
                <w:szCs w:val="20"/>
              </w:rPr>
              <w:t>Yes, according to section VI</w:t>
            </w:r>
          </w:p>
        </w:tc>
      </w:tr>
    </w:tbl>
    <w:p w14:paraId="53E1380D" w14:textId="77777777" w:rsidR="007A3290" w:rsidRDefault="007A3290" w:rsidP="00C355B4">
      <w:pPr>
        <w:spacing w:before="120" w:after="120"/>
        <w:ind w:firstLine="720"/>
        <w:jc w:val="both"/>
        <w:rPr>
          <w:rFonts w:asciiTheme="majorHAnsi" w:hAnsiTheme="majorHAnsi"/>
          <w:b/>
          <w:sz w:val="20"/>
          <w:szCs w:val="20"/>
        </w:rPr>
      </w:pPr>
    </w:p>
    <w:p w14:paraId="0C2577EB" w14:textId="77777777" w:rsidR="007A3290" w:rsidRDefault="007A3290">
      <w:pPr>
        <w:rPr>
          <w:rFonts w:asciiTheme="majorHAnsi" w:hAnsiTheme="majorHAnsi"/>
          <w:b/>
          <w:sz w:val="20"/>
          <w:szCs w:val="20"/>
        </w:rPr>
      </w:pPr>
      <w:r>
        <w:rPr>
          <w:rFonts w:asciiTheme="majorHAnsi" w:hAnsiTheme="majorHAnsi"/>
          <w:b/>
          <w:sz w:val="20"/>
          <w:szCs w:val="20"/>
        </w:rPr>
        <w:br w:type="page"/>
      </w:r>
    </w:p>
    <w:p w14:paraId="3FEBD323" w14:textId="1E73AE91" w:rsidR="00F621C3"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r>
      <w:r w:rsidR="00834882" w:rsidRPr="000B6B7A">
        <w:rPr>
          <w:rFonts w:asciiTheme="majorHAnsi" w:hAnsiTheme="majorHAnsi"/>
          <w:b/>
          <w:sz w:val="20"/>
          <w:szCs w:val="20"/>
        </w:rPr>
        <w:t xml:space="preserve">ALLEGED </w:t>
      </w:r>
      <w:r w:rsidRPr="000B6B7A">
        <w:rPr>
          <w:rFonts w:asciiTheme="majorHAnsi" w:hAnsiTheme="majorHAnsi"/>
          <w:b/>
          <w:sz w:val="20"/>
          <w:szCs w:val="20"/>
        </w:rPr>
        <w:t>FACTS</w:t>
      </w:r>
    </w:p>
    <w:p w14:paraId="2BC32999" w14:textId="196CD33C"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1.</w:t>
      </w:r>
      <w:r>
        <w:rPr>
          <w:rFonts w:asciiTheme="majorHAnsi" w:hAnsiTheme="majorHAnsi"/>
          <w:sz w:val="20"/>
          <w:szCs w:val="20"/>
          <w:lang w:val="en"/>
        </w:rPr>
        <w:tab/>
        <w:t xml:space="preserve">The petitioning organization reports the perpetration of acts of physical, psychological, and sexual violence against Ms. M and girl C, by the father of the latter, </w:t>
      </w:r>
      <w:r w:rsidR="00CA317F">
        <w:rPr>
          <w:rFonts w:asciiTheme="majorHAnsi" w:hAnsiTheme="majorHAnsi"/>
          <w:sz w:val="20"/>
          <w:szCs w:val="20"/>
          <w:lang w:val="en"/>
        </w:rPr>
        <w:t>which</w:t>
      </w:r>
      <w:r>
        <w:rPr>
          <w:rFonts w:asciiTheme="majorHAnsi" w:hAnsiTheme="majorHAnsi"/>
          <w:sz w:val="20"/>
          <w:szCs w:val="20"/>
          <w:lang w:val="en"/>
        </w:rPr>
        <w:t xml:space="preserve"> were not duly investigated in Costa Rica and led to the abduction of C to Panama.</w:t>
      </w:r>
    </w:p>
    <w:p w14:paraId="791F8C59" w14:textId="66F1B6C3"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2.</w:t>
      </w:r>
      <w:r>
        <w:rPr>
          <w:lang w:val="en"/>
        </w:rPr>
        <w:tab/>
      </w:r>
      <w:r w:rsidR="0029091D" w:rsidRPr="00E542D8">
        <w:rPr>
          <w:rFonts w:asciiTheme="majorHAnsi" w:hAnsiTheme="majorHAnsi"/>
          <w:sz w:val="20"/>
          <w:szCs w:val="20"/>
        </w:rPr>
        <w:t xml:space="preserve">The petitioners narrate that Mrs. M </w:t>
      </w:r>
      <w:r w:rsidR="0029091D">
        <w:rPr>
          <w:rFonts w:asciiTheme="majorHAnsi" w:hAnsiTheme="majorHAnsi"/>
          <w:sz w:val="20"/>
          <w:szCs w:val="20"/>
        </w:rPr>
        <w:t>h</w:t>
      </w:r>
      <w:r w:rsidR="0029091D" w:rsidRPr="00E542D8">
        <w:rPr>
          <w:rFonts w:asciiTheme="majorHAnsi" w:hAnsiTheme="majorHAnsi"/>
          <w:sz w:val="20"/>
          <w:szCs w:val="20"/>
        </w:rPr>
        <w:t>e</w:t>
      </w:r>
      <w:r w:rsidR="0029091D">
        <w:rPr>
          <w:rFonts w:asciiTheme="majorHAnsi" w:hAnsiTheme="majorHAnsi"/>
          <w:sz w:val="20"/>
          <w:szCs w:val="20"/>
        </w:rPr>
        <w:t>l</w:t>
      </w:r>
      <w:r w:rsidR="0029091D" w:rsidRPr="00E542D8">
        <w:rPr>
          <w:rFonts w:asciiTheme="majorHAnsi" w:hAnsiTheme="majorHAnsi"/>
          <w:sz w:val="20"/>
          <w:szCs w:val="20"/>
        </w:rPr>
        <w:t xml:space="preserve">d a sentimental relationship between 2001 and 2008 in Costa Rica, </w:t>
      </w:r>
      <w:proofErr w:type="gramStart"/>
      <w:r w:rsidR="0029091D" w:rsidRPr="00E542D8">
        <w:rPr>
          <w:rFonts w:asciiTheme="majorHAnsi" w:hAnsiTheme="majorHAnsi"/>
          <w:sz w:val="20"/>
          <w:szCs w:val="20"/>
        </w:rPr>
        <w:t>as a result of</w:t>
      </w:r>
      <w:proofErr w:type="gramEnd"/>
      <w:r w:rsidR="0029091D" w:rsidRPr="00E542D8">
        <w:rPr>
          <w:rFonts w:asciiTheme="majorHAnsi" w:hAnsiTheme="majorHAnsi"/>
          <w:sz w:val="20"/>
          <w:szCs w:val="20"/>
        </w:rPr>
        <w:t xml:space="preserve"> which C was born on October 23, 2004. </w:t>
      </w:r>
      <w:bookmarkStart w:id="0" w:name="_Hlk84234022"/>
      <w:r>
        <w:rPr>
          <w:rFonts w:asciiTheme="majorHAnsi" w:hAnsiTheme="majorHAnsi"/>
          <w:sz w:val="20"/>
          <w:szCs w:val="20"/>
          <w:lang w:val="en"/>
        </w:rPr>
        <w:t xml:space="preserve">In September 2008, Ms. M separated from C’s father and requested </w:t>
      </w:r>
      <w:r w:rsidR="00FA4399">
        <w:rPr>
          <w:rFonts w:asciiTheme="majorHAnsi" w:hAnsiTheme="majorHAnsi"/>
          <w:sz w:val="20"/>
          <w:szCs w:val="20"/>
          <w:lang w:val="en"/>
        </w:rPr>
        <w:t xml:space="preserve">a protection order before </w:t>
      </w:r>
      <w:r>
        <w:rPr>
          <w:rFonts w:asciiTheme="majorHAnsi" w:hAnsiTheme="majorHAnsi"/>
          <w:sz w:val="20"/>
          <w:szCs w:val="20"/>
          <w:lang w:val="en"/>
        </w:rPr>
        <w:t xml:space="preserve">the Court of Misdemeanors of Garabito, claiming that </w:t>
      </w:r>
      <w:r w:rsidR="00FA4399">
        <w:rPr>
          <w:rFonts w:asciiTheme="majorHAnsi" w:hAnsiTheme="majorHAnsi"/>
          <w:sz w:val="20"/>
          <w:szCs w:val="20"/>
          <w:lang w:val="en"/>
        </w:rPr>
        <w:t>C’s father</w:t>
      </w:r>
      <w:r>
        <w:rPr>
          <w:rFonts w:asciiTheme="majorHAnsi" w:hAnsiTheme="majorHAnsi"/>
          <w:sz w:val="20"/>
          <w:szCs w:val="20"/>
          <w:lang w:val="en"/>
        </w:rPr>
        <w:t xml:space="preserve"> physically and verbally a</w:t>
      </w:r>
      <w:r w:rsidR="00F970FE">
        <w:rPr>
          <w:rFonts w:asciiTheme="majorHAnsi" w:hAnsiTheme="majorHAnsi"/>
          <w:sz w:val="20"/>
          <w:szCs w:val="20"/>
          <w:lang w:val="en"/>
        </w:rPr>
        <w:t>ssault</w:t>
      </w:r>
      <w:r>
        <w:rPr>
          <w:rFonts w:asciiTheme="majorHAnsi" w:hAnsiTheme="majorHAnsi"/>
          <w:sz w:val="20"/>
          <w:szCs w:val="20"/>
          <w:lang w:val="en"/>
        </w:rPr>
        <w:t>ed her.</w:t>
      </w:r>
      <w:bookmarkEnd w:id="0"/>
      <w:r>
        <w:rPr>
          <w:rFonts w:asciiTheme="majorHAnsi" w:hAnsiTheme="majorHAnsi"/>
          <w:sz w:val="20"/>
          <w:szCs w:val="20"/>
          <w:lang w:val="en"/>
        </w:rPr>
        <w:t xml:space="preserve"> In subsequent statements, Ms. M also reported that C’s father drove her to enter prostitution in Costa Rica and Mexico, forced her to </w:t>
      </w:r>
      <w:r w:rsidR="00F970FE">
        <w:rPr>
          <w:rFonts w:asciiTheme="majorHAnsi" w:hAnsiTheme="majorHAnsi"/>
          <w:sz w:val="20"/>
          <w:szCs w:val="20"/>
          <w:lang w:val="en"/>
        </w:rPr>
        <w:t>have</w:t>
      </w:r>
      <w:r>
        <w:rPr>
          <w:rFonts w:asciiTheme="majorHAnsi" w:hAnsiTheme="majorHAnsi"/>
          <w:sz w:val="20"/>
          <w:szCs w:val="20"/>
          <w:lang w:val="en"/>
        </w:rPr>
        <w:t xml:space="preserve"> sexual relations with him in the presence of the girl, and made C watch pornography. </w:t>
      </w:r>
      <w:r>
        <w:rPr>
          <w:rFonts w:ascii="Cambria" w:hAnsi="Cambria"/>
          <w:sz w:val="20"/>
          <w:szCs w:val="20"/>
          <w:lang w:val="en"/>
        </w:rPr>
        <w:t xml:space="preserve">The investigation for the charge of procuring was dismissed by the public prosecutor’s office because it did not obtain evidence or witness statements to support M’s complaint; the only claim it confirmed was that both M and C’s father entered and left Costa Rica for Mexico, with M using an identity card bearing another name. Likewise, in June and July 2010, the criminal investigation for charges of sexual crimes and child pornography </w:t>
      </w:r>
      <w:r w:rsidR="006D59BE">
        <w:rPr>
          <w:rFonts w:ascii="Cambria" w:hAnsi="Cambria"/>
          <w:sz w:val="20"/>
          <w:szCs w:val="20"/>
          <w:lang w:val="en"/>
        </w:rPr>
        <w:t>committe</w:t>
      </w:r>
      <w:r>
        <w:rPr>
          <w:rFonts w:ascii="Cambria" w:hAnsi="Cambria"/>
          <w:sz w:val="20"/>
          <w:szCs w:val="20"/>
          <w:lang w:val="en"/>
        </w:rPr>
        <w:t xml:space="preserve">d to the detriment of C was </w:t>
      </w:r>
      <w:r w:rsidR="006D59BE">
        <w:rPr>
          <w:rFonts w:ascii="Cambria" w:hAnsi="Cambria"/>
          <w:sz w:val="20"/>
          <w:szCs w:val="20"/>
          <w:lang w:val="en"/>
        </w:rPr>
        <w:t>dismiss</w:t>
      </w:r>
      <w:r>
        <w:rPr>
          <w:rFonts w:ascii="Cambria" w:hAnsi="Cambria"/>
          <w:sz w:val="20"/>
          <w:szCs w:val="20"/>
          <w:lang w:val="en"/>
        </w:rPr>
        <w:t>ed, because the public prosecutor’s office did not obtain evidence to support M’s complaints.</w:t>
      </w:r>
    </w:p>
    <w:p w14:paraId="4A583442" w14:textId="6220983C"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3.</w:t>
      </w:r>
      <w:r>
        <w:rPr>
          <w:rFonts w:asciiTheme="majorHAnsi" w:hAnsiTheme="majorHAnsi"/>
          <w:sz w:val="20"/>
          <w:szCs w:val="20"/>
          <w:lang w:val="en"/>
        </w:rPr>
        <w:tab/>
        <w:t xml:space="preserve">On November 21, 2008, the Court on Pension and Domestic Violence of </w:t>
      </w:r>
      <w:proofErr w:type="spellStart"/>
      <w:r>
        <w:rPr>
          <w:rFonts w:asciiTheme="majorHAnsi" w:hAnsiTheme="majorHAnsi"/>
          <w:sz w:val="20"/>
          <w:szCs w:val="20"/>
          <w:lang w:val="en"/>
        </w:rPr>
        <w:t>Escazú</w:t>
      </w:r>
      <w:proofErr w:type="spellEnd"/>
      <w:r>
        <w:rPr>
          <w:rFonts w:asciiTheme="majorHAnsi" w:hAnsiTheme="majorHAnsi"/>
          <w:sz w:val="20"/>
          <w:szCs w:val="20"/>
          <w:lang w:val="en"/>
        </w:rPr>
        <w:t xml:space="preserve"> ruled that measures be granted to protect and assist M and C. In December 2008, Ms. M filed and withdrew a claim seeking the suspension of the parental rights of C’s father because he had irregularly retained the girl after two-week holidays with her. It appears that M withdrew the petition in exchange for seeing her daughter again and </w:t>
      </w:r>
      <w:r w:rsidR="003B6863">
        <w:rPr>
          <w:rFonts w:asciiTheme="majorHAnsi" w:hAnsiTheme="majorHAnsi"/>
          <w:sz w:val="20"/>
          <w:szCs w:val="20"/>
          <w:lang w:val="en"/>
        </w:rPr>
        <w:t>sign</w:t>
      </w:r>
      <w:r>
        <w:rPr>
          <w:rFonts w:asciiTheme="majorHAnsi" w:hAnsiTheme="majorHAnsi"/>
          <w:sz w:val="20"/>
          <w:szCs w:val="20"/>
          <w:lang w:val="en"/>
        </w:rPr>
        <w:t>ed an extrajudicial agreement for joint custody</w:t>
      </w:r>
      <w:r w:rsidR="003B6863" w:rsidRPr="003B6863">
        <w:rPr>
          <w:rFonts w:asciiTheme="majorHAnsi" w:hAnsiTheme="majorHAnsi"/>
          <w:sz w:val="20"/>
          <w:szCs w:val="20"/>
          <w:lang w:val="en"/>
        </w:rPr>
        <w:t xml:space="preserve"> </w:t>
      </w:r>
      <w:r w:rsidR="003B6863">
        <w:rPr>
          <w:rFonts w:asciiTheme="majorHAnsi" w:hAnsiTheme="majorHAnsi"/>
          <w:sz w:val="20"/>
          <w:szCs w:val="20"/>
          <w:lang w:val="en"/>
        </w:rPr>
        <w:t>with C’s father</w:t>
      </w:r>
      <w:r>
        <w:rPr>
          <w:rFonts w:asciiTheme="majorHAnsi" w:hAnsiTheme="majorHAnsi"/>
          <w:sz w:val="20"/>
          <w:szCs w:val="20"/>
          <w:lang w:val="en"/>
        </w:rPr>
        <w:t>.</w:t>
      </w:r>
    </w:p>
    <w:p w14:paraId="34D9A09E" w14:textId="2B5F0F53"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4.</w:t>
      </w:r>
      <w:r>
        <w:rPr>
          <w:rFonts w:asciiTheme="majorHAnsi" w:hAnsiTheme="majorHAnsi"/>
          <w:sz w:val="20"/>
          <w:szCs w:val="20"/>
          <w:lang w:val="en"/>
        </w:rPr>
        <w:tab/>
        <w:t xml:space="preserve">The petitioners state that in November 2008 and in January and October 2009, Ms. M lodged several complaints of acts of sexual violence committed against her and their daughter, and of her sexual exploitation by C’s father. She filed for an extension of the restraining order, which was granted on February 25, 2009. And on May 25, 2009, she filed, with the Office of the Public Prosecutor of Garabito, a criminal complaint of </w:t>
      </w:r>
      <w:r w:rsidR="00256E90">
        <w:rPr>
          <w:rFonts w:asciiTheme="majorHAnsi" w:hAnsiTheme="majorHAnsi"/>
          <w:sz w:val="20"/>
          <w:szCs w:val="20"/>
          <w:lang w:val="en"/>
        </w:rPr>
        <w:t xml:space="preserve">a </w:t>
      </w:r>
      <w:r>
        <w:rPr>
          <w:rFonts w:asciiTheme="majorHAnsi" w:hAnsiTheme="majorHAnsi"/>
          <w:sz w:val="20"/>
          <w:szCs w:val="20"/>
          <w:lang w:val="en"/>
        </w:rPr>
        <w:t xml:space="preserve">violation of the restraining orders, expressing her fear that C’s father would kidnap the girl. </w:t>
      </w:r>
    </w:p>
    <w:p w14:paraId="1BF3A2AB" w14:textId="2C4B8349"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5.</w:t>
      </w:r>
      <w:r>
        <w:rPr>
          <w:lang w:val="en"/>
        </w:rPr>
        <w:tab/>
      </w:r>
      <w:r>
        <w:rPr>
          <w:rFonts w:asciiTheme="majorHAnsi" w:hAnsiTheme="majorHAnsi"/>
          <w:sz w:val="20"/>
          <w:szCs w:val="20"/>
          <w:lang w:val="en"/>
        </w:rPr>
        <w:t>For his part, in January 2009, C’s father filed a complaint against M, with Costa</w:t>
      </w:r>
      <w:r w:rsidR="00D86A70">
        <w:rPr>
          <w:rFonts w:asciiTheme="majorHAnsi" w:hAnsiTheme="majorHAnsi"/>
          <w:sz w:val="20"/>
          <w:szCs w:val="20"/>
          <w:lang w:val="en"/>
        </w:rPr>
        <w:t xml:space="preserve"> </w:t>
      </w:r>
      <w:r>
        <w:rPr>
          <w:rFonts w:asciiTheme="majorHAnsi" w:hAnsiTheme="majorHAnsi"/>
          <w:sz w:val="20"/>
          <w:szCs w:val="20"/>
          <w:lang w:val="en"/>
        </w:rPr>
        <w:t xml:space="preserve">Rica’s Judicial Investigations Department (hereinafter “OIJ”), claiming that M had abandoned their daughter several times and that she took drugs and alcohol and had a false identity. C’s father also filed a complaint against M seeking the suspension of her custody rights. In the framework of these lawsuits, on January 26, 2009, Costa Rica’s National Children’s Trust (“PANI”) awarded M temporary custody of the girl. </w:t>
      </w:r>
      <w:r>
        <w:rPr>
          <w:rFonts w:ascii="Cambria" w:hAnsi="Cambria"/>
          <w:sz w:val="20"/>
          <w:szCs w:val="20"/>
          <w:lang w:val="en"/>
        </w:rPr>
        <w:t>While the proceedings for custody were being held by the Family Court, M lodged a counterclaim against C’s father in February 2009, seeking to be awarded the sole physical and legal custody of the girl.</w:t>
      </w:r>
    </w:p>
    <w:p w14:paraId="6CB448B8" w14:textId="232B7258"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6.</w:t>
      </w:r>
      <w:r>
        <w:rPr>
          <w:rFonts w:asciiTheme="majorHAnsi" w:hAnsiTheme="majorHAnsi"/>
          <w:sz w:val="20"/>
          <w:szCs w:val="20"/>
          <w:lang w:val="en"/>
        </w:rPr>
        <w:tab/>
        <w:t xml:space="preserve">On December 5, 2009, </w:t>
      </w:r>
      <w:r w:rsidR="005F736A">
        <w:rPr>
          <w:rFonts w:asciiTheme="majorHAnsi" w:hAnsiTheme="majorHAnsi"/>
          <w:sz w:val="20"/>
          <w:szCs w:val="20"/>
          <w:lang w:val="en"/>
        </w:rPr>
        <w:t>when the proceedings for custody were still pending, C’s father broke into M’s house violently, attacked her and C’s sitter, kidnapped the girl, and took her to Panama. The petitioners claim that, following the abduction of C, M pursued four legal actions to recover the custody of her daughter, namely: (</w:t>
      </w:r>
      <w:proofErr w:type="spellStart"/>
      <w:r w:rsidR="005F736A">
        <w:rPr>
          <w:rFonts w:asciiTheme="majorHAnsi" w:hAnsiTheme="majorHAnsi"/>
          <w:sz w:val="20"/>
          <w:szCs w:val="20"/>
          <w:lang w:val="en"/>
        </w:rPr>
        <w:t>i</w:t>
      </w:r>
      <w:proofErr w:type="spellEnd"/>
      <w:r w:rsidR="005F736A">
        <w:rPr>
          <w:rFonts w:asciiTheme="majorHAnsi" w:hAnsiTheme="majorHAnsi"/>
          <w:sz w:val="20"/>
          <w:szCs w:val="20"/>
          <w:lang w:val="en"/>
        </w:rPr>
        <w:t>) the proceedings for custody previously filed in Garabito remained in progress; (ii) criminal proceedings in Costa Rica for the abduction of C; (iii) legal proceedings for protection from social risk in Panama; and (iv) proceedings for the international restitution of C to Costa Rica.</w:t>
      </w:r>
    </w:p>
    <w:p w14:paraId="5B56A970" w14:textId="306CA8BE" w:rsidR="009E0C77" w:rsidRPr="00E33085"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7.</w:t>
      </w:r>
      <w:r>
        <w:rPr>
          <w:rFonts w:asciiTheme="majorHAnsi" w:hAnsiTheme="majorHAnsi"/>
          <w:sz w:val="20"/>
          <w:szCs w:val="20"/>
          <w:lang w:val="en"/>
        </w:rPr>
        <w:tab/>
        <w:t xml:space="preserve">Family Court No. 2 for the San José Circuit </w:t>
      </w:r>
      <w:r w:rsidR="00256E90">
        <w:rPr>
          <w:rFonts w:asciiTheme="majorHAnsi" w:hAnsiTheme="majorHAnsi"/>
          <w:sz w:val="20"/>
          <w:szCs w:val="20"/>
          <w:lang w:val="en"/>
        </w:rPr>
        <w:t xml:space="preserve">jointly </w:t>
      </w:r>
      <w:r>
        <w:rPr>
          <w:rFonts w:asciiTheme="majorHAnsi" w:hAnsiTheme="majorHAnsi"/>
          <w:sz w:val="20"/>
          <w:szCs w:val="20"/>
          <w:lang w:val="en"/>
        </w:rPr>
        <w:t xml:space="preserve">processed the claims that both parents filed against each other seeking the suspension of parental authority and custody. On March 22, 2010, the Court ordered that the father return the girl to the mother, but this was unsuccessful because the former had already taken the girl to Panama. On November 23, 2010, a hearing was called in the framework of the proceedings for custody, and C’s father attended but left before it ended. On August 9, 2011, the trial court awarded precautionary measures in favor of C and M consisting in the temporary custody of the girl. Finally, on March 27, 2013, the trial court issued a judgment of first instance </w:t>
      </w:r>
      <w:r w:rsidR="00256E90">
        <w:rPr>
          <w:rFonts w:asciiTheme="majorHAnsi" w:hAnsiTheme="majorHAnsi"/>
          <w:sz w:val="20"/>
          <w:szCs w:val="20"/>
          <w:lang w:val="en"/>
        </w:rPr>
        <w:t xml:space="preserve">that </w:t>
      </w:r>
      <w:r>
        <w:rPr>
          <w:rFonts w:asciiTheme="majorHAnsi" w:hAnsiTheme="majorHAnsi"/>
          <w:sz w:val="20"/>
          <w:szCs w:val="20"/>
          <w:lang w:val="en"/>
        </w:rPr>
        <w:t>suspended the parental authority of C’s father.</w:t>
      </w:r>
    </w:p>
    <w:p w14:paraId="26AF0B6D" w14:textId="3D53CFE9"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8.</w:t>
      </w:r>
      <w:r>
        <w:rPr>
          <w:rFonts w:asciiTheme="majorHAnsi" w:hAnsiTheme="majorHAnsi"/>
          <w:sz w:val="20"/>
          <w:szCs w:val="20"/>
          <w:lang w:val="en"/>
        </w:rPr>
        <w:tab/>
        <w:t xml:space="preserve">Moreover, on the day that the girl was kidnapped, Ms. M filed a complaint against the father with the OIJ of Costa Rica, ratified before the same body on December 10, 2009. Subsequently, Ms. M learned </w:t>
      </w:r>
      <w:r>
        <w:rPr>
          <w:rFonts w:asciiTheme="majorHAnsi" w:hAnsiTheme="majorHAnsi"/>
          <w:sz w:val="20"/>
          <w:szCs w:val="20"/>
          <w:lang w:val="en"/>
        </w:rPr>
        <w:lastRenderedPageBreak/>
        <w:t xml:space="preserve">at the Immigration Department of San José that C’s father had left for Panama thanks to a </w:t>
      </w:r>
      <w:r w:rsidR="00256E90">
        <w:rPr>
          <w:rFonts w:asciiTheme="majorHAnsi" w:hAnsiTheme="majorHAnsi"/>
          <w:sz w:val="20"/>
          <w:szCs w:val="20"/>
          <w:lang w:val="en"/>
        </w:rPr>
        <w:t>document</w:t>
      </w:r>
      <w:r>
        <w:rPr>
          <w:rFonts w:asciiTheme="majorHAnsi" w:hAnsiTheme="majorHAnsi"/>
          <w:sz w:val="20"/>
          <w:szCs w:val="20"/>
          <w:lang w:val="en"/>
        </w:rPr>
        <w:t xml:space="preserve"> purportedly signed by M </w:t>
      </w:r>
      <w:r w:rsidR="00256E90">
        <w:rPr>
          <w:rFonts w:asciiTheme="majorHAnsi" w:hAnsiTheme="majorHAnsi"/>
          <w:sz w:val="20"/>
          <w:szCs w:val="20"/>
          <w:lang w:val="en"/>
        </w:rPr>
        <w:t>for</w:t>
      </w:r>
      <w:r>
        <w:rPr>
          <w:rFonts w:asciiTheme="majorHAnsi" w:hAnsiTheme="majorHAnsi"/>
          <w:sz w:val="20"/>
          <w:szCs w:val="20"/>
          <w:lang w:val="en"/>
        </w:rPr>
        <w:t xml:space="preserve"> the girl to leave the country. Ms. M had come to the OIJ to report this event, and on June 15, 2011, the Assistant Prosecutor of Garabito requested that the complaint of abduction be dismissed because there was doubt about the responsibility of the person under investigation</w:t>
      </w:r>
      <w:r w:rsidR="006372F7">
        <w:rPr>
          <w:rFonts w:asciiTheme="majorHAnsi" w:hAnsiTheme="majorHAnsi"/>
          <w:sz w:val="20"/>
          <w:szCs w:val="20"/>
          <w:lang w:val="en"/>
        </w:rPr>
        <w:t xml:space="preserve"> and</w:t>
      </w:r>
      <w:r>
        <w:rPr>
          <w:rFonts w:asciiTheme="majorHAnsi" w:hAnsiTheme="majorHAnsi"/>
          <w:sz w:val="20"/>
          <w:szCs w:val="20"/>
          <w:lang w:val="en"/>
        </w:rPr>
        <w:t xml:space="preserve"> whether he had taken the girl with the mother’s permission. </w:t>
      </w:r>
    </w:p>
    <w:p w14:paraId="245610FE" w14:textId="4231E041"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9.</w:t>
      </w:r>
      <w:r>
        <w:rPr>
          <w:rFonts w:asciiTheme="majorHAnsi" w:hAnsiTheme="majorHAnsi"/>
          <w:sz w:val="20"/>
          <w:szCs w:val="20"/>
          <w:lang w:val="en"/>
        </w:rPr>
        <w:tab/>
        <w:t xml:space="preserve">On July 14, 2011, the Criminal Court of Garabito ruled the </w:t>
      </w:r>
      <w:r w:rsidR="00786C5B">
        <w:rPr>
          <w:rFonts w:asciiTheme="majorHAnsi" w:hAnsiTheme="majorHAnsi"/>
          <w:sz w:val="20"/>
          <w:szCs w:val="20"/>
          <w:lang w:val="en"/>
        </w:rPr>
        <w:t>dismissed the criminal</w:t>
      </w:r>
      <w:r>
        <w:rPr>
          <w:rFonts w:asciiTheme="majorHAnsi" w:hAnsiTheme="majorHAnsi"/>
          <w:sz w:val="20"/>
          <w:szCs w:val="20"/>
          <w:lang w:val="en"/>
        </w:rPr>
        <w:t xml:space="preserve"> proceedings in favor of C’s father. On November 16, 2012, the same Court dismissed the criminal case </w:t>
      </w:r>
      <w:r w:rsidR="009C68BE">
        <w:rPr>
          <w:rFonts w:asciiTheme="majorHAnsi" w:hAnsiTheme="majorHAnsi"/>
          <w:sz w:val="20"/>
          <w:szCs w:val="20"/>
          <w:lang w:val="en"/>
        </w:rPr>
        <w:t xml:space="preserve">without </w:t>
      </w:r>
      <w:r>
        <w:rPr>
          <w:rFonts w:asciiTheme="majorHAnsi" w:hAnsiTheme="majorHAnsi"/>
          <w:sz w:val="20"/>
          <w:szCs w:val="20"/>
          <w:lang w:val="en"/>
        </w:rPr>
        <w:t>notif</w:t>
      </w:r>
      <w:r w:rsidR="009C68BE">
        <w:rPr>
          <w:rFonts w:asciiTheme="majorHAnsi" w:hAnsiTheme="majorHAnsi"/>
          <w:sz w:val="20"/>
          <w:szCs w:val="20"/>
          <w:lang w:val="en"/>
        </w:rPr>
        <w:t>ying</w:t>
      </w:r>
      <w:r>
        <w:rPr>
          <w:rFonts w:asciiTheme="majorHAnsi" w:hAnsiTheme="majorHAnsi"/>
          <w:sz w:val="20"/>
          <w:szCs w:val="20"/>
          <w:lang w:val="en"/>
        </w:rPr>
        <w:t xml:space="preserve"> M. On February 12, 2014, M’s lawyer filed a petition for the correction of procedural errors in proceedings, </w:t>
      </w:r>
      <w:r w:rsidR="009C68BE">
        <w:rPr>
          <w:rFonts w:asciiTheme="majorHAnsi" w:hAnsiTheme="majorHAnsi"/>
          <w:sz w:val="20"/>
          <w:szCs w:val="20"/>
          <w:lang w:val="en"/>
        </w:rPr>
        <w:t xml:space="preserve">due to </w:t>
      </w:r>
      <w:r>
        <w:rPr>
          <w:rFonts w:asciiTheme="majorHAnsi" w:hAnsiTheme="majorHAnsi"/>
          <w:sz w:val="20"/>
          <w:szCs w:val="20"/>
          <w:lang w:val="en"/>
        </w:rPr>
        <w:t xml:space="preserve">the </w:t>
      </w:r>
      <w:r w:rsidR="009C68BE">
        <w:rPr>
          <w:rFonts w:asciiTheme="majorHAnsi" w:hAnsiTheme="majorHAnsi"/>
          <w:sz w:val="20"/>
          <w:szCs w:val="20"/>
          <w:lang w:val="en"/>
        </w:rPr>
        <w:t xml:space="preserve">alleged </w:t>
      </w:r>
      <w:r>
        <w:rPr>
          <w:rFonts w:asciiTheme="majorHAnsi" w:hAnsiTheme="majorHAnsi"/>
          <w:sz w:val="20"/>
          <w:szCs w:val="20"/>
          <w:lang w:val="en"/>
        </w:rPr>
        <w:t>violation of M’s right to defense. This petition was rejected on May 9, 2014, by the Criminal Court of Garabito; this court order was challenged on May 15, 2014. The Tribunal that heard the appeal called a hearing on June 11, 2014, in which M’s appeal was finally rejected.</w:t>
      </w:r>
    </w:p>
    <w:p w14:paraId="14D6A330" w14:textId="2BCF3904"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noProof/>
          <w:sz w:val="20"/>
          <w:szCs w:val="20"/>
        </w:rPr>
      </w:pPr>
      <w:r>
        <w:rPr>
          <w:rFonts w:asciiTheme="majorHAnsi" w:hAnsiTheme="majorHAnsi"/>
          <w:noProof/>
          <w:sz w:val="20"/>
          <w:szCs w:val="20"/>
          <w:lang w:val="en"/>
        </w:rPr>
        <w:t>10.</w:t>
      </w:r>
      <w:r>
        <w:rPr>
          <w:rFonts w:asciiTheme="majorHAnsi" w:hAnsiTheme="majorHAnsi"/>
          <w:noProof/>
          <w:sz w:val="20"/>
          <w:szCs w:val="20"/>
          <w:lang w:val="en"/>
        </w:rPr>
        <w:tab/>
        <w:t>The petitioners argue that the adequate remedy exhausted by M w</w:t>
      </w:r>
      <w:r w:rsidR="008818E9">
        <w:rPr>
          <w:rFonts w:asciiTheme="majorHAnsi" w:hAnsiTheme="majorHAnsi"/>
          <w:noProof/>
          <w:sz w:val="20"/>
          <w:szCs w:val="20"/>
          <w:lang w:val="en"/>
        </w:rPr>
        <w:t>as</w:t>
      </w:r>
      <w:r>
        <w:rPr>
          <w:rFonts w:asciiTheme="majorHAnsi" w:hAnsiTheme="majorHAnsi"/>
          <w:noProof/>
          <w:sz w:val="20"/>
          <w:szCs w:val="20"/>
          <w:lang w:val="en"/>
        </w:rPr>
        <w:t xml:space="preserve"> the proceedings for international re</w:t>
      </w:r>
      <w:r w:rsidR="008818E9">
        <w:rPr>
          <w:rFonts w:asciiTheme="majorHAnsi" w:hAnsiTheme="majorHAnsi"/>
          <w:noProof/>
          <w:sz w:val="20"/>
          <w:szCs w:val="20"/>
          <w:lang w:val="en"/>
        </w:rPr>
        <w:t>stitution that had</w:t>
      </w:r>
      <w:r>
        <w:rPr>
          <w:rFonts w:asciiTheme="majorHAnsi" w:hAnsiTheme="majorHAnsi"/>
          <w:noProof/>
          <w:sz w:val="20"/>
          <w:szCs w:val="20"/>
          <w:lang w:val="en"/>
        </w:rPr>
        <w:t xml:space="preserve"> successful results in Panama and Costa Rica. At the same time, they state that M’s criminal complaint of C’s illegal retention was another remedy that she exhausted in Costa Rica’s domestic system. However, the petitioners consider that the criminal proceedings for the charge of child abduction were ineffective as these were dismissed. They argue that although the dismissal was decided on November 17, 2012, the lawyer representing Ms. M filed for the correction of procedural errors in proceedings due to the violation of M’s right to defense. This petition was declared inadmissible by </w:t>
      </w:r>
      <w:r w:rsidR="00B00D26">
        <w:rPr>
          <w:rFonts w:asciiTheme="majorHAnsi" w:hAnsiTheme="majorHAnsi"/>
          <w:noProof/>
          <w:sz w:val="20"/>
          <w:szCs w:val="20"/>
          <w:lang w:val="en"/>
        </w:rPr>
        <w:t xml:space="preserve">the trial </w:t>
      </w:r>
      <w:r>
        <w:rPr>
          <w:rFonts w:asciiTheme="majorHAnsi" w:hAnsiTheme="majorHAnsi"/>
          <w:noProof/>
          <w:sz w:val="20"/>
          <w:szCs w:val="20"/>
          <w:lang w:val="en"/>
        </w:rPr>
        <w:t xml:space="preserve">court on May 15, 2014, and by </w:t>
      </w:r>
      <w:r w:rsidR="00B00D26">
        <w:rPr>
          <w:rFonts w:asciiTheme="majorHAnsi" w:hAnsiTheme="majorHAnsi"/>
          <w:noProof/>
          <w:sz w:val="20"/>
          <w:szCs w:val="20"/>
          <w:lang w:val="en"/>
        </w:rPr>
        <w:t>the</w:t>
      </w:r>
      <w:r>
        <w:rPr>
          <w:rFonts w:asciiTheme="majorHAnsi" w:hAnsiTheme="majorHAnsi"/>
          <w:noProof/>
          <w:sz w:val="20"/>
          <w:szCs w:val="20"/>
          <w:lang w:val="en"/>
        </w:rPr>
        <w:t xml:space="preserve"> court of appeals on June 11, 2014. To the petitioners, the period for filing this petition started running on June 11, 2014, and although they missed it by one day, they request that the IACHR consider the requirement of timeliness met and not sacrifice the access to justice for an excessively strict formality.</w:t>
      </w:r>
    </w:p>
    <w:p w14:paraId="093F23C9" w14:textId="6F737482" w:rsidR="009E0C77" w:rsidRPr="007275CA"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noProof/>
          <w:sz w:val="20"/>
          <w:szCs w:val="20"/>
          <w:lang w:val="en"/>
        </w:rPr>
        <w:t>11.</w:t>
      </w:r>
      <w:r>
        <w:rPr>
          <w:rFonts w:asciiTheme="majorHAnsi" w:hAnsiTheme="majorHAnsi"/>
          <w:noProof/>
          <w:sz w:val="20"/>
          <w:szCs w:val="20"/>
          <w:lang w:val="en"/>
        </w:rPr>
        <w:tab/>
        <w:t xml:space="preserve">The petitioners allege that the Costa Rican authorities’ failure to prevent and investigate with due diligence </w:t>
      </w:r>
      <w:r w:rsidR="00B3182B">
        <w:rPr>
          <w:rFonts w:asciiTheme="majorHAnsi" w:hAnsiTheme="majorHAnsi"/>
          <w:noProof/>
          <w:sz w:val="20"/>
          <w:szCs w:val="20"/>
          <w:lang w:val="en"/>
        </w:rPr>
        <w:t xml:space="preserve">C’s </w:t>
      </w:r>
      <w:r>
        <w:rPr>
          <w:rFonts w:asciiTheme="majorHAnsi" w:hAnsiTheme="majorHAnsi"/>
          <w:noProof/>
          <w:sz w:val="20"/>
          <w:szCs w:val="20"/>
          <w:lang w:val="en"/>
        </w:rPr>
        <w:t xml:space="preserve">abduction </w:t>
      </w:r>
      <w:r w:rsidR="00B3182B">
        <w:rPr>
          <w:rFonts w:asciiTheme="majorHAnsi" w:hAnsiTheme="majorHAnsi"/>
          <w:noProof/>
          <w:sz w:val="20"/>
          <w:szCs w:val="20"/>
          <w:lang w:val="en"/>
        </w:rPr>
        <w:t xml:space="preserve">entails </w:t>
      </w:r>
      <w:r>
        <w:rPr>
          <w:rFonts w:asciiTheme="majorHAnsi" w:hAnsiTheme="majorHAnsi"/>
          <w:noProof/>
          <w:sz w:val="20"/>
          <w:szCs w:val="20"/>
          <w:lang w:val="en"/>
        </w:rPr>
        <w:t>the State responsib</w:t>
      </w:r>
      <w:r w:rsidR="00B3182B">
        <w:rPr>
          <w:rFonts w:asciiTheme="majorHAnsi" w:hAnsiTheme="majorHAnsi"/>
          <w:noProof/>
          <w:sz w:val="20"/>
          <w:szCs w:val="20"/>
          <w:lang w:val="en"/>
        </w:rPr>
        <w:t>ility</w:t>
      </w:r>
      <w:r>
        <w:rPr>
          <w:rFonts w:asciiTheme="majorHAnsi" w:hAnsiTheme="majorHAnsi"/>
          <w:noProof/>
          <w:sz w:val="20"/>
          <w:szCs w:val="20"/>
          <w:lang w:val="en"/>
        </w:rPr>
        <w:t xml:space="preserve"> for violating the girl’s right to personal liberty and both alleged victims’ rights to humane treatment, family life, and protection of the family. Faced with the arguments by the State in its final observations, the petitioners contend that the objections raised by Costa Rica are incompatible because it requests that the petition be declared to not meet the requirements of timeliness and exhaustion of domestic remedies. In addition, they assert that the State’s argument that they appeal to the IACHR as a court of fourth</w:t>
      </w:r>
      <w:r w:rsidR="00B00D26">
        <w:rPr>
          <w:rFonts w:asciiTheme="majorHAnsi" w:hAnsiTheme="majorHAnsi"/>
          <w:noProof/>
          <w:sz w:val="20"/>
          <w:szCs w:val="20"/>
          <w:lang w:val="en"/>
        </w:rPr>
        <w:t xml:space="preserve"> </w:t>
      </w:r>
      <w:r>
        <w:rPr>
          <w:rFonts w:asciiTheme="majorHAnsi" w:hAnsiTheme="majorHAnsi"/>
          <w:noProof/>
          <w:sz w:val="20"/>
          <w:szCs w:val="20"/>
          <w:lang w:val="en"/>
        </w:rPr>
        <w:t>instance of jurisdiction is not preliminary</w:t>
      </w:r>
      <w:r w:rsidR="00B00D26">
        <w:rPr>
          <w:rFonts w:asciiTheme="majorHAnsi" w:hAnsiTheme="majorHAnsi"/>
          <w:noProof/>
          <w:sz w:val="20"/>
          <w:szCs w:val="20"/>
          <w:lang w:val="en"/>
        </w:rPr>
        <w:t xml:space="preserve"> in nature,</w:t>
      </w:r>
      <w:r>
        <w:rPr>
          <w:rFonts w:asciiTheme="majorHAnsi" w:hAnsiTheme="majorHAnsi"/>
          <w:noProof/>
          <w:sz w:val="20"/>
          <w:szCs w:val="20"/>
          <w:lang w:val="en"/>
        </w:rPr>
        <w:t xml:space="preserve"> but addresses the merits of the dispute, to the extent that it is necessary to analyze whether the actions by the authorities were diligent and adequate.</w:t>
      </w:r>
    </w:p>
    <w:p w14:paraId="564C8419" w14:textId="49363248"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12.</w:t>
      </w:r>
      <w:r>
        <w:rPr>
          <w:rFonts w:asciiTheme="majorHAnsi" w:hAnsiTheme="majorHAnsi"/>
          <w:sz w:val="20"/>
          <w:szCs w:val="20"/>
          <w:lang w:val="en"/>
        </w:rPr>
        <w:tab/>
        <w:t>For its part, Costa Rica asserts that, in the first place, the petition does not meet the requirement of timeliness because the dismissal of the criminal proceedings for child abduction was notified to M on November 1</w:t>
      </w:r>
      <w:r w:rsidR="00F13CBE" w:rsidRPr="00F13CBE">
        <w:rPr>
          <w:rFonts w:asciiTheme="majorHAnsi" w:hAnsiTheme="majorHAnsi"/>
          <w:sz w:val="20"/>
          <w:szCs w:val="20"/>
          <w:vertAlign w:val="superscript"/>
          <w:lang w:val="en"/>
        </w:rPr>
        <w:t>st</w:t>
      </w:r>
      <w:r>
        <w:rPr>
          <w:rFonts w:asciiTheme="majorHAnsi" w:hAnsiTheme="majorHAnsi"/>
          <w:sz w:val="20"/>
          <w:szCs w:val="20"/>
          <w:lang w:val="en"/>
        </w:rPr>
        <w:t>, 2013. Thus, it deems that the period for filing this petition was due on May 1</w:t>
      </w:r>
      <w:r w:rsidR="0085085A" w:rsidRPr="0085085A">
        <w:rPr>
          <w:rFonts w:asciiTheme="majorHAnsi" w:hAnsiTheme="majorHAnsi"/>
          <w:sz w:val="20"/>
          <w:szCs w:val="20"/>
          <w:vertAlign w:val="superscript"/>
          <w:lang w:val="en"/>
        </w:rPr>
        <w:t>st</w:t>
      </w:r>
      <w:r>
        <w:rPr>
          <w:rFonts w:asciiTheme="majorHAnsi" w:hAnsiTheme="majorHAnsi"/>
          <w:sz w:val="20"/>
          <w:szCs w:val="20"/>
          <w:lang w:val="en"/>
        </w:rPr>
        <w:t>, 2014, and that the petition, having been filed on December 12, 2014, is overdue. The State alleges that, under Costa Rican law, once criminal proceedings are dismissed, they are closed; and that, consequently, the remedy filed by M in 2014 was ineffective to change that decision. As to the proceedings filed by M to obtain measures of protection, the State asserts that these concluded in 2008 and 2009; that, consequently, the petition is overdue also regarding these claims.</w:t>
      </w:r>
    </w:p>
    <w:p w14:paraId="5074A81F" w14:textId="50947CA0"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noProof/>
          <w:sz w:val="20"/>
          <w:szCs w:val="20"/>
        </w:rPr>
      </w:pPr>
      <w:r>
        <w:rPr>
          <w:rFonts w:asciiTheme="majorHAnsi" w:hAnsiTheme="majorHAnsi"/>
          <w:sz w:val="20"/>
          <w:szCs w:val="20"/>
          <w:lang w:val="en"/>
        </w:rPr>
        <w:t>13.</w:t>
      </w:r>
      <w:r>
        <w:rPr>
          <w:rFonts w:asciiTheme="majorHAnsi" w:hAnsiTheme="majorHAnsi"/>
          <w:sz w:val="20"/>
          <w:szCs w:val="20"/>
          <w:lang w:val="en"/>
        </w:rPr>
        <w:tab/>
      </w:r>
      <w:r w:rsidR="007307B7">
        <w:rPr>
          <w:rFonts w:asciiTheme="majorHAnsi" w:hAnsiTheme="majorHAnsi"/>
          <w:sz w:val="20"/>
          <w:szCs w:val="20"/>
          <w:lang w:val="en"/>
        </w:rPr>
        <w:t xml:space="preserve">As a </w:t>
      </w:r>
      <w:proofErr w:type="spellStart"/>
      <w:r w:rsidR="007307B7">
        <w:rPr>
          <w:rFonts w:asciiTheme="majorHAnsi" w:hAnsiTheme="majorHAnsi"/>
          <w:sz w:val="20"/>
          <w:szCs w:val="20"/>
          <w:lang w:val="en"/>
        </w:rPr>
        <w:t>subsudiary</w:t>
      </w:r>
      <w:proofErr w:type="spellEnd"/>
      <w:r w:rsidR="007307B7">
        <w:rPr>
          <w:rFonts w:asciiTheme="majorHAnsi" w:hAnsiTheme="majorHAnsi"/>
          <w:sz w:val="20"/>
          <w:szCs w:val="20"/>
          <w:lang w:val="en"/>
        </w:rPr>
        <w:t xml:space="preserve"> ground</w:t>
      </w:r>
      <w:r>
        <w:rPr>
          <w:rFonts w:asciiTheme="majorHAnsi" w:hAnsiTheme="majorHAnsi"/>
          <w:sz w:val="20"/>
          <w:szCs w:val="20"/>
          <w:lang w:val="en"/>
        </w:rPr>
        <w:t>, the State alleges that Ms. M failed to exhaust domestic remedies. Concerning the decisions adopted by the PANI, the State contends that if M considered that the PANI did not apply due diligence, she should have filed an administrative complaint with the PANI’s Executive Presidency and contentious-administrative proceedings.</w:t>
      </w:r>
      <w:r>
        <w:rPr>
          <w:rFonts w:asciiTheme="majorHAnsi" w:hAnsiTheme="majorHAnsi"/>
          <w:noProof/>
          <w:sz w:val="20"/>
          <w:szCs w:val="20"/>
          <w:lang w:val="en"/>
        </w:rPr>
        <w:t xml:space="preserve"> Regarding the criminal proceedings for the charge of child abduction, the State emphasizes that several procedures were conducted within the investigation, including a migratory alert issued on December 15, 2015, a report on the steps undertaken to locate C and her father, the publication of a yellow notice, and the review of other administrative, criminal, and family case files. The State alleges that although it acted with due diligence, Ms. M could have lodged a disciplinary complaint against the judicial officers that dismissed the case, as this would have been the adequate remedy to present her claim to the domestic courts. Regarding the criminal proceedings based on the complaint of </w:t>
      </w:r>
      <w:r w:rsidR="00B00D26">
        <w:rPr>
          <w:rFonts w:asciiTheme="majorHAnsi" w:hAnsiTheme="majorHAnsi"/>
          <w:noProof/>
          <w:sz w:val="20"/>
          <w:szCs w:val="20"/>
          <w:lang w:val="en"/>
        </w:rPr>
        <w:t xml:space="preserve">the </w:t>
      </w:r>
      <w:r>
        <w:rPr>
          <w:rFonts w:asciiTheme="majorHAnsi" w:hAnsiTheme="majorHAnsi"/>
          <w:noProof/>
          <w:sz w:val="20"/>
          <w:szCs w:val="20"/>
          <w:lang w:val="en"/>
        </w:rPr>
        <w:t xml:space="preserve">violation of the restraining orders, the State asserts that it cannot rule on this matter because the file on that case was destroyed in 2015, </w:t>
      </w:r>
      <w:r w:rsidR="00B00D26">
        <w:rPr>
          <w:rFonts w:asciiTheme="majorHAnsi" w:hAnsiTheme="majorHAnsi"/>
          <w:noProof/>
          <w:sz w:val="20"/>
          <w:szCs w:val="20"/>
          <w:lang w:val="en"/>
        </w:rPr>
        <w:t>under</w:t>
      </w:r>
      <w:r>
        <w:rPr>
          <w:rFonts w:asciiTheme="majorHAnsi" w:hAnsiTheme="majorHAnsi"/>
          <w:noProof/>
          <w:sz w:val="20"/>
          <w:szCs w:val="20"/>
          <w:lang w:val="en"/>
        </w:rPr>
        <w:t xml:space="preserve"> the domestic rules.</w:t>
      </w:r>
    </w:p>
    <w:p w14:paraId="26627C76" w14:textId="77777777"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622"/>
        </w:tabs>
        <w:suppressAutoHyphens/>
        <w:spacing w:after="240"/>
        <w:ind w:firstLine="720"/>
        <w:jc w:val="both"/>
        <w:rPr>
          <w:rFonts w:asciiTheme="majorHAnsi" w:hAnsiTheme="majorHAnsi"/>
          <w:noProof/>
          <w:sz w:val="20"/>
          <w:szCs w:val="20"/>
        </w:rPr>
      </w:pPr>
      <w:r>
        <w:rPr>
          <w:rFonts w:asciiTheme="majorHAnsi" w:hAnsiTheme="majorHAnsi"/>
          <w:noProof/>
          <w:sz w:val="20"/>
          <w:szCs w:val="20"/>
          <w:lang w:val="en"/>
        </w:rPr>
        <w:lastRenderedPageBreak/>
        <w:t>14.</w:t>
      </w:r>
      <w:r>
        <w:rPr>
          <w:rFonts w:asciiTheme="majorHAnsi" w:hAnsiTheme="majorHAnsi"/>
          <w:noProof/>
          <w:sz w:val="20"/>
          <w:szCs w:val="20"/>
          <w:lang w:val="en"/>
        </w:rPr>
        <w:tab/>
        <w:t>Lastly, the State contends that this petition should be declared inadmissible because it violates the principle of subsidiarity and seeks to have the IACHR work as a court of fourth instance of jurisdiction. It asserts that the IACHR would not be able to rule on the merits of the dismissal of the criminal proceedings for the charge of child abduction, as it would have to analyze the whole body of evidence on the criminal case file and would be working as a court of fourth instance in these proceedings. Moreover, the State asserts that it worked with due diligence to locate C and that it confirmed that she did not leave the country with Ms. M’s authorization because, according to the records of Costa Rica’s Immigration Department, only C’s father departed on December 7, 2009. It also claims that, from the records of that body, the last time the girl left the country was on September 3, 2009, with both of her parents; that, therefore, the IACHR should take into consideration the “complex family relations” between M and C’s father, in deciding on the dismissal of the criminal case.</w:t>
      </w:r>
    </w:p>
    <w:p w14:paraId="2B4D947C" w14:textId="77777777"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622"/>
        </w:tabs>
        <w:suppressAutoHyphens/>
        <w:spacing w:after="240"/>
        <w:ind w:firstLine="720"/>
        <w:jc w:val="both"/>
        <w:rPr>
          <w:rFonts w:asciiTheme="majorHAnsi" w:hAnsiTheme="majorHAnsi"/>
          <w:sz w:val="20"/>
          <w:szCs w:val="20"/>
        </w:rPr>
      </w:pPr>
      <w:r>
        <w:rPr>
          <w:rFonts w:asciiTheme="majorHAnsi" w:hAnsiTheme="majorHAnsi"/>
          <w:noProof/>
          <w:sz w:val="20"/>
          <w:szCs w:val="20"/>
          <w:lang w:val="en"/>
        </w:rPr>
        <w:t>15.</w:t>
      </w:r>
      <w:r>
        <w:rPr>
          <w:rFonts w:asciiTheme="majorHAnsi" w:hAnsiTheme="majorHAnsi"/>
          <w:noProof/>
          <w:sz w:val="20"/>
          <w:szCs w:val="20"/>
          <w:lang w:val="en"/>
        </w:rPr>
        <w:tab/>
        <w:t>Furthermore, as to the proceedings seeking measures of protection, the State emphasizes that the measures of protection granted in favor of M were in force until January 29, 2010, and that, had she requested police protection, she would have had it. The State asserts that although the new petition for protection was shelved for lack of notice to the accused, M would have been able to request an extension of the measures in force then, and even file for a change of address, with the court.</w:t>
      </w:r>
    </w:p>
    <w:p w14:paraId="5A4615D0" w14:textId="77777777" w:rsidR="009E0C77" w:rsidRPr="00E64C3D" w:rsidRDefault="009E0C77" w:rsidP="009E0C77">
      <w:pPr>
        <w:spacing w:before="240" w:after="240"/>
        <w:ind w:firstLine="720"/>
        <w:jc w:val="both"/>
        <w:rPr>
          <w:rFonts w:ascii="Cambria" w:hAnsi="Cambria"/>
          <w:sz w:val="20"/>
          <w:szCs w:val="20"/>
        </w:rPr>
      </w:pPr>
      <w:r>
        <w:rPr>
          <w:rFonts w:asciiTheme="majorHAnsi" w:hAnsiTheme="majorHAnsi"/>
          <w:b/>
          <w:bCs/>
          <w:color w:val="000000"/>
          <w:sz w:val="20"/>
          <w:szCs w:val="20"/>
          <w:u w:color="000000"/>
          <w:lang w:val="en"/>
        </w:rPr>
        <w:t>VII.</w:t>
      </w:r>
      <w:r>
        <w:rPr>
          <w:rFonts w:asciiTheme="majorHAnsi" w:hAnsiTheme="majorHAnsi"/>
          <w:b/>
          <w:bCs/>
          <w:color w:val="000000"/>
          <w:sz w:val="20"/>
          <w:szCs w:val="20"/>
          <w:u w:color="000000"/>
          <w:lang w:val="en"/>
        </w:rPr>
        <w:tab/>
      </w:r>
      <w:r>
        <w:rPr>
          <w:rFonts w:asciiTheme="majorHAnsi" w:hAnsiTheme="majorHAnsi"/>
          <w:b/>
          <w:bCs/>
          <w:sz w:val="20"/>
          <w:szCs w:val="20"/>
          <w:lang w:val="en"/>
        </w:rPr>
        <w:t>ANALYSIS OF EXHAUSTION OF DOMESTIC REMEDIES AND TIMELINESS OF THE PETITION</w:t>
      </w:r>
      <w:r>
        <w:rPr>
          <w:rFonts w:asciiTheme="majorHAnsi" w:hAnsiTheme="majorHAnsi"/>
          <w:b/>
          <w:bCs/>
          <w:color w:val="000000"/>
          <w:sz w:val="20"/>
          <w:szCs w:val="20"/>
          <w:u w:color="000000"/>
          <w:lang w:val="en"/>
        </w:rPr>
        <w:t xml:space="preserve"> </w:t>
      </w:r>
    </w:p>
    <w:p w14:paraId="4DBFB251" w14:textId="77777777"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rPr>
      </w:pPr>
      <w:r>
        <w:rPr>
          <w:rFonts w:asciiTheme="majorHAnsi" w:hAnsiTheme="majorHAnsi"/>
          <w:i/>
          <w:iCs/>
          <w:sz w:val="20"/>
          <w:szCs w:val="20"/>
          <w:lang w:val="en"/>
        </w:rPr>
        <w:t>Prior consideration</w:t>
      </w:r>
    </w:p>
    <w:p w14:paraId="4E289A87" w14:textId="5FD96770"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sz w:val="20"/>
          <w:szCs w:val="20"/>
          <w:u w:color="000000"/>
        </w:rPr>
      </w:pPr>
      <w:r>
        <w:rPr>
          <w:rFonts w:asciiTheme="majorHAnsi" w:hAnsiTheme="majorHAnsi"/>
          <w:sz w:val="20"/>
          <w:szCs w:val="20"/>
          <w:lang w:val="en"/>
        </w:rPr>
        <w:t>16.</w:t>
      </w:r>
      <w:r w:rsidR="00B00D26">
        <w:rPr>
          <w:rFonts w:asciiTheme="majorHAnsi" w:hAnsiTheme="majorHAnsi"/>
          <w:sz w:val="20"/>
          <w:szCs w:val="20"/>
          <w:lang w:val="en"/>
        </w:rPr>
        <w:tab/>
      </w:r>
      <w:r w:rsidR="00616471">
        <w:rPr>
          <w:rFonts w:asciiTheme="majorHAnsi" w:hAnsiTheme="majorHAnsi"/>
          <w:sz w:val="20"/>
          <w:szCs w:val="20"/>
          <w:lang w:val="en"/>
        </w:rPr>
        <w:t xml:space="preserve">The petitioning organization requests that this matter be processed against Panama and Costa Rica jointly </w:t>
      </w:r>
      <w:r w:rsidR="00616471" w:rsidRPr="00FE1E8E">
        <w:rPr>
          <w:rFonts w:asciiTheme="majorHAnsi" w:hAnsiTheme="majorHAnsi"/>
          <w:sz w:val="20"/>
          <w:szCs w:val="20"/>
        </w:rPr>
        <w:t>based on the argument that the alleged human rights violations had been committed continuously and that the authorities of both countries exercised concurrent jurisdiction over the unlawful abduction of C</w:t>
      </w:r>
      <w:r w:rsidR="00616471">
        <w:rPr>
          <w:rFonts w:asciiTheme="majorHAnsi" w:hAnsiTheme="majorHAnsi"/>
          <w:sz w:val="20"/>
          <w:szCs w:val="20"/>
        </w:rPr>
        <w:t>.</w:t>
      </w:r>
      <w:r w:rsidR="00616471">
        <w:rPr>
          <w:rFonts w:asciiTheme="majorHAnsi" w:hAnsiTheme="majorHAnsi"/>
          <w:sz w:val="20"/>
          <w:szCs w:val="20"/>
          <w:lang w:val="en"/>
        </w:rPr>
        <w:t xml:space="preserve"> </w:t>
      </w:r>
      <w:r>
        <w:rPr>
          <w:rFonts w:asciiTheme="majorHAnsi" w:hAnsiTheme="majorHAnsi"/>
          <w:sz w:val="20"/>
          <w:szCs w:val="20"/>
          <w:lang w:val="en"/>
        </w:rPr>
        <w:t xml:space="preserve">The petitioners argue that dividing their petition into two separate matters would prevent </w:t>
      </w:r>
      <w:r w:rsidR="00D23027">
        <w:rPr>
          <w:rFonts w:asciiTheme="majorHAnsi" w:hAnsiTheme="majorHAnsi"/>
          <w:sz w:val="20"/>
          <w:szCs w:val="20"/>
          <w:lang w:val="en"/>
        </w:rPr>
        <w:t xml:space="preserve">the IACHR from </w:t>
      </w:r>
      <w:r>
        <w:rPr>
          <w:rFonts w:asciiTheme="majorHAnsi" w:hAnsiTheme="majorHAnsi"/>
          <w:sz w:val="20"/>
          <w:szCs w:val="20"/>
          <w:lang w:val="en"/>
        </w:rPr>
        <w:t>holding both States responsible regarding different stages in the international abduction of C.</w:t>
      </w:r>
      <w:r>
        <w:rPr>
          <w:rFonts w:asciiTheme="majorHAnsi" w:hAnsiTheme="majorHAnsi"/>
          <w:color w:val="FF0000"/>
          <w:sz w:val="20"/>
          <w:szCs w:val="20"/>
          <w:u w:color="000000"/>
          <w:lang w:val="en"/>
        </w:rPr>
        <w:t xml:space="preserve"> </w:t>
      </w:r>
      <w:r>
        <w:rPr>
          <w:rFonts w:asciiTheme="majorHAnsi" w:hAnsiTheme="majorHAnsi"/>
          <w:sz w:val="20"/>
          <w:szCs w:val="20"/>
          <w:u w:color="000000"/>
          <w:lang w:val="en"/>
        </w:rPr>
        <w:t xml:space="preserve">The State of Costa Rica opposes the joint processing of this matter because it deems that the authorities of both countries adopted decisions with full independence from each other. The State </w:t>
      </w:r>
      <w:r w:rsidR="00347CC2">
        <w:rPr>
          <w:rFonts w:asciiTheme="majorHAnsi" w:hAnsiTheme="majorHAnsi"/>
          <w:sz w:val="20"/>
          <w:szCs w:val="20"/>
          <w:u w:color="000000"/>
          <w:lang w:val="en"/>
        </w:rPr>
        <w:t xml:space="preserve">alleges the </w:t>
      </w:r>
      <w:r>
        <w:rPr>
          <w:rFonts w:asciiTheme="majorHAnsi" w:hAnsiTheme="majorHAnsi"/>
          <w:sz w:val="20"/>
          <w:szCs w:val="20"/>
          <w:u w:color="000000"/>
          <w:lang w:val="en"/>
        </w:rPr>
        <w:t>violation of its right to defense because it submitted its initial reply without having first received express information about the facts it should be referring to, and it referred only to the events happening within the jurisdiction of Costa Rica.</w:t>
      </w:r>
      <w:r>
        <w:rPr>
          <w:lang w:val="en"/>
        </w:rPr>
        <w:t xml:space="preserve"> </w:t>
      </w:r>
      <w:r>
        <w:rPr>
          <w:rFonts w:asciiTheme="majorHAnsi" w:hAnsiTheme="majorHAnsi"/>
          <w:sz w:val="20"/>
          <w:szCs w:val="20"/>
          <w:u w:color="000000"/>
          <w:lang w:val="en"/>
        </w:rPr>
        <w:t>It claims that extraterritorial jurisdiction does not apply to this case and that the petitioners expected that Costa Rica had interfered in matters under Panama’s domestic jurisdiction.</w:t>
      </w:r>
    </w:p>
    <w:p w14:paraId="06BD035D" w14:textId="574F240B" w:rsidR="009E0C77" w:rsidRPr="00540DB3"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sz w:val="20"/>
          <w:szCs w:val="20"/>
          <w:u w:color="000000"/>
        </w:rPr>
      </w:pPr>
      <w:r>
        <w:rPr>
          <w:rFonts w:asciiTheme="majorHAnsi" w:eastAsia="Cambria" w:hAnsiTheme="majorHAnsi" w:cs="Cambria"/>
          <w:sz w:val="20"/>
          <w:szCs w:val="20"/>
          <w:u w:color="000000"/>
          <w:lang w:val="en"/>
        </w:rPr>
        <w:t>17.</w:t>
      </w:r>
      <w:r>
        <w:rPr>
          <w:rFonts w:asciiTheme="majorHAnsi" w:eastAsia="Cambria" w:hAnsiTheme="majorHAnsi" w:cs="Cambria"/>
          <w:sz w:val="20"/>
          <w:szCs w:val="20"/>
          <w:u w:color="000000"/>
          <w:lang w:val="en"/>
        </w:rPr>
        <w:tab/>
      </w:r>
      <w:r w:rsidR="00B25A57">
        <w:rPr>
          <w:rFonts w:asciiTheme="majorHAnsi" w:eastAsia="Cambria" w:hAnsiTheme="majorHAnsi" w:cs="Cambria"/>
          <w:sz w:val="20"/>
          <w:szCs w:val="20"/>
          <w:u w:color="000000"/>
          <w:lang w:val="en"/>
        </w:rPr>
        <w:t xml:space="preserve">In </w:t>
      </w:r>
      <w:r>
        <w:rPr>
          <w:rFonts w:asciiTheme="majorHAnsi" w:eastAsia="Cambria" w:hAnsiTheme="majorHAnsi" w:cs="Cambria"/>
          <w:sz w:val="20"/>
          <w:szCs w:val="20"/>
          <w:u w:color="000000"/>
          <w:lang w:val="en"/>
        </w:rPr>
        <w:t xml:space="preserve">this </w:t>
      </w:r>
      <w:r w:rsidR="00B25A57">
        <w:rPr>
          <w:rFonts w:asciiTheme="majorHAnsi" w:eastAsia="Cambria" w:hAnsiTheme="majorHAnsi" w:cs="Cambria"/>
          <w:sz w:val="20"/>
          <w:szCs w:val="20"/>
          <w:u w:color="000000"/>
          <w:lang w:val="en"/>
        </w:rPr>
        <w:t>regard</w:t>
      </w:r>
      <w:r>
        <w:rPr>
          <w:rFonts w:asciiTheme="majorHAnsi" w:eastAsia="Cambria" w:hAnsiTheme="majorHAnsi" w:cs="Cambria"/>
          <w:sz w:val="20"/>
          <w:szCs w:val="20"/>
          <w:u w:color="000000"/>
          <w:lang w:val="en"/>
        </w:rPr>
        <w:t xml:space="preserve">, the Inter-American Commission </w:t>
      </w:r>
      <w:r w:rsidR="00123E3C">
        <w:rPr>
          <w:rFonts w:asciiTheme="majorHAnsi" w:eastAsia="Cambria" w:hAnsiTheme="majorHAnsi" w:cs="Cambria"/>
          <w:sz w:val="20"/>
          <w:szCs w:val="20"/>
          <w:u w:color="000000"/>
          <w:lang w:val="en"/>
        </w:rPr>
        <w:t>note</w:t>
      </w:r>
      <w:r>
        <w:rPr>
          <w:rFonts w:asciiTheme="majorHAnsi" w:eastAsia="Cambria" w:hAnsiTheme="majorHAnsi" w:cs="Cambria"/>
          <w:sz w:val="20"/>
          <w:szCs w:val="20"/>
          <w:u w:color="000000"/>
          <w:lang w:val="en"/>
        </w:rPr>
        <w:t xml:space="preserve">s that Article 44 of the American Convention sets forth that petitions must be lodged </w:t>
      </w:r>
      <w:r w:rsidR="005C0805">
        <w:rPr>
          <w:rFonts w:asciiTheme="majorHAnsi" w:eastAsia="Cambria" w:hAnsiTheme="majorHAnsi" w:cs="Cambria"/>
          <w:sz w:val="20"/>
          <w:szCs w:val="20"/>
          <w:u w:color="000000"/>
          <w:lang w:val="en"/>
        </w:rPr>
        <w:t xml:space="preserve">for </w:t>
      </w:r>
      <w:r>
        <w:rPr>
          <w:rFonts w:asciiTheme="majorHAnsi" w:eastAsia="Cambria" w:hAnsiTheme="majorHAnsi" w:cs="Cambria"/>
          <w:sz w:val="20"/>
          <w:szCs w:val="20"/>
          <w:u w:color="000000"/>
          <w:lang w:val="en"/>
        </w:rPr>
        <w:t xml:space="preserve">violations by a </w:t>
      </w:r>
      <w:r w:rsidR="005C0805">
        <w:rPr>
          <w:rFonts w:asciiTheme="majorHAnsi" w:eastAsia="Cambria" w:hAnsiTheme="majorHAnsi" w:cs="Cambria"/>
          <w:sz w:val="20"/>
          <w:szCs w:val="20"/>
          <w:u w:color="000000"/>
          <w:lang w:val="en"/>
        </w:rPr>
        <w:t xml:space="preserve">single </w:t>
      </w:r>
      <w:r>
        <w:rPr>
          <w:rFonts w:asciiTheme="majorHAnsi" w:eastAsia="Cambria" w:hAnsiTheme="majorHAnsi" w:cs="Cambria"/>
          <w:sz w:val="20"/>
          <w:szCs w:val="20"/>
          <w:u w:color="000000"/>
          <w:lang w:val="en"/>
        </w:rPr>
        <w:t>State Party to the American Convention</w:t>
      </w:r>
      <w:proofErr w:type="gramStart"/>
      <w:r>
        <w:rPr>
          <w:rFonts w:asciiTheme="majorHAnsi" w:eastAsia="Cambria" w:hAnsiTheme="majorHAnsi" w:cs="Cambria"/>
          <w:sz w:val="20"/>
          <w:szCs w:val="20"/>
          <w:u w:color="000000"/>
          <w:lang w:val="en"/>
        </w:rPr>
        <w:t xml:space="preserve">, </w:t>
      </w:r>
      <w:r w:rsidR="00C33EF5" w:rsidRPr="00FE1E8E">
        <w:rPr>
          <w:rFonts w:asciiTheme="majorHAnsi" w:hAnsiTheme="majorHAnsi"/>
          <w:sz w:val="20"/>
          <w:szCs w:val="20"/>
        </w:rPr>
        <w:t>,</w:t>
      </w:r>
      <w:proofErr w:type="gramEnd"/>
      <w:r w:rsidR="00C33EF5" w:rsidRPr="00FE1E8E">
        <w:rPr>
          <w:rFonts w:asciiTheme="majorHAnsi" w:hAnsiTheme="majorHAnsi"/>
          <w:sz w:val="20"/>
          <w:szCs w:val="20"/>
        </w:rPr>
        <w:t xml:space="preserve"> in accordance with the regulation of the processing of petitions provided for in Article 23.1 of the IACHR Statute and Article 30 of its Internal R</w:t>
      </w:r>
      <w:r w:rsidR="00C33EF5">
        <w:rPr>
          <w:rFonts w:asciiTheme="majorHAnsi" w:hAnsiTheme="majorHAnsi"/>
          <w:sz w:val="20"/>
          <w:szCs w:val="20"/>
        </w:rPr>
        <w:t>ules</w:t>
      </w:r>
      <w:r w:rsidR="00C33EF5" w:rsidRPr="00FE1E8E">
        <w:rPr>
          <w:rFonts w:asciiTheme="majorHAnsi" w:hAnsiTheme="majorHAnsi"/>
          <w:sz w:val="20"/>
          <w:szCs w:val="20"/>
        </w:rPr>
        <w:t xml:space="preserve">. </w:t>
      </w:r>
      <w:bookmarkStart w:id="1" w:name="_Hlk84240110"/>
      <w:r w:rsidR="00C33EF5" w:rsidRPr="00FE1E8E">
        <w:rPr>
          <w:rFonts w:asciiTheme="majorHAnsi" w:hAnsiTheme="majorHAnsi"/>
          <w:sz w:val="20"/>
          <w:szCs w:val="20"/>
        </w:rPr>
        <w:t>None of the constituent instruments of the petition and case system</w:t>
      </w:r>
      <w:r w:rsidR="00C33EF5">
        <w:rPr>
          <w:rFonts w:asciiTheme="majorHAnsi" w:hAnsiTheme="majorHAnsi"/>
          <w:sz w:val="20"/>
          <w:szCs w:val="20"/>
        </w:rPr>
        <w:t xml:space="preserve"> </w:t>
      </w:r>
      <w:r>
        <w:rPr>
          <w:rFonts w:asciiTheme="majorHAnsi" w:eastAsia="Cambria" w:hAnsiTheme="majorHAnsi" w:cs="Cambria"/>
          <w:sz w:val="20"/>
          <w:szCs w:val="20"/>
          <w:u w:color="000000"/>
          <w:lang w:val="en"/>
        </w:rPr>
        <w:t>of the Inter-American System of Human Rights sets forth the possibility to jointly process petitions against two or more States.</w:t>
      </w:r>
      <w:bookmarkEnd w:id="1"/>
    </w:p>
    <w:p w14:paraId="1C36C3DB" w14:textId="7002C2BA" w:rsidR="009E0C77" w:rsidRPr="00540DB3"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u w:color="000000"/>
          <w:lang w:val="en"/>
        </w:rPr>
        <w:t>18.</w:t>
      </w:r>
      <w:r>
        <w:rPr>
          <w:rFonts w:asciiTheme="majorHAnsi" w:hAnsiTheme="majorHAnsi"/>
          <w:sz w:val="20"/>
          <w:szCs w:val="20"/>
          <w:u w:color="000000"/>
          <w:lang w:val="en"/>
        </w:rPr>
        <w:tab/>
        <w:t xml:space="preserve">In its Reports on Admissibility No. 270/20 and 53/21 concerning petitions P-728-13 and P-729-13, respectively, the Commission declared the admissibility of two cases </w:t>
      </w:r>
      <w:bookmarkStart w:id="2" w:name="_Hlk84240265"/>
      <w:r>
        <w:rPr>
          <w:rFonts w:asciiTheme="majorHAnsi" w:hAnsiTheme="majorHAnsi"/>
          <w:sz w:val="20"/>
          <w:szCs w:val="20"/>
          <w:u w:color="000000"/>
          <w:lang w:val="en"/>
        </w:rPr>
        <w:t>derived from a single petition filed against Peru and Ecuador, concerning the alleged detention, torture, and disappearance of an Ecuadorian foreign service officer amid an operation in Peru.</w:t>
      </w:r>
      <w:r>
        <w:rPr>
          <w:rFonts w:asciiTheme="majorHAnsi" w:hAnsiTheme="majorHAnsi"/>
          <w:sz w:val="20"/>
          <w:szCs w:val="20"/>
          <w:lang w:val="en"/>
        </w:rPr>
        <w:t xml:space="preserve"> </w:t>
      </w:r>
      <w:bookmarkEnd w:id="2"/>
      <w:r>
        <w:rPr>
          <w:rFonts w:asciiTheme="majorHAnsi" w:hAnsiTheme="majorHAnsi"/>
          <w:sz w:val="20"/>
          <w:szCs w:val="20"/>
          <w:u w:color="000000"/>
          <w:lang w:val="en"/>
        </w:rPr>
        <w:t xml:space="preserve">In that case, although the Commission deemed that it was competent </w:t>
      </w:r>
      <w:r>
        <w:rPr>
          <w:rFonts w:asciiTheme="majorHAnsi" w:hAnsiTheme="majorHAnsi"/>
          <w:i/>
          <w:iCs/>
          <w:sz w:val="20"/>
          <w:szCs w:val="20"/>
          <w:u w:color="000000"/>
          <w:lang w:val="en"/>
        </w:rPr>
        <w:t>ratione loci</w:t>
      </w:r>
      <w:r>
        <w:rPr>
          <w:rFonts w:asciiTheme="majorHAnsi" w:hAnsiTheme="majorHAnsi"/>
          <w:sz w:val="20"/>
          <w:szCs w:val="20"/>
          <w:u w:color="000000"/>
          <w:lang w:val="en"/>
        </w:rPr>
        <w:t xml:space="preserve"> to hear the complaint against Ecuador, as the alleged human rights violations derived from Ecuador’s extraterritorial acts and omissions in relation to the disappearance of the alleged victim in Peru,</w:t>
      </w:r>
      <w:r>
        <w:rPr>
          <w:rStyle w:val="FootnoteReference"/>
          <w:rFonts w:asciiTheme="majorHAnsi" w:eastAsia="Cambria" w:hAnsiTheme="majorHAnsi" w:cs="Cambria"/>
          <w:sz w:val="20"/>
          <w:szCs w:val="20"/>
          <w:u w:color="000000"/>
          <w:lang w:val="en"/>
        </w:rPr>
        <w:footnoteReference w:id="6"/>
      </w:r>
      <w:r>
        <w:rPr>
          <w:rFonts w:asciiTheme="majorHAnsi" w:hAnsiTheme="majorHAnsi"/>
          <w:sz w:val="20"/>
          <w:szCs w:val="20"/>
          <w:u w:color="000000"/>
          <w:lang w:val="en"/>
        </w:rPr>
        <w:t xml:space="preserve"> </w:t>
      </w:r>
      <w:bookmarkStart w:id="3" w:name="_Hlk84240338"/>
      <w:r>
        <w:rPr>
          <w:rFonts w:asciiTheme="majorHAnsi" w:hAnsiTheme="majorHAnsi"/>
          <w:sz w:val="20"/>
          <w:szCs w:val="20"/>
          <w:u w:color="000000"/>
          <w:lang w:val="en"/>
        </w:rPr>
        <w:t xml:space="preserve">the Commission processed the matter against each State separately to </w:t>
      </w:r>
      <w:r w:rsidR="00B00D26">
        <w:rPr>
          <w:rFonts w:asciiTheme="majorHAnsi" w:hAnsiTheme="majorHAnsi"/>
          <w:sz w:val="20"/>
          <w:szCs w:val="20"/>
          <w:u w:color="000000"/>
          <w:lang w:val="en"/>
        </w:rPr>
        <w:t>analyze</w:t>
      </w:r>
      <w:r>
        <w:rPr>
          <w:rFonts w:asciiTheme="majorHAnsi" w:hAnsiTheme="majorHAnsi"/>
          <w:sz w:val="20"/>
          <w:szCs w:val="20"/>
          <w:u w:color="000000"/>
          <w:lang w:val="en"/>
        </w:rPr>
        <w:t xml:space="preserve"> international responsibility for the actions attributable to each one of them.</w:t>
      </w:r>
      <w:bookmarkEnd w:id="3"/>
    </w:p>
    <w:p w14:paraId="7C045D74" w14:textId="579BFF59" w:rsidR="009E0C77" w:rsidRPr="009C412A"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rPr>
      </w:pPr>
      <w:r>
        <w:rPr>
          <w:rFonts w:asciiTheme="majorHAnsi" w:eastAsia="Cambria" w:hAnsiTheme="majorHAnsi" w:cs="Cambria"/>
          <w:sz w:val="20"/>
          <w:szCs w:val="20"/>
          <w:u w:color="000000"/>
          <w:lang w:val="en"/>
        </w:rPr>
        <w:lastRenderedPageBreak/>
        <w:t>19.</w:t>
      </w:r>
      <w:r>
        <w:rPr>
          <w:rFonts w:asciiTheme="majorHAnsi" w:eastAsia="Cambria" w:hAnsiTheme="majorHAnsi" w:cs="Cambria"/>
          <w:sz w:val="20"/>
          <w:szCs w:val="20"/>
          <w:u w:color="000000"/>
          <w:lang w:val="en"/>
        </w:rPr>
        <w:tab/>
      </w:r>
      <w:bookmarkStart w:id="4" w:name="_Hlk84240421"/>
      <w:r>
        <w:rPr>
          <w:rFonts w:asciiTheme="majorHAnsi" w:eastAsia="Cambria" w:hAnsiTheme="majorHAnsi" w:cs="Cambria"/>
          <w:sz w:val="20"/>
          <w:szCs w:val="20"/>
          <w:u w:color="000000"/>
          <w:lang w:val="en"/>
        </w:rPr>
        <w:t>Therefore, the Commission re</w:t>
      </w:r>
      <w:r w:rsidR="005576D2">
        <w:rPr>
          <w:rFonts w:asciiTheme="majorHAnsi" w:eastAsia="Cambria" w:hAnsiTheme="majorHAnsi" w:cs="Cambria"/>
          <w:sz w:val="20"/>
          <w:szCs w:val="20"/>
          <w:u w:color="000000"/>
          <w:lang w:val="en"/>
        </w:rPr>
        <w:t>iterate</w:t>
      </w:r>
      <w:r>
        <w:rPr>
          <w:rFonts w:asciiTheme="majorHAnsi" w:eastAsia="Cambria" w:hAnsiTheme="majorHAnsi" w:cs="Cambria"/>
          <w:sz w:val="20"/>
          <w:szCs w:val="20"/>
          <w:u w:color="000000"/>
          <w:lang w:val="en"/>
        </w:rPr>
        <w:t xml:space="preserve">s its practice of </w:t>
      </w:r>
      <w:r w:rsidR="007043AF">
        <w:rPr>
          <w:rFonts w:asciiTheme="majorHAnsi" w:eastAsia="Cambria" w:hAnsiTheme="majorHAnsi" w:cs="Cambria"/>
          <w:sz w:val="20"/>
          <w:szCs w:val="20"/>
          <w:u w:color="000000"/>
          <w:lang w:val="en"/>
        </w:rPr>
        <w:t>break</w:t>
      </w:r>
      <w:r>
        <w:rPr>
          <w:rFonts w:asciiTheme="majorHAnsi" w:eastAsia="Cambria" w:hAnsiTheme="majorHAnsi" w:cs="Cambria"/>
          <w:sz w:val="20"/>
          <w:szCs w:val="20"/>
          <w:u w:color="000000"/>
          <w:lang w:val="en"/>
        </w:rPr>
        <w:t xml:space="preserve">ing </w:t>
      </w:r>
      <w:r w:rsidR="007043AF">
        <w:rPr>
          <w:rFonts w:asciiTheme="majorHAnsi" w:eastAsia="Cambria" w:hAnsiTheme="majorHAnsi" w:cs="Cambria"/>
          <w:sz w:val="20"/>
          <w:szCs w:val="20"/>
          <w:u w:color="000000"/>
          <w:lang w:val="en"/>
        </w:rPr>
        <w:t xml:space="preserve">down </w:t>
      </w:r>
      <w:r>
        <w:rPr>
          <w:rFonts w:asciiTheme="majorHAnsi" w:eastAsia="Cambria" w:hAnsiTheme="majorHAnsi" w:cs="Cambria"/>
          <w:sz w:val="20"/>
          <w:szCs w:val="20"/>
          <w:u w:color="000000"/>
          <w:lang w:val="en"/>
        </w:rPr>
        <w:t>petitions containing complaints against more than one State</w:t>
      </w:r>
      <w:r w:rsidR="000304C4">
        <w:rPr>
          <w:rFonts w:asciiTheme="majorHAnsi" w:eastAsia="Cambria" w:hAnsiTheme="majorHAnsi" w:cs="Cambria"/>
          <w:sz w:val="20"/>
          <w:szCs w:val="20"/>
          <w:u w:color="000000"/>
          <w:lang w:val="en"/>
        </w:rPr>
        <w:t>.</w:t>
      </w:r>
      <w:r>
        <w:rPr>
          <w:rFonts w:asciiTheme="majorHAnsi" w:eastAsia="Cambria" w:hAnsiTheme="majorHAnsi" w:cs="Cambria"/>
          <w:sz w:val="20"/>
          <w:szCs w:val="20"/>
          <w:u w:color="000000"/>
          <w:lang w:val="en"/>
        </w:rPr>
        <w:t xml:space="preserve"> </w:t>
      </w:r>
      <w:r w:rsidR="000304C4">
        <w:rPr>
          <w:rFonts w:asciiTheme="majorHAnsi" w:eastAsia="Cambria" w:hAnsiTheme="majorHAnsi" w:cs="Cambria"/>
          <w:sz w:val="20"/>
          <w:szCs w:val="20"/>
          <w:u w:color="000000"/>
          <w:lang w:val="en"/>
        </w:rPr>
        <w:t>T</w:t>
      </w:r>
      <w:r>
        <w:rPr>
          <w:rFonts w:asciiTheme="majorHAnsi" w:eastAsia="Cambria" w:hAnsiTheme="majorHAnsi" w:cs="Cambria"/>
          <w:sz w:val="20"/>
          <w:szCs w:val="20"/>
          <w:u w:color="000000"/>
          <w:lang w:val="en"/>
        </w:rPr>
        <w:t xml:space="preserve">his </w:t>
      </w:r>
      <w:r w:rsidR="000304C4">
        <w:rPr>
          <w:rFonts w:asciiTheme="majorHAnsi" w:eastAsia="Cambria" w:hAnsiTheme="majorHAnsi" w:cs="Cambria"/>
          <w:sz w:val="20"/>
          <w:szCs w:val="20"/>
          <w:u w:color="000000"/>
          <w:lang w:val="en"/>
        </w:rPr>
        <w:t xml:space="preserve">does not </w:t>
      </w:r>
      <w:r>
        <w:rPr>
          <w:rFonts w:asciiTheme="majorHAnsi" w:eastAsia="Cambria" w:hAnsiTheme="majorHAnsi" w:cs="Cambria"/>
          <w:sz w:val="20"/>
          <w:szCs w:val="20"/>
          <w:u w:color="000000"/>
          <w:lang w:val="en"/>
        </w:rPr>
        <w:t>prevent</w:t>
      </w:r>
      <w:r w:rsidR="000304C4">
        <w:rPr>
          <w:rFonts w:asciiTheme="majorHAnsi" w:eastAsia="Cambria" w:hAnsiTheme="majorHAnsi" w:cs="Cambria"/>
          <w:sz w:val="20"/>
          <w:szCs w:val="20"/>
          <w:u w:color="000000"/>
          <w:lang w:val="en"/>
        </w:rPr>
        <w:t xml:space="preserve"> the IACHR from </w:t>
      </w:r>
      <w:r>
        <w:rPr>
          <w:rFonts w:asciiTheme="majorHAnsi" w:eastAsia="Cambria" w:hAnsiTheme="majorHAnsi" w:cs="Cambria"/>
          <w:sz w:val="20"/>
          <w:szCs w:val="20"/>
          <w:u w:color="000000"/>
          <w:lang w:val="en"/>
        </w:rPr>
        <w:t>declar</w:t>
      </w:r>
      <w:r w:rsidR="000304C4">
        <w:rPr>
          <w:rFonts w:asciiTheme="majorHAnsi" w:eastAsia="Cambria" w:hAnsiTheme="majorHAnsi" w:cs="Cambria"/>
          <w:sz w:val="20"/>
          <w:szCs w:val="20"/>
          <w:u w:color="000000"/>
          <w:lang w:val="en"/>
        </w:rPr>
        <w:t>ing</w:t>
      </w:r>
      <w:r>
        <w:rPr>
          <w:rFonts w:asciiTheme="majorHAnsi" w:eastAsia="Cambria" w:hAnsiTheme="majorHAnsi" w:cs="Cambria"/>
          <w:sz w:val="20"/>
          <w:szCs w:val="20"/>
          <w:u w:color="000000"/>
          <w:lang w:val="en"/>
        </w:rPr>
        <w:t xml:space="preserve"> </w:t>
      </w:r>
      <w:r w:rsidR="000304C4">
        <w:rPr>
          <w:rFonts w:asciiTheme="majorHAnsi" w:eastAsia="Cambria" w:hAnsiTheme="majorHAnsi" w:cs="Cambria"/>
          <w:sz w:val="20"/>
          <w:szCs w:val="20"/>
          <w:u w:color="000000"/>
          <w:lang w:val="en"/>
        </w:rPr>
        <w:t xml:space="preserve">the </w:t>
      </w:r>
      <w:r>
        <w:rPr>
          <w:rFonts w:asciiTheme="majorHAnsi" w:eastAsia="Cambria" w:hAnsiTheme="majorHAnsi" w:cs="Cambria"/>
          <w:sz w:val="20"/>
          <w:szCs w:val="20"/>
          <w:u w:color="000000"/>
          <w:lang w:val="en"/>
        </w:rPr>
        <w:t xml:space="preserve">responsibility for the human rights violations attributable to each State depending on their degree of involvement in the </w:t>
      </w:r>
      <w:r w:rsidR="00EB7443">
        <w:rPr>
          <w:rFonts w:asciiTheme="majorHAnsi" w:eastAsia="Cambria" w:hAnsiTheme="majorHAnsi" w:cs="Cambria"/>
          <w:sz w:val="20"/>
          <w:szCs w:val="20"/>
          <w:u w:color="000000"/>
          <w:lang w:val="en"/>
        </w:rPr>
        <w:t>f</w:t>
      </w:r>
      <w:r>
        <w:rPr>
          <w:rFonts w:asciiTheme="majorHAnsi" w:eastAsia="Cambria" w:hAnsiTheme="majorHAnsi" w:cs="Cambria"/>
          <w:sz w:val="20"/>
          <w:szCs w:val="20"/>
          <w:u w:color="000000"/>
          <w:lang w:val="en"/>
        </w:rPr>
        <w:t xml:space="preserve">acts. In this case, the Inter-American Commission decides to </w:t>
      </w:r>
      <w:r w:rsidR="00EB7443">
        <w:rPr>
          <w:rFonts w:asciiTheme="majorHAnsi" w:eastAsia="Cambria" w:hAnsiTheme="majorHAnsi" w:cs="Cambria"/>
          <w:sz w:val="20"/>
          <w:szCs w:val="20"/>
          <w:u w:color="000000"/>
          <w:lang w:val="en"/>
        </w:rPr>
        <w:t xml:space="preserve">uphold </w:t>
      </w:r>
      <w:r>
        <w:rPr>
          <w:rFonts w:asciiTheme="majorHAnsi" w:eastAsia="Cambria" w:hAnsiTheme="majorHAnsi" w:cs="Cambria"/>
          <w:sz w:val="20"/>
          <w:szCs w:val="20"/>
          <w:u w:color="000000"/>
          <w:lang w:val="en"/>
        </w:rPr>
        <w:t>its uniform and consistent practice as described above and will proceed to process each petition separately.</w:t>
      </w:r>
      <w:bookmarkEnd w:id="4"/>
    </w:p>
    <w:p w14:paraId="4E82347C" w14:textId="77777777" w:rsidR="009E0C77" w:rsidRPr="008F2EBF"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rPr>
      </w:pPr>
      <w:r>
        <w:rPr>
          <w:rFonts w:asciiTheme="majorHAnsi" w:hAnsiTheme="majorHAnsi"/>
          <w:i/>
          <w:iCs/>
          <w:sz w:val="20"/>
          <w:szCs w:val="20"/>
          <w:lang w:val="en"/>
        </w:rPr>
        <w:t>Exhaustion of domestic remedies and Timeliness of the petition</w:t>
      </w:r>
    </w:p>
    <w:p w14:paraId="742450EF" w14:textId="5117D607"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20.</w:t>
      </w:r>
      <w:r>
        <w:rPr>
          <w:rFonts w:asciiTheme="majorHAnsi" w:hAnsiTheme="majorHAnsi"/>
          <w:sz w:val="20"/>
          <w:szCs w:val="20"/>
          <w:lang w:val="en"/>
        </w:rPr>
        <w:tab/>
      </w:r>
      <w:bookmarkStart w:id="5" w:name="_Hlk84241009"/>
      <w:r>
        <w:rPr>
          <w:rFonts w:asciiTheme="majorHAnsi" w:hAnsiTheme="majorHAnsi"/>
          <w:sz w:val="20"/>
          <w:szCs w:val="20"/>
          <w:lang w:val="en"/>
        </w:rPr>
        <w:t xml:space="preserve">The Commission </w:t>
      </w:r>
      <w:r w:rsidR="00EB7443">
        <w:rPr>
          <w:rFonts w:asciiTheme="majorHAnsi" w:hAnsiTheme="majorHAnsi"/>
          <w:sz w:val="20"/>
          <w:szCs w:val="20"/>
          <w:lang w:val="en"/>
        </w:rPr>
        <w:t>note</w:t>
      </w:r>
      <w:r>
        <w:rPr>
          <w:rFonts w:asciiTheme="majorHAnsi" w:hAnsiTheme="majorHAnsi"/>
          <w:sz w:val="20"/>
          <w:szCs w:val="20"/>
          <w:lang w:val="en"/>
        </w:rPr>
        <w:t xml:space="preserve">s that a </w:t>
      </w:r>
      <w:r>
        <w:rPr>
          <w:rFonts w:asciiTheme="majorHAnsi" w:hAnsiTheme="majorHAnsi"/>
          <w:i/>
          <w:iCs/>
          <w:sz w:val="20"/>
          <w:szCs w:val="20"/>
          <w:lang w:val="en"/>
        </w:rPr>
        <w:t>remedy</w:t>
      </w:r>
      <w:r>
        <w:rPr>
          <w:rFonts w:asciiTheme="majorHAnsi" w:hAnsiTheme="majorHAnsi"/>
          <w:sz w:val="20"/>
          <w:szCs w:val="20"/>
          <w:lang w:val="en"/>
        </w:rPr>
        <w:t xml:space="preserve"> according to Article 46.1 of the Convention is, by definition, a means of legal defense provided by the domestic legal system to anyone who feels that their rights have been infringed or harmed in the course of a </w:t>
      </w:r>
      <w:proofErr w:type="gramStart"/>
      <w:r>
        <w:rPr>
          <w:rFonts w:asciiTheme="majorHAnsi" w:hAnsiTheme="majorHAnsi"/>
          <w:sz w:val="20"/>
          <w:szCs w:val="20"/>
          <w:lang w:val="en"/>
        </w:rPr>
        <w:t>State</w:t>
      </w:r>
      <w:proofErr w:type="gramEnd"/>
      <w:r>
        <w:rPr>
          <w:rFonts w:asciiTheme="majorHAnsi" w:hAnsiTheme="majorHAnsi"/>
          <w:sz w:val="20"/>
          <w:szCs w:val="20"/>
          <w:lang w:val="en"/>
        </w:rPr>
        <w:t xml:space="preserve"> action, </w:t>
      </w:r>
      <w:r w:rsidR="00B9638F">
        <w:rPr>
          <w:rFonts w:asciiTheme="majorHAnsi" w:hAnsiTheme="majorHAnsi"/>
          <w:sz w:val="20"/>
          <w:szCs w:val="20"/>
          <w:lang w:val="en"/>
        </w:rPr>
        <w:t>which</w:t>
      </w:r>
      <w:r>
        <w:rPr>
          <w:rFonts w:asciiTheme="majorHAnsi" w:hAnsiTheme="majorHAnsi"/>
          <w:sz w:val="20"/>
          <w:szCs w:val="20"/>
          <w:lang w:val="en"/>
        </w:rPr>
        <w:t xml:space="preserve"> allows them to seek reparation for that violation. </w:t>
      </w:r>
      <w:proofErr w:type="gramStart"/>
      <w:r>
        <w:rPr>
          <w:rFonts w:asciiTheme="majorHAnsi" w:hAnsiTheme="majorHAnsi"/>
          <w:sz w:val="20"/>
          <w:szCs w:val="20"/>
          <w:lang w:val="en"/>
        </w:rPr>
        <w:t>In order to</w:t>
      </w:r>
      <w:proofErr w:type="gramEnd"/>
      <w:r>
        <w:rPr>
          <w:rFonts w:asciiTheme="majorHAnsi" w:hAnsiTheme="majorHAnsi"/>
          <w:sz w:val="20"/>
          <w:szCs w:val="20"/>
          <w:lang w:val="en"/>
        </w:rPr>
        <w:t xml:space="preserve"> assess the adequacy of the remedies available to a given petitioner in the domestic legal system, the Commission usually determines the specific claim they formulate to identify thereafter what judicial remedies the domestic legal system provides were available and adequate to resolve th</w:t>
      </w:r>
      <w:r w:rsidR="004D32E4">
        <w:rPr>
          <w:rFonts w:asciiTheme="majorHAnsi" w:hAnsiTheme="majorHAnsi"/>
          <w:sz w:val="20"/>
          <w:szCs w:val="20"/>
          <w:lang w:val="en"/>
        </w:rPr>
        <w:t xml:space="preserve">e </w:t>
      </w:r>
      <w:r>
        <w:rPr>
          <w:rFonts w:asciiTheme="majorHAnsi" w:hAnsiTheme="majorHAnsi"/>
          <w:sz w:val="20"/>
          <w:szCs w:val="20"/>
          <w:lang w:val="en"/>
        </w:rPr>
        <w:t>claim in particular.</w:t>
      </w:r>
      <w:bookmarkEnd w:id="5"/>
      <w:r>
        <w:rPr>
          <w:rStyle w:val="FootnoteReference"/>
          <w:rFonts w:asciiTheme="majorHAnsi" w:hAnsiTheme="majorHAnsi"/>
          <w:sz w:val="20"/>
          <w:szCs w:val="20"/>
          <w:lang w:val="en"/>
        </w:rPr>
        <w:footnoteReference w:id="7"/>
      </w:r>
    </w:p>
    <w:p w14:paraId="3041E380" w14:textId="25C8104F"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21.</w:t>
      </w:r>
      <w:r>
        <w:rPr>
          <w:rFonts w:asciiTheme="majorHAnsi" w:hAnsiTheme="majorHAnsi"/>
          <w:sz w:val="20"/>
          <w:szCs w:val="20"/>
          <w:lang w:val="en"/>
        </w:rPr>
        <w:tab/>
        <w:t>The petitioners claim, first, that the international re</w:t>
      </w:r>
      <w:r w:rsidR="004D32E4">
        <w:rPr>
          <w:rFonts w:asciiTheme="majorHAnsi" w:hAnsiTheme="majorHAnsi"/>
          <w:sz w:val="20"/>
          <w:szCs w:val="20"/>
          <w:lang w:val="en"/>
        </w:rPr>
        <w:t>stitution</w:t>
      </w:r>
      <w:r>
        <w:rPr>
          <w:rFonts w:asciiTheme="majorHAnsi" w:hAnsiTheme="majorHAnsi"/>
          <w:sz w:val="20"/>
          <w:szCs w:val="20"/>
          <w:lang w:val="en"/>
        </w:rPr>
        <w:t xml:space="preserve"> proceedings in Panama exhausted the domestic remedies in both States. With respect to this, the exhaustion of a remedy in the Panamanian jurisdiction does not bring the alleged victims’ claim to the attention of Costa Rica. Thus, as a first step in the analysis, the Commission dismisses the first claim of the petitioners, </w:t>
      </w:r>
      <w:r w:rsidR="00E53736">
        <w:rPr>
          <w:rFonts w:asciiTheme="majorHAnsi" w:hAnsiTheme="majorHAnsi"/>
          <w:sz w:val="20"/>
          <w:szCs w:val="20"/>
          <w:lang w:val="en"/>
        </w:rPr>
        <w:t xml:space="preserve">whereby </w:t>
      </w:r>
      <w:r>
        <w:rPr>
          <w:rFonts w:asciiTheme="majorHAnsi" w:hAnsiTheme="majorHAnsi"/>
          <w:sz w:val="20"/>
          <w:szCs w:val="20"/>
          <w:lang w:val="en"/>
        </w:rPr>
        <w:t>the international re</w:t>
      </w:r>
      <w:r w:rsidR="00966608">
        <w:rPr>
          <w:rFonts w:asciiTheme="majorHAnsi" w:hAnsiTheme="majorHAnsi"/>
          <w:sz w:val="20"/>
          <w:szCs w:val="20"/>
          <w:lang w:val="en"/>
        </w:rPr>
        <w:t>stitution</w:t>
      </w:r>
      <w:r>
        <w:rPr>
          <w:rFonts w:asciiTheme="majorHAnsi" w:hAnsiTheme="majorHAnsi"/>
          <w:sz w:val="20"/>
          <w:szCs w:val="20"/>
          <w:lang w:val="en"/>
        </w:rPr>
        <w:t xml:space="preserve"> proceedings in Panama exhausted the domestic remedies in Costa Rica.</w:t>
      </w:r>
    </w:p>
    <w:p w14:paraId="6AC176F2" w14:textId="5D8FFBD3"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826"/>
        </w:tabs>
        <w:suppressAutoHyphens/>
        <w:spacing w:after="240"/>
        <w:ind w:firstLine="720"/>
        <w:jc w:val="both"/>
        <w:rPr>
          <w:rFonts w:asciiTheme="majorHAnsi" w:hAnsiTheme="majorHAnsi"/>
          <w:sz w:val="20"/>
          <w:szCs w:val="20"/>
        </w:rPr>
      </w:pPr>
      <w:r>
        <w:rPr>
          <w:rFonts w:asciiTheme="majorHAnsi" w:hAnsiTheme="majorHAnsi"/>
          <w:sz w:val="20"/>
          <w:szCs w:val="20"/>
          <w:lang w:val="en"/>
        </w:rPr>
        <w:t>22.</w:t>
      </w:r>
      <w:r>
        <w:rPr>
          <w:rFonts w:asciiTheme="majorHAnsi" w:hAnsiTheme="majorHAnsi"/>
          <w:sz w:val="20"/>
          <w:szCs w:val="20"/>
          <w:lang w:val="en"/>
        </w:rPr>
        <w:tab/>
        <w:t xml:space="preserve"> Second, the petitioners assert that the criminal proceedings for child abduction was a remedy exhausted within the jurisdiction of Costa Rica and was ineffective because it was dismissed. On this point, Costa Rica argues that this petition is overdue because the dismissal of the criminal proceedings for the charge of child abduction was notified to M on November 1, 2013. According to it, the period for filing this petition was due on May 1, 2014, under the requirement established in Article 46.1.b of the A</w:t>
      </w:r>
      <w:r w:rsidR="002E601B">
        <w:rPr>
          <w:rFonts w:asciiTheme="majorHAnsi" w:hAnsiTheme="majorHAnsi"/>
          <w:sz w:val="20"/>
          <w:szCs w:val="20"/>
          <w:lang w:val="en"/>
        </w:rPr>
        <w:t>merican Convention</w:t>
      </w:r>
      <w:r>
        <w:rPr>
          <w:rFonts w:asciiTheme="majorHAnsi" w:hAnsiTheme="majorHAnsi"/>
          <w:sz w:val="20"/>
          <w:szCs w:val="20"/>
          <w:lang w:val="en"/>
        </w:rPr>
        <w:t xml:space="preserve">, and the petition was lodged on December 12, 2014. The petitioners </w:t>
      </w:r>
      <w:r w:rsidR="000E3C77">
        <w:rPr>
          <w:rFonts w:asciiTheme="majorHAnsi" w:hAnsiTheme="majorHAnsi"/>
          <w:sz w:val="20"/>
          <w:szCs w:val="20"/>
          <w:lang w:val="en"/>
        </w:rPr>
        <w:t>reply</w:t>
      </w:r>
      <w:r>
        <w:rPr>
          <w:rFonts w:asciiTheme="majorHAnsi" w:hAnsiTheme="majorHAnsi"/>
          <w:sz w:val="20"/>
          <w:szCs w:val="20"/>
          <w:lang w:val="en"/>
        </w:rPr>
        <w:t xml:space="preserve"> that the filing period started running on June 11, 2014, which is the date when the rejection of the appeal concerning the petition for the correction of procedural errors filed against the dismissal, was notified. The State contends that the petition for the correction of errors was manifestly inadmissible because, under Costa Rican law, no remedy is admissible against the dismissal of a </w:t>
      </w:r>
      <w:r w:rsidR="0042108E">
        <w:rPr>
          <w:rFonts w:asciiTheme="majorHAnsi" w:hAnsiTheme="majorHAnsi"/>
          <w:sz w:val="20"/>
          <w:szCs w:val="20"/>
          <w:lang w:val="en"/>
        </w:rPr>
        <w:t xml:space="preserve">criminal </w:t>
      </w:r>
      <w:r>
        <w:rPr>
          <w:rFonts w:asciiTheme="majorHAnsi" w:hAnsiTheme="majorHAnsi"/>
          <w:sz w:val="20"/>
          <w:szCs w:val="20"/>
          <w:lang w:val="en"/>
        </w:rPr>
        <w:t>case.</w:t>
      </w:r>
    </w:p>
    <w:p w14:paraId="1AFD0CC4" w14:textId="438C2D30"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23.</w:t>
      </w:r>
      <w:r>
        <w:rPr>
          <w:rFonts w:asciiTheme="majorHAnsi" w:hAnsiTheme="majorHAnsi"/>
          <w:sz w:val="20"/>
          <w:szCs w:val="20"/>
          <w:lang w:val="en"/>
        </w:rPr>
        <w:tab/>
        <w:t xml:space="preserve">The IACHR notes that the main claim about Costa Rica concerns the failure to prevent and the omission to act with due diligence in the investigation of C’s abduction by her father, which the State could have prevented had it investigated with due diligence the alleged gender-based violence perpetrated by the accused against M. </w:t>
      </w:r>
      <w:proofErr w:type="gramStart"/>
      <w:r>
        <w:rPr>
          <w:rFonts w:asciiTheme="majorHAnsi" w:hAnsiTheme="majorHAnsi"/>
          <w:sz w:val="20"/>
          <w:szCs w:val="20"/>
          <w:lang w:val="en"/>
        </w:rPr>
        <w:t>With regard to</w:t>
      </w:r>
      <w:proofErr w:type="gramEnd"/>
      <w:r>
        <w:rPr>
          <w:rFonts w:asciiTheme="majorHAnsi" w:hAnsiTheme="majorHAnsi"/>
          <w:sz w:val="20"/>
          <w:szCs w:val="20"/>
          <w:lang w:val="en"/>
        </w:rPr>
        <w:t xml:space="preserve"> this, the adequate remedy to address the complaint of </w:t>
      </w:r>
      <w:r w:rsidR="00B00D26">
        <w:rPr>
          <w:rFonts w:asciiTheme="majorHAnsi" w:hAnsiTheme="majorHAnsi"/>
          <w:sz w:val="20"/>
          <w:szCs w:val="20"/>
          <w:lang w:val="en"/>
        </w:rPr>
        <w:t xml:space="preserve">the </w:t>
      </w:r>
      <w:r>
        <w:rPr>
          <w:rFonts w:asciiTheme="majorHAnsi" w:hAnsiTheme="majorHAnsi"/>
          <w:sz w:val="20"/>
          <w:szCs w:val="20"/>
          <w:lang w:val="en"/>
        </w:rPr>
        <w:t xml:space="preserve">kidnap of girl C was the criminal proceedings lodged for the charge of child abduction, as this was aimed at having the corresponding authorities locate C and restoring the custody of C to Ms. M. </w:t>
      </w:r>
      <w:r>
        <w:rPr>
          <w:rFonts w:asciiTheme="majorHAnsi" w:hAnsiTheme="majorHAnsi"/>
          <w:noProof/>
          <w:sz w:val="20"/>
          <w:szCs w:val="20"/>
          <w:lang w:val="en"/>
        </w:rPr>
        <w:t>However, the petitioners consider that the criminal action for the charge of child abduction was ineffective, as it was dismissed.</w:t>
      </w:r>
    </w:p>
    <w:p w14:paraId="78DF6F6D" w14:textId="0747D28C"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24.</w:t>
      </w:r>
      <w:r>
        <w:rPr>
          <w:rFonts w:asciiTheme="majorHAnsi" w:hAnsiTheme="majorHAnsi"/>
          <w:sz w:val="20"/>
          <w:szCs w:val="20"/>
          <w:lang w:val="en"/>
        </w:rPr>
        <w:tab/>
        <w:t xml:space="preserve"> The IACHR notes that Ms. M lodged at least four criminal complaints against C’s father between 2008 and 2010, in which she brought to the attention of the Costa Rican authorities, the acts of domestic violence, the fact that their daughter girl was harassed and followed, and the sexual exploitation that she was subjected to during their sentimental relationship. Special emphasis is given to the complaint of the violation of the measures of protection, filed on May 25, 2009, within the criminal case, in which M expressed her fear that C’s father would kidnap the girl. Once the kidnap took place, M reported it on December 5, 2009, to the Prosecutor’s Office of the city of Garabito; however, only ten days after this</w:t>
      </w:r>
      <w:r w:rsidR="00A01D70">
        <w:rPr>
          <w:rFonts w:asciiTheme="majorHAnsi" w:hAnsiTheme="majorHAnsi"/>
          <w:sz w:val="20"/>
          <w:szCs w:val="20"/>
          <w:lang w:val="en"/>
        </w:rPr>
        <w:t>,</w:t>
      </w:r>
      <w:r>
        <w:rPr>
          <w:rFonts w:asciiTheme="majorHAnsi" w:hAnsiTheme="majorHAnsi"/>
          <w:sz w:val="20"/>
          <w:szCs w:val="20"/>
          <w:lang w:val="en"/>
        </w:rPr>
        <w:t xml:space="preserve"> did the Costa Rican authorities issued a migratory alert for the girl and her father. These criminal proceedings initiated following this complaint of child abduction continued in place until their final dismissal in favor of C’s father, which was notified to Ms. M on November 1, 2013.</w:t>
      </w:r>
    </w:p>
    <w:p w14:paraId="2EC29997" w14:textId="73AE5AFC" w:rsidR="009E0C77" w:rsidRPr="00964009"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lastRenderedPageBreak/>
        <w:t>25.</w:t>
      </w:r>
      <w:r>
        <w:rPr>
          <w:rFonts w:asciiTheme="majorHAnsi" w:hAnsiTheme="majorHAnsi"/>
          <w:sz w:val="20"/>
          <w:szCs w:val="20"/>
          <w:lang w:val="en"/>
        </w:rPr>
        <w:tab/>
        <w:t>To decide on the admissibility of a petition, the Commission must evaluate whether the domestic remedies available to the petitioners are adequate and effective; that is to say, whether they provide a real opportunity for an alleged human rights violation to be remedied and resolved by the national authorities before it is brought to the inter-American system.</w:t>
      </w:r>
      <w:r>
        <w:rPr>
          <w:rStyle w:val="FootnoteReference"/>
          <w:rFonts w:asciiTheme="majorHAnsi" w:hAnsiTheme="majorHAnsi"/>
          <w:sz w:val="20"/>
          <w:szCs w:val="20"/>
          <w:lang w:val="en"/>
        </w:rPr>
        <w:footnoteReference w:id="8"/>
      </w:r>
      <w:r>
        <w:rPr>
          <w:rFonts w:asciiTheme="majorHAnsi" w:hAnsiTheme="majorHAnsi"/>
          <w:sz w:val="20"/>
          <w:szCs w:val="20"/>
          <w:lang w:val="en"/>
        </w:rPr>
        <w:t xml:space="preserve"> The exceptions to the requirement of the exhaustion of domestic remedies, outlined in Article 46.2 of the American Convention are closely connected to the determination of the possible violation of certain rights enshrined therein, such as the rights to a fair trial and effective judicial protection. Nevertheless, due to its nature and purpose, Article 46.2 is a rule with autonomous content separate from the substantive provisions of the American Convention. Therefore, the determination of whether the exceptions to the rule of exhaustion of domestic remedies apply to the matter at issue must be prior to and independent from the analysis of the merits of the case, as it depends on a different criterion than that used for determining the possible violation of Articles 8 and 25 of the Convention.</w:t>
      </w:r>
    </w:p>
    <w:p w14:paraId="7A8B0C65" w14:textId="08553E83"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26.</w:t>
      </w:r>
      <w:r>
        <w:rPr>
          <w:rFonts w:asciiTheme="majorHAnsi" w:hAnsiTheme="majorHAnsi"/>
          <w:sz w:val="20"/>
          <w:szCs w:val="20"/>
          <w:lang w:val="en"/>
        </w:rPr>
        <w:tab/>
        <w:t xml:space="preserve">In this understanding, the IACHR believes that </w:t>
      </w:r>
      <w:r w:rsidRPr="00B620EF">
        <w:rPr>
          <w:rFonts w:asciiTheme="majorHAnsi" w:hAnsiTheme="majorHAnsi"/>
          <w:i/>
          <w:iCs/>
          <w:sz w:val="20"/>
          <w:szCs w:val="20"/>
          <w:lang w:val="en"/>
        </w:rPr>
        <w:t>prima facie</w:t>
      </w:r>
      <w:r>
        <w:rPr>
          <w:rFonts w:asciiTheme="majorHAnsi" w:hAnsiTheme="majorHAnsi"/>
          <w:sz w:val="20"/>
          <w:szCs w:val="20"/>
          <w:lang w:val="en"/>
        </w:rPr>
        <w:t xml:space="preserve"> the criminal investigation for child abduction initiated in Costa Rica turned ineffective because although the State took several steps to locate C and her father, the State allegedly omitted to issue the migratory alert </w:t>
      </w:r>
      <w:r w:rsidR="00B00D26">
        <w:rPr>
          <w:rFonts w:asciiTheme="majorHAnsi" w:hAnsiTheme="majorHAnsi"/>
          <w:sz w:val="20"/>
          <w:szCs w:val="20"/>
          <w:lang w:val="en"/>
        </w:rPr>
        <w:t>promptly</w:t>
      </w:r>
      <w:r>
        <w:rPr>
          <w:rFonts w:asciiTheme="majorHAnsi" w:hAnsiTheme="majorHAnsi"/>
          <w:sz w:val="20"/>
          <w:szCs w:val="20"/>
          <w:lang w:val="en"/>
        </w:rPr>
        <w:t>, which led to the girl’s abduction to Panama. In addition, there is the omission to investigate the complaints lodged by M between 2008 and 2009, even more so when the results of these could have helped to prevent the abduction of C. The Commission has not found in the case file the decision to dismiss the criminal proceedings for the charge of child abduction, and the State has not provided clear grounds for adopting such</w:t>
      </w:r>
      <w:r w:rsidR="00B00D26">
        <w:rPr>
          <w:rFonts w:asciiTheme="majorHAnsi" w:hAnsiTheme="majorHAnsi"/>
          <w:sz w:val="20"/>
          <w:szCs w:val="20"/>
          <w:lang w:val="en"/>
        </w:rPr>
        <w:t xml:space="preserve"> a</w:t>
      </w:r>
      <w:r>
        <w:rPr>
          <w:rFonts w:asciiTheme="majorHAnsi" w:hAnsiTheme="majorHAnsi"/>
          <w:sz w:val="20"/>
          <w:szCs w:val="20"/>
          <w:lang w:val="en"/>
        </w:rPr>
        <w:t xml:space="preserve"> decision. </w:t>
      </w:r>
    </w:p>
    <w:p w14:paraId="43677707" w14:textId="77777777"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27.</w:t>
      </w:r>
      <w:r>
        <w:rPr>
          <w:rFonts w:asciiTheme="majorHAnsi" w:hAnsiTheme="majorHAnsi"/>
          <w:sz w:val="20"/>
          <w:szCs w:val="20"/>
          <w:lang w:val="en"/>
        </w:rPr>
        <w:tab/>
        <w:t>Therefore, the Commission deems that it should apply to this matter the exception to the requirement of exhaustion of domestic remedies, set forth in Article 46.2.a of the American Convention, and concludes that this petition was filed within a reasonable time under the terms of Article 32.2 of the IACHR Rules of Procedure.</w:t>
      </w:r>
    </w:p>
    <w:p w14:paraId="734E1697" w14:textId="77777777" w:rsidR="009E0C77" w:rsidRPr="00E64C3D" w:rsidRDefault="009E0C77" w:rsidP="009E0C77">
      <w:pPr>
        <w:pStyle w:val="ListParagraph"/>
        <w:spacing w:before="240" w:after="240"/>
        <w:jc w:val="both"/>
        <w:rPr>
          <w:rFonts w:asciiTheme="majorHAnsi" w:hAnsiTheme="majorHAnsi"/>
          <w:b/>
          <w:sz w:val="20"/>
          <w:szCs w:val="20"/>
        </w:rPr>
      </w:pPr>
      <w:r>
        <w:rPr>
          <w:rFonts w:asciiTheme="majorHAnsi" w:hAnsiTheme="majorHAnsi"/>
          <w:b/>
          <w:bCs/>
          <w:sz w:val="20"/>
          <w:szCs w:val="20"/>
          <w:lang w:val="en"/>
        </w:rPr>
        <w:t>VIII.</w:t>
      </w:r>
      <w:r>
        <w:rPr>
          <w:rFonts w:asciiTheme="majorHAnsi" w:hAnsiTheme="majorHAnsi"/>
          <w:b/>
          <w:bCs/>
          <w:sz w:val="20"/>
          <w:szCs w:val="20"/>
          <w:lang w:val="en"/>
        </w:rPr>
        <w:tab/>
        <w:t>ANALYSIS OF COLORABLE CLAIM</w:t>
      </w:r>
    </w:p>
    <w:p w14:paraId="15C590E6" w14:textId="494BEBD9"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28.</w:t>
      </w:r>
      <w:r>
        <w:rPr>
          <w:rFonts w:asciiTheme="majorHAnsi" w:hAnsiTheme="majorHAnsi"/>
          <w:sz w:val="20"/>
          <w:szCs w:val="20"/>
          <w:lang w:val="en"/>
        </w:rPr>
        <w:tab/>
        <w:t xml:space="preserve">The Commission reiterates that for admissibility, it must decide whether the facts alleged may characterize a human rights violation under the provisions of Article 47.b of the American Convention or whether the petition is “manifestly groundless” or “obviously out of order,” according to subparagraph (c) of the said article. </w:t>
      </w:r>
    </w:p>
    <w:p w14:paraId="57548CB6" w14:textId="1BEC768D"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29.</w:t>
      </w:r>
      <w:r>
        <w:rPr>
          <w:rFonts w:asciiTheme="majorHAnsi" w:hAnsiTheme="majorHAnsi"/>
          <w:sz w:val="20"/>
          <w:szCs w:val="20"/>
          <w:lang w:val="en"/>
        </w:rPr>
        <w:tab/>
        <w:t xml:space="preserve">In this case, it is alleged that Ms. M timely reported the acts of physical, psychological, and sexual violence committed against her and her daughter and that she even expressed her fear that her daughter would be kidnapped. Ms. M reported C’s abduction on the same day that this happened. The State asserts that it took several steps within the criminal proceedings, including the publication of a migratory alert, the examination of the case files on domestic violence, interviews to witnesses presented by Ms. M, the </w:t>
      </w:r>
      <w:r w:rsidR="00566B23">
        <w:rPr>
          <w:rFonts w:asciiTheme="majorHAnsi" w:hAnsiTheme="majorHAnsi"/>
          <w:sz w:val="20"/>
          <w:szCs w:val="20"/>
          <w:lang w:val="en"/>
        </w:rPr>
        <w:t xml:space="preserve">drafting </w:t>
      </w:r>
      <w:r>
        <w:rPr>
          <w:rFonts w:asciiTheme="majorHAnsi" w:hAnsiTheme="majorHAnsi"/>
          <w:sz w:val="20"/>
          <w:szCs w:val="20"/>
          <w:lang w:val="en"/>
        </w:rPr>
        <w:t xml:space="preserve">of an investigation report, and records of the migratory moves of C and her parents. </w:t>
      </w:r>
      <w:proofErr w:type="gramStart"/>
      <w:r>
        <w:rPr>
          <w:rFonts w:asciiTheme="majorHAnsi" w:hAnsiTheme="majorHAnsi"/>
          <w:sz w:val="20"/>
          <w:szCs w:val="20"/>
          <w:lang w:val="en"/>
        </w:rPr>
        <w:t>In regard to</w:t>
      </w:r>
      <w:proofErr w:type="gramEnd"/>
      <w:r>
        <w:rPr>
          <w:rFonts w:asciiTheme="majorHAnsi" w:hAnsiTheme="majorHAnsi"/>
          <w:sz w:val="20"/>
          <w:szCs w:val="20"/>
          <w:lang w:val="en"/>
        </w:rPr>
        <w:t xml:space="preserve"> the criminal proceedings following the complaint of sexual exploitation, the State informs that these were dismissed.</w:t>
      </w:r>
    </w:p>
    <w:p w14:paraId="61A7150E" w14:textId="30EF38FC"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30.</w:t>
      </w:r>
      <w:r>
        <w:rPr>
          <w:rFonts w:asciiTheme="majorHAnsi" w:hAnsiTheme="majorHAnsi"/>
          <w:sz w:val="20"/>
          <w:szCs w:val="20"/>
          <w:lang w:val="en"/>
        </w:rPr>
        <w:tab/>
      </w:r>
      <w:r w:rsidR="00AA08D2">
        <w:rPr>
          <w:rFonts w:asciiTheme="majorHAnsi" w:hAnsiTheme="majorHAnsi"/>
          <w:sz w:val="20"/>
          <w:szCs w:val="20"/>
          <w:lang w:val="en"/>
        </w:rPr>
        <w:t>I</w:t>
      </w:r>
      <w:r>
        <w:rPr>
          <w:rFonts w:asciiTheme="majorHAnsi" w:hAnsiTheme="majorHAnsi"/>
          <w:sz w:val="20"/>
          <w:szCs w:val="20"/>
          <w:lang w:val="en"/>
        </w:rPr>
        <w:t>n cases involving domestic violence, this Commission has established that States are obliged to respond effectively and in a coordinated fashion to enforce the terms of restraining orders to protect the victims,</w:t>
      </w:r>
      <w:r>
        <w:rPr>
          <w:rStyle w:val="FootnoteReference"/>
          <w:rFonts w:asciiTheme="majorHAnsi" w:hAnsiTheme="majorHAnsi"/>
          <w:sz w:val="20"/>
          <w:szCs w:val="20"/>
          <w:lang w:val="en"/>
        </w:rPr>
        <w:footnoteReference w:id="9"/>
      </w:r>
      <w:r>
        <w:rPr>
          <w:rFonts w:asciiTheme="majorHAnsi" w:hAnsiTheme="majorHAnsi"/>
          <w:sz w:val="20"/>
          <w:szCs w:val="20"/>
          <w:lang w:val="en"/>
        </w:rPr>
        <w:t xml:space="preserve"> which means that authorities must act immediately and expeditiously when girl-children are reported kidnapped in such a context.</w:t>
      </w:r>
      <w:r>
        <w:rPr>
          <w:rStyle w:val="FootnoteReference"/>
          <w:rFonts w:asciiTheme="majorHAnsi" w:hAnsiTheme="majorHAnsi"/>
          <w:sz w:val="20"/>
          <w:szCs w:val="20"/>
          <w:lang w:val="en"/>
        </w:rPr>
        <w:footnoteReference w:id="10"/>
      </w:r>
      <w:r>
        <w:rPr>
          <w:rFonts w:asciiTheme="majorHAnsi" w:hAnsiTheme="majorHAnsi"/>
          <w:sz w:val="20"/>
          <w:szCs w:val="20"/>
          <w:lang w:val="en"/>
        </w:rPr>
        <w:t xml:space="preserve"> In this regard, States must bear in mind that usually boys, girls, and adolescents witness acts of domestic violence and that the restraining order may be the only legal remedy available to women victims, along with their children, to be protected from imminent harm; that, therefore, measures of protection must be implemented with due diligence.</w:t>
      </w:r>
      <w:r>
        <w:rPr>
          <w:rStyle w:val="FootnoteReference"/>
          <w:rFonts w:asciiTheme="majorHAnsi" w:hAnsiTheme="majorHAnsi"/>
          <w:sz w:val="20"/>
          <w:szCs w:val="20"/>
          <w:lang w:val="en"/>
        </w:rPr>
        <w:footnoteReference w:id="11"/>
      </w:r>
      <w:r>
        <w:rPr>
          <w:rFonts w:asciiTheme="majorHAnsi" w:hAnsiTheme="majorHAnsi"/>
          <w:sz w:val="20"/>
          <w:szCs w:val="20"/>
          <w:lang w:val="en"/>
        </w:rPr>
        <w:t xml:space="preserve"> Moreover, Article 7 of the Convention of Bel</w:t>
      </w:r>
      <w:r w:rsidR="00B742A0">
        <w:rPr>
          <w:rFonts w:asciiTheme="majorHAnsi" w:hAnsiTheme="majorHAnsi"/>
          <w:sz w:val="20"/>
          <w:szCs w:val="20"/>
          <w:lang w:val="en"/>
        </w:rPr>
        <w:t>e</w:t>
      </w:r>
      <w:r>
        <w:rPr>
          <w:rFonts w:asciiTheme="majorHAnsi" w:hAnsiTheme="majorHAnsi"/>
          <w:sz w:val="20"/>
          <w:szCs w:val="20"/>
          <w:lang w:val="en"/>
        </w:rPr>
        <w:t>m do Par</w:t>
      </w:r>
      <w:r w:rsidR="00B742A0">
        <w:rPr>
          <w:rFonts w:asciiTheme="majorHAnsi" w:hAnsiTheme="majorHAnsi"/>
          <w:sz w:val="20"/>
          <w:szCs w:val="20"/>
          <w:lang w:val="en"/>
        </w:rPr>
        <w:t>a</w:t>
      </w:r>
      <w:r>
        <w:rPr>
          <w:rFonts w:asciiTheme="majorHAnsi" w:hAnsiTheme="majorHAnsi"/>
          <w:sz w:val="20"/>
          <w:szCs w:val="20"/>
          <w:lang w:val="en"/>
        </w:rPr>
        <w:t xml:space="preserve"> establishes the obligation for States to adopt legal measures to punish violence against women. </w:t>
      </w:r>
      <w:proofErr w:type="gramStart"/>
      <w:r>
        <w:rPr>
          <w:rFonts w:asciiTheme="majorHAnsi" w:hAnsiTheme="majorHAnsi"/>
          <w:sz w:val="20"/>
          <w:szCs w:val="20"/>
          <w:lang w:val="en"/>
        </w:rPr>
        <w:t>In regard to</w:t>
      </w:r>
      <w:proofErr w:type="gramEnd"/>
      <w:r>
        <w:rPr>
          <w:rFonts w:asciiTheme="majorHAnsi" w:hAnsiTheme="majorHAnsi"/>
          <w:sz w:val="20"/>
          <w:szCs w:val="20"/>
          <w:lang w:val="en"/>
        </w:rPr>
        <w:t xml:space="preserve"> this, the Committee on the Elimination of Discrimination against Women recommends that States ensure that </w:t>
      </w:r>
      <w:r>
        <w:rPr>
          <w:rFonts w:asciiTheme="majorHAnsi" w:hAnsiTheme="majorHAnsi"/>
          <w:sz w:val="20"/>
          <w:szCs w:val="20"/>
          <w:lang w:val="en"/>
        </w:rPr>
        <w:lastRenderedPageBreak/>
        <w:t>all forms of gender-based violence, which amount to a violation of their physical, sexual, or psychological integrity are criminalized and introduce legal sanctions commensurate with the gravity of the offense.</w:t>
      </w:r>
      <w:r>
        <w:rPr>
          <w:rStyle w:val="FootnoteReference"/>
          <w:rFonts w:asciiTheme="majorHAnsi" w:hAnsiTheme="majorHAnsi"/>
          <w:sz w:val="20"/>
          <w:szCs w:val="20"/>
          <w:lang w:val="en"/>
        </w:rPr>
        <w:footnoteReference w:id="12"/>
      </w:r>
      <w:r>
        <w:rPr>
          <w:rFonts w:asciiTheme="majorHAnsi" w:hAnsiTheme="majorHAnsi"/>
          <w:sz w:val="20"/>
          <w:szCs w:val="20"/>
          <w:lang w:val="en"/>
        </w:rPr>
        <w:t xml:space="preserve"> </w:t>
      </w:r>
    </w:p>
    <w:p w14:paraId="61DFAC5A" w14:textId="77777777"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31.</w:t>
      </w:r>
      <w:r>
        <w:rPr>
          <w:rFonts w:asciiTheme="majorHAnsi" w:hAnsiTheme="majorHAnsi"/>
          <w:sz w:val="20"/>
          <w:szCs w:val="20"/>
          <w:lang w:val="en"/>
        </w:rPr>
        <w:tab/>
        <w:t xml:space="preserve">In this case, after analyzing the documentation provided by the parties, the Commission has no specific information about real measures adopted by the State to locate girl C and her father nor about the authorities’ publication of an immediate alert to the officers of the Immigration Department. Moreover, it is a reason for worry that the State has omitted to undertake real actions within other criminal proceedings and to adopt measures of protection to help prevent the kidnap of C. Although Costa Rica granted restraining orders in favor of M, it omitted to criminally investigate C’s father for domestic violence perpetrated against the alleged victim; it did not provide support about the investigation of the complaint of sexual violence perpetrated against M and C, and it dismissed the case for the charge of sexual exploitation. The foregoing is particularly serious in this case because this appears to have led to the international abduction of girl C. </w:t>
      </w:r>
    </w:p>
    <w:p w14:paraId="5CE3D29C" w14:textId="77777777" w:rsidR="009E0C77" w:rsidRDefault="009E0C77" w:rsidP="009E0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32.</w:t>
      </w:r>
      <w:r>
        <w:rPr>
          <w:lang w:val="en"/>
        </w:rPr>
        <w:tab/>
      </w:r>
      <w:r>
        <w:rPr>
          <w:rFonts w:asciiTheme="majorHAnsi" w:hAnsiTheme="majorHAnsi"/>
          <w:sz w:val="20"/>
          <w:szCs w:val="20"/>
          <w:lang w:val="en"/>
        </w:rPr>
        <w:t xml:space="preserve">Consequently, the Commission believes that the claims submitted by the parties require an analysis of the merits to determine whether the decisions adopted by Costa Rica’s judicial authorities were adequate and effective to prevent and punish with a gender-based perspective. If proven to be true, the facts alleged by the petitioners may constitute violations of the rights recognized in Articles </w:t>
      </w:r>
      <w:r>
        <w:rPr>
          <w:rFonts w:ascii="Cambria" w:hAnsi="Cambria"/>
          <w:sz w:val="20"/>
          <w:szCs w:val="20"/>
          <w:lang w:val="en"/>
        </w:rPr>
        <w:t xml:space="preserve">5 (humane treatment), 7 (personal liberty), 8 (fair trial), 11 (privacy), 17 (rights of the family), 19 (rights of the child), 24 (equal protection), and 25 (judicial protection) of the American Convention, regarding Articles 1.1 (obligation to respect rights) and 2 (domestic legal effects) thereof; and Article 7 of the Convention of </w:t>
      </w:r>
      <w:proofErr w:type="spellStart"/>
      <w:r>
        <w:rPr>
          <w:rFonts w:ascii="Cambria" w:hAnsi="Cambria"/>
          <w:sz w:val="20"/>
          <w:szCs w:val="20"/>
          <w:lang w:val="en"/>
        </w:rPr>
        <w:t>Belém</w:t>
      </w:r>
      <w:proofErr w:type="spellEnd"/>
      <w:r>
        <w:rPr>
          <w:rFonts w:ascii="Cambria" w:hAnsi="Cambria"/>
          <w:sz w:val="20"/>
          <w:szCs w:val="20"/>
          <w:lang w:val="en"/>
        </w:rPr>
        <w:t xml:space="preserve"> do Pará.</w:t>
      </w:r>
    </w:p>
    <w:p w14:paraId="2B138350" w14:textId="77777777" w:rsidR="009E0C77" w:rsidRPr="0078770A" w:rsidRDefault="009E0C77" w:rsidP="009E0C77">
      <w:pPr>
        <w:pStyle w:val="ListParagraph"/>
        <w:spacing w:before="240" w:after="24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sz w:val="20"/>
          <w:szCs w:val="20"/>
          <w:lang w:val="en"/>
        </w:rPr>
        <w:tab/>
      </w:r>
      <w:r>
        <w:rPr>
          <w:rFonts w:asciiTheme="majorHAnsi" w:hAnsiTheme="majorHAnsi"/>
          <w:b/>
          <w:bCs/>
          <w:sz w:val="20"/>
          <w:szCs w:val="20"/>
          <w:lang w:val="en"/>
        </w:rPr>
        <w:t>DECISION</w:t>
      </w:r>
    </w:p>
    <w:p w14:paraId="26A16955" w14:textId="51E82975" w:rsidR="009E0C77" w:rsidRPr="009E0C77" w:rsidRDefault="009E0C77" w:rsidP="001349B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6"/>
        <w:jc w:val="both"/>
        <w:rPr>
          <w:sz w:val="20"/>
          <w:szCs w:val="20"/>
        </w:rPr>
      </w:pPr>
      <w:r w:rsidRPr="009E0C77">
        <w:rPr>
          <w:rFonts w:asciiTheme="majorHAnsi" w:hAnsiTheme="majorHAnsi"/>
          <w:sz w:val="20"/>
          <w:szCs w:val="20"/>
          <w:lang w:val="en"/>
        </w:rPr>
        <w:t xml:space="preserve">To declare this petition admissible regarding Articles </w:t>
      </w:r>
      <w:r w:rsidRPr="009E0C77">
        <w:rPr>
          <w:sz w:val="20"/>
          <w:szCs w:val="20"/>
          <w:lang w:val="en"/>
        </w:rPr>
        <w:t xml:space="preserve">5, 7, 8, 11, 17, 19, 24, and 25 of the American Convention, in relation to Articles 1.1 and 2 thereof, and Article 7 of the Convention of </w:t>
      </w:r>
      <w:proofErr w:type="spellStart"/>
      <w:r w:rsidRPr="009E0C77">
        <w:rPr>
          <w:sz w:val="20"/>
          <w:szCs w:val="20"/>
          <w:lang w:val="en"/>
        </w:rPr>
        <w:t>Belém</w:t>
      </w:r>
      <w:proofErr w:type="spellEnd"/>
      <w:r w:rsidRPr="009E0C77">
        <w:rPr>
          <w:sz w:val="20"/>
          <w:szCs w:val="20"/>
          <w:lang w:val="en"/>
        </w:rPr>
        <w:t xml:space="preserve"> do Pará</w:t>
      </w:r>
      <w:r w:rsidRPr="009E0C77">
        <w:rPr>
          <w:rFonts w:asciiTheme="majorHAnsi" w:hAnsiTheme="majorHAnsi"/>
          <w:sz w:val="20"/>
          <w:szCs w:val="20"/>
          <w:lang w:val="en"/>
        </w:rPr>
        <w:t>; and</w:t>
      </w:r>
    </w:p>
    <w:p w14:paraId="49C91919" w14:textId="2EA02CEC" w:rsidR="00F621C3" w:rsidRPr="009E0C77" w:rsidRDefault="009E0C77" w:rsidP="001349BA">
      <w:pPr>
        <w:pStyle w:val="ListParagraph"/>
        <w:numPr>
          <w:ilvl w:val="0"/>
          <w:numId w:val="107"/>
        </w:numPr>
        <w:spacing w:before="120" w:after="240"/>
        <w:ind w:left="0" w:firstLine="706"/>
        <w:jc w:val="both"/>
        <w:rPr>
          <w:rFonts w:asciiTheme="majorHAnsi" w:hAnsiTheme="majorHAnsi"/>
          <w:sz w:val="20"/>
          <w:szCs w:val="20"/>
        </w:rPr>
      </w:pPr>
      <w:r w:rsidRPr="009E0C77">
        <w:rPr>
          <w:rFonts w:asciiTheme="majorHAnsi" w:hAnsiTheme="majorHAnsi"/>
          <w:sz w:val="20"/>
          <w:szCs w:val="20"/>
          <w:lang w:val="en"/>
        </w:rPr>
        <w:t>To notify the parties of this decision; to continue with the analysis of the merits; and to publish this decision and include it in its Annual Report to the General Assembly of the Organization of American States.</w:t>
      </w:r>
    </w:p>
    <w:p w14:paraId="68F50338" w14:textId="6612F609" w:rsidR="00246365" w:rsidRDefault="00246365" w:rsidP="00246365">
      <w:pPr>
        <w:suppressAutoHyphens/>
        <w:ind w:firstLine="720"/>
        <w:jc w:val="both"/>
        <w:rPr>
          <w:rFonts w:ascii="Cambria" w:hAnsi="Cambria"/>
          <w:spacing w:val="-2"/>
          <w:sz w:val="20"/>
        </w:rPr>
      </w:pPr>
      <w:bookmarkStart w:id="6" w:name="_Hlk69908510"/>
      <w:r w:rsidRPr="006D25D7">
        <w:rPr>
          <w:rFonts w:ascii="Cambria" w:hAnsi="Cambria"/>
          <w:spacing w:val="-2"/>
          <w:sz w:val="20"/>
        </w:rPr>
        <w:t xml:space="preserve">Approved by the Inter-American Commission on Human Rights on the </w:t>
      </w:r>
      <w:r w:rsidR="007A4797">
        <w:rPr>
          <w:rFonts w:ascii="Cambria" w:hAnsi="Cambria"/>
          <w:spacing w:val="-2"/>
          <w:sz w:val="20"/>
        </w:rPr>
        <w:t>4</w:t>
      </w:r>
      <w:r w:rsidR="007A4797" w:rsidRPr="007A4797">
        <w:rPr>
          <w:rFonts w:ascii="Cambria" w:hAnsi="Cambria"/>
          <w:spacing w:val="-2"/>
          <w:sz w:val="20"/>
          <w:vertAlign w:val="superscript"/>
        </w:rPr>
        <w:t>th</w:t>
      </w:r>
      <w:r w:rsidR="007A4797">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proofErr w:type="gramStart"/>
      <w:r w:rsidR="007A4797">
        <w:rPr>
          <w:rFonts w:ascii="Cambria" w:hAnsi="Cambria"/>
          <w:spacing w:val="-2"/>
          <w:sz w:val="20"/>
        </w:rPr>
        <w:t>November</w:t>
      </w:r>
      <w:r>
        <w:rPr>
          <w:rFonts w:ascii="Cambria" w:hAnsi="Cambria"/>
          <w:spacing w:val="-2"/>
          <w:sz w:val="20"/>
        </w:rPr>
        <w:t>,</w:t>
      </w:r>
      <w:proofErr w:type="gramEnd"/>
      <w:r>
        <w:rPr>
          <w:rFonts w:ascii="Cambria" w:hAnsi="Cambria"/>
          <w:spacing w:val="-2"/>
          <w:sz w:val="20"/>
        </w:rPr>
        <w:t xml:space="preserve"> 2021</w:t>
      </w:r>
      <w:r w:rsidRPr="006D25D7">
        <w:rPr>
          <w:rFonts w:ascii="Cambria" w:hAnsi="Cambria"/>
          <w:spacing w:val="-2"/>
          <w:sz w:val="20"/>
        </w:rPr>
        <w:t xml:space="preserve">. </w:t>
      </w:r>
      <w:r>
        <w:rPr>
          <w:rFonts w:ascii="Cambria" w:hAnsi="Cambria"/>
          <w:spacing w:val="-2"/>
          <w:sz w:val="20"/>
        </w:rPr>
        <w:t xml:space="preserve"> (Signed:) </w:t>
      </w:r>
      <w:r>
        <w:rPr>
          <w:rFonts w:asciiTheme="majorHAnsi" w:hAnsiTheme="majorHAnsi" w:cs="Arial"/>
          <w:noProof/>
          <w:spacing w:val="-2"/>
          <w:sz w:val="20"/>
          <w:szCs w:val="20"/>
        </w:rPr>
        <w:t>Antonia Urrejola</w:t>
      </w:r>
      <w:r w:rsidRPr="006D25D7">
        <w:rPr>
          <w:rFonts w:ascii="Cambria" w:hAnsi="Cambria"/>
          <w:sz w:val="20"/>
        </w:rPr>
        <w:t xml:space="preserve">, President; </w:t>
      </w:r>
      <w:r>
        <w:rPr>
          <w:rFonts w:asciiTheme="majorHAnsi" w:hAnsiTheme="majorHAnsi" w:cs="Arial"/>
          <w:noProof/>
          <w:spacing w:val="-2"/>
          <w:sz w:val="20"/>
          <w:szCs w:val="20"/>
        </w:rPr>
        <w:t>Julissa Mantilla Falcón</w:t>
      </w:r>
      <w:r w:rsidRPr="006D25D7">
        <w:rPr>
          <w:rFonts w:ascii="Cambria" w:hAnsi="Cambria"/>
          <w:sz w:val="20"/>
        </w:rPr>
        <w:t xml:space="preserve">, First Vice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 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Joel Hernández</w:t>
      </w:r>
      <w:r w:rsidRPr="008E4C59">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p>
    <w:bookmarkEnd w:id="6"/>
    <w:p w14:paraId="72F335FC"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76AE8A6" w14:textId="77777777" w:rsidR="00F621C3" w:rsidRPr="000B6B7A" w:rsidRDefault="00F621C3" w:rsidP="00F621C3">
      <w:pPr>
        <w:rPr>
          <w:rFonts w:ascii="Cambria" w:hAnsi="Cambria" w:cs="Calibri"/>
          <w:sz w:val="20"/>
          <w:szCs w:val="20"/>
        </w:rPr>
      </w:pPr>
    </w:p>
    <w:p w14:paraId="5B6C1BEB"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153A4" w14:textId="77777777" w:rsidR="00526B4A" w:rsidRDefault="00526B4A" w:rsidP="00036A8A">
      <w:r>
        <w:separator/>
      </w:r>
    </w:p>
  </w:endnote>
  <w:endnote w:type="continuationSeparator" w:id="0">
    <w:p w14:paraId="5B75466E" w14:textId="77777777" w:rsidR="00526B4A" w:rsidRDefault="00526B4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76A4D9E6"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801F8">
          <w:rPr>
            <w:noProof/>
            <w:sz w:val="16"/>
          </w:rPr>
          <w:t>4</w:t>
        </w:r>
        <w:r w:rsidRPr="006311DA">
          <w:rPr>
            <w:noProof/>
            <w:sz w:val="16"/>
          </w:rPr>
          <w:fldChar w:fldCharType="end"/>
        </w:r>
      </w:p>
    </w:sdtContent>
  </w:sdt>
  <w:p w14:paraId="2D483621"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E716B" w14:textId="77777777" w:rsidR="00526B4A" w:rsidRPr="00036A8A" w:rsidRDefault="00526B4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393E8B9" w14:textId="77777777" w:rsidR="00526B4A" w:rsidRPr="00036A8A" w:rsidRDefault="00526B4A" w:rsidP="00036A8A">
      <w:pPr>
        <w:rPr>
          <w:rFonts w:asciiTheme="majorHAnsi" w:hAnsiTheme="majorHAnsi"/>
          <w:sz w:val="16"/>
          <w:szCs w:val="16"/>
        </w:rPr>
      </w:pPr>
      <w:r w:rsidRPr="00036A8A">
        <w:rPr>
          <w:rFonts w:asciiTheme="majorHAnsi" w:hAnsiTheme="majorHAnsi"/>
          <w:sz w:val="16"/>
          <w:szCs w:val="16"/>
        </w:rPr>
        <w:separator/>
      </w:r>
    </w:p>
    <w:p w14:paraId="7C53BF05" w14:textId="77777777" w:rsidR="00526B4A" w:rsidRPr="00036A8A" w:rsidRDefault="00526B4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B78B22F" w14:textId="77777777" w:rsidR="00526B4A" w:rsidRPr="0093441A" w:rsidRDefault="00526B4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A5F3D0A" w14:textId="5AA5C8EC" w:rsidR="000E5748" w:rsidRPr="007A3290" w:rsidRDefault="000E5748" w:rsidP="00912320">
      <w:pPr>
        <w:pStyle w:val="FootnoteText"/>
        <w:ind w:firstLine="720"/>
        <w:jc w:val="both"/>
        <w:rPr>
          <w:rFonts w:asciiTheme="majorHAnsi" w:hAnsiTheme="majorHAnsi"/>
          <w:sz w:val="16"/>
          <w:szCs w:val="16"/>
        </w:rPr>
      </w:pPr>
      <w:r w:rsidRPr="007A3290">
        <w:rPr>
          <w:rFonts w:asciiTheme="majorHAnsi" w:hAnsiTheme="majorHAnsi"/>
          <w:sz w:val="16"/>
          <w:szCs w:val="16"/>
          <w:vertAlign w:val="superscript"/>
        </w:rPr>
        <w:footnoteRef/>
      </w:r>
      <w:r w:rsidRPr="007A3290">
        <w:rPr>
          <w:rFonts w:asciiTheme="majorHAnsi" w:hAnsiTheme="majorHAnsi"/>
          <w:sz w:val="16"/>
          <w:szCs w:val="16"/>
          <w:vertAlign w:val="superscript"/>
        </w:rPr>
        <w:t xml:space="preserve"> </w:t>
      </w:r>
      <w:r w:rsidRPr="007A3290">
        <w:rPr>
          <w:rFonts w:asciiTheme="majorHAnsi" w:hAnsiTheme="majorHAnsi"/>
          <w:sz w:val="16"/>
          <w:szCs w:val="16"/>
        </w:rPr>
        <w:t>Due to the nature of the facts and the main victim’s minority of age, in this public decision the IACHR will keep the victims’ names confidential.</w:t>
      </w:r>
    </w:p>
  </w:footnote>
  <w:footnote w:id="3">
    <w:p w14:paraId="304B01C4" w14:textId="0E7F82D7" w:rsidR="00D3587A" w:rsidRPr="007A3290" w:rsidRDefault="00D3587A" w:rsidP="00912320">
      <w:pPr>
        <w:pStyle w:val="FootnoteText"/>
        <w:ind w:firstLine="720"/>
        <w:jc w:val="both"/>
        <w:rPr>
          <w:rFonts w:asciiTheme="majorHAnsi" w:hAnsiTheme="majorHAnsi"/>
          <w:sz w:val="16"/>
          <w:szCs w:val="16"/>
        </w:rPr>
      </w:pPr>
      <w:r w:rsidRPr="007A3290">
        <w:rPr>
          <w:rStyle w:val="FootnoteReference"/>
          <w:rFonts w:asciiTheme="majorHAnsi" w:hAnsiTheme="majorHAnsi"/>
          <w:sz w:val="16"/>
          <w:szCs w:val="16"/>
        </w:rPr>
        <w:footnoteRef/>
      </w:r>
      <w:r w:rsidRPr="007A3290">
        <w:rPr>
          <w:rFonts w:asciiTheme="majorHAnsi" w:hAnsiTheme="majorHAnsi"/>
          <w:sz w:val="16"/>
          <w:szCs w:val="16"/>
        </w:rPr>
        <w:t xml:space="preserve"> </w:t>
      </w:r>
      <w:r w:rsidR="007A3290" w:rsidRPr="007A3290">
        <w:rPr>
          <w:rFonts w:asciiTheme="majorHAnsi" w:hAnsiTheme="majorHAnsi"/>
          <w:sz w:val="16"/>
          <w:szCs w:val="16"/>
        </w:rPr>
        <w:t>Hereinafter “the American Convention” or “the Convention.”</w:t>
      </w:r>
    </w:p>
  </w:footnote>
  <w:footnote w:id="4">
    <w:p w14:paraId="3B38CAA0" w14:textId="3C0AFDA4" w:rsidR="00453B4B" w:rsidRPr="0074463A" w:rsidRDefault="00453B4B" w:rsidP="00453B4B">
      <w:pPr>
        <w:pStyle w:val="FootnoteText"/>
        <w:ind w:firstLine="720"/>
        <w:jc w:val="both"/>
        <w:rPr>
          <w:rFonts w:ascii="Cambria" w:hAnsi="Cambria"/>
          <w:lang w:val="pt-BR"/>
        </w:rPr>
      </w:pPr>
      <w:r w:rsidRPr="00453B4B">
        <w:rPr>
          <w:rStyle w:val="FootnoteReference"/>
          <w:rFonts w:ascii="Cambria" w:hAnsi="Cambria"/>
          <w:sz w:val="16"/>
          <w:szCs w:val="16"/>
        </w:rPr>
        <w:footnoteRef/>
      </w:r>
      <w:r w:rsidRPr="0074463A">
        <w:rPr>
          <w:rFonts w:ascii="Cambria" w:hAnsi="Cambria"/>
          <w:sz w:val="16"/>
          <w:szCs w:val="16"/>
          <w:lang w:val="pt-BR"/>
        </w:rPr>
        <w:t xml:space="preserve"> Hereinafter “Belem do Para Convention.”</w:t>
      </w:r>
    </w:p>
  </w:footnote>
  <w:footnote w:id="5">
    <w:p w14:paraId="55774E34" w14:textId="77777777" w:rsidR="00653EA6" w:rsidRPr="007A3290" w:rsidRDefault="00653EA6" w:rsidP="00912320">
      <w:pPr>
        <w:pStyle w:val="FootnoteText"/>
        <w:ind w:firstLine="720"/>
        <w:jc w:val="both"/>
        <w:rPr>
          <w:rFonts w:asciiTheme="majorHAnsi" w:hAnsiTheme="majorHAnsi"/>
          <w:sz w:val="16"/>
          <w:szCs w:val="16"/>
        </w:rPr>
      </w:pPr>
      <w:r w:rsidRPr="007A3290">
        <w:rPr>
          <w:rStyle w:val="FootnoteReference"/>
          <w:rFonts w:asciiTheme="majorHAnsi" w:hAnsiTheme="majorHAnsi"/>
          <w:sz w:val="16"/>
          <w:szCs w:val="16"/>
        </w:rPr>
        <w:footnoteRef/>
      </w:r>
      <w:r w:rsidRPr="007A3290">
        <w:rPr>
          <w:rFonts w:asciiTheme="majorHAnsi" w:hAnsiTheme="majorHAnsi"/>
          <w:sz w:val="16"/>
          <w:szCs w:val="16"/>
        </w:rPr>
        <w:t xml:space="preserve"> The observations </w:t>
      </w:r>
      <w:r w:rsidR="00321AFD" w:rsidRPr="007A3290">
        <w:rPr>
          <w:rFonts w:asciiTheme="majorHAnsi" w:hAnsiTheme="majorHAnsi"/>
          <w:sz w:val="16"/>
          <w:szCs w:val="16"/>
        </w:rPr>
        <w:t>submitted</w:t>
      </w:r>
      <w:r w:rsidRPr="007A3290">
        <w:rPr>
          <w:rFonts w:asciiTheme="majorHAnsi" w:hAnsiTheme="majorHAnsi"/>
          <w:sz w:val="16"/>
          <w:szCs w:val="16"/>
        </w:rPr>
        <w:t xml:space="preserve"> by each party were duly transmitted to the opposing party.</w:t>
      </w:r>
    </w:p>
  </w:footnote>
  <w:footnote w:id="6">
    <w:p w14:paraId="144926EB" w14:textId="77777777" w:rsidR="009E0C77" w:rsidRPr="007A3290" w:rsidRDefault="009E0C77" w:rsidP="00912320">
      <w:pPr>
        <w:pStyle w:val="FootnoteText"/>
        <w:ind w:firstLine="720"/>
        <w:jc w:val="both"/>
        <w:rPr>
          <w:rFonts w:asciiTheme="majorHAnsi" w:hAnsiTheme="majorHAnsi"/>
          <w:sz w:val="16"/>
          <w:szCs w:val="16"/>
        </w:rPr>
      </w:pPr>
      <w:r w:rsidRPr="007A3290">
        <w:rPr>
          <w:rStyle w:val="FootnoteReference"/>
          <w:rFonts w:asciiTheme="majorHAnsi" w:hAnsiTheme="majorHAnsi"/>
          <w:sz w:val="16"/>
          <w:szCs w:val="16"/>
          <w:lang w:val="en"/>
        </w:rPr>
        <w:footnoteRef/>
      </w:r>
      <w:r w:rsidRPr="007A3290">
        <w:rPr>
          <w:rFonts w:asciiTheme="majorHAnsi" w:hAnsiTheme="majorHAnsi"/>
          <w:sz w:val="16"/>
          <w:szCs w:val="16"/>
          <w:lang w:val="en"/>
        </w:rPr>
        <w:t xml:space="preserve"> IACHR. Report No. 270/20, Petition 728-13. Admissibility. Enrique Roberto Duchicela Hernández and his family members. </w:t>
      </w:r>
      <w:r w:rsidRPr="007A3290">
        <w:rPr>
          <w:rFonts w:asciiTheme="majorHAnsi" w:hAnsiTheme="majorHAnsi"/>
          <w:sz w:val="16"/>
          <w:szCs w:val="16"/>
          <w:lang w:val="es-ES"/>
        </w:rPr>
        <w:t xml:space="preserve">Ecuador. October 7, 2020, par. 27; IACHR. Report No. 112/10, IP-02, Franklin Guillermo Aisalla Molina. </w:t>
      </w:r>
      <w:r w:rsidRPr="007A3290">
        <w:rPr>
          <w:rFonts w:asciiTheme="majorHAnsi" w:hAnsiTheme="majorHAnsi"/>
          <w:sz w:val="16"/>
          <w:szCs w:val="16"/>
          <w:lang w:val="en"/>
        </w:rPr>
        <w:t>Ecuador - Colombia. October 21, 2010, par. 90.</w:t>
      </w:r>
    </w:p>
  </w:footnote>
  <w:footnote w:id="7">
    <w:p w14:paraId="5566BCBE" w14:textId="77777777" w:rsidR="009E0C77" w:rsidRPr="007A3290" w:rsidRDefault="009E0C77" w:rsidP="00912320">
      <w:pPr>
        <w:pStyle w:val="FootnoteText"/>
        <w:ind w:firstLine="720"/>
        <w:jc w:val="both"/>
        <w:rPr>
          <w:rFonts w:asciiTheme="majorHAnsi" w:hAnsiTheme="majorHAnsi"/>
          <w:sz w:val="16"/>
          <w:szCs w:val="16"/>
        </w:rPr>
      </w:pPr>
      <w:r w:rsidRPr="007A3290">
        <w:rPr>
          <w:rStyle w:val="FootnoteReference"/>
          <w:rFonts w:asciiTheme="majorHAnsi" w:hAnsiTheme="majorHAnsi"/>
          <w:sz w:val="16"/>
          <w:szCs w:val="16"/>
          <w:lang w:val="en"/>
        </w:rPr>
        <w:footnoteRef/>
      </w:r>
      <w:r w:rsidRPr="007A3290">
        <w:rPr>
          <w:rFonts w:asciiTheme="majorHAnsi" w:hAnsiTheme="majorHAnsi"/>
          <w:sz w:val="16"/>
          <w:szCs w:val="16"/>
          <w:lang w:val="en"/>
        </w:rPr>
        <w:t xml:space="preserve"> IACHR, Report No. 89/21. Petition 5-12. Admissibility. Mine Workers of Cananea and their families. Mexico. March 28, 2021, par. 32. </w:t>
      </w:r>
    </w:p>
  </w:footnote>
  <w:footnote w:id="8">
    <w:p w14:paraId="6163A7C7" w14:textId="77777777" w:rsidR="009E0C77" w:rsidRPr="007A3290" w:rsidRDefault="009E0C77" w:rsidP="00912320">
      <w:pPr>
        <w:pStyle w:val="FootnoteText"/>
        <w:ind w:firstLine="720"/>
        <w:jc w:val="both"/>
        <w:rPr>
          <w:rFonts w:asciiTheme="majorHAnsi" w:hAnsiTheme="majorHAnsi"/>
          <w:sz w:val="16"/>
          <w:szCs w:val="16"/>
          <w:lang w:val="es-ES"/>
        </w:rPr>
      </w:pPr>
      <w:r w:rsidRPr="007A3290">
        <w:rPr>
          <w:rStyle w:val="FootnoteReference"/>
          <w:rFonts w:asciiTheme="majorHAnsi" w:hAnsiTheme="majorHAnsi"/>
          <w:sz w:val="16"/>
          <w:szCs w:val="16"/>
          <w:lang w:val="en"/>
        </w:rPr>
        <w:footnoteRef/>
      </w:r>
      <w:r w:rsidRPr="007A3290">
        <w:rPr>
          <w:rFonts w:asciiTheme="majorHAnsi" w:hAnsiTheme="majorHAnsi"/>
          <w:sz w:val="16"/>
          <w:szCs w:val="16"/>
          <w:lang w:val="en"/>
        </w:rPr>
        <w:t xml:space="preserve"> IACHR, Report No. 89/21. Petition 5-12. Admissibility. Mine Workers of Cananea and their families. </w:t>
      </w:r>
      <w:r w:rsidRPr="007A3290">
        <w:rPr>
          <w:rFonts w:asciiTheme="majorHAnsi" w:hAnsiTheme="majorHAnsi"/>
          <w:sz w:val="16"/>
          <w:szCs w:val="16"/>
          <w:lang w:val="es-ES"/>
        </w:rPr>
        <w:t>Mexico. March 28, 2021, par. 32.</w:t>
      </w:r>
    </w:p>
  </w:footnote>
  <w:footnote w:id="9">
    <w:p w14:paraId="47286691" w14:textId="77777777" w:rsidR="009E0C77" w:rsidRPr="007A3290" w:rsidRDefault="009E0C77" w:rsidP="00912320">
      <w:pPr>
        <w:pStyle w:val="FootnoteText"/>
        <w:ind w:firstLine="720"/>
        <w:jc w:val="both"/>
        <w:rPr>
          <w:rFonts w:asciiTheme="majorHAnsi" w:hAnsiTheme="majorHAnsi"/>
          <w:sz w:val="16"/>
          <w:szCs w:val="16"/>
        </w:rPr>
      </w:pPr>
      <w:r w:rsidRPr="007A3290">
        <w:rPr>
          <w:rStyle w:val="FootnoteReference"/>
          <w:rFonts w:asciiTheme="majorHAnsi" w:hAnsiTheme="majorHAnsi"/>
          <w:sz w:val="16"/>
          <w:szCs w:val="16"/>
          <w:lang w:val="en"/>
        </w:rPr>
        <w:footnoteRef/>
      </w:r>
      <w:r w:rsidRPr="007A3290">
        <w:rPr>
          <w:rFonts w:asciiTheme="majorHAnsi" w:hAnsiTheme="majorHAnsi"/>
          <w:sz w:val="16"/>
          <w:szCs w:val="16"/>
          <w:lang w:val="es-ES"/>
        </w:rPr>
        <w:t xml:space="preserve"> IACHR. Report No. 80/11, Case 13.626. Merits. Jessica Lenahan (González) </w:t>
      </w:r>
      <w:r w:rsidRPr="007A3290">
        <w:rPr>
          <w:rFonts w:asciiTheme="majorHAnsi" w:hAnsiTheme="majorHAnsi"/>
          <w:i/>
          <w:iCs/>
          <w:sz w:val="16"/>
          <w:szCs w:val="16"/>
          <w:lang w:val="es-ES"/>
        </w:rPr>
        <w:t>et al</w:t>
      </w:r>
      <w:r w:rsidRPr="007A3290">
        <w:rPr>
          <w:rFonts w:asciiTheme="majorHAnsi" w:hAnsiTheme="majorHAnsi"/>
          <w:sz w:val="16"/>
          <w:szCs w:val="16"/>
          <w:lang w:val="es-ES"/>
        </w:rPr>
        <w:t xml:space="preserve">. </w:t>
      </w:r>
      <w:r w:rsidRPr="007A3290">
        <w:rPr>
          <w:rFonts w:asciiTheme="majorHAnsi" w:hAnsiTheme="majorHAnsi"/>
          <w:sz w:val="16"/>
          <w:szCs w:val="16"/>
          <w:lang w:val="en"/>
        </w:rPr>
        <w:t>United States. July 21, 2011, par. 145.</w:t>
      </w:r>
    </w:p>
  </w:footnote>
  <w:footnote w:id="10">
    <w:p w14:paraId="73F3AA61" w14:textId="77777777" w:rsidR="009E0C77" w:rsidRPr="007A3290" w:rsidRDefault="009E0C77" w:rsidP="00912320">
      <w:pPr>
        <w:pStyle w:val="FootnoteText"/>
        <w:ind w:firstLine="720"/>
        <w:jc w:val="both"/>
        <w:rPr>
          <w:rFonts w:asciiTheme="majorHAnsi" w:hAnsiTheme="majorHAnsi"/>
          <w:sz w:val="16"/>
          <w:szCs w:val="16"/>
        </w:rPr>
      </w:pPr>
      <w:r w:rsidRPr="007A3290">
        <w:rPr>
          <w:rStyle w:val="FootnoteReference"/>
          <w:rFonts w:asciiTheme="majorHAnsi" w:hAnsiTheme="majorHAnsi"/>
          <w:sz w:val="16"/>
          <w:szCs w:val="16"/>
          <w:lang w:val="en"/>
        </w:rPr>
        <w:footnoteRef/>
      </w:r>
      <w:r w:rsidRPr="007A3290">
        <w:rPr>
          <w:rFonts w:asciiTheme="majorHAnsi" w:hAnsiTheme="majorHAnsi"/>
          <w:sz w:val="16"/>
          <w:szCs w:val="16"/>
          <w:lang w:val="en"/>
        </w:rPr>
        <w:t xml:space="preserve"> IACHR. Report No. 80/11, Case 13.626. Merits. Jessica Lenahan (González) </w:t>
      </w:r>
      <w:r w:rsidRPr="007A3290">
        <w:rPr>
          <w:rFonts w:asciiTheme="majorHAnsi" w:hAnsiTheme="majorHAnsi"/>
          <w:i/>
          <w:iCs/>
          <w:sz w:val="16"/>
          <w:szCs w:val="16"/>
          <w:lang w:val="en"/>
        </w:rPr>
        <w:t>et al</w:t>
      </w:r>
      <w:r w:rsidRPr="007A3290">
        <w:rPr>
          <w:rFonts w:asciiTheme="majorHAnsi" w:hAnsiTheme="majorHAnsi"/>
          <w:sz w:val="16"/>
          <w:szCs w:val="16"/>
          <w:lang w:val="en"/>
        </w:rPr>
        <w:t>. United States. July 21, 2011, par. 165.</w:t>
      </w:r>
    </w:p>
  </w:footnote>
  <w:footnote w:id="11">
    <w:p w14:paraId="65DC460B" w14:textId="77777777" w:rsidR="009E0C77" w:rsidRPr="007A3290" w:rsidRDefault="009E0C77" w:rsidP="00912320">
      <w:pPr>
        <w:pStyle w:val="FootnoteText"/>
        <w:tabs>
          <w:tab w:val="left" w:pos="2605"/>
        </w:tabs>
        <w:ind w:firstLine="720"/>
        <w:jc w:val="both"/>
        <w:rPr>
          <w:rFonts w:asciiTheme="majorHAnsi" w:hAnsiTheme="majorHAnsi"/>
          <w:sz w:val="16"/>
          <w:szCs w:val="16"/>
        </w:rPr>
      </w:pPr>
      <w:r w:rsidRPr="007A3290">
        <w:rPr>
          <w:rStyle w:val="FootnoteReference"/>
          <w:rFonts w:asciiTheme="majorHAnsi" w:hAnsiTheme="majorHAnsi"/>
          <w:sz w:val="16"/>
          <w:szCs w:val="16"/>
          <w:lang w:val="en"/>
        </w:rPr>
        <w:footnoteRef/>
      </w:r>
      <w:r w:rsidRPr="007A3290">
        <w:rPr>
          <w:rFonts w:asciiTheme="majorHAnsi" w:hAnsiTheme="majorHAnsi"/>
          <w:sz w:val="16"/>
          <w:szCs w:val="16"/>
          <w:lang w:val="en"/>
        </w:rPr>
        <w:t xml:space="preserve"> IACHR. Report No. 80/11, Case 13.626. Merits. Jessica Lenahan (González) </w:t>
      </w:r>
      <w:r w:rsidRPr="007A3290">
        <w:rPr>
          <w:rFonts w:asciiTheme="majorHAnsi" w:hAnsiTheme="majorHAnsi"/>
          <w:i/>
          <w:iCs/>
          <w:sz w:val="16"/>
          <w:szCs w:val="16"/>
          <w:lang w:val="en"/>
        </w:rPr>
        <w:t>et al</w:t>
      </w:r>
      <w:r w:rsidRPr="007A3290">
        <w:rPr>
          <w:rFonts w:asciiTheme="majorHAnsi" w:hAnsiTheme="majorHAnsi"/>
          <w:sz w:val="16"/>
          <w:szCs w:val="16"/>
          <w:lang w:val="en"/>
        </w:rPr>
        <w:t>. United States. July 21, 2011, par. 163.</w:t>
      </w:r>
    </w:p>
  </w:footnote>
  <w:footnote w:id="12">
    <w:p w14:paraId="4E78091C" w14:textId="4596F85A" w:rsidR="009E0C77" w:rsidRPr="007A3290" w:rsidRDefault="009E0C77" w:rsidP="00912320">
      <w:pPr>
        <w:pStyle w:val="FootnoteText"/>
        <w:ind w:firstLine="720"/>
        <w:jc w:val="both"/>
        <w:rPr>
          <w:rFonts w:asciiTheme="majorHAnsi" w:hAnsiTheme="majorHAnsi"/>
          <w:sz w:val="16"/>
          <w:szCs w:val="16"/>
        </w:rPr>
      </w:pPr>
      <w:r w:rsidRPr="007A3290">
        <w:rPr>
          <w:rStyle w:val="FootnoteReference"/>
          <w:rFonts w:asciiTheme="majorHAnsi" w:hAnsiTheme="majorHAnsi"/>
          <w:sz w:val="16"/>
          <w:szCs w:val="16"/>
          <w:lang w:val="en"/>
        </w:rPr>
        <w:footnoteRef/>
      </w:r>
      <w:r w:rsidRPr="007A3290">
        <w:rPr>
          <w:rFonts w:asciiTheme="majorHAnsi" w:hAnsiTheme="majorHAnsi"/>
          <w:sz w:val="16"/>
          <w:szCs w:val="16"/>
          <w:lang w:val="en"/>
        </w:rPr>
        <w:t xml:space="preserve"> CEDAW. General Recommendation No. 35 on gender-based violence against women, updating General Recommendation No. 19. CEDAW/C/GC/35. July 26, 2017, par. 29</w:t>
      </w:r>
      <w:r w:rsidR="00B00D26">
        <w:rPr>
          <w:rFonts w:asciiTheme="majorHAnsi" w:hAnsiTheme="majorHAnsi"/>
          <w:sz w:val="16"/>
          <w:szCs w:val="16"/>
          <w:lang w:val="en"/>
        </w:rPr>
        <w:t>.a</w:t>
      </w:r>
      <w:r w:rsidRPr="007A3290">
        <w:rPr>
          <w:rFonts w:asciiTheme="majorHAnsi" w:hAnsiTheme="majorHAnsi"/>
          <w:sz w:val="16"/>
          <w:szCs w:val="16"/>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526B4A" w:rsidP="002C1641">
    <w:pPr>
      <w:pStyle w:val="Header"/>
      <w:tabs>
        <w:tab w:val="clear" w:pos="4320"/>
        <w:tab w:val="clear" w:pos="8640"/>
      </w:tabs>
      <w:jc w:val="center"/>
      <w:rPr>
        <w:sz w:val="22"/>
        <w:szCs w:val="22"/>
      </w:rPr>
    </w:pPr>
    <w:r>
      <w:rPr>
        <w:sz w:val="22"/>
        <w:szCs w:val="22"/>
      </w:rPr>
      <w:pict w14:anchorId="2431506A">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436B0B"/>
    <w:multiLevelType w:val="hybridMultilevel"/>
    <w:tmpl w:val="8EA86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10A608A"/>
    <w:multiLevelType w:val="hybridMultilevel"/>
    <w:tmpl w:val="BB10F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4"/>
  </w:num>
  <w:num w:numId="96">
    <w:abstractNumId w:val="55"/>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5"/>
  </w:num>
  <w:num w:numId="104">
    <w:abstractNumId w:val="12"/>
  </w:num>
  <w:num w:numId="105">
    <w:abstractNumId w:val="46"/>
  </w:num>
  <w:num w:numId="106">
    <w:abstractNumId w:val="32"/>
  </w:num>
  <w:num w:numId="107">
    <w:abstractNumId w:val="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jQxtDQ1MjcwMDFR0lEKTi0uzszPAykwrgUArLBAEiwAAAA="/>
  </w:docVars>
  <w:rsids>
    <w:rsidRoot w:val="006B2D5C"/>
    <w:rsid w:val="0000036F"/>
    <w:rsid w:val="00000CDA"/>
    <w:rsid w:val="00001756"/>
    <w:rsid w:val="000070D7"/>
    <w:rsid w:val="000111A8"/>
    <w:rsid w:val="0001788C"/>
    <w:rsid w:val="00022CF5"/>
    <w:rsid w:val="000304C4"/>
    <w:rsid w:val="00036A8A"/>
    <w:rsid w:val="00037DD4"/>
    <w:rsid w:val="00040C3A"/>
    <w:rsid w:val="000460CA"/>
    <w:rsid w:val="000639C0"/>
    <w:rsid w:val="00070F3A"/>
    <w:rsid w:val="000716C5"/>
    <w:rsid w:val="00075E23"/>
    <w:rsid w:val="00092F32"/>
    <w:rsid w:val="0009344A"/>
    <w:rsid w:val="000A575F"/>
    <w:rsid w:val="000C4365"/>
    <w:rsid w:val="000D10DB"/>
    <w:rsid w:val="000E08FF"/>
    <w:rsid w:val="000E3C77"/>
    <w:rsid w:val="000E5748"/>
    <w:rsid w:val="000F326B"/>
    <w:rsid w:val="00113A4F"/>
    <w:rsid w:val="00115F41"/>
    <w:rsid w:val="00123E3C"/>
    <w:rsid w:val="00124116"/>
    <w:rsid w:val="00126E08"/>
    <w:rsid w:val="0013104F"/>
    <w:rsid w:val="001349BA"/>
    <w:rsid w:val="00137EBA"/>
    <w:rsid w:val="00145EDC"/>
    <w:rsid w:val="00153084"/>
    <w:rsid w:val="00167A34"/>
    <w:rsid w:val="001714B4"/>
    <w:rsid w:val="0018037F"/>
    <w:rsid w:val="00193D82"/>
    <w:rsid w:val="001A5F27"/>
    <w:rsid w:val="001A65E4"/>
    <w:rsid w:val="001A7870"/>
    <w:rsid w:val="001C1B41"/>
    <w:rsid w:val="001D3804"/>
    <w:rsid w:val="001E366B"/>
    <w:rsid w:val="001F1902"/>
    <w:rsid w:val="002043E0"/>
    <w:rsid w:val="00210E0E"/>
    <w:rsid w:val="00210F4B"/>
    <w:rsid w:val="00230163"/>
    <w:rsid w:val="0023127D"/>
    <w:rsid w:val="0023351C"/>
    <w:rsid w:val="002401AD"/>
    <w:rsid w:val="00246365"/>
    <w:rsid w:val="00247403"/>
    <w:rsid w:val="00247542"/>
    <w:rsid w:val="00256E90"/>
    <w:rsid w:val="00257893"/>
    <w:rsid w:val="00261E08"/>
    <w:rsid w:val="00262ADD"/>
    <w:rsid w:val="00263BF5"/>
    <w:rsid w:val="00266092"/>
    <w:rsid w:val="00266B61"/>
    <w:rsid w:val="0026712A"/>
    <w:rsid w:val="002704DB"/>
    <w:rsid w:val="002760CE"/>
    <w:rsid w:val="002826D3"/>
    <w:rsid w:val="002831CE"/>
    <w:rsid w:val="0029091D"/>
    <w:rsid w:val="002937E9"/>
    <w:rsid w:val="002A6B0C"/>
    <w:rsid w:val="002B0CBC"/>
    <w:rsid w:val="002B7A85"/>
    <w:rsid w:val="002C1641"/>
    <w:rsid w:val="002C32CF"/>
    <w:rsid w:val="002D7EA2"/>
    <w:rsid w:val="002E15DF"/>
    <w:rsid w:val="002E187C"/>
    <w:rsid w:val="002E601B"/>
    <w:rsid w:val="002E6E57"/>
    <w:rsid w:val="002F019B"/>
    <w:rsid w:val="002F2697"/>
    <w:rsid w:val="00301075"/>
    <w:rsid w:val="00302733"/>
    <w:rsid w:val="003053BF"/>
    <w:rsid w:val="00311A4F"/>
    <w:rsid w:val="00314078"/>
    <w:rsid w:val="00315387"/>
    <w:rsid w:val="00321AFD"/>
    <w:rsid w:val="00322450"/>
    <w:rsid w:val="003246B5"/>
    <w:rsid w:val="0033169F"/>
    <w:rsid w:val="003414AC"/>
    <w:rsid w:val="00347CC2"/>
    <w:rsid w:val="00356185"/>
    <w:rsid w:val="00360380"/>
    <w:rsid w:val="003771A3"/>
    <w:rsid w:val="00386CF0"/>
    <w:rsid w:val="003A4348"/>
    <w:rsid w:val="003A5566"/>
    <w:rsid w:val="003B6863"/>
    <w:rsid w:val="003C32BC"/>
    <w:rsid w:val="003D1E33"/>
    <w:rsid w:val="003D6EE0"/>
    <w:rsid w:val="003E1CF5"/>
    <w:rsid w:val="003E2D53"/>
    <w:rsid w:val="003E3E03"/>
    <w:rsid w:val="003F1BBF"/>
    <w:rsid w:val="004162B1"/>
    <w:rsid w:val="004165C2"/>
    <w:rsid w:val="0042108E"/>
    <w:rsid w:val="00433117"/>
    <w:rsid w:val="0043489C"/>
    <w:rsid w:val="004434A5"/>
    <w:rsid w:val="00450A4A"/>
    <w:rsid w:val="00453B4B"/>
    <w:rsid w:val="004666FB"/>
    <w:rsid w:val="00466CAD"/>
    <w:rsid w:val="00466D0B"/>
    <w:rsid w:val="00467B7E"/>
    <w:rsid w:val="0049419D"/>
    <w:rsid w:val="004A3C14"/>
    <w:rsid w:val="004A7BA7"/>
    <w:rsid w:val="004B2762"/>
    <w:rsid w:val="004B7EB6"/>
    <w:rsid w:val="004C41DE"/>
    <w:rsid w:val="004C4B62"/>
    <w:rsid w:val="004D32E4"/>
    <w:rsid w:val="004D6025"/>
    <w:rsid w:val="004D72BC"/>
    <w:rsid w:val="004E2F2B"/>
    <w:rsid w:val="004F6B67"/>
    <w:rsid w:val="00501399"/>
    <w:rsid w:val="00507BC4"/>
    <w:rsid w:val="005128E4"/>
    <w:rsid w:val="005243C2"/>
    <w:rsid w:val="00525560"/>
    <w:rsid w:val="00526B4A"/>
    <w:rsid w:val="005357A6"/>
    <w:rsid w:val="00544C49"/>
    <w:rsid w:val="005576D2"/>
    <w:rsid w:val="00566B23"/>
    <w:rsid w:val="0057402A"/>
    <w:rsid w:val="005771D0"/>
    <w:rsid w:val="005816E5"/>
    <w:rsid w:val="0059191A"/>
    <w:rsid w:val="005921FF"/>
    <w:rsid w:val="00592718"/>
    <w:rsid w:val="00595294"/>
    <w:rsid w:val="005A6D0E"/>
    <w:rsid w:val="005B222D"/>
    <w:rsid w:val="005B52B0"/>
    <w:rsid w:val="005B6806"/>
    <w:rsid w:val="005C00F9"/>
    <w:rsid w:val="005C0805"/>
    <w:rsid w:val="005C4225"/>
    <w:rsid w:val="005D2EF7"/>
    <w:rsid w:val="005F0F33"/>
    <w:rsid w:val="005F3E64"/>
    <w:rsid w:val="005F736A"/>
    <w:rsid w:val="00600DEB"/>
    <w:rsid w:val="00613027"/>
    <w:rsid w:val="00616471"/>
    <w:rsid w:val="00616FFA"/>
    <w:rsid w:val="00627C9F"/>
    <w:rsid w:val="006311DA"/>
    <w:rsid w:val="006311E9"/>
    <w:rsid w:val="006318B2"/>
    <w:rsid w:val="00632354"/>
    <w:rsid w:val="006372F7"/>
    <w:rsid w:val="00642810"/>
    <w:rsid w:val="00652333"/>
    <w:rsid w:val="00652EFD"/>
    <w:rsid w:val="00653EA6"/>
    <w:rsid w:val="00667E59"/>
    <w:rsid w:val="0068009E"/>
    <w:rsid w:val="006A12D8"/>
    <w:rsid w:val="006A17D2"/>
    <w:rsid w:val="006A73E6"/>
    <w:rsid w:val="006B2D5C"/>
    <w:rsid w:val="006C4EB1"/>
    <w:rsid w:val="006D4707"/>
    <w:rsid w:val="006D59BE"/>
    <w:rsid w:val="006E0166"/>
    <w:rsid w:val="006E270D"/>
    <w:rsid w:val="006E7B34"/>
    <w:rsid w:val="00701B24"/>
    <w:rsid w:val="007043AF"/>
    <w:rsid w:val="00706858"/>
    <w:rsid w:val="00713AED"/>
    <w:rsid w:val="0071495F"/>
    <w:rsid w:val="007307B7"/>
    <w:rsid w:val="0073798E"/>
    <w:rsid w:val="00740872"/>
    <w:rsid w:val="0074463A"/>
    <w:rsid w:val="00745899"/>
    <w:rsid w:val="00752D34"/>
    <w:rsid w:val="007607C4"/>
    <w:rsid w:val="0076643F"/>
    <w:rsid w:val="00781653"/>
    <w:rsid w:val="00786C5B"/>
    <w:rsid w:val="007A2082"/>
    <w:rsid w:val="007A2F70"/>
    <w:rsid w:val="007A3290"/>
    <w:rsid w:val="007A4797"/>
    <w:rsid w:val="007C3334"/>
    <w:rsid w:val="007C52BB"/>
    <w:rsid w:val="007D2B98"/>
    <w:rsid w:val="007F6DE9"/>
    <w:rsid w:val="007F7980"/>
    <w:rsid w:val="00803F1C"/>
    <w:rsid w:val="0080600E"/>
    <w:rsid w:val="00817612"/>
    <w:rsid w:val="008258D7"/>
    <w:rsid w:val="00834882"/>
    <w:rsid w:val="00837C45"/>
    <w:rsid w:val="0085085A"/>
    <w:rsid w:val="00853419"/>
    <w:rsid w:val="008546E5"/>
    <w:rsid w:val="008679FD"/>
    <w:rsid w:val="008801F8"/>
    <w:rsid w:val="008818E9"/>
    <w:rsid w:val="00897E12"/>
    <w:rsid w:val="008C2373"/>
    <w:rsid w:val="008D43BA"/>
    <w:rsid w:val="008D722F"/>
    <w:rsid w:val="008E3759"/>
    <w:rsid w:val="008E40F5"/>
    <w:rsid w:val="008E4EEF"/>
    <w:rsid w:val="008F17F1"/>
    <w:rsid w:val="009041DC"/>
    <w:rsid w:val="009104B4"/>
    <w:rsid w:val="00912320"/>
    <w:rsid w:val="009228DA"/>
    <w:rsid w:val="00924C39"/>
    <w:rsid w:val="00925FCD"/>
    <w:rsid w:val="0093441A"/>
    <w:rsid w:val="00936805"/>
    <w:rsid w:val="00954BF7"/>
    <w:rsid w:val="00964B3C"/>
    <w:rsid w:val="00966608"/>
    <w:rsid w:val="0096706E"/>
    <w:rsid w:val="00981FBA"/>
    <w:rsid w:val="0098783D"/>
    <w:rsid w:val="009B306D"/>
    <w:rsid w:val="009B381B"/>
    <w:rsid w:val="009C68BE"/>
    <w:rsid w:val="009D59D2"/>
    <w:rsid w:val="009D7611"/>
    <w:rsid w:val="009E0C77"/>
    <w:rsid w:val="009E53DE"/>
    <w:rsid w:val="009E566A"/>
    <w:rsid w:val="00A01D70"/>
    <w:rsid w:val="00A02D0B"/>
    <w:rsid w:val="00A0523B"/>
    <w:rsid w:val="00A12DBC"/>
    <w:rsid w:val="00A2467F"/>
    <w:rsid w:val="00A43458"/>
    <w:rsid w:val="00A513A8"/>
    <w:rsid w:val="00A528D1"/>
    <w:rsid w:val="00A62983"/>
    <w:rsid w:val="00A66BE5"/>
    <w:rsid w:val="00A85041"/>
    <w:rsid w:val="00AA08D2"/>
    <w:rsid w:val="00AB2A8D"/>
    <w:rsid w:val="00AB4FA4"/>
    <w:rsid w:val="00AD37C1"/>
    <w:rsid w:val="00AE2C03"/>
    <w:rsid w:val="00AE66EC"/>
    <w:rsid w:val="00AE6F91"/>
    <w:rsid w:val="00AF5571"/>
    <w:rsid w:val="00B00D26"/>
    <w:rsid w:val="00B0100E"/>
    <w:rsid w:val="00B06BB7"/>
    <w:rsid w:val="00B06F3D"/>
    <w:rsid w:val="00B167E9"/>
    <w:rsid w:val="00B179ED"/>
    <w:rsid w:val="00B25A57"/>
    <w:rsid w:val="00B314DB"/>
    <w:rsid w:val="00B3182B"/>
    <w:rsid w:val="00B31EBE"/>
    <w:rsid w:val="00B3718B"/>
    <w:rsid w:val="00B44B23"/>
    <w:rsid w:val="00B4632A"/>
    <w:rsid w:val="00B620EF"/>
    <w:rsid w:val="00B742A0"/>
    <w:rsid w:val="00B77DBF"/>
    <w:rsid w:val="00B92E49"/>
    <w:rsid w:val="00B9638F"/>
    <w:rsid w:val="00BA1721"/>
    <w:rsid w:val="00BA276C"/>
    <w:rsid w:val="00BB306F"/>
    <w:rsid w:val="00BD232B"/>
    <w:rsid w:val="00BD2E42"/>
    <w:rsid w:val="00BD4B89"/>
    <w:rsid w:val="00BE6657"/>
    <w:rsid w:val="00C02721"/>
    <w:rsid w:val="00C21762"/>
    <w:rsid w:val="00C24543"/>
    <w:rsid w:val="00C256A2"/>
    <w:rsid w:val="00C33EF5"/>
    <w:rsid w:val="00C3492D"/>
    <w:rsid w:val="00C355B4"/>
    <w:rsid w:val="00C55560"/>
    <w:rsid w:val="00C66B72"/>
    <w:rsid w:val="00C77713"/>
    <w:rsid w:val="00C87C57"/>
    <w:rsid w:val="00C9567A"/>
    <w:rsid w:val="00C962B2"/>
    <w:rsid w:val="00CA317F"/>
    <w:rsid w:val="00CA6577"/>
    <w:rsid w:val="00CB2660"/>
    <w:rsid w:val="00CC5E90"/>
    <w:rsid w:val="00CD046C"/>
    <w:rsid w:val="00CE5199"/>
    <w:rsid w:val="00CE66D5"/>
    <w:rsid w:val="00D15C66"/>
    <w:rsid w:val="00D219EA"/>
    <w:rsid w:val="00D23027"/>
    <w:rsid w:val="00D34786"/>
    <w:rsid w:val="00D3587A"/>
    <w:rsid w:val="00D40A1E"/>
    <w:rsid w:val="00D533C0"/>
    <w:rsid w:val="00D66D3C"/>
    <w:rsid w:val="00D707F4"/>
    <w:rsid w:val="00D712D3"/>
    <w:rsid w:val="00D71422"/>
    <w:rsid w:val="00D7145E"/>
    <w:rsid w:val="00D75084"/>
    <w:rsid w:val="00D7558D"/>
    <w:rsid w:val="00D81D92"/>
    <w:rsid w:val="00D86A70"/>
    <w:rsid w:val="00D93446"/>
    <w:rsid w:val="00DA7B5F"/>
    <w:rsid w:val="00DC7B91"/>
    <w:rsid w:val="00DD471D"/>
    <w:rsid w:val="00DD792F"/>
    <w:rsid w:val="00DF078B"/>
    <w:rsid w:val="00DF350D"/>
    <w:rsid w:val="00E227C1"/>
    <w:rsid w:val="00E43157"/>
    <w:rsid w:val="00E433BE"/>
    <w:rsid w:val="00E47F3D"/>
    <w:rsid w:val="00E533FF"/>
    <w:rsid w:val="00E53736"/>
    <w:rsid w:val="00E54983"/>
    <w:rsid w:val="00E709B3"/>
    <w:rsid w:val="00E73149"/>
    <w:rsid w:val="00E7588C"/>
    <w:rsid w:val="00E76E74"/>
    <w:rsid w:val="00E7797F"/>
    <w:rsid w:val="00E850B6"/>
    <w:rsid w:val="00E8789F"/>
    <w:rsid w:val="00E97B71"/>
    <w:rsid w:val="00EB454D"/>
    <w:rsid w:val="00EB7443"/>
    <w:rsid w:val="00ED0D1B"/>
    <w:rsid w:val="00ED5FB1"/>
    <w:rsid w:val="00EE3522"/>
    <w:rsid w:val="00EF619B"/>
    <w:rsid w:val="00F00B55"/>
    <w:rsid w:val="00F1380F"/>
    <w:rsid w:val="00F13CBE"/>
    <w:rsid w:val="00F14F0E"/>
    <w:rsid w:val="00F15A3B"/>
    <w:rsid w:val="00F24C29"/>
    <w:rsid w:val="00F253CC"/>
    <w:rsid w:val="00F42B71"/>
    <w:rsid w:val="00F455FB"/>
    <w:rsid w:val="00F56BA5"/>
    <w:rsid w:val="00F621C3"/>
    <w:rsid w:val="00F644E6"/>
    <w:rsid w:val="00F845A2"/>
    <w:rsid w:val="00F9653B"/>
    <w:rsid w:val="00F970FE"/>
    <w:rsid w:val="00FA4399"/>
    <w:rsid w:val="00FB2DCE"/>
    <w:rsid w:val="00FB62CF"/>
    <w:rsid w:val="00FC3EB4"/>
    <w:rsid w:val="00FC53BD"/>
    <w:rsid w:val="00FC6C58"/>
    <w:rsid w:val="00FE6B45"/>
    <w:rsid w:val="00FF152D"/>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F597-EDCA-4B60-AEE5-3F5E474C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4272</Words>
  <Characters>23330</Characters>
  <Application>Microsoft Office Word</Application>
  <DocSecurity>0</DocSecurity>
  <Lines>348</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317/21</dc:title>
  <dc:creator/>
  <cp:lastModifiedBy/>
  <cp:revision>1</cp:revision>
  <dcterms:created xsi:type="dcterms:W3CDTF">2022-02-18T16:21:00Z</dcterms:created>
  <dcterms:modified xsi:type="dcterms:W3CDTF">2022-02-18T16:22:00Z</dcterms:modified>
</cp:coreProperties>
</file>