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5B45" w14:textId="1773EC96" w:rsidR="00583C84" w:rsidRPr="00DD1E2F" w:rsidRDefault="00036A9E" w:rsidP="00036A9E">
      <w:pPr>
        <w:pStyle w:val="LightGrid-Accent31"/>
        <w:tabs>
          <w:tab w:val="left" w:pos="3413"/>
        </w:tabs>
        <w:spacing w:after="0" w:line="240" w:lineRule="auto"/>
        <w:rPr>
          <w:rFonts w:ascii="Cambria" w:hAnsi="Cambria"/>
          <w:color w:val="000000"/>
        </w:rPr>
      </w:pPr>
      <w:r>
        <w:rPr>
          <w:rFonts w:ascii="Cambria" w:hAnsi="Cambria"/>
          <w:color w:val="000000"/>
        </w:rPr>
        <w:tab/>
      </w:r>
    </w:p>
    <w:p w14:paraId="12164BBF" w14:textId="77777777" w:rsidR="00583C84" w:rsidRPr="00DD1E2F" w:rsidRDefault="00583C84" w:rsidP="0045789B">
      <w:pPr>
        <w:spacing w:after="0" w:line="240" w:lineRule="auto"/>
        <w:contextualSpacing/>
        <w:jc w:val="both"/>
        <w:rPr>
          <w:rFonts w:ascii="Cambria" w:hAnsi="Cambria"/>
          <w:color w:val="000000"/>
        </w:rPr>
      </w:pPr>
    </w:p>
    <w:p w14:paraId="7C64A484"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TECHNICAL INFORMATION SHEET</w:t>
      </w:r>
    </w:p>
    <w:p w14:paraId="3C085CC1"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CASE 12.007 POMPEYO CARLOS ANDRADE BENÍTEZ</w:t>
      </w:r>
    </w:p>
    <w:p w14:paraId="27DB3B3F" w14:textId="77777777" w:rsidR="00583C84" w:rsidRPr="00DD1E2F" w:rsidRDefault="00583C84" w:rsidP="0045789B">
      <w:pPr>
        <w:pStyle w:val="MediumGrid2-Accent11"/>
        <w:jc w:val="center"/>
        <w:rPr>
          <w:rFonts w:ascii="Cambria" w:hAnsi="Cambria" w:cs="Calibri"/>
          <w:b/>
          <w:bCs/>
          <w:color w:val="000000"/>
        </w:rPr>
      </w:pPr>
      <w:r w:rsidRPr="00DD1E2F">
        <w:rPr>
          <w:rFonts w:ascii="Cambria" w:hAnsi="Cambria"/>
          <w:b/>
          <w:color w:val="000000"/>
          <w:lang w:val="en-US"/>
        </w:rPr>
        <w:t xml:space="preserve"> REPORT ON FRIENDLY SETTLEMENT AGREEMENT Nº </w:t>
      </w:r>
      <w:r w:rsidRPr="00DD1E2F">
        <w:rPr>
          <w:rFonts w:ascii="Cambria" w:hAnsi="Cambria" w:cs="Calibri"/>
          <w:b/>
          <w:bCs/>
          <w:color w:val="000000"/>
          <w:lang w:val="en-US"/>
        </w:rPr>
        <w:t>110/01</w:t>
      </w:r>
    </w:p>
    <w:p w14:paraId="207C9F47" w14:textId="77777777" w:rsidR="00583C84" w:rsidRPr="00DD1E2F" w:rsidRDefault="00583C84" w:rsidP="0045789B">
      <w:pPr>
        <w:pStyle w:val="MediumGrid2-Accent11"/>
        <w:jc w:val="center"/>
        <w:rPr>
          <w:rFonts w:ascii="Cambria" w:hAnsi="Cambria"/>
          <w:b/>
          <w:color w:val="000000"/>
          <w:lang w:val="es-ES"/>
        </w:rPr>
      </w:pPr>
      <w:r w:rsidRPr="00DD1E2F">
        <w:rPr>
          <w:rFonts w:ascii="Cambria" w:hAnsi="Cambria"/>
          <w:b/>
          <w:color w:val="000000"/>
        </w:rPr>
        <w:t>ARCHIVE</w:t>
      </w:r>
    </w:p>
    <w:p w14:paraId="67F733E4" w14:textId="77777777" w:rsidR="00583C84" w:rsidRPr="00DD1E2F" w:rsidRDefault="0006009D" w:rsidP="0045789B">
      <w:pPr>
        <w:pStyle w:val="MediumGrid2-Accent11"/>
        <w:jc w:val="center"/>
        <w:rPr>
          <w:rFonts w:ascii="Cambria" w:hAnsi="Cambria"/>
          <w:b/>
          <w:color w:val="000000"/>
          <w:lang w:val="es-CO"/>
        </w:rPr>
      </w:pPr>
      <w:r w:rsidRPr="00DD1E2F">
        <w:rPr>
          <w:rFonts w:ascii="Cambria" w:hAnsi="Cambria"/>
          <w:b/>
          <w:color w:val="000000"/>
          <w:lang w:val="es-CO"/>
        </w:rPr>
        <w:t>(ECUADOR</w:t>
      </w:r>
      <w:r w:rsidR="00583C84" w:rsidRPr="00DD1E2F">
        <w:rPr>
          <w:rFonts w:ascii="Cambria" w:hAnsi="Cambria"/>
          <w:b/>
          <w:color w:val="000000"/>
          <w:lang w:val="es-CO"/>
        </w:rPr>
        <w:t>)</w:t>
      </w:r>
    </w:p>
    <w:p w14:paraId="118EAE83" w14:textId="77777777" w:rsidR="00583C84" w:rsidRPr="00DD1E2F" w:rsidRDefault="00583C84" w:rsidP="0045789B">
      <w:pPr>
        <w:pStyle w:val="MediumGrid2-Accent11"/>
        <w:ind w:right="-270" w:firstLine="709"/>
        <w:jc w:val="center"/>
        <w:rPr>
          <w:rFonts w:ascii="Cambria" w:hAnsi="Cambria"/>
          <w:b/>
          <w:color w:val="000000"/>
          <w:lang w:val="es-CO"/>
        </w:rPr>
      </w:pPr>
    </w:p>
    <w:p w14:paraId="29C994A8" w14:textId="77777777" w:rsidR="00583C84" w:rsidRPr="00DD1E2F" w:rsidRDefault="00583C84" w:rsidP="00AD711F">
      <w:pPr>
        <w:numPr>
          <w:ilvl w:val="0"/>
          <w:numId w:val="58"/>
        </w:numPr>
        <w:spacing w:after="0" w:line="240" w:lineRule="auto"/>
        <w:ind w:left="0" w:firstLine="709"/>
        <w:rPr>
          <w:rFonts w:ascii="Cambria" w:hAnsi="Cambria" w:cs="Calibri Light"/>
          <w:b/>
          <w:color w:val="000000"/>
        </w:rPr>
      </w:pPr>
      <w:r w:rsidRPr="00DD1E2F">
        <w:rPr>
          <w:rFonts w:ascii="Cambria" w:hAnsi="Cambria" w:cs="Calibri Light"/>
          <w:b/>
          <w:color w:val="000000"/>
        </w:rPr>
        <w:t xml:space="preserve">SUMMARY OF THE CASE </w:t>
      </w:r>
    </w:p>
    <w:p w14:paraId="3558CC4B" w14:textId="77777777" w:rsidR="00583C84" w:rsidRPr="00DD1E2F" w:rsidRDefault="00583C84" w:rsidP="0045789B">
      <w:pPr>
        <w:spacing w:after="0" w:line="240" w:lineRule="auto"/>
        <w:rPr>
          <w:rFonts w:ascii="Cambria"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3E70CA76" w14:textId="77777777" w:rsidTr="00EE07D8">
        <w:trPr>
          <w:jc w:val="center"/>
        </w:trPr>
        <w:tc>
          <w:tcPr>
            <w:tcW w:w="9576" w:type="dxa"/>
            <w:shd w:val="clear" w:color="auto" w:fill="F2F2F2"/>
          </w:tcPr>
          <w:p w14:paraId="2AA23C3A" w14:textId="77777777" w:rsidR="00583C84" w:rsidRPr="00DD1E2F" w:rsidRDefault="00583C84" w:rsidP="0045789B">
            <w:pPr>
              <w:pStyle w:val="MediumGrid2-Accent11"/>
              <w:jc w:val="both"/>
              <w:rPr>
                <w:rFonts w:ascii="Cambria" w:hAnsi="Cambria"/>
                <w:color w:val="000000"/>
                <w:lang w:val="en-US"/>
              </w:rPr>
            </w:pPr>
            <w:r w:rsidRPr="00DD1E2F">
              <w:rPr>
                <w:rFonts w:ascii="Cambria" w:hAnsi="Cambria"/>
                <w:b/>
                <w:color w:val="000000"/>
                <w:lang w:val="en-US"/>
              </w:rPr>
              <w:t>Victim(s)</w:t>
            </w:r>
            <w:r w:rsidRPr="00DD1E2F">
              <w:rPr>
                <w:rFonts w:ascii="Cambria" w:hAnsi="Cambria"/>
                <w:color w:val="000000"/>
                <w:lang w:val="en-US"/>
              </w:rPr>
              <w:t>: Pompeyo Carlos Andrade Benítez</w:t>
            </w:r>
          </w:p>
          <w:p w14:paraId="2CED54E3" w14:textId="77777777" w:rsidR="00583C84" w:rsidRPr="00DD1E2F" w:rsidRDefault="00583C84" w:rsidP="0045789B">
            <w:pPr>
              <w:pStyle w:val="MediumGrid2-Accent11"/>
              <w:jc w:val="both"/>
              <w:rPr>
                <w:rFonts w:ascii="Cambria" w:hAnsi="Cambria"/>
                <w:color w:val="000000"/>
                <w:lang w:val="es-CO"/>
              </w:rPr>
            </w:pPr>
            <w:r w:rsidRPr="00DD1E2F">
              <w:rPr>
                <w:rFonts w:ascii="Cambria" w:hAnsi="Cambria"/>
                <w:b/>
                <w:color w:val="000000"/>
                <w:lang w:val="es-CO"/>
              </w:rPr>
              <w:t>Petitioner(s)</w:t>
            </w:r>
            <w:r w:rsidRPr="00DD1E2F">
              <w:rPr>
                <w:rFonts w:ascii="Cambria" w:hAnsi="Cambria"/>
                <w:color w:val="000000"/>
                <w:lang w:val="es-CO"/>
              </w:rPr>
              <w:t>:</w:t>
            </w:r>
            <w:r w:rsidRPr="00DD1E2F">
              <w:rPr>
                <w:rFonts w:ascii="Cambria" w:hAnsi="Cambria"/>
                <w:b/>
                <w:color w:val="000000"/>
                <w:lang w:val="es-CO"/>
              </w:rPr>
              <w:t xml:space="preserve"> </w:t>
            </w:r>
            <w:r w:rsidRPr="00DD1E2F">
              <w:rPr>
                <w:rFonts w:ascii="Cambria" w:hAnsi="Cambria" w:cs="Arial"/>
                <w:color w:val="000000"/>
                <w:lang w:val="es-CO" w:eastAsia="es-ES_tradnl"/>
              </w:rPr>
              <w:t>Norma García de Andrade, José Leonardo Obando Laaz, Pompeyo Carlos Andrade Benítez</w:t>
            </w:r>
          </w:p>
          <w:p w14:paraId="27DE5DCF" w14:textId="77777777" w:rsidR="00583C84" w:rsidRPr="00DD1E2F" w:rsidRDefault="00583C84" w:rsidP="0045789B">
            <w:pPr>
              <w:pStyle w:val="MediumGrid2-Accent11"/>
              <w:jc w:val="both"/>
              <w:rPr>
                <w:rFonts w:ascii="Cambria" w:hAnsi="Cambria"/>
                <w:color w:val="000000"/>
                <w:lang w:val="en-US"/>
              </w:rPr>
            </w:pPr>
            <w:r w:rsidRPr="00DD1E2F">
              <w:rPr>
                <w:rFonts w:ascii="Cambria" w:hAnsi="Cambria"/>
                <w:b/>
                <w:color w:val="000000"/>
                <w:lang w:val="en-US"/>
              </w:rPr>
              <w:t>State</w:t>
            </w:r>
            <w:r w:rsidRPr="00DD1E2F">
              <w:rPr>
                <w:rFonts w:ascii="Cambria" w:hAnsi="Cambria"/>
                <w:color w:val="000000"/>
                <w:lang w:val="en-US"/>
              </w:rPr>
              <w:t>: Ecuador</w:t>
            </w:r>
          </w:p>
          <w:p w14:paraId="18C1A3C5" w14:textId="77777777" w:rsidR="00583C84" w:rsidRPr="00DD1E2F" w:rsidRDefault="00583C84" w:rsidP="0045789B">
            <w:pPr>
              <w:pStyle w:val="MediumGrid21"/>
              <w:tabs>
                <w:tab w:val="left" w:pos="9270"/>
              </w:tabs>
              <w:jc w:val="both"/>
              <w:rPr>
                <w:rFonts w:ascii="Cambria" w:hAnsi="Cambria"/>
                <w:bCs/>
                <w:color w:val="FF0000"/>
                <w:lang w:val="en-US"/>
              </w:rPr>
            </w:pPr>
            <w:r w:rsidRPr="00DD1E2F">
              <w:rPr>
                <w:rFonts w:ascii="Cambria" w:hAnsi="Cambria"/>
                <w:b/>
                <w:bCs/>
                <w:color w:val="000000"/>
                <w:lang w:val="en-US"/>
              </w:rPr>
              <w:t>Beginning of the negotiation date:</w:t>
            </w:r>
            <w:r w:rsidRPr="00DD1E2F">
              <w:rPr>
                <w:rFonts w:ascii="Cambria" w:hAnsi="Cambria"/>
                <w:bCs/>
                <w:color w:val="000000"/>
                <w:lang w:val="en-US"/>
              </w:rPr>
              <w:t xml:space="preserve"> </w:t>
            </w:r>
            <w:r w:rsidRPr="00DD1E2F">
              <w:rPr>
                <w:rFonts w:ascii="Cambria" w:hAnsi="Cambria"/>
                <w:bCs/>
                <w:lang w:val="en-US"/>
              </w:rPr>
              <w:t xml:space="preserve">April 2, 2001 </w:t>
            </w:r>
          </w:p>
          <w:p w14:paraId="57B480AD" w14:textId="77777777" w:rsidR="00CE4346" w:rsidRPr="00DD1E2F" w:rsidRDefault="00583C84" w:rsidP="0045789B">
            <w:pPr>
              <w:spacing w:after="0" w:line="240" w:lineRule="auto"/>
              <w:rPr>
                <w:rFonts w:ascii="Cambria" w:hAnsi="Cambria"/>
                <w:bCs/>
                <w:color w:val="000000"/>
              </w:rPr>
            </w:pPr>
            <w:r w:rsidRPr="00DD1E2F">
              <w:rPr>
                <w:rFonts w:ascii="Cambria" w:hAnsi="Cambria"/>
                <w:b/>
                <w:bCs/>
                <w:color w:val="000000"/>
              </w:rPr>
              <w:t xml:space="preserve">FSA signature date: </w:t>
            </w:r>
            <w:r w:rsidRPr="00DD1E2F">
              <w:rPr>
                <w:rFonts w:ascii="Cambria" w:hAnsi="Cambria"/>
                <w:bCs/>
                <w:color w:val="000000"/>
              </w:rPr>
              <w:t>August 15, 2001</w:t>
            </w:r>
          </w:p>
          <w:p w14:paraId="42B94AF5" w14:textId="77777777" w:rsidR="0073273B" w:rsidRPr="00DD1E2F" w:rsidRDefault="00583C84" w:rsidP="0045789B">
            <w:pPr>
              <w:spacing w:after="0" w:line="240" w:lineRule="auto"/>
              <w:rPr>
                <w:rFonts w:ascii="Cambria" w:hAnsi="Cambria"/>
                <w:color w:val="000000"/>
              </w:rPr>
            </w:pPr>
            <w:r w:rsidRPr="00DD1E2F">
              <w:rPr>
                <w:rFonts w:ascii="Cambria" w:hAnsi="Cambria"/>
                <w:b/>
                <w:color w:val="000000"/>
              </w:rPr>
              <w:t xml:space="preserve">Report on Friendly Settlement Agreement No. </w:t>
            </w:r>
            <w:hyperlink r:id="rId12" w:history="1">
              <w:r w:rsidRPr="00DD1E2F">
                <w:rPr>
                  <w:rStyle w:val="Hyperlink"/>
                  <w:rFonts w:ascii="Cambria" w:hAnsi="Cambria"/>
                  <w:b/>
                  <w:color w:val="000000"/>
                </w:rPr>
                <w:t>110/01</w:t>
              </w:r>
            </w:hyperlink>
            <w:r w:rsidRPr="00DD1E2F">
              <w:rPr>
                <w:rFonts w:ascii="Cambria" w:hAnsi="Cambria"/>
                <w:color w:val="000000"/>
              </w:rPr>
              <w:t>, published on October 11, 2001</w:t>
            </w:r>
          </w:p>
          <w:p w14:paraId="597D783D" w14:textId="77777777" w:rsidR="00583C84" w:rsidRPr="00DD1E2F" w:rsidRDefault="00583C84" w:rsidP="0045789B">
            <w:pPr>
              <w:spacing w:after="0" w:line="240" w:lineRule="auto"/>
              <w:rPr>
                <w:rFonts w:ascii="Cambria" w:hAnsi="Cambria"/>
                <w:b/>
                <w:bCs/>
              </w:rPr>
            </w:pPr>
            <w:r w:rsidRPr="00DD1E2F">
              <w:rPr>
                <w:rFonts w:ascii="Cambria" w:hAnsi="Cambria"/>
                <w:b/>
                <w:bCs/>
                <w:color w:val="000000"/>
              </w:rPr>
              <w:t xml:space="preserve">Estimated length of the negotiation phase: </w:t>
            </w:r>
            <w:r w:rsidRPr="00DD1E2F">
              <w:rPr>
                <w:rFonts w:ascii="Cambria" w:hAnsi="Cambria"/>
                <w:bCs/>
              </w:rPr>
              <w:t>6 months</w:t>
            </w:r>
          </w:p>
          <w:p w14:paraId="3D7A90D4" w14:textId="77777777" w:rsidR="00583C84" w:rsidRPr="00DD1E2F" w:rsidRDefault="00583C84" w:rsidP="0045789B">
            <w:pPr>
              <w:pStyle w:val="MediumGrid2-Accent11"/>
              <w:jc w:val="both"/>
              <w:rPr>
                <w:rFonts w:ascii="Cambria" w:hAnsi="Cambria"/>
                <w:color w:val="000000"/>
                <w:lang w:val="en-US"/>
              </w:rPr>
            </w:pPr>
            <w:r w:rsidRPr="00DD1E2F">
              <w:rPr>
                <w:rFonts w:ascii="Cambria" w:hAnsi="Cambria"/>
                <w:b/>
                <w:color w:val="000000"/>
                <w:lang w:val="en-US"/>
              </w:rPr>
              <w:t>Rapporteurship involved</w:t>
            </w:r>
            <w:r w:rsidRPr="00DD1E2F">
              <w:rPr>
                <w:rFonts w:ascii="Cambria" w:hAnsi="Cambria"/>
                <w:color w:val="000000"/>
                <w:lang w:val="en-US"/>
              </w:rPr>
              <w:t>: Persons Deprived of Liberty</w:t>
            </w:r>
          </w:p>
          <w:p w14:paraId="2212F899" w14:textId="77777777" w:rsidR="00583C84" w:rsidRPr="00DD1E2F" w:rsidRDefault="00583C84" w:rsidP="0045789B">
            <w:pPr>
              <w:pStyle w:val="MediumGrid2-Accent11"/>
              <w:rPr>
                <w:rFonts w:ascii="Cambria" w:hAnsi="Cambria"/>
                <w:color w:val="000000"/>
                <w:lang w:val="en-US"/>
              </w:rPr>
            </w:pPr>
            <w:r w:rsidRPr="00DD1E2F">
              <w:rPr>
                <w:rFonts w:ascii="Cambria" w:hAnsi="Cambria"/>
                <w:b/>
                <w:color w:val="000000"/>
                <w:lang w:val="en-US"/>
              </w:rPr>
              <w:t>Topics</w:t>
            </w:r>
            <w:r w:rsidRPr="00DD1E2F">
              <w:rPr>
                <w:rFonts w:ascii="Cambria" w:hAnsi="Cambria"/>
                <w:color w:val="000000"/>
                <w:lang w:val="en-US"/>
              </w:rPr>
              <w:t>:</w:t>
            </w:r>
            <w:r w:rsidRPr="00DD1E2F">
              <w:rPr>
                <w:rFonts w:ascii="Cambria" w:hAnsi="Cambria"/>
                <w:b/>
                <w:color w:val="000000"/>
                <w:lang w:val="en-US"/>
              </w:rPr>
              <w:t xml:space="preserve"> </w:t>
            </w:r>
            <w:r w:rsidRPr="00DD1E2F">
              <w:rPr>
                <w:rFonts w:ascii="Cambria" w:hAnsi="Cambria"/>
                <w:color w:val="000000"/>
                <w:lang w:val="en-US"/>
              </w:rPr>
              <w:t>Persons deprived of liberty/detention center/detention conditions/police precincts/care and custody/investigation/prison system/torture/cruel, inhuman, and/or degrading treatment/arbitrary or illegal detention</w:t>
            </w:r>
            <w:r w:rsidR="0073273B" w:rsidRPr="00DD1E2F">
              <w:rPr>
                <w:rFonts w:ascii="Cambria" w:hAnsi="Cambria"/>
                <w:color w:val="000000"/>
                <w:lang w:val="en-US"/>
              </w:rPr>
              <w:t>.</w:t>
            </w:r>
          </w:p>
          <w:p w14:paraId="4CD7C86B" w14:textId="77777777" w:rsidR="00583C84" w:rsidRPr="00DD1E2F" w:rsidRDefault="00583C84" w:rsidP="0045789B">
            <w:pPr>
              <w:pStyle w:val="MediumGrid2-Accent11"/>
              <w:jc w:val="both"/>
              <w:rPr>
                <w:rFonts w:ascii="Cambria" w:hAnsi="Cambria"/>
                <w:b/>
                <w:color w:val="000000"/>
                <w:lang w:val="en-US"/>
              </w:rPr>
            </w:pPr>
            <w:r w:rsidRPr="00DD1E2F">
              <w:rPr>
                <w:rFonts w:ascii="Cambria" w:hAnsi="Cambria"/>
                <w:b/>
                <w:color w:val="000000"/>
                <w:lang w:val="en-US"/>
              </w:rPr>
              <w:t xml:space="preserve"> </w:t>
            </w:r>
          </w:p>
          <w:p w14:paraId="0D308B9D" w14:textId="77777777" w:rsidR="00583C84" w:rsidRPr="00DD1E2F" w:rsidRDefault="00583C84" w:rsidP="0045789B">
            <w:pPr>
              <w:spacing w:after="0" w:line="240" w:lineRule="auto"/>
              <w:contextualSpacing/>
              <w:jc w:val="both"/>
              <w:rPr>
                <w:rFonts w:ascii="Cambria" w:eastAsia="MS Mincho" w:hAnsi="Cambria"/>
                <w:color w:val="000000"/>
              </w:rPr>
            </w:pPr>
            <w:r w:rsidRPr="00DD1E2F">
              <w:rPr>
                <w:rFonts w:ascii="Cambria" w:hAnsi="Cambria"/>
                <w:b/>
                <w:color w:val="000000"/>
              </w:rPr>
              <w:t>Facts:</w:t>
            </w:r>
            <w:r w:rsidRPr="00DD1E2F">
              <w:rPr>
                <w:rFonts w:ascii="Cambria" w:hAnsi="Cambria"/>
                <w:color w:val="000000"/>
              </w:rPr>
              <w:t xml:space="preserve"> This case </w:t>
            </w:r>
            <w:r w:rsidR="00942C8E" w:rsidRPr="00DD1E2F">
              <w:rPr>
                <w:rFonts w:ascii="Cambria" w:hAnsi="Cambria"/>
                <w:color w:val="000000"/>
              </w:rPr>
              <w:t>relates to</w:t>
            </w:r>
            <w:r w:rsidRPr="00DD1E2F">
              <w:rPr>
                <w:rFonts w:ascii="Cambria" w:hAnsi="Cambria"/>
                <w:color w:val="000000"/>
              </w:rPr>
              <w:t xml:space="preserve"> the detention without a warrant of </w:t>
            </w:r>
            <w:r w:rsidRPr="00DD1E2F">
              <w:rPr>
                <w:rFonts w:ascii="Cambria" w:eastAsia="MS Mincho" w:hAnsi="Cambria"/>
                <w:color w:val="000000"/>
              </w:rPr>
              <w:t xml:space="preserve">Pompeyo Carlos Andrade Benítez on September 18, 1996. After ten months of detention, the pretrial detention order was revoked and an order for dismissal was handed down; nevertheless, the victim continued to be held. </w:t>
            </w:r>
            <w:r w:rsidRPr="00DD1E2F">
              <w:rPr>
                <w:rFonts w:ascii="Cambria" w:hAnsi="Cambria"/>
                <w:color w:val="000000"/>
              </w:rPr>
              <w:t>According to the complaint, on September 18, 1996, Pompeyo Carlos Andrade Benítez was illegally deprived of his liberty, when he was detained without the constitutionally-required arrest warrant and held incommunicado for a week. The detention was carried out under the pretext of investigations by INTERPOL in Guayas, pursuant to a judicial assistance request from the Public Ministry, Office of the Special Prosecutor for Drug-related Crimes of Panama, Republic of Panama; the request was made under Article 7 of the 1988 Vienna Convention</w:t>
            </w:r>
            <w:r w:rsidRPr="00DD1E2F">
              <w:rPr>
                <w:rFonts w:ascii="Cambria" w:eastAsia="MS Mincho" w:hAnsi="Cambria"/>
                <w:color w:val="000000"/>
              </w:rPr>
              <w:t xml:space="preserve">. </w:t>
            </w:r>
            <w:r w:rsidRPr="00DD1E2F">
              <w:rPr>
                <w:rFonts w:ascii="Cambria" w:hAnsi="Cambria"/>
                <w:color w:val="000000"/>
              </w:rPr>
              <w:t xml:space="preserve">The petitioner argues that during his detention, Mr. Andrade was not allowed to have the counsel of his attorney or see his family </w:t>
            </w:r>
            <w:r w:rsidR="00942C8E" w:rsidRPr="00DD1E2F">
              <w:rPr>
                <w:rFonts w:ascii="Cambria" w:hAnsi="Cambria"/>
                <w:color w:val="000000"/>
              </w:rPr>
              <w:t>members and</w:t>
            </w:r>
            <w:r w:rsidRPr="00DD1E2F">
              <w:rPr>
                <w:rFonts w:ascii="Cambria" w:hAnsi="Cambria"/>
                <w:color w:val="000000"/>
              </w:rPr>
              <w:t xml:space="preserve"> was confined to a small room with music playing full blast day and night. After five days of this psychological torture and incommunicado detention, a statement was taken from him, in disregard for proper procedure and without the presence of an attorney</w:t>
            </w:r>
            <w:r w:rsidRPr="00DD1E2F">
              <w:rPr>
                <w:rFonts w:ascii="Cambria" w:eastAsia="MS Mincho" w:hAnsi="Cambria"/>
                <w:color w:val="000000"/>
              </w:rPr>
              <w:t xml:space="preserve">. The criminal proceedings were plagued by deficiencies and </w:t>
            </w:r>
            <w:r w:rsidRPr="00DD1E2F">
              <w:rPr>
                <w:rFonts w:ascii="Cambria" w:hAnsi="Cambria"/>
                <w:color w:val="000000"/>
              </w:rPr>
              <w:t>after 10 months of detention, the Third Criminal Law Judge of Guayas, by resolution of July 22, 1997, revoked the Mr. Andrade’s pretrial detention order. On September 5, 1997, the Office of the Prosecutor issued a ruling in which it upheld the decision not to indict Mr. Andrade. Later, the same judge who had handed down the unlawful and arbitrary detention order, Judge Grace Campoverde, dismissed the charges against him, without prejudice. Despite that decision, however, Mr. Andrade was not released.</w:t>
            </w:r>
            <w:r w:rsidRPr="00DD1E2F">
              <w:rPr>
                <w:rFonts w:ascii="Cambria" w:eastAsia="MS Mincho" w:hAnsi="Cambria"/>
                <w:color w:val="000000"/>
              </w:rPr>
              <w:t xml:space="preserve"> </w:t>
            </w:r>
          </w:p>
          <w:p w14:paraId="1A68B83D" w14:textId="77777777" w:rsidR="00583C84" w:rsidRPr="00DD1E2F" w:rsidRDefault="00583C84" w:rsidP="0045789B">
            <w:pPr>
              <w:pStyle w:val="MediumGrid2-Accent11"/>
              <w:jc w:val="both"/>
              <w:rPr>
                <w:rFonts w:ascii="Cambria" w:hAnsi="Cambria"/>
                <w:color w:val="000000"/>
                <w:lang w:val="en-US"/>
              </w:rPr>
            </w:pPr>
            <w:r w:rsidRPr="00DD1E2F">
              <w:rPr>
                <w:rFonts w:ascii="Cambria" w:hAnsi="Cambria"/>
                <w:b/>
                <w:color w:val="000000"/>
                <w:lang w:val="en-US"/>
              </w:rPr>
              <w:t>Rights alleged</w:t>
            </w:r>
            <w:r w:rsidRPr="00DD1E2F">
              <w:rPr>
                <w:rFonts w:ascii="Cambria" w:hAnsi="Cambria"/>
                <w:color w:val="000000"/>
                <w:lang w:val="en-US"/>
              </w:rPr>
              <w:t>: The petitioners alleged violation of the rights to humane treatment (Article 5), personal liberty (Article 7), a fair trial (Article 8), and judicial protection (Article 25) of the American Convention on Human Rights, all in breach of the obligations provided for under Article 1(1) thereof, to the detriment of Mr. Pompeyo Carlos Andrade Benítez. </w:t>
            </w:r>
          </w:p>
        </w:tc>
      </w:tr>
    </w:tbl>
    <w:p w14:paraId="0813E397" w14:textId="77777777" w:rsidR="00583C84" w:rsidRPr="00DD1E2F" w:rsidRDefault="00583C84" w:rsidP="0045789B">
      <w:pPr>
        <w:spacing w:after="0" w:line="240" w:lineRule="auto"/>
        <w:rPr>
          <w:rFonts w:ascii="Cambria" w:hAnsi="Cambria"/>
        </w:rPr>
      </w:pPr>
    </w:p>
    <w:p w14:paraId="7E0EDFB5" w14:textId="77777777" w:rsidR="00583C84" w:rsidRPr="00DD1E2F" w:rsidRDefault="00583C84" w:rsidP="00AD711F">
      <w:pPr>
        <w:pStyle w:val="LightGrid-Accent31"/>
        <w:numPr>
          <w:ilvl w:val="0"/>
          <w:numId w:val="59"/>
        </w:numPr>
        <w:spacing w:after="0" w:line="240" w:lineRule="auto"/>
        <w:ind w:left="0" w:firstLine="720"/>
        <w:jc w:val="both"/>
        <w:rPr>
          <w:rFonts w:ascii="Cambria" w:hAnsi="Cambria" w:cs="Calibri Light"/>
          <w:b/>
          <w:color w:val="000000"/>
        </w:rPr>
      </w:pPr>
      <w:r w:rsidRPr="00DD1E2F">
        <w:rPr>
          <w:rFonts w:ascii="Cambria" w:hAnsi="Cambria"/>
          <w:b/>
          <w:color w:val="000000"/>
        </w:rPr>
        <w:lastRenderedPageBreak/>
        <w:t>PROCEDURAL ACTIVITY</w:t>
      </w:r>
    </w:p>
    <w:p w14:paraId="1BA92A60" w14:textId="77777777" w:rsidR="00583C84" w:rsidRPr="00DD1E2F" w:rsidRDefault="00583C84" w:rsidP="0045789B">
      <w:pPr>
        <w:pStyle w:val="LightGrid-Accent31"/>
        <w:spacing w:after="0" w:line="240" w:lineRule="auto"/>
        <w:ind w:left="0" w:firstLine="720"/>
        <w:jc w:val="both"/>
        <w:rPr>
          <w:rFonts w:ascii="Cambria" w:hAnsi="Cambria" w:cs="Calibri Light"/>
          <w:b/>
          <w:color w:val="000000"/>
        </w:rPr>
      </w:pPr>
    </w:p>
    <w:p w14:paraId="43CB7606" w14:textId="77777777" w:rsidR="00583C84" w:rsidRPr="00DD1E2F" w:rsidRDefault="00583C84" w:rsidP="00AD711F">
      <w:pPr>
        <w:pStyle w:val="LightGrid-Accent31"/>
        <w:numPr>
          <w:ilvl w:val="0"/>
          <w:numId w:val="105"/>
        </w:numPr>
        <w:spacing w:after="0" w:line="240" w:lineRule="auto"/>
        <w:ind w:left="0" w:firstLine="720"/>
        <w:contextualSpacing w:val="0"/>
        <w:jc w:val="both"/>
        <w:rPr>
          <w:rFonts w:ascii="Cambria" w:hAnsi="Cambria" w:cs="Calibri Light"/>
          <w:bCs/>
          <w:color w:val="000000"/>
        </w:rPr>
      </w:pPr>
      <w:r w:rsidRPr="00DD1E2F">
        <w:rPr>
          <w:rFonts w:ascii="Cambria" w:hAnsi="Cambria" w:cs="Calibri Light"/>
          <w:bCs/>
          <w:color w:val="000000"/>
        </w:rPr>
        <w:t>On August 15, 2001, the parties signed the friendly settlement agreement.</w:t>
      </w:r>
    </w:p>
    <w:p w14:paraId="6F7B9327" w14:textId="77777777" w:rsidR="00583C84" w:rsidRPr="00DD1E2F" w:rsidRDefault="00583C84" w:rsidP="0045789B">
      <w:pPr>
        <w:pStyle w:val="LightGrid-Accent31"/>
        <w:spacing w:after="0" w:line="240" w:lineRule="auto"/>
        <w:ind w:left="0" w:firstLine="720"/>
        <w:contextualSpacing w:val="0"/>
        <w:jc w:val="both"/>
        <w:rPr>
          <w:rFonts w:ascii="Cambria" w:hAnsi="Cambria" w:cs="Calibri Light"/>
          <w:bCs/>
          <w:color w:val="000000"/>
        </w:rPr>
      </w:pPr>
    </w:p>
    <w:p w14:paraId="72C92A3D" w14:textId="77777777" w:rsidR="00583C84" w:rsidRPr="00DD1E2F" w:rsidRDefault="00583C84" w:rsidP="00AD711F">
      <w:pPr>
        <w:pStyle w:val="LightGrid-Accent31"/>
        <w:numPr>
          <w:ilvl w:val="0"/>
          <w:numId w:val="105"/>
        </w:numPr>
        <w:spacing w:after="0" w:line="240" w:lineRule="auto"/>
        <w:ind w:left="0" w:firstLine="720"/>
        <w:contextualSpacing w:val="0"/>
        <w:jc w:val="both"/>
        <w:rPr>
          <w:rFonts w:ascii="Cambria" w:hAnsi="Cambria" w:cs="Calibri Light"/>
          <w:bCs/>
          <w:color w:val="000000"/>
        </w:rPr>
      </w:pPr>
      <w:r w:rsidRPr="00DD1E2F">
        <w:rPr>
          <w:rFonts w:ascii="Cambria" w:hAnsi="Cambria" w:cs="Calibri Light"/>
          <w:bCs/>
          <w:color w:val="000000"/>
        </w:rPr>
        <w:t>On October 11, 2001, the Commission approved the friendly settlement agreement by report No. 110/01.</w:t>
      </w:r>
    </w:p>
    <w:p w14:paraId="2A6655BB" w14:textId="77777777" w:rsidR="0087552B" w:rsidRPr="00DD1E2F" w:rsidRDefault="0087552B" w:rsidP="0045789B">
      <w:pPr>
        <w:pStyle w:val="LightGrid-Accent31"/>
        <w:spacing w:after="0" w:line="240" w:lineRule="auto"/>
        <w:ind w:left="0" w:firstLine="720"/>
        <w:contextualSpacing w:val="0"/>
        <w:jc w:val="both"/>
        <w:rPr>
          <w:rFonts w:ascii="Cambria" w:hAnsi="Cambria" w:cs="Calibri Light"/>
          <w:bCs/>
          <w:color w:val="000000"/>
        </w:rPr>
      </w:pPr>
    </w:p>
    <w:p w14:paraId="32F3AC3E" w14:textId="77777777" w:rsidR="00583C84" w:rsidRPr="00DD1E2F" w:rsidRDefault="00583C84" w:rsidP="00AD711F">
      <w:pPr>
        <w:pStyle w:val="LightGrid-Accent31"/>
        <w:numPr>
          <w:ilvl w:val="0"/>
          <w:numId w:val="59"/>
        </w:numPr>
        <w:spacing w:after="0" w:line="240" w:lineRule="auto"/>
        <w:ind w:left="0" w:firstLine="720"/>
        <w:jc w:val="both"/>
        <w:rPr>
          <w:rFonts w:ascii="Cambria" w:hAnsi="Cambria" w:cs="Calibri Light"/>
          <w:b/>
          <w:color w:val="000000"/>
        </w:rPr>
      </w:pPr>
      <w:r w:rsidRPr="00DD1E2F">
        <w:rPr>
          <w:rFonts w:ascii="Cambria" w:hAnsi="Cambria" w:cs="Calibri Light"/>
          <w:b/>
          <w:color w:val="000000"/>
        </w:rPr>
        <w:t>ANALYSIS OF COMPLIANCE WITH THE CLAUSES OF THE FRIENDLY SETTLEMENT AGREEMENT</w:t>
      </w:r>
    </w:p>
    <w:p w14:paraId="4923A109" w14:textId="77777777" w:rsidR="00583C84" w:rsidRPr="00DD1E2F" w:rsidRDefault="00583C84" w:rsidP="0045789B">
      <w:pPr>
        <w:pStyle w:val="LightGrid-Accent31"/>
        <w:spacing w:after="0" w:line="240" w:lineRule="auto"/>
        <w:jc w:val="both"/>
        <w:rPr>
          <w:rFonts w:ascii="Cambria"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8"/>
        <w:gridCol w:w="2228"/>
      </w:tblGrid>
      <w:tr w:rsidR="00F5380D" w:rsidRPr="00DD1E2F" w14:paraId="3F7DD764" w14:textId="77777777" w:rsidTr="003B6168">
        <w:trPr>
          <w:jc w:val="center"/>
        </w:trPr>
        <w:tc>
          <w:tcPr>
            <w:tcW w:w="7268" w:type="dxa"/>
            <w:shd w:val="clear" w:color="auto" w:fill="D9D9D9"/>
            <w:vAlign w:val="center"/>
          </w:tcPr>
          <w:p w14:paraId="76E5C04A" w14:textId="77777777" w:rsidR="00F5380D" w:rsidRPr="00DD1E2F" w:rsidRDefault="00F5380D" w:rsidP="0045789B">
            <w:pPr>
              <w:spacing w:after="0" w:line="240" w:lineRule="auto"/>
              <w:jc w:val="center"/>
              <w:rPr>
                <w:rFonts w:ascii="Cambria" w:hAnsi="Cambria"/>
                <w:b/>
                <w:color w:val="000000"/>
              </w:rPr>
            </w:pPr>
            <w:r w:rsidRPr="00DD1E2F">
              <w:rPr>
                <w:rFonts w:ascii="Cambria" w:hAnsi="Cambria"/>
                <w:b/>
                <w:color w:val="000000"/>
              </w:rPr>
              <w:t>Agreement clause</w:t>
            </w:r>
          </w:p>
        </w:tc>
        <w:tc>
          <w:tcPr>
            <w:tcW w:w="2268" w:type="dxa"/>
            <w:shd w:val="clear" w:color="auto" w:fill="D9D9D9"/>
            <w:vAlign w:val="center"/>
          </w:tcPr>
          <w:p w14:paraId="670ED7E8" w14:textId="77777777" w:rsidR="00F5380D" w:rsidRPr="00DD1E2F" w:rsidRDefault="00F5380D" w:rsidP="0045789B">
            <w:pPr>
              <w:spacing w:after="0" w:line="240" w:lineRule="auto"/>
              <w:jc w:val="center"/>
              <w:rPr>
                <w:rFonts w:ascii="Cambria" w:hAnsi="Cambria"/>
                <w:b/>
                <w:color w:val="000000"/>
              </w:rPr>
            </w:pPr>
            <w:r w:rsidRPr="00DD1E2F">
              <w:rPr>
                <w:rFonts w:ascii="Cambria" w:hAnsi="Cambria"/>
                <w:b/>
                <w:color w:val="000000"/>
              </w:rPr>
              <w:t>State of compliance</w:t>
            </w:r>
          </w:p>
        </w:tc>
      </w:tr>
      <w:tr w:rsidR="0045789B" w:rsidRPr="00DD1E2F" w14:paraId="235D8AAD" w14:textId="77777777" w:rsidTr="003B6168">
        <w:trPr>
          <w:jc w:val="center"/>
        </w:trPr>
        <w:tc>
          <w:tcPr>
            <w:tcW w:w="7268" w:type="dxa"/>
            <w:shd w:val="clear" w:color="auto" w:fill="auto"/>
            <w:vAlign w:val="center"/>
          </w:tcPr>
          <w:p w14:paraId="59BCF7AF" w14:textId="77777777" w:rsidR="0045789B" w:rsidRPr="00DD1E2F" w:rsidRDefault="0045789B" w:rsidP="0045789B">
            <w:pPr>
              <w:spacing w:after="0" w:line="240" w:lineRule="auto"/>
              <w:jc w:val="both"/>
              <w:rPr>
                <w:rFonts w:ascii="Cambria" w:eastAsia="Times New Roman" w:hAnsi="Cambria"/>
                <w:b/>
                <w:bCs/>
                <w:color w:val="000000"/>
              </w:rPr>
            </w:pPr>
            <w:r w:rsidRPr="00DD1E2F">
              <w:rPr>
                <w:rFonts w:ascii="Cambria" w:eastAsia="Times New Roman" w:hAnsi="Cambria"/>
                <w:b/>
                <w:bCs/>
                <w:color w:val="000000"/>
              </w:rPr>
              <w:t>III.      STATE RESPONSIBILITY AND ACCEPTANCE</w:t>
            </w:r>
          </w:p>
          <w:p w14:paraId="4176E50B" w14:textId="77777777" w:rsidR="0045789B" w:rsidRPr="00DD1E2F" w:rsidRDefault="0045789B" w:rsidP="0045789B">
            <w:pPr>
              <w:spacing w:after="0" w:line="240" w:lineRule="auto"/>
              <w:jc w:val="both"/>
              <w:rPr>
                <w:rFonts w:ascii="Cambria" w:eastAsia="Times New Roman" w:hAnsi="Cambria"/>
                <w:color w:val="000000"/>
              </w:rPr>
            </w:pPr>
            <w:r w:rsidRPr="00DD1E2F">
              <w:rPr>
                <w:rFonts w:ascii="Cambria" w:eastAsia="Times New Roman" w:hAnsi="Cambria"/>
                <w:color w:val="000000"/>
              </w:rPr>
              <w:t>The Ecuadorian State acknowledges its international responsibility for having violated the human rights of Mr. Pompeyo Carlos Andrade Benítez recognized in Article 8 (right to a fair trial), Article 7 (right to personal liberty), and Article 25 (right to judicial protection), in relation to the general obligation contained in Article 1(1) of the American Convention on Human Rights and other international instruments, considering that the violations were committed by State agents, which could not be disproved by the State, giving rise to State responsibility.</w:t>
            </w:r>
          </w:p>
          <w:p w14:paraId="093DA320" w14:textId="77777777" w:rsidR="0045789B" w:rsidRPr="00DD1E2F" w:rsidRDefault="0045789B" w:rsidP="0045789B">
            <w:pPr>
              <w:spacing w:after="0" w:line="240" w:lineRule="auto"/>
              <w:ind w:left="72"/>
              <w:jc w:val="both"/>
              <w:rPr>
                <w:rFonts w:ascii="Cambria" w:eastAsia="Times New Roman" w:hAnsi="Cambria"/>
                <w:color w:val="000000"/>
              </w:rPr>
            </w:pPr>
          </w:p>
          <w:p w14:paraId="1CA7CB15" w14:textId="77777777" w:rsidR="0045789B" w:rsidRPr="00DD1E2F" w:rsidRDefault="0045789B" w:rsidP="0045789B">
            <w:pPr>
              <w:spacing w:after="0" w:line="240" w:lineRule="auto"/>
              <w:jc w:val="both"/>
              <w:rPr>
                <w:rFonts w:ascii="Cambria" w:eastAsia="Times New Roman" w:hAnsi="Cambria"/>
                <w:b/>
                <w:bCs/>
                <w:color w:val="000000"/>
              </w:rPr>
            </w:pPr>
            <w:r w:rsidRPr="00DD1E2F">
              <w:rPr>
                <w:rFonts w:ascii="Cambria" w:eastAsia="Times New Roman" w:hAnsi="Cambria"/>
                <w:color w:val="000000"/>
              </w:rPr>
              <w:t>Given the above, the Ecuadorian State accepts the facts in case Nº 12.007 before the Inter-American Commission on Human Rights and undertakes the necessary reparative steps to compensate the victims, or their successors, for the damages caused by those violations.</w:t>
            </w:r>
          </w:p>
        </w:tc>
        <w:tc>
          <w:tcPr>
            <w:tcW w:w="2268" w:type="dxa"/>
            <w:tcBorders>
              <w:bottom w:val="single" w:sz="4" w:space="0" w:color="auto"/>
            </w:tcBorders>
            <w:shd w:val="clear" w:color="auto" w:fill="auto"/>
            <w:vAlign w:val="center"/>
          </w:tcPr>
          <w:p w14:paraId="6C26B0E7" w14:textId="77777777" w:rsidR="0045789B" w:rsidRPr="00DD1E2F" w:rsidRDefault="0045789B" w:rsidP="0045789B">
            <w:pPr>
              <w:spacing w:after="0" w:line="240" w:lineRule="auto"/>
              <w:jc w:val="center"/>
              <w:rPr>
                <w:rFonts w:ascii="Cambria" w:hAnsi="Cambria"/>
                <w:b/>
                <w:color w:val="000000"/>
              </w:rPr>
            </w:pPr>
            <w:r w:rsidRPr="00DD1E2F">
              <w:rPr>
                <w:rFonts w:ascii="Cambria" w:hAnsi="Cambria"/>
                <w:b/>
                <w:color w:val="000000"/>
              </w:rPr>
              <w:t>Declarative</w:t>
            </w:r>
          </w:p>
        </w:tc>
      </w:tr>
      <w:tr w:rsidR="00583C84" w:rsidRPr="00DD1E2F" w14:paraId="31A96C50" w14:textId="77777777" w:rsidTr="0045789B">
        <w:trPr>
          <w:trHeight w:val="2222"/>
          <w:jc w:val="center"/>
        </w:trPr>
        <w:tc>
          <w:tcPr>
            <w:tcW w:w="7268" w:type="dxa"/>
            <w:shd w:val="clear" w:color="auto" w:fill="auto"/>
            <w:vAlign w:val="center"/>
          </w:tcPr>
          <w:p w14:paraId="569DD2F5" w14:textId="77777777" w:rsidR="00A30651" w:rsidRPr="00DD1E2F" w:rsidRDefault="00583C84" w:rsidP="0045789B">
            <w:pPr>
              <w:spacing w:after="0" w:line="240" w:lineRule="auto"/>
              <w:ind w:left="72"/>
              <w:jc w:val="both"/>
              <w:rPr>
                <w:rFonts w:ascii="Cambria" w:eastAsia="Times New Roman" w:hAnsi="Cambria"/>
                <w:b/>
                <w:bCs/>
                <w:color w:val="000000"/>
              </w:rPr>
            </w:pPr>
            <w:r w:rsidRPr="00DD1E2F">
              <w:rPr>
                <w:rFonts w:ascii="Cambria" w:eastAsia="Times New Roman" w:hAnsi="Cambria"/>
                <w:b/>
                <w:bCs/>
                <w:color w:val="000000"/>
              </w:rPr>
              <w:t>IV.    COMPENSATION</w:t>
            </w:r>
          </w:p>
          <w:p w14:paraId="7FB2DF1C" w14:textId="77777777" w:rsidR="00583C84" w:rsidRPr="00DD1E2F" w:rsidRDefault="00583C84" w:rsidP="0045789B">
            <w:pPr>
              <w:spacing w:after="0" w:line="240" w:lineRule="auto"/>
              <w:ind w:left="72"/>
              <w:jc w:val="both"/>
              <w:rPr>
                <w:rFonts w:ascii="Cambria" w:eastAsia="Times New Roman" w:hAnsi="Cambria"/>
                <w:color w:val="000000"/>
              </w:rPr>
            </w:pPr>
            <w:r w:rsidRPr="00DD1E2F">
              <w:rPr>
                <w:rFonts w:ascii="Cambria" w:eastAsia="Times New Roman" w:hAnsi="Cambria"/>
                <w:color w:val="000000"/>
              </w:rPr>
              <w:t>In view of the foregoing, the Ecuadorian State, through the Attorney General, as the sole judicial representative of the Ecuadorian State, pursuant to Article 215 of the Constitution of Ecuador, enacted in Official Register Nº 1 and in force since August 11, 1998, is awarding Mr. Pompeyo Carlos Andrade Benítez a one-time compensatory payment in the amount of twenty thousand US dollars (US$ 20,000), to be paid from the National Budget. […].</w:t>
            </w:r>
          </w:p>
        </w:tc>
        <w:tc>
          <w:tcPr>
            <w:tcW w:w="2268" w:type="dxa"/>
            <w:tcBorders>
              <w:bottom w:val="single" w:sz="4" w:space="0" w:color="auto"/>
            </w:tcBorders>
            <w:shd w:val="clear" w:color="auto" w:fill="auto"/>
            <w:vAlign w:val="center"/>
          </w:tcPr>
          <w:p w14:paraId="0C263AC6" w14:textId="77777777" w:rsidR="00583C84" w:rsidRPr="00DD1E2F" w:rsidRDefault="00583C84" w:rsidP="0045789B">
            <w:pPr>
              <w:spacing w:after="0" w:line="240" w:lineRule="auto"/>
              <w:jc w:val="center"/>
              <w:rPr>
                <w:rFonts w:ascii="Cambria" w:hAnsi="Cambria"/>
                <w:color w:val="000000"/>
              </w:rPr>
            </w:pPr>
            <w:r w:rsidRPr="00DD1E2F">
              <w:rPr>
                <w:rFonts w:ascii="Cambria" w:hAnsi="Cambria"/>
                <w:b/>
                <w:color w:val="000000"/>
              </w:rPr>
              <w:t>Total</w:t>
            </w:r>
            <w:r w:rsidRPr="00DD1E2F">
              <w:rPr>
                <w:rStyle w:val="FootnoteReference"/>
                <w:rFonts w:ascii="Cambria" w:hAnsi="Cambria"/>
                <w:color w:val="000000"/>
              </w:rPr>
              <w:footnoteReference w:id="1"/>
            </w:r>
          </w:p>
        </w:tc>
      </w:tr>
      <w:tr w:rsidR="00F5380D" w:rsidRPr="00DD1E2F" w14:paraId="08088CA7" w14:textId="77777777" w:rsidTr="0045789B">
        <w:trPr>
          <w:trHeight w:val="2069"/>
          <w:jc w:val="center"/>
        </w:trPr>
        <w:tc>
          <w:tcPr>
            <w:tcW w:w="7268" w:type="dxa"/>
            <w:shd w:val="clear" w:color="auto" w:fill="auto"/>
          </w:tcPr>
          <w:p w14:paraId="4BACFD3F" w14:textId="77777777" w:rsidR="00F5380D" w:rsidRPr="00DD1E2F" w:rsidRDefault="00F5380D" w:rsidP="0045789B">
            <w:pPr>
              <w:spacing w:after="0" w:line="240" w:lineRule="auto"/>
              <w:ind w:right="-2516" w:hanging="18"/>
              <w:jc w:val="both"/>
              <w:rPr>
                <w:rFonts w:ascii="Cambria" w:eastAsia="Times New Roman" w:hAnsi="Cambria"/>
                <w:b/>
                <w:color w:val="000000"/>
              </w:rPr>
            </w:pPr>
            <w:r w:rsidRPr="00DD1E2F">
              <w:rPr>
                <w:rFonts w:ascii="Cambria" w:eastAsia="Times New Roman" w:hAnsi="Cambria"/>
                <w:b/>
                <w:color w:val="000000"/>
              </w:rPr>
              <w:t>V. PUNISHMENT OF THE PERSONS RESPONSIBLE</w:t>
            </w:r>
          </w:p>
          <w:p w14:paraId="467C3EF7" w14:textId="77777777" w:rsidR="00F5380D" w:rsidRPr="00DD1E2F" w:rsidRDefault="00F5380D" w:rsidP="0045789B">
            <w:pPr>
              <w:spacing w:after="0" w:line="240" w:lineRule="auto"/>
              <w:ind w:right="-2516" w:hanging="18"/>
              <w:jc w:val="both"/>
              <w:rPr>
                <w:rFonts w:ascii="Cambria" w:eastAsia="Times New Roman" w:hAnsi="Cambria"/>
                <w:color w:val="000000"/>
              </w:rPr>
            </w:pPr>
            <w:r w:rsidRPr="00DD1E2F">
              <w:rPr>
                <w:rFonts w:ascii="Cambria" w:eastAsia="Times New Roman" w:hAnsi="Cambria"/>
                <w:color w:val="000000"/>
              </w:rPr>
              <w:t xml:space="preserve">The Ecuadorian State pledges to bring civil and criminal proceedings and pursue administrative sanctions against those persons who are alleged to have participated in the violation in the performance of State functions or under the color of public authority.  </w:t>
            </w:r>
          </w:p>
          <w:p w14:paraId="278864D8" w14:textId="77777777" w:rsidR="00F5380D" w:rsidRPr="00DD1E2F" w:rsidRDefault="00F5380D" w:rsidP="0045789B">
            <w:pPr>
              <w:spacing w:after="0" w:line="240" w:lineRule="auto"/>
              <w:ind w:right="-2516" w:hanging="18"/>
              <w:jc w:val="both"/>
              <w:rPr>
                <w:rFonts w:ascii="Cambria" w:eastAsia="Times New Roman" w:hAnsi="Cambria"/>
                <w:color w:val="000000"/>
              </w:rPr>
            </w:pPr>
            <w:r w:rsidRPr="00DD1E2F">
              <w:rPr>
                <w:rFonts w:ascii="Cambria" w:eastAsia="Times New Roman" w:hAnsi="Cambria"/>
                <w:color w:val="000000"/>
              </w:rPr>
              <w:t>The Office of the Attorney General pledges to encourage the State Attorney General, the competent judicial organs, and public agencies or private institutions to contribute legal evidence to determine the liability of those persons. If admissible, the prosecution will be subject to the constitution and laws of the Ecuadorian State.</w:t>
            </w:r>
          </w:p>
        </w:tc>
        <w:tc>
          <w:tcPr>
            <w:tcW w:w="2268" w:type="dxa"/>
            <w:shd w:val="clear" w:color="auto" w:fill="auto"/>
            <w:vAlign w:val="center"/>
          </w:tcPr>
          <w:p w14:paraId="36918783" w14:textId="77777777" w:rsidR="00F5380D" w:rsidRPr="00DD1E2F" w:rsidRDefault="00666251" w:rsidP="0045789B">
            <w:pPr>
              <w:spacing w:after="0" w:line="240" w:lineRule="auto"/>
              <w:ind w:right="-2516"/>
              <w:rPr>
                <w:rFonts w:ascii="Cambria" w:eastAsia="MS Mincho" w:hAnsi="Cambria"/>
                <w:b/>
                <w:bCs/>
                <w:color w:val="000000"/>
              </w:rPr>
            </w:pPr>
            <w:r w:rsidRPr="00DD1E2F">
              <w:rPr>
                <w:rFonts w:ascii="Cambria" w:eastAsia="MS Mincho" w:hAnsi="Cambria"/>
                <w:b/>
                <w:bCs/>
                <w:color w:val="000000"/>
              </w:rPr>
              <w:t xml:space="preserve">    </w:t>
            </w:r>
            <w:r w:rsidR="00F5380D" w:rsidRPr="00DD1E2F">
              <w:rPr>
                <w:rFonts w:ascii="Cambria" w:eastAsia="MS Mincho" w:hAnsi="Cambria"/>
                <w:b/>
                <w:bCs/>
                <w:color w:val="000000"/>
              </w:rPr>
              <w:t xml:space="preserve"> </w:t>
            </w:r>
            <w:r w:rsidR="0045789B" w:rsidRPr="00DD1E2F">
              <w:rPr>
                <w:rFonts w:ascii="Cambria" w:eastAsia="MS Mincho" w:hAnsi="Cambria"/>
                <w:b/>
                <w:bCs/>
                <w:color w:val="000000"/>
              </w:rPr>
              <w:t>Noncompliance</w:t>
            </w:r>
            <w:r w:rsidR="00F5380D" w:rsidRPr="00DD1E2F">
              <w:rPr>
                <w:rStyle w:val="FootnoteReference"/>
                <w:rFonts w:ascii="Cambria" w:eastAsia="MS Mincho" w:hAnsi="Cambria"/>
                <w:b/>
                <w:bCs/>
                <w:color w:val="000000"/>
              </w:rPr>
              <w:footnoteReference w:id="2"/>
            </w:r>
          </w:p>
        </w:tc>
      </w:tr>
    </w:tbl>
    <w:p w14:paraId="4B0890E6" w14:textId="77777777" w:rsidR="00F5380D" w:rsidRPr="00DD1E2F" w:rsidRDefault="00F5380D" w:rsidP="0045789B">
      <w:pPr>
        <w:autoSpaceDE w:val="0"/>
        <w:autoSpaceDN w:val="0"/>
        <w:adjustRightInd w:val="0"/>
        <w:spacing w:after="0" w:line="240" w:lineRule="auto"/>
        <w:jc w:val="both"/>
        <w:rPr>
          <w:rFonts w:ascii="Cambria" w:hAnsi="Cambria"/>
          <w:color w:val="000000"/>
        </w:rPr>
      </w:pPr>
    </w:p>
    <w:p w14:paraId="22ABA42B" w14:textId="77777777" w:rsidR="00583C84" w:rsidRPr="00DD1E2F" w:rsidRDefault="00583C84" w:rsidP="00AD711F">
      <w:pPr>
        <w:numPr>
          <w:ilvl w:val="0"/>
          <w:numId w:val="59"/>
        </w:numPr>
        <w:autoSpaceDE w:val="0"/>
        <w:autoSpaceDN w:val="0"/>
        <w:adjustRightInd w:val="0"/>
        <w:spacing w:after="0" w:line="240" w:lineRule="auto"/>
        <w:ind w:left="0" w:firstLine="720"/>
        <w:jc w:val="both"/>
        <w:rPr>
          <w:rFonts w:ascii="Cambria" w:hAnsi="Cambria"/>
          <w:color w:val="000000"/>
        </w:rPr>
      </w:pPr>
      <w:r w:rsidRPr="00DD1E2F">
        <w:rPr>
          <w:rFonts w:ascii="Cambria" w:hAnsi="Cambria" w:cs="Calibri Light"/>
          <w:b/>
          <w:color w:val="000000"/>
        </w:rPr>
        <w:t>LEVEL OF COMPLIANCE OF THE CASE</w:t>
      </w:r>
    </w:p>
    <w:p w14:paraId="2DC5CC94" w14:textId="77777777" w:rsidR="00583C84" w:rsidRPr="00DD1E2F" w:rsidRDefault="00583C84" w:rsidP="0045789B">
      <w:pPr>
        <w:autoSpaceDE w:val="0"/>
        <w:autoSpaceDN w:val="0"/>
        <w:adjustRightInd w:val="0"/>
        <w:spacing w:after="0" w:line="240" w:lineRule="auto"/>
        <w:ind w:firstLine="720"/>
        <w:jc w:val="both"/>
        <w:rPr>
          <w:rFonts w:ascii="Cambria" w:hAnsi="Cambria"/>
          <w:color w:val="000000"/>
        </w:rPr>
      </w:pPr>
    </w:p>
    <w:p w14:paraId="18462422" w14:textId="77777777" w:rsidR="0087552B" w:rsidRPr="00DD1E2F" w:rsidRDefault="0087552B" w:rsidP="00AD711F">
      <w:pPr>
        <w:pStyle w:val="ListParagraph"/>
        <w:numPr>
          <w:ilvl w:val="0"/>
          <w:numId w:val="105"/>
        </w:numPr>
        <w:spacing w:after="0" w:line="240" w:lineRule="auto"/>
        <w:ind w:left="0" w:firstLine="720"/>
        <w:jc w:val="both"/>
        <w:rPr>
          <w:rFonts w:ascii="Cambria" w:hAnsi="Cambria"/>
          <w:lang w:val="en-US"/>
        </w:rPr>
      </w:pPr>
      <w:r w:rsidRPr="00DD1E2F">
        <w:rPr>
          <w:rFonts w:ascii="Cambria" w:hAnsi="Cambria"/>
          <w:lang w:val="en-US"/>
        </w:rPr>
        <w:t xml:space="preserve">The Commission noted that the petitioning party did not submit updated information since October 1, 2017. Additionally, </w:t>
      </w:r>
      <w:r w:rsidR="00AA7906" w:rsidRPr="00DD1E2F">
        <w:rPr>
          <w:rStyle w:val="ui-provider"/>
          <w:rFonts w:ascii="Cambria" w:hAnsi="Cambria"/>
          <w:lang w:val="en-US"/>
        </w:rPr>
        <w:t>the Commission</w:t>
      </w:r>
      <w:r w:rsidR="00AA7906" w:rsidRPr="00DD1E2F">
        <w:rPr>
          <w:rStyle w:val="ui-provider"/>
          <w:lang w:val="en-US"/>
        </w:rPr>
        <w:t xml:space="preserve"> </w:t>
      </w:r>
      <w:r w:rsidRPr="00DD1E2F">
        <w:rPr>
          <w:rFonts w:ascii="Cambria" w:hAnsi="Cambria"/>
          <w:lang w:val="en-US"/>
        </w:rPr>
        <w:t xml:space="preserve">noted that, since the publication of </w:t>
      </w:r>
      <w:r w:rsidRPr="00DD1E2F">
        <w:rPr>
          <w:rFonts w:ascii="Cambria" w:hAnsi="Cambria"/>
          <w:lang w:val="en-US"/>
        </w:rPr>
        <w:lastRenderedPageBreak/>
        <w:t xml:space="preserve">the FSA, the Commission has followed up on compliance with the clauses agreed by the parties in Chapter II G of the Annual Report, submitted to the OAS General Assembly. As part of this follow-up, </w:t>
      </w:r>
      <w:r w:rsidR="00AA7906" w:rsidRPr="00DD1E2F">
        <w:rPr>
          <w:rFonts w:ascii="Cambria" w:hAnsi="Cambria"/>
          <w:lang w:val="en-US"/>
        </w:rPr>
        <w:t xml:space="preserve">the petitioning party </w:t>
      </w:r>
      <w:r w:rsidRPr="00DD1E2F">
        <w:rPr>
          <w:rFonts w:ascii="Cambria" w:hAnsi="Cambria"/>
          <w:lang w:val="en-US"/>
        </w:rPr>
        <w:t xml:space="preserve">was requested updated information each year, granting </w:t>
      </w:r>
      <w:r w:rsidR="005A5F0E" w:rsidRPr="00DD1E2F">
        <w:rPr>
          <w:rFonts w:ascii="Cambria" w:hAnsi="Cambria"/>
          <w:lang w:val="en-US"/>
        </w:rPr>
        <w:t>them</w:t>
      </w:r>
      <w:r w:rsidRPr="00DD1E2F">
        <w:rPr>
          <w:rFonts w:ascii="Cambria" w:hAnsi="Cambria"/>
          <w:lang w:val="en-US"/>
        </w:rPr>
        <w:t xml:space="preserve"> a reasonable period of time to submit the information </w:t>
      </w:r>
      <w:r w:rsidR="005A5F0E" w:rsidRPr="00DD1E2F">
        <w:rPr>
          <w:rFonts w:ascii="Cambria" w:hAnsi="Cambria"/>
          <w:lang w:val="en-US"/>
        </w:rPr>
        <w:t>they</w:t>
      </w:r>
      <w:r w:rsidRPr="00DD1E2F">
        <w:rPr>
          <w:rFonts w:ascii="Cambria" w:hAnsi="Cambria"/>
          <w:lang w:val="en-US"/>
        </w:rPr>
        <w:t xml:space="preserve"> deem necessary. </w:t>
      </w:r>
    </w:p>
    <w:p w14:paraId="55E4E213" w14:textId="77777777" w:rsidR="0087552B" w:rsidRPr="00DD1E2F" w:rsidRDefault="0087552B" w:rsidP="0045789B">
      <w:pPr>
        <w:pStyle w:val="ListParagraph"/>
        <w:spacing w:after="0" w:line="240" w:lineRule="auto"/>
        <w:ind w:left="0" w:firstLine="720"/>
        <w:jc w:val="both"/>
        <w:rPr>
          <w:rFonts w:ascii="Cambria" w:hAnsi="Cambria"/>
          <w:lang w:val="en-US"/>
        </w:rPr>
      </w:pPr>
    </w:p>
    <w:p w14:paraId="48C1D5CF" w14:textId="77777777" w:rsidR="00583C84" w:rsidRPr="00DD1E2F" w:rsidRDefault="0087552B" w:rsidP="00AD711F">
      <w:pPr>
        <w:pStyle w:val="ListParagraph"/>
        <w:numPr>
          <w:ilvl w:val="0"/>
          <w:numId w:val="105"/>
        </w:numPr>
        <w:spacing w:after="0" w:line="240" w:lineRule="auto"/>
        <w:ind w:left="0" w:firstLine="720"/>
        <w:jc w:val="both"/>
        <w:rPr>
          <w:rFonts w:ascii="Cambria" w:hAnsi="Cambria"/>
          <w:lang w:val="en-US"/>
        </w:rPr>
      </w:pPr>
      <w:r w:rsidRPr="00DD1E2F">
        <w:rPr>
          <w:rFonts w:ascii="Cambria" w:hAnsi="Cambria"/>
          <w:lang w:val="en-US"/>
        </w:rPr>
        <w:t xml:space="preserve">Based on the foregoing </w:t>
      </w:r>
      <w:r w:rsidR="00583C84" w:rsidRPr="00DD1E2F">
        <w:rPr>
          <w:rFonts w:ascii="Cambria" w:hAnsi="Cambria"/>
          <w:lang w:val="en-US"/>
        </w:rPr>
        <w:t>and taking into consideration that the petitioning party did not submit the comprehensive report requested by the IACHR on July 28, 2021, together with the warning of the possible filing of the case, and observing the unjustified procedural inactivity of the petitioning party, which constitutes a serious indication of disinterest in the follow-up of</w:t>
      </w:r>
      <w:r w:rsidRPr="00DD1E2F">
        <w:rPr>
          <w:rFonts w:ascii="Cambria" w:hAnsi="Cambria"/>
          <w:lang w:val="en-US"/>
        </w:rPr>
        <w:t xml:space="preserve"> the FSA, the Commission decided</w:t>
      </w:r>
      <w:r w:rsidR="00583C84" w:rsidRPr="00DD1E2F">
        <w:rPr>
          <w:rFonts w:ascii="Cambria" w:hAnsi="Cambria"/>
          <w:lang w:val="en-US"/>
        </w:rPr>
        <w:t xml:space="preserve"> to cease monitoring compliance with the friendly settlement agreement and to archive the case </w:t>
      </w:r>
      <w:r w:rsidRPr="00DD1E2F">
        <w:rPr>
          <w:rFonts w:ascii="Cambria" w:hAnsi="Cambria"/>
          <w:color w:val="000000"/>
          <w:lang w:val="en-US"/>
        </w:rPr>
        <w:t xml:space="preserve">in accordance with Articles 42 and 48 of its Rules of Procedure, </w:t>
      </w:r>
      <w:r w:rsidR="00583C84" w:rsidRPr="00DD1E2F">
        <w:rPr>
          <w:rFonts w:ascii="Cambria" w:hAnsi="Cambria"/>
          <w:lang w:val="en-US"/>
        </w:rPr>
        <w:t>noting in its Annual Report to the General Assembly of the Organization of American States that the measure of justice was not complied with by the Ecuadorian State and that the level of compliance with the agreement is partial.</w:t>
      </w:r>
    </w:p>
    <w:p w14:paraId="4F34370C" w14:textId="77777777" w:rsidR="0087552B" w:rsidRPr="00DD1E2F" w:rsidRDefault="0087552B" w:rsidP="0045789B">
      <w:pPr>
        <w:pStyle w:val="ListParagraph"/>
        <w:spacing w:after="0" w:line="240" w:lineRule="auto"/>
        <w:ind w:left="0"/>
        <w:jc w:val="both"/>
        <w:rPr>
          <w:rFonts w:ascii="Cambria" w:hAnsi="Cambria"/>
          <w:lang w:val="en-US"/>
        </w:rPr>
      </w:pPr>
    </w:p>
    <w:p w14:paraId="2130A0D3" w14:textId="77777777" w:rsidR="00583C84" w:rsidRPr="00DD1E2F" w:rsidRDefault="00583C84" w:rsidP="00AD711F">
      <w:pPr>
        <w:pStyle w:val="LightGrid-Accent31"/>
        <w:numPr>
          <w:ilvl w:val="0"/>
          <w:numId w:val="59"/>
        </w:numPr>
        <w:spacing w:after="0" w:line="240" w:lineRule="auto"/>
        <w:ind w:left="0" w:firstLine="720"/>
        <w:jc w:val="both"/>
        <w:rPr>
          <w:rFonts w:ascii="Cambria" w:hAnsi="Cambria" w:cs="Calibri Light"/>
          <w:b/>
          <w:color w:val="000000"/>
        </w:rPr>
      </w:pPr>
      <w:r w:rsidRPr="00DD1E2F">
        <w:rPr>
          <w:rFonts w:ascii="Cambria" w:hAnsi="Cambria" w:cs="Calibri Light"/>
          <w:b/>
          <w:color w:val="000000"/>
        </w:rPr>
        <w:t xml:space="preserve">INDIVIDUAL AND STRUCTURAL OUTCOMES OF THE CASE </w:t>
      </w:r>
    </w:p>
    <w:p w14:paraId="619693D8" w14:textId="77777777" w:rsidR="00583C84" w:rsidRPr="00DD1E2F" w:rsidRDefault="00583C84" w:rsidP="0045789B">
      <w:pPr>
        <w:pStyle w:val="LightGrid-Accent31"/>
        <w:spacing w:after="0" w:line="240" w:lineRule="auto"/>
        <w:ind w:left="0" w:firstLine="720"/>
        <w:jc w:val="both"/>
        <w:rPr>
          <w:rFonts w:ascii="Cambria" w:hAnsi="Cambria" w:cs="Calibri Light"/>
          <w:b/>
          <w:color w:val="000000"/>
        </w:rPr>
      </w:pPr>
    </w:p>
    <w:p w14:paraId="68B2B376" w14:textId="77777777" w:rsidR="00583C84" w:rsidRPr="00DD1E2F" w:rsidRDefault="0087552B" w:rsidP="00AD711F">
      <w:pPr>
        <w:pStyle w:val="LightGrid-Accent31"/>
        <w:numPr>
          <w:ilvl w:val="0"/>
          <w:numId w:val="60"/>
        </w:numPr>
        <w:spacing w:after="0" w:line="240" w:lineRule="auto"/>
        <w:ind w:firstLine="0"/>
        <w:jc w:val="both"/>
        <w:rPr>
          <w:rFonts w:ascii="Cambria" w:hAnsi="Cambria" w:cs="Calibri Light"/>
          <w:b/>
          <w:color w:val="000000"/>
        </w:rPr>
      </w:pPr>
      <w:r w:rsidRPr="00DD1E2F">
        <w:rPr>
          <w:rFonts w:ascii="Cambria" w:hAnsi="Cambria" w:cs="Calibri Light"/>
          <w:b/>
          <w:color w:val="000000"/>
        </w:rPr>
        <w:t>Individual outcomes of the case</w:t>
      </w:r>
    </w:p>
    <w:p w14:paraId="2A9BA896" w14:textId="77777777" w:rsidR="00583C84" w:rsidRPr="00DD1E2F" w:rsidRDefault="00583C84" w:rsidP="0045789B">
      <w:pPr>
        <w:pStyle w:val="LightGrid-Accent31"/>
        <w:spacing w:after="0" w:line="240" w:lineRule="auto"/>
        <w:ind w:left="0" w:firstLine="720"/>
        <w:jc w:val="both"/>
        <w:rPr>
          <w:rFonts w:ascii="Cambria" w:hAnsi="Cambria" w:cs="Calibri Light"/>
          <w:b/>
          <w:color w:val="000000"/>
        </w:rPr>
      </w:pPr>
    </w:p>
    <w:p w14:paraId="309F397E" w14:textId="77777777" w:rsidR="00C931AE" w:rsidRPr="00DD1E2F" w:rsidRDefault="00583C84" w:rsidP="0045789B">
      <w:pPr>
        <w:pStyle w:val="LightGrid-Accent31"/>
        <w:numPr>
          <w:ilvl w:val="0"/>
          <w:numId w:val="3"/>
        </w:numPr>
        <w:spacing w:after="0" w:line="240" w:lineRule="auto"/>
        <w:ind w:right="-270" w:firstLine="0"/>
        <w:jc w:val="both"/>
        <w:rPr>
          <w:rFonts w:ascii="Cambria" w:hAnsi="Cambria"/>
          <w:color w:val="000000"/>
        </w:rPr>
      </w:pPr>
      <w:r w:rsidRPr="00DD1E2F">
        <w:rPr>
          <w:rFonts w:ascii="Cambria" w:hAnsi="Cambria"/>
          <w:color w:val="000000"/>
        </w:rPr>
        <w:t>The State paid financial compensation, as set forth under the agreement.</w:t>
      </w:r>
    </w:p>
    <w:p w14:paraId="676D56AF" w14:textId="77777777" w:rsidR="00666251" w:rsidRDefault="00666251" w:rsidP="00E4269E">
      <w:pPr>
        <w:pStyle w:val="LightGrid-Accent31"/>
        <w:spacing w:after="0" w:line="240" w:lineRule="auto"/>
        <w:ind w:right="-270"/>
        <w:jc w:val="both"/>
        <w:rPr>
          <w:rFonts w:ascii="Cambria" w:hAnsi="Cambria"/>
          <w:color w:val="000000"/>
        </w:rPr>
      </w:pPr>
    </w:p>
    <w:p w14:paraId="68A37574" w14:textId="77777777" w:rsidR="00E4269E" w:rsidRDefault="00E4269E" w:rsidP="00E4269E">
      <w:pPr>
        <w:pStyle w:val="LightGrid-Accent31"/>
        <w:spacing w:after="0" w:line="240" w:lineRule="auto"/>
        <w:ind w:right="-270"/>
        <w:jc w:val="both"/>
        <w:rPr>
          <w:rFonts w:ascii="Cambria" w:hAnsi="Cambria"/>
          <w:color w:val="000000"/>
        </w:rPr>
      </w:pPr>
    </w:p>
    <w:p w14:paraId="61DDC2F9" w14:textId="77777777" w:rsidR="00666251" w:rsidRPr="00DD1E2F" w:rsidRDefault="00666251" w:rsidP="0045789B">
      <w:pPr>
        <w:pStyle w:val="MediumGrid2-Accent11"/>
        <w:ind w:left="-270" w:right="-270"/>
        <w:jc w:val="center"/>
        <w:rPr>
          <w:rFonts w:ascii="Cambria" w:hAnsi="Cambria"/>
          <w:b/>
          <w:color w:val="000000"/>
          <w:lang w:val="en-US"/>
        </w:rPr>
      </w:pPr>
    </w:p>
    <w:sectPr w:rsidR="00666251" w:rsidRPr="00DD1E2F" w:rsidSect="008E42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25E5" w14:textId="77777777" w:rsidR="00CC021B" w:rsidRDefault="00CC021B" w:rsidP="00A343FF">
      <w:pPr>
        <w:spacing w:after="0" w:line="240" w:lineRule="auto"/>
      </w:pPr>
      <w:r>
        <w:separator/>
      </w:r>
    </w:p>
  </w:endnote>
  <w:endnote w:type="continuationSeparator" w:id="0">
    <w:p w14:paraId="73DDEC95" w14:textId="77777777" w:rsidR="00CC021B" w:rsidRDefault="00CC021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662A" w14:textId="77777777" w:rsidR="00561C07" w:rsidRDefault="005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3C45"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0E6ADAF7" w14:textId="77777777" w:rsidR="006D7134" w:rsidRDefault="006D7134"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A0" w14:textId="77777777" w:rsidR="006D7134" w:rsidRDefault="003102A8" w:rsidP="008F2248">
    <w:pPr>
      <w:pStyle w:val="Footer"/>
      <w:spacing w:line="360" w:lineRule="auto"/>
    </w:pPr>
    <w:r>
      <w:pict w14:anchorId="1401874D">
        <v:rect id="_x0000_i1028" style="width:0;height:1.5pt" o:hralign="center" o:hrstd="t" o:hr="t" fillcolor="#a0a0a0" stroked="f"/>
      </w:pict>
    </w:r>
  </w:p>
  <w:p w14:paraId="46E23F47" w14:textId="77777777" w:rsidR="006D7134" w:rsidRDefault="003102A8" w:rsidP="006E2BD8">
    <w:pPr>
      <w:pStyle w:val="Footer"/>
      <w:jc w:val="center"/>
    </w:pPr>
    <w:r>
      <w:pict w14:anchorId="140B7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24.7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B083" w14:textId="77777777" w:rsidR="00CC021B" w:rsidRDefault="00CC021B" w:rsidP="00A343FF">
      <w:pPr>
        <w:spacing w:after="0" w:line="240" w:lineRule="auto"/>
      </w:pPr>
      <w:r>
        <w:separator/>
      </w:r>
    </w:p>
  </w:footnote>
  <w:footnote w:type="continuationSeparator" w:id="0">
    <w:p w14:paraId="09E014BA" w14:textId="77777777" w:rsidR="00CC021B" w:rsidRDefault="00CC021B" w:rsidP="00A343FF">
      <w:pPr>
        <w:spacing w:after="0" w:line="240" w:lineRule="auto"/>
      </w:pPr>
      <w:r>
        <w:continuationSeparator/>
      </w:r>
    </w:p>
  </w:footnote>
  <w:footnote w:id="1">
    <w:p w14:paraId="19B03E1C" w14:textId="77777777" w:rsidR="006D7134" w:rsidRPr="00FE4EE5" w:rsidRDefault="006D7134" w:rsidP="00583C84">
      <w:pPr>
        <w:pStyle w:val="FootnoteText"/>
        <w:ind w:firstLine="720"/>
        <w:jc w:val="both"/>
        <w:rPr>
          <w:rFonts w:ascii="Cambria" w:hAnsi="Cambria"/>
          <w:color w:val="000000"/>
          <w:sz w:val="16"/>
          <w:szCs w:val="16"/>
        </w:rPr>
      </w:pPr>
      <w:r w:rsidRPr="00FE4EE5">
        <w:rPr>
          <w:rStyle w:val="FootnoteReference"/>
          <w:rFonts w:ascii="Cambria" w:hAnsi="Cambria"/>
          <w:color w:val="000000"/>
          <w:sz w:val="16"/>
          <w:szCs w:val="16"/>
        </w:rPr>
        <w:footnoteRef/>
      </w:r>
      <w:r w:rsidRPr="00FE4EE5">
        <w:rPr>
          <w:rFonts w:ascii="Cambria" w:hAnsi="Cambria"/>
          <w:color w:val="000000"/>
          <w:sz w:val="16"/>
          <w:szCs w:val="16"/>
        </w:rPr>
        <w:t xml:space="preserve"> IACHR, Report No. 110/01, Case 12.007, Friendly Settlement, Pompeyo Carlos Andrade Benítez, Ecuador, October 11, 2001.</w:t>
      </w:r>
    </w:p>
  </w:footnote>
  <w:footnote w:id="2">
    <w:p w14:paraId="194B874D" w14:textId="77777777" w:rsidR="006D7134" w:rsidRPr="00C20024" w:rsidRDefault="006D7134" w:rsidP="00583C84">
      <w:pPr>
        <w:pStyle w:val="FootnoteText"/>
        <w:ind w:firstLine="709"/>
        <w:jc w:val="both"/>
        <w:rPr>
          <w:sz w:val="16"/>
          <w:szCs w:val="16"/>
        </w:rPr>
      </w:pPr>
      <w:r w:rsidRPr="00FE4EE5">
        <w:rPr>
          <w:rStyle w:val="FootnoteReference"/>
          <w:rFonts w:ascii="Cambria" w:hAnsi="Cambria"/>
          <w:sz w:val="16"/>
          <w:szCs w:val="16"/>
        </w:rPr>
        <w:footnoteRef/>
      </w:r>
      <w:r w:rsidRPr="00FE4EE5">
        <w:rPr>
          <w:rFonts w:ascii="Cambria" w:hAnsi="Cambria"/>
          <w:sz w:val="16"/>
          <w:szCs w:val="16"/>
        </w:rPr>
        <w:t xml:space="preserve"> See IACHR, Annual Report 2021, Chapter II, Section F. Negotiation and implementation of friendly settlement agreements. Available at: </w:t>
      </w:r>
      <w:hyperlink r:id="rId1" w:history="1">
        <w:r w:rsidRPr="00FE4EE5">
          <w:rPr>
            <w:rStyle w:val="Hyperlink"/>
            <w:rFonts w:ascii="Cambria" w:hAnsi="Cambria"/>
            <w:sz w:val="16"/>
            <w:szCs w:val="16"/>
          </w:rPr>
          <w:t>http://www.oas.org/en/iachr/docs/annual/2021/Chapters/IA2021cap2-en.pdf</w:t>
        </w:r>
      </w:hyperlink>
      <w:r w:rsidRPr="00C2002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29C0" w14:textId="77777777" w:rsidR="00561C07" w:rsidRDefault="0056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6DB7" w14:textId="77777777" w:rsidR="006D7134" w:rsidRDefault="003102A8" w:rsidP="00DC7C8F">
    <w:pPr>
      <w:pStyle w:val="Header"/>
      <w:jc w:val="center"/>
    </w:pPr>
    <w:r>
      <w:pict w14:anchorId="468C6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9pt">
          <v:imagedata r:id="rId1" o:title="iachr-peq"/>
        </v:shape>
      </w:pict>
    </w:r>
  </w:p>
  <w:p w14:paraId="1B41CD90" w14:textId="77777777" w:rsidR="006D7134" w:rsidRDefault="003102A8">
    <w:pPr>
      <w:pStyle w:val="Header"/>
    </w:pPr>
    <w:r>
      <w:pict w14:anchorId="04CD75D9">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1D90" w14:textId="77777777" w:rsidR="006D7134" w:rsidRDefault="003102A8" w:rsidP="00A61B5E">
    <w:pPr>
      <w:pStyle w:val="Header"/>
    </w:pPr>
    <w:r>
      <w:rPr>
        <w:noProof/>
      </w:rPr>
      <w:pict w14:anchorId="55A95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5BB251E5">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3479F894" w14:textId="77777777" w:rsidR="006D7134" w:rsidRDefault="006D7134" w:rsidP="00A61B5E">
    <w:pPr>
      <w:pStyle w:val="Header"/>
    </w:pPr>
  </w:p>
  <w:p w14:paraId="46420262" w14:textId="77777777" w:rsidR="006D7134" w:rsidRDefault="006D7134" w:rsidP="00A61B5E">
    <w:pPr>
      <w:pStyle w:val="Header"/>
    </w:pPr>
  </w:p>
  <w:p w14:paraId="6D62416A" w14:textId="77777777" w:rsidR="006D7134" w:rsidRDefault="003102A8" w:rsidP="00A61B5E">
    <w:pPr>
      <w:pStyle w:val="Header"/>
    </w:pPr>
    <w:r>
      <w:pict w14:anchorId="62FCB6E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77910326">
    <w:abstractNumId w:val="78"/>
  </w:num>
  <w:num w:numId="2" w16cid:durableId="1004405248">
    <w:abstractNumId w:val="59"/>
  </w:num>
  <w:num w:numId="3" w16cid:durableId="1714382779">
    <w:abstractNumId w:val="21"/>
  </w:num>
  <w:num w:numId="4" w16cid:durableId="1295409442">
    <w:abstractNumId w:val="52"/>
  </w:num>
  <w:num w:numId="5" w16cid:durableId="727803210">
    <w:abstractNumId w:val="3"/>
  </w:num>
  <w:num w:numId="6" w16cid:durableId="642274693">
    <w:abstractNumId w:val="44"/>
  </w:num>
  <w:num w:numId="7" w16cid:durableId="77139083">
    <w:abstractNumId w:val="104"/>
  </w:num>
  <w:num w:numId="8" w16cid:durableId="1967855576">
    <w:abstractNumId w:val="36"/>
  </w:num>
  <w:num w:numId="9" w16cid:durableId="2117365285">
    <w:abstractNumId w:val="0"/>
  </w:num>
  <w:num w:numId="10" w16cid:durableId="1146163282">
    <w:abstractNumId w:val="30"/>
  </w:num>
  <w:num w:numId="11" w16cid:durableId="1367948933">
    <w:abstractNumId w:val="65"/>
  </w:num>
  <w:num w:numId="12" w16cid:durableId="1207138390">
    <w:abstractNumId w:val="68"/>
  </w:num>
  <w:num w:numId="13" w16cid:durableId="1433012700">
    <w:abstractNumId w:val="51"/>
  </w:num>
  <w:num w:numId="14" w16cid:durableId="2075622748">
    <w:abstractNumId w:val="1"/>
  </w:num>
  <w:num w:numId="15" w16cid:durableId="242490003">
    <w:abstractNumId w:val="47"/>
  </w:num>
  <w:num w:numId="16" w16cid:durableId="1050301705">
    <w:abstractNumId w:val="67"/>
  </w:num>
  <w:num w:numId="17" w16cid:durableId="285889451">
    <w:abstractNumId w:val="48"/>
  </w:num>
  <w:num w:numId="18" w16cid:durableId="2086031504">
    <w:abstractNumId w:val="100"/>
  </w:num>
  <w:num w:numId="19" w16cid:durableId="1777169613">
    <w:abstractNumId w:val="70"/>
  </w:num>
  <w:num w:numId="20" w16cid:durableId="487786385">
    <w:abstractNumId w:val="31"/>
  </w:num>
  <w:num w:numId="21" w16cid:durableId="49772339">
    <w:abstractNumId w:val="9"/>
  </w:num>
  <w:num w:numId="22" w16cid:durableId="1048264448">
    <w:abstractNumId w:val="32"/>
  </w:num>
  <w:num w:numId="23" w16cid:durableId="755520821">
    <w:abstractNumId w:val="2"/>
  </w:num>
  <w:num w:numId="24" w16cid:durableId="240676385">
    <w:abstractNumId w:val="81"/>
  </w:num>
  <w:num w:numId="25" w16cid:durableId="810098071">
    <w:abstractNumId w:val="92"/>
  </w:num>
  <w:num w:numId="26" w16cid:durableId="1319188278">
    <w:abstractNumId w:val="98"/>
  </w:num>
  <w:num w:numId="27" w16cid:durableId="14357887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6621078">
    <w:abstractNumId w:val="76"/>
  </w:num>
  <w:num w:numId="29" w16cid:durableId="1961258035">
    <w:abstractNumId w:val="16"/>
  </w:num>
  <w:num w:numId="30" w16cid:durableId="619412822">
    <w:abstractNumId w:val="13"/>
  </w:num>
  <w:num w:numId="31" w16cid:durableId="469521923">
    <w:abstractNumId w:val="63"/>
  </w:num>
  <w:num w:numId="32" w16cid:durableId="1901137981">
    <w:abstractNumId w:val="23"/>
  </w:num>
  <w:num w:numId="33" w16cid:durableId="800078915">
    <w:abstractNumId w:val="11"/>
  </w:num>
  <w:num w:numId="34" w16cid:durableId="305670855">
    <w:abstractNumId w:val="66"/>
  </w:num>
  <w:num w:numId="35" w16cid:durableId="1338850573">
    <w:abstractNumId w:val="5"/>
  </w:num>
  <w:num w:numId="36" w16cid:durableId="1314405919">
    <w:abstractNumId w:val="7"/>
  </w:num>
  <w:num w:numId="37" w16cid:durableId="1918243374">
    <w:abstractNumId w:val="53"/>
  </w:num>
  <w:num w:numId="38" w16cid:durableId="814416355">
    <w:abstractNumId w:val="54"/>
  </w:num>
  <w:num w:numId="39" w16cid:durableId="190188179">
    <w:abstractNumId w:val="27"/>
  </w:num>
  <w:num w:numId="40" w16cid:durableId="1366637331">
    <w:abstractNumId w:val="35"/>
  </w:num>
  <w:num w:numId="41" w16cid:durableId="2063602414">
    <w:abstractNumId w:val="77"/>
  </w:num>
  <w:num w:numId="42" w16cid:durableId="2046174315">
    <w:abstractNumId w:val="22"/>
  </w:num>
  <w:num w:numId="43" w16cid:durableId="1740788948">
    <w:abstractNumId w:val="64"/>
  </w:num>
  <w:num w:numId="44" w16cid:durableId="407310761">
    <w:abstractNumId w:val="24"/>
  </w:num>
  <w:num w:numId="45" w16cid:durableId="784083436">
    <w:abstractNumId w:val="87"/>
  </w:num>
  <w:num w:numId="46" w16cid:durableId="161239386">
    <w:abstractNumId w:val="42"/>
  </w:num>
  <w:num w:numId="47" w16cid:durableId="834611713">
    <w:abstractNumId w:val="61"/>
  </w:num>
  <w:num w:numId="48" w16cid:durableId="437992136">
    <w:abstractNumId w:val="99"/>
  </w:num>
  <w:num w:numId="49" w16cid:durableId="973632585">
    <w:abstractNumId w:val="90"/>
  </w:num>
  <w:num w:numId="50" w16cid:durableId="1985117035">
    <w:abstractNumId w:val="40"/>
  </w:num>
  <w:num w:numId="51" w16cid:durableId="2092921633">
    <w:abstractNumId w:val="93"/>
  </w:num>
  <w:num w:numId="52" w16cid:durableId="305355518">
    <w:abstractNumId w:val="49"/>
  </w:num>
  <w:num w:numId="53" w16cid:durableId="265235054">
    <w:abstractNumId w:val="83"/>
  </w:num>
  <w:num w:numId="54" w16cid:durableId="106170011">
    <w:abstractNumId w:val="33"/>
  </w:num>
  <w:num w:numId="55" w16cid:durableId="513113370">
    <w:abstractNumId w:val="4"/>
  </w:num>
  <w:num w:numId="56" w16cid:durableId="414208600">
    <w:abstractNumId w:val="28"/>
  </w:num>
  <w:num w:numId="57" w16cid:durableId="1046561962">
    <w:abstractNumId w:val="10"/>
  </w:num>
  <w:num w:numId="58" w16cid:durableId="1680161838">
    <w:abstractNumId w:val="75"/>
  </w:num>
  <w:num w:numId="59" w16cid:durableId="1925648808">
    <w:abstractNumId w:val="55"/>
  </w:num>
  <w:num w:numId="60" w16cid:durableId="56973078">
    <w:abstractNumId w:val="73"/>
  </w:num>
  <w:num w:numId="61" w16cid:durableId="4915284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5710168">
    <w:abstractNumId w:val="102"/>
  </w:num>
  <w:num w:numId="63" w16cid:durableId="2066878674">
    <w:abstractNumId w:val="82"/>
  </w:num>
  <w:num w:numId="64" w16cid:durableId="1894728760">
    <w:abstractNumId w:val="26"/>
  </w:num>
  <w:num w:numId="65" w16cid:durableId="17207373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835054">
    <w:abstractNumId w:val="95"/>
  </w:num>
  <w:num w:numId="67" w16cid:durableId="1079863880">
    <w:abstractNumId w:val="19"/>
  </w:num>
  <w:num w:numId="68" w16cid:durableId="196816059">
    <w:abstractNumId w:val="20"/>
  </w:num>
  <w:num w:numId="69" w16cid:durableId="958102154">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8759028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383043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44957382">
    <w:abstractNumId w:val="60"/>
  </w:num>
  <w:num w:numId="73" w16cid:durableId="97972478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1990328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94176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7452999">
    <w:abstractNumId w:val="88"/>
  </w:num>
  <w:num w:numId="77" w16cid:durableId="13877536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26786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79540521">
    <w:abstractNumId w:val="72"/>
  </w:num>
  <w:num w:numId="80" w16cid:durableId="749666943">
    <w:abstractNumId w:val="6"/>
  </w:num>
  <w:num w:numId="81" w16cid:durableId="1740056213">
    <w:abstractNumId w:val="86"/>
  </w:num>
  <w:num w:numId="82" w16cid:durableId="1244337226">
    <w:abstractNumId w:val="71"/>
  </w:num>
  <w:num w:numId="83" w16cid:durableId="4655917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3644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06963006">
    <w:abstractNumId w:val="79"/>
  </w:num>
  <w:num w:numId="86" w16cid:durableId="962881153">
    <w:abstractNumId w:val="17"/>
  </w:num>
  <w:num w:numId="87" w16cid:durableId="834296034">
    <w:abstractNumId w:val="85"/>
  </w:num>
  <w:num w:numId="88" w16cid:durableId="384305187">
    <w:abstractNumId w:val="15"/>
  </w:num>
  <w:num w:numId="89" w16cid:durableId="1387953880">
    <w:abstractNumId w:val="69"/>
  </w:num>
  <w:num w:numId="90" w16cid:durableId="187060390">
    <w:abstractNumId w:val="46"/>
  </w:num>
  <w:num w:numId="91" w16cid:durableId="1092819243">
    <w:abstractNumId w:val="91"/>
  </w:num>
  <w:num w:numId="92" w16cid:durableId="1006710152">
    <w:abstractNumId w:val="43"/>
  </w:num>
  <w:num w:numId="93" w16cid:durableId="2146968637">
    <w:abstractNumId w:val="8"/>
  </w:num>
  <w:num w:numId="94" w16cid:durableId="1735204468">
    <w:abstractNumId w:val="37"/>
  </w:num>
  <w:num w:numId="95" w16cid:durableId="51773734">
    <w:abstractNumId w:val="38"/>
  </w:num>
  <w:num w:numId="96" w16cid:durableId="1166434417">
    <w:abstractNumId w:val="39"/>
  </w:num>
  <w:num w:numId="97" w16cid:durableId="148208855">
    <w:abstractNumId w:val="12"/>
  </w:num>
  <w:num w:numId="98" w16cid:durableId="130680520">
    <w:abstractNumId w:val="89"/>
  </w:num>
  <w:num w:numId="99" w16cid:durableId="1636136413">
    <w:abstractNumId w:val="74"/>
  </w:num>
  <w:num w:numId="100" w16cid:durableId="1844276841">
    <w:abstractNumId w:val="29"/>
  </w:num>
  <w:num w:numId="101" w16cid:durableId="1988194942">
    <w:abstractNumId w:val="103"/>
  </w:num>
  <w:num w:numId="102" w16cid:durableId="264268022">
    <w:abstractNumId w:val="80"/>
  </w:num>
  <w:num w:numId="103" w16cid:durableId="1665162311">
    <w:abstractNumId w:val="41"/>
  </w:num>
  <w:num w:numId="104" w16cid:durableId="1519388375">
    <w:abstractNumId w:val="84"/>
  </w:num>
  <w:num w:numId="105" w16cid:durableId="368803507">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00E29"/>
    <w:rsid w:val="0002150A"/>
    <w:rsid w:val="00021551"/>
    <w:rsid w:val="0002624B"/>
    <w:rsid w:val="00030763"/>
    <w:rsid w:val="000321E0"/>
    <w:rsid w:val="00036A9E"/>
    <w:rsid w:val="00047B56"/>
    <w:rsid w:val="0006009D"/>
    <w:rsid w:val="0006625E"/>
    <w:rsid w:val="0006762F"/>
    <w:rsid w:val="00096079"/>
    <w:rsid w:val="00096F88"/>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2032CF"/>
    <w:rsid w:val="00206C8A"/>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02A8"/>
    <w:rsid w:val="00317741"/>
    <w:rsid w:val="0032106C"/>
    <w:rsid w:val="003408C5"/>
    <w:rsid w:val="00343CED"/>
    <w:rsid w:val="00352CCD"/>
    <w:rsid w:val="0035302C"/>
    <w:rsid w:val="003548C4"/>
    <w:rsid w:val="00357D1A"/>
    <w:rsid w:val="00376845"/>
    <w:rsid w:val="00393310"/>
    <w:rsid w:val="003B1772"/>
    <w:rsid w:val="003B4055"/>
    <w:rsid w:val="003B6168"/>
    <w:rsid w:val="003C2346"/>
    <w:rsid w:val="003C4836"/>
    <w:rsid w:val="003D5044"/>
    <w:rsid w:val="003E0DFA"/>
    <w:rsid w:val="003F186E"/>
    <w:rsid w:val="003F262C"/>
    <w:rsid w:val="00414974"/>
    <w:rsid w:val="00433F4F"/>
    <w:rsid w:val="0045789B"/>
    <w:rsid w:val="0047146A"/>
    <w:rsid w:val="004722BC"/>
    <w:rsid w:val="00474650"/>
    <w:rsid w:val="00476696"/>
    <w:rsid w:val="00494C40"/>
    <w:rsid w:val="00495CA7"/>
    <w:rsid w:val="004A66BD"/>
    <w:rsid w:val="004B3074"/>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07CA7"/>
    <w:rsid w:val="0071332B"/>
    <w:rsid w:val="0073273B"/>
    <w:rsid w:val="00736A43"/>
    <w:rsid w:val="007609D9"/>
    <w:rsid w:val="0076210E"/>
    <w:rsid w:val="00772E3C"/>
    <w:rsid w:val="00792456"/>
    <w:rsid w:val="007B0327"/>
    <w:rsid w:val="007B7762"/>
    <w:rsid w:val="007C2CC3"/>
    <w:rsid w:val="007C351D"/>
    <w:rsid w:val="007E2645"/>
    <w:rsid w:val="007E6A34"/>
    <w:rsid w:val="007F5F4E"/>
    <w:rsid w:val="00807BAA"/>
    <w:rsid w:val="00822FF4"/>
    <w:rsid w:val="0082548A"/>
    <w:rsid w:val="00841815"/>
    <w:rsid w:val="008550EF"/>
    <w:rsid w:val="0085675C"/>
    <w:rsid w:val="00860263"/>
    <w:rsid w:val="00864EB7"/>
    <w:rsid w:val="0087552B"/>
    <w:rsid w:val="008837A8"/>
    <w:rsid w:val="008C09FD"/>
    <w:rsid w:val="008D1A95"/>
    <w:rsid w:val="008D3BD3"/>
    <w:rsid w:val="008D518D"/>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A2279"/>
    <w:rsid w:val="00AA7906"/>
    <w:rsid w:val="00AB1BC7"/>
    <w:rsid w:val="00AC61DF"/>
    <w:rsid w:val="00AD711F"/>
    <w:rsid w:val="00AE1B0F"/>
    <w:rsid w:val="00AF3A07"/>
    <w:rsid w:val="00AF51F7"/>
    <w:rsid w:val="00B056D9"/>
    <w:rsid w:val="00B111C3"/>
    <w:rsid w:val="00B205A7"/>
    <w:rsid w:val="00B238D3"/>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C01947"/>
    <w:rsid w:val="00C17F04"/>
    <w:rsid w:val="00C359F1"/>
    <w:rsid w:val="00C37778"/>
    <w:rsid w:val="00C37954"/>
    <w:rsid w:val="00C402CB"/>
    <w:rsid w:val="00C57947"/>
    <w:rsid w:val="00C66C6D"/>
    <w:rsid w:val="00C931AE"/>
    <w:rsid w:val="00CA5D4D"/>
    <w:rsid w:val="00CB6344"/>
    <w:rsid w:val="00CC021B"/>
    <w:rsid w:val="00CC0727"/>
    <w:rsid w:val="00CC5D2E"/>
    <w:rsid w:val="00CC6DB2"/>
    <w:rsid w:val="00CE4346"/>
    <w:rsid w:val="00CF54E1"/>
    <w:rsid w:val="00D0510C"/>
    <w:rsid w:val="00D05BCC"/>
    <w:rsid w:val="00D26B92"/>
    <w:rsid w:val="00D277D6"/>
    <w:rsid w:val="00D32DD7"/>
    <w:rsid w:val="00D54D6F"/>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4269E"/>
    <w:rsid w:val="00E5644B"/>
    <w:rsid w:val="00E57070"/>
    <w:rsid w:val="00E62F1F"/>
    <w:rsid w:val="00E6614F"/>
    <w:rsid w:val="00E66191"/>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B18BD"/>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A0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idh.org/annualrep/2001eng/Ecuador12007.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21/Chapters/IA2021cap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2346821A-0160-4811-BB5E-C3849F3561E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Links>
    <vt:vector size="12" baseType="variant">
      <vt:variant>
        <vt:i4>8126514</vt:i4>
      </vt:variant>
      <vt:variant>
        <vt:i4>0</vt:i4>
      </vt:variant>
      <vt:variant>
        <vt:i4>0</vt:i4>
      </vt:variant>
      <vt:variant>
        <vt:i4>5</vt:i4>
      </vt:variant>
      <vt:variant>
        <vt:lpwstr>http://cidh.org/annualrep/2001eng/Ecuador12007.htm</vt:lpwstr>
      </vt:variant>
      <vt:variant>
        <vt:lpwstr/>
      </vt:variant>
      <vt:variant>
        <vt:i4>3670115</vt:i4>
      </vt:variant>
      <vt:variant>
        <vt:i4>0</vt:i4>
      </vt:variant>
      <vt:variant>
        <vt:i4>0</vt:i4>
      </vt:variant>
      <vt:variant>
        <vt:i4>5</vt:i4>
      </vt:variant>
      <vt:variant>
        <vt:lpwstr>http://www.oas.org/en/iachr/docs/annual/2021/Chapters/IA2021cap2-en.pdf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2023-03-03T22:05:00Z</dcterms:created>
  <dcterms:modified xsi:type="dcterms:W3CDTF">2023-03-03T22:05:00Z</dcterms:modified>
</cp:coreProperties>
</file>