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4B06" w14:textId="77777777" w:rsidR="00583C84" w:rsidRDefault="00583C84" w:rsidP="0045789B">
      <w:pPr>
        <w:pStyle w:val="LightGrid-Accent31"/>
        <w:spacing w:after="0" w:line="240" w:lineRule="auto"/>
        <w:jc w:val="both"/>
        <w:rPr>
          <w:rFonts w:ascii="Cambria" w:hAnsi="Cambria"/>
          <w:color w:val="000000"/>
        </w:rPr>
      </w:pPr>
    </w:p>
    <w:p w14:paraId="294805EA" w14:textId="77777777" w:rsidR="00B130F3" w:rsidRPr="00DD1E2F" w:rsidRDefault="00B130F3" w:rsidP="0045789B">
      <w:pPr>
        <w:pStyle w:val="LightGrid-Accent31"/>
        <w:spacing w:after="0" w:line="240" w:lineRule="auto"/>
        <w:jc w:val="both"/>
        <w:rPr>
          <w:rFonts w:ascii="Cambria" w:hAnsi="Cambria"/>
          <w:color w:val="000000"/>
        </w:rPr>
      </w:pPr>
    </w:p>
    <w:p w14:paraId="118713BE" w14:textId="77777777" w:rsidR="006D6565" w:rsidRPr="0035394E" w:rsidRDefault="006D6565" w:rsidP="006A09D8">
      <w:pPr>
        <w:spacing w:after="0" w:line="240" w:lineRule="auto"/>
        <w:jc w:val="center"/>
        <w:rPr>
          <w:rFonts w:ascii="Cambria" w:eastAsia="Batang" w:hAnsi="Cambria"/>
          <w:b/>
          <w:color w:val="000000"/>
        </w:rPr>
      </w:pPr>
      <w:r w:rsidRPr="0035394E">
        <w:rPr>
          <w:rFonts w:ascii="Cambria" w:eastAsia="Batang" w:hAnsi="Cambria"/>
          <w:b/>
          <w:color w:val="000000"/>
        </w:rPr>
        <w:t>TECHNICAL INFORMATION SHEET</w:t>
      </w:r>
    </w:p>
    <w:p w14:paraId="060D2DBA" w14:textId="77777777" w:rsidR="006D6565" w:rsidRPr="0035394E" w:rsidRDefault="006D6565" w:rsidP="006A09D8">
      <w:pPr>
        <w:pStyle w:val="MediumGrid21"/>
        <w:ind w:left="-270"/>
        <w:jc w:val="center"/>
        <w:rPr>
          <w:rFonts w:ascii="Cambria" w:hAnsi="Cambria"/>
          <w:b/>
          <w:color w:val="000000"/>
          <w:szCs w:val="20"/>
          <w:lang w:val="en-US"/>
        </w:rPr>
      </w:pPr>
      <w:r w:rsidRPr="0035394E">
        <w:rPr>
          <w:rFonts w:ascii="Cambria" w:hAnsi="Cambria"/>
          <w:b/>
          <w:bCs/>
          <w:color w:val="000000"/>
          <w:szCs w:val="20"/>
          <w:lang w:val="en-US"/>
        </w:rPr>
        <w:t>PETITION 133-04</w:t>
      </w:r>
      <w:r w:rsidRPr="0035394E">
        <w:rPr>
          <w:rFonts w:ascii="Cambria" w:hAnsi="Cambria"/>
          <w:b/>
          <w:color w:val="000000"/>
          <w:szCs w:val="20"/>
          <w:lang w:val="en-US"/>
        </w:rPr>
        <w:t xml:space="preserve"> </w:t>
      </w:r>
      <w:r w:rsidRPr="0035394E">
        <w:rPr>
          <w:rFonts w:ascii="Cambria" w:hAnsi="Cambria"/>
          <w:b/>
          <w:bCs/>
          <w:color w:val="000000"/>
          <w:szCs w:val="20"/>
          <w:lang w:val="en-US"/>
        </w:rPr>
        <w:t>JOSE MIGUEL MÉRIDA ESCOBAR</w:t>
      </w:r>
    </w:p>
    <w:p w14:paraId="429FF9E8" w14:textId="1D4F6E14" w:rsidR="006D6565" w:rsidRPr="004933A3" w:rsidRDefault="006D6565" w:rsidP="006A09D8">
      <w:pPr>
        <w:spacing w:after="0" w:line="240" w:lineRule="auto"/>
        <w:jc w:val="center"/>
        <w:rPr>
          <w:rFonts w:ascii="Cambria" w:eastAsia="Batang" w:hAnsi="Cambria"/>
          <w:b/>
        </w:rPr>
      </w:pPr>
      <w:r w:rsidRPr="0035394E">
        <w:rPr>
          <w:rFonts w:ascii="Cambria" w:eastAsia="Batang" w:hAnsi="Cambria"/>
          <w:b/>
          <w:color w:val="000000"/>
        </w:rPr>
        <w:t>FRIENDLY SETTLEMENT REPORT No.</w:t>
      </w:r>
      <w:r w:rsidRPr="0035394E">
        <w:rPr>
          <w:rFonts w:ascii="Cambria" w:hAnsi="Cambria"/>
          <w:b/>
        </w:rPr>
        <w:t xml:space="preserve"> </w:t>
      </w:r>
      <w:r w:rsidRPr="00CD1D6A">
        <w:rPr>
          <w:rFonts w:ascii="Cambria" w:eastAsia="Batang" w:hAnsi="Cambria"/>
          <w:b/>
        </w:rPr>
        <w:t>99/05</w:t>
      </w:r>
    </w:p>
    <w:p w14:paraId="0E43221C" w14:textId="77777777" w:rsidR="006D6565" w:rsidRPr="004933A3" w:rsidRDefault="006D6565" w:rsidP="006A09D8">
      <w:pPr>
        <w:spacing w:after="0" w:line="240" w:lineRule="auto"/>
        <w:jc w:val="center"/>
        <w:rPr>
          <w:rFonts w:ascii="Cambria" w:eastAsia="Batang" w:hAnsi="Cambria"/>
          <w:b/>
        </w:rPr>
      </w:pPr>
      <w:r w:rsidRPr="004933A3">
        <w:rPr>
          <w:rFonts w:ascii="Cambria" w:eastAsia="Batang" w:hAnsi="Cambria"/>
          <w:b/>
        </w:rPr>
        <w:t>ARCHIVE</w:t>
      </w:r>
    </w:p>
    <w:p w14:paraId="40804412" w14:textId="77777777" w:rsidR="006D6565" w:rsidRPr="007B7FF5" w:rsidRDefault="006D6565" w:rsidP="006A09D8">
      <w:pPr>
        <w:spacing w:after="0" w:line="240" w:lineRule="auto"/>
        <w:jc w:val="center"/>
        <w:rPr>
          <w:rFonts w:ascii="Cambria" w:eastAsia="Batang" w:hAnsi="Cambria"/>
          <w:b/>
          <w:color w:val="000000"/>
        </w:rPr>
      </w:pPr>
      <w:r w:rsidRPr="0035394E">
        <w:rPr>
          <w:rFonts w:ascii="Cambria" w:eastAsia="Batang" w:hAnsi="Cambria"/>
          <w:b/>
          <w:color w:val="000000"/>
        </w:rPr>
        <w:t>(GUATEMALA)</w:t>
      </w:r>
    </w:p>
    <w:p w14:paraId="681D1C52" w14:textId="77777777" w:rsidR="00583C84" w:rsidRPr="00DD1E2F" w:rsidRDefault="00583C84" w:rsidP="0045789B">
      <w:pPr>
        <w:spacing w:after="0" w:line="240" w:lineRule="auto"/>
        <w:ind w:right="-270"/>
        <w:jc w:val="center"/>
        <w:rPr>
          <w:rFonts w:ascii="Cambria" w:eastAsia="Batang" w:hAnsi="Cambria"/>
          <w:b/>
          <w:color w:val="000000"/>
        </w:rPr>
      </w:pPr>
    </w:p>
    <w:p w14:paraId="3FD453F0" w14:textId="77777777" w:rsidR="00583C84" w:rsidRPr="00DD1E2F" w:rsidRDefault="00583C84" w:rsidP="00AD711F">
      <w:pPr>
        <w:numPr>
          <w:ilvl w:val="0"/>
          <w:numId w:val="83"/>
        </w:numPr>
        <w:spacing w:after="0" w:line="240" w:lineRule="auto"/>
        <w:ind w:left="0" w:firstLine="720"/>
        <w:rPr>
          <w:rFonts w:ascii="Cambria" w:eastAsia="Batang" w:hAnsi="Cambria" w:cs="Calibri Light"/>
          <w:b/>
          <w:color w:val="000000"/>
        </w:rPr>
      </w:pPr>
      <w:r w:rsidRPr="00DD1E2F">
        <w:rPr>
          <w:rFonts w:ascii="Cambria" w:eastAsia="Batang" w:hAnsi="Cambria" w:cs="Calibri Light"/>
          <w:b/>
          <w:color w:val="000000"/>
        </w:rPr>
        <w:t xml:space="preserve">SUMMARY OF THE CASE </w:t>
      </w:r>
    </w:p>
    <w:p w14:paraId="4FA4EDC3" w14:textId="77777777" w:rsidR="00583C84" w:rsidRPr="00DD1E2F" w:rsidRDefault="00583C84" w:rsidP="0045789B">
      <w:pPr>
        <w:spacing w:after="0" w:line="240" w:lineRule="auto"/>
        <w:rPr>
          <w:rFonts w:ascii="Cambria" w:eastAsia="Batang"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6"/>
      </w:tblGrid>
      <w:tr w:rsidR="00583C84" w:rsidRPr="00DD1E2F" w14:paraId="0DC1A9D5" w14:textId="77777777" w:rsidTr="005523E5">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06D9C422" w14:textId="77777777" w:rsidR="00EE73DF" w:rsidRPr="0035394E" w:rsidRDefault="00EE73DF" w:rsidP="00EE73DF">
            <w:pPr>
              <w:tabs>
                <w:tab w:val="left" w:pos="9270"/>
              </w:tabs>
              <w:spacing w:after="0" w:line="240" w:lineRule="auto"/>
              <w:jc w:val="both"/>
              <w:rPr>
                <w:rFonts w:ascii="Cambria" w:eastAsia="Batang" w:hAnsi="Cambria"/>
                <w:b/>
                <w:color w:val="000000"/>
                <w:lang w:val="pt-BR"/>
              </w:rPr>
            </w:pPr>
            <w:r w:rsidRPr="0035394E">
              <w:rPr>
                <w:rFonts w:ascii="Cambria" w:eastAsia="Batang" w:hAnsi="Cambria"/>
                <w:b/>
                <w:bCs/>
                <w:color w:val="000000"/>
                <w:lang w:val="pt-BR"/>
              </w:rPr>
              <w:t xml:space="preserve">Victim (s): </w:t>
            </w:r>
            <w:r w:rsidRPr="0035394E">
              <w:rPr>
                <w:rFonts w:ascii="Cambria" w:eastAsia="Batang" w:hAnsi="Cambria"/>
                <w:bCs/>
                <w:color w:val="000000"/>
                <w:lang w:val="pt-BR"/>
              </w:rPr>
              <w:t>Jose Miguel Mérida Escobar</w:t>
            </w:r>
          </w:p>
          <w:p w14:paraId="6B460153" w14:textId="77777777" w:rsidR="00EE73DF" w:rsidRPr="0035394E" w:rsidRDefault="00EE73DF" w:rsidP="00EE73DF">
            <w:pPr>
              <w:tabs>
                <w:tab w:val="left" w:pos="9270"/>
              </w:tabs>
              <w:spacing w:after="0" w:line="240" w:lineRule="auto"/>
              <w:jc w:val="both"/>
              <w:rPr>
                <w:rFonts w:ascii="Cambria" w:eastAsia="Batang" w:hAnsi="Cambria"/>
                <w:b/>
                <w:bCs/>
                <w:color w:val="000000"/>
                <w:lang w:val="pt-BR"/>
              </w:rPr>
            </w:pPr>
            <w:r w:rsidRPr="0035394E">
              <w:rPr>
                <w:rFonts w:ascii="Cambria" w:eastAsia="Batang" w:hAnsi="Cambria"/>
                <w:b/>
                <w:bCs/>
                <w:color w:val="000000"/>
                <w:lang w:val="pt-BR"/>
              </w:rPr>
              <w:t>Petitioner (s)</w:t>
            </w:r>
            <w:r w:rsidRPr="0035394E">
              <w:rPr>
                <w:rFonts w:ascii="Cambria" w:eastAsia="Batang" w:hAnsi="Cambria"/>
                <w:b/>
                <w:bCs/>
                <w:color w:val="000000"/>
                <w:vertAlign w:val="superscript"/>
              </w:rPr>
              <w:footnoteReference w:id="1"/>
            </w:r>
            <w:r w:rsidRPr="0035394E">
              <w:rPr>
                <w:rFonts w:ascii="Cambria" w:eastAsia="Batang" w:hAnsi="Cambria"/>
                <w:b/>
                <w:bCs/>
                <w:color w:val="000000"/>
                <w:lang w:val="pt-BR"/>
              </w:rPr>
              <w:t xml:space="preserve">: </w:t>
            </w:r>
            <w:r w:rsidRPr="0035394E">
              <w:rPr>
                <w:rFonts w:ascii="Cambria" w:eastAsia="Batang" w:hAnsi="Cambria"/>
                <w:bCs/>
                <w:color w:val="000000"/>
                <w:lang w:val="pt-BR"/>
              </w:rPr>
              <w:t>Ever Obdulio Mérida Escobar</w:t>
            </w:r>
          </w:p>
          <w:p w14:paraId="77ADB719" w14:textId="77777777" w:rsidR="00EE73DF" w:rsidRPr="0035394E" w:rsidRDefault="00EE73DF" w:rsidP="00EE73DF">
            <w:pPr>
              <w:tabs>
                <w:tab w:val="left" w:pos="9270"/>
              </w:tabs>
              <w:spacing w:after="0" w:line="240" w:lineRule="auto"/>
              <w:jc w:val="both"/>
              <w:rPr>
                <w:rFonts w:ascii="Cambria" w:eastAsia="Batang" w:hAnsi="Cambria"/>
                <w:b/>
                <w:color w:val="000000"/>
              </w:rPr>
            </w:pPr>
            <w:r w:rsidRPr="0035394E">
              <w:rPr>
                <w:rFonts w:ascii="Cambria" w:eastAsia="Batang" w:hAnsi="Cambria"/>
                <w:b/>
                <w:bCs/>
                <w:color w:val="000000"/>
              </w:rPr>
              <w:t xml:space="preserve">State: </w:t>
            </w:r>
            <w:r w:rsidRPr="0035394E">
              <w:rPr>
                <w:rFonts w:ascii="Cambria" w:eastAsia="Batang" w:hAnsi="Cambria"/>
                <w:bCs/>
                <w:color w:val="000000"/>
              </w:rPr>
              <w:t>Guatemala.</w:t>
            </w:r>
          </w:p>
          <w:p w14:paraId="5E56344A" w14:textId="77777777" w:rsidR="00EE73DF" w:rsidRPr="0035394E" w:rsidRDefault="00EE73DF" w:rsidP="00EE73DF">
            <w:pPr>
              <w:tabs>
                <w:tab w:val="left" w:pos="9270"/>
              </w:tabs>
              <w:spacing w:after="0" w:line="240" w:lineRule="auto"/>
              <w:jc w:val="both"/>
              <w:rPr>
                <w:rFonts w:ascii="Cambria" w:eastAsia="Batang" w:hAnsi="Cambria"/>
                <w:b/>
                <w:bCs/>
                <w:color w:val="000000"/>
              </w:rPr>
            </w:pPr>
            <w:r w:rsidRPr="0035394E">
              <w:rPr>
                <w:rFonts w:ascii="Cambria" w:eastAsia="Batang" w:hAnsi="Cambria"/>
                <w:b/>
                <w:bCs/>
                <w:color w:val="000000"/>
              </w:rPr>
              <w:t xml:space="preserve">Beginning of the negotiation date: </w:t>
            </w:r>
            <w:r w:rsidRPr="0035394E">
              <w:rPr>
                <w:rFonts w:ascii="Cambria" w:eastAsia="Batang" w:hAnsi="Cambria"/>
                <w:bCs/>
                <w:color w:val="000000"/>
              </w:rPr>
              <w:t>January 27, 2004.</w:t>
            </w:r>
          </w:p>
          <w:p w14:paraId="2C20DE9D" w14:textId="6DA71DAC" w:rsidR="00EE73DF" w:rsidRPr="0035394E" w:rsidRDefault="00EE73DF" w:rsidP="00EE73DF">
            <w:pPr>
              <w:tabs>
                <w:tab w:val="left" w:pos="9270"/>
              </w:tabs>
              <w:spacing w:after="0" w:line="240" w:lineRule="auto"/>
              <w:jc w:val="both"/>
              <w:rPr>
                <w:rFonts w:ascii="Cambria" w:eastAsia="Batang" w:hAnsi="Cambria"/>
                <w:b/>
                <w:bCs/>
                <w:color w:val="000000"/>
              </w:rPr>
            </w:pPr>
            <w:r w:rsidRPr="0035394E">
              <w:rPr>
                <w:rFonts w:ascii="Cambria" w:eastAsia="Batang" w:hAnsi="Cambria"/>
                <w:b/>
                <w:bCs/>
                <w:color w:val="000000"/>
              </w:rPr>
              <w:t xml:space="preserve">FSA signature date: </w:t>
            </w:r>
            <w:r w:rsidR="00844987">
              <w:rPr>
                <w:rFonts w:ascii="Cambria" w:eastAsia="Batang" w:hAnsi="Cambria"/>
                <w:bCs/>
                <w:color w:val="000000"/>
              </w:rPr>
              <w:t>July</w:t>
            </w:r>
            <w:r w:rsidRPr="0035394E">
              <w:rPr>
                <w:rFonts w:ascii="Cambria" w:eastAsia="Batang" w:hAnsi="Cambria"/>
                <w:bCs/>
                <w:color w:val="000000"/>
              </w:rPr>
              <w:t xml:space="preserve"> 22, 2005.</w:t>
            </w:r>
          </w:p>
          <w:p w14:paraId="0408FDD0" w14:textId="77777777" w:rsidR="00EE73DF" w:rsidRPr="0035394E" w:rsidRDefault="00EE73DF" w:rsidP="00EE73DF">
            <w:pPr>
              <w:tabs>
                <w:tab w:val="left" w:pos="9270"/>
              </w:tabs>
              <w:spacing w:after="0" w:line="240" w:lineRule="auto"/>
              <w:jc w:val="both"/>
              <w:rPr>
                <w:rFonts w:ascii="Cambria" w:eastAsia="Batang" w:hAnsi="Cambria"/>
                <w:b/>
                <w:color w:val="000000"/>
              </w:rPr>
            </w:pPr>
            <w:r w:rsidRPr="0035394E">
              <w:rPr>
                <w:rFonts w:ascii="Cambria" w:eastAsia="Batang" w:hAnsi="Cambria"/>
                <w:b/>
                <w:bCs/>
                <w:color w:val="000000"/>
              </w:rPr>
              <w:t xml:space="preserve">Report on Friendly Settlement Agreement: </w:t>
            </w:r>
            <w:hyperlink r:id="rId12" w:history="1">
              <w:r w:rsidRPr="00CD1D6A">
                <w:rPr>
                  <w:rStyle w:val="Hyperlink"/>
                  <w:rFonts w:ascii="Cambria" w:eastAsia="Batang" w:hAnsi="Cambria"/>
                  <w:b/>
                  <w:bCs/>
                  <w:color w:val="auto"/>
                </w:rPr>
                <w:t>99/05</w:t>
              </w:r>
            </w:hyperlink>
            <w:r w:rsidRPr="004933A3">
              <w:rPr>
                <w:rFonts w:ascii="Cambria" w:eastAsia="Batang" w:hAnsi="Cambria"/>
                <w:bCs/>
              </w:rPr>
              <w:t>,</w:t>
            </w:r>
            <w:r w:rsidRPr="0035394E">
              <w:rPr>
                <w:rFonts w:ascii="Cambria" w:eastAsia="Batang" w:hAnsi="Cambria"/>
                <w:bCs/>
                <w:color w:val="000000"/>
              </w:rPr>
              <w:t xml:space="preserve"> published on October 27, 2005</w:t>
            </w:r>
          </w:p>
          <w:p w14:paraId="67FDC0B1" w14:textId="77777777" w:rsidR="00EE73DF" w:rsidRPr="0035394E" w:rsidRDefault="00EE73DF" w:rsidP="00EE73DF">
            <w:pPr>
              <w:tabs>
                <w:tab w:val="left" w:pos="9270"/>
              </w:tabs>
              <w:spacing w:after="0" w:line="240" w:lineRule="auto"/>
              <w:jc w:val="both"/>
              <w:rPr>
                <w:rFonts w:ascii="Cambria" w:eastAsia="Batang" w:hAnsi="Cambria"/>
                <w:b/>
                <w:bCs/>
                <w:color w:val="000000"/>
              </w:rPr>
            </w:pPr>
            <w:r w:rsidRPr="0035394E">
              <w:rPr>
                <w:rFonts w:ascii="Cambria" w:eastAsia="Batang" w:hAnsi="Cambria"/>
                <w:b/>
                <w:bCs/>
                <w:color w:val="000000"/>
              </w:rPr>
              <w:t xml:space="preserve">Estimated length of the negotiation phase: </w:t>
            </w:r>
            <w:r w:rsidRPr="0035394E">
              <w:rPr>
                <w:rFonts w:ascii="Cambria" w:eastAsia="Batang" w:hAnsi="Cambria"/>
                <w:bCs/>
                <w:color w:val="000000"/>
              </w:rPr>
              <w:t>1 year</w:t>
            </w:r>
          </w:p>
          <w:p w14:paraId="0CD645FB" w14:textId="77777777" w:rsidR="00EE73DF" w:rsidRPr="0035394E" w:rsidRDefault="00EE73DF" w:rsidP="00EE73DF">
            <w:pPr>
              <w:tabs>
                <w:tab w:val="left" w:pos="9270"/>
              </w:tabs>
              <w:spacing w:after="0" w:line="240" w:lineRule="auto"/>
              <w:jc w:val="both"/>
              <w:rPr>
                <w:rFonts w:ascii="Cambria" w:eastAsia="Batang" w:hAnsi="Cambria"/>
                <w:b/>
                <w:color w:val="000000"/>
              </w:rPr>
            </w:pPr>
            <w:r w:rsidRPr="0035394E">
              <w:rPr>
                <w:rFonts w:ascii="Cambria" w:eastAsia="Batang" w:hAnsi="Cambria"/>
                <w:b/>
                <w:bCs/>
                <w:color w:val="000000"/>
              </w:rPr>
              <w:t xml:space="preserve">Associated Rapporteurship: </w:t>
            </w:r>
            <w:r w:rsidRPr="0035394E">
              <w:rPr>
                <w:rFonts w:ascii="Cambria" w:eastAsia="Batang" w:hAnsi="Cambria"/>
                <w:bCs/>
                <w:color w:val="000000"/>
              </w:rPr>
              <w:t xml:space="preserve">Unit on Memory, Truth, and Justice </w:t>
            </w:r>
          </w:p>
          <w:p w14:paraId="13477572" w14:textId="77777777" w:rsidR="00EE73DF" w:rsidRPr="0035394E" w:rsidRDefault="00EE73DF" w:rsidP="00EE73DF">
            <w:pPr>
              <w:tabs>
                <w:tab w:val="left" w:pos="9270"/>
              </w:tabs>
              <w:spacing w:after="0" w:line="240" w:lineRule="auto"/>
              <w:jc w:val="both"/>
              <w:rPr>
                <w:rFonts w:ascii="Cambria" w:eastAsia="Batang" w:hAnsi="Cambria"/>
                <w:b/>
                <w:color w:val="000000"/>
              </w:rPr>
            </w:pPr>
            <w:r w:rsidRPr="0035394E">
              <w:rPr>
                <w:rFonts w:ascii="Cambria" w:eastAsia="Batang" w:hAnsi="Cambria"/>
                <w:b/>
                <w:bCs/>
                <w:color w:val="000000"/>
              </w:rPr>
              <w:t xml:space="preserve">Topics: </w:t>
            </w:r>
            <w:r w:rsidRPr="0035394E">
              <w:rPr>
                <w:rFonts w:ascii="Cambria" w:eastAsia="Batang" w:hAnsi="Cambria"/>
                <w:bCs/>
                <w:color w:val="000000"/>
              </w:rPr>
              <w:t>Summary, extrajudicial, or arbitrary executions</w:t>
            </w:r>
            <w:r w:rsidRPr="0035394E">
              <w:rPr>
                <w:rFonts w:ascii="Cambria" w:eastAsia="Batang" w:hAnsi="Cambria"/>
                <w:b/>
                <w:color w:val="000000"/>
              </w:rPr>
              <w:t xml:space="preserve"> </w:t>
            </w:r>
          </w:p>
          <w:p w14:paraId="37713FED" w14:textId="77777777" w:rsidR="00EE73DF" w:rsidRPr="0035394E" w:rsidRDefault="00EE73DF" w:rsidP="00EE73DF">
            <w:pPr>
              <w:tabs>
                <w:tab w:val="left" w:pos="9270"/>
              </w:tabs>
              <w:spacing w:after="0" w:line="240" w:lineRule="auto"/>
              <w:jc w:val="both"/>
              <w:rPr>
                <w:rFonts w:ascii="Cambria" w:eastAsia="Batang" w:hAnsi="Cambria"/>
                <w:b/>
                <w:color w:val="000000"/>
              </w:rPr>
            </w:pPr>
          </w:p>
          <w:p w14:paraId="0EAE32B4" w14:textId="3A368F42" w:rsidR="00EE73DF" w:rsidRPr="0035394E" w:rsidRDefault="00EE73DF" w:rsidP="00EE73DF">
            <w:pPr>
              <w:tabs>
                <w:tab w:val="left" w:pos="9270"/>
              </w:tabs>
              <w:spacing w:after="0" w:line="240" w:lineRule="auto"/>
              <w:jc w:val="both"/>
              <w:rPr>
                <w:rFonts w:ascii="Cambria" w:eastAsia="Batang" w:hAnsi="Cambria"/>
                <w:b/>
                <w:color w:val="000000"/>
              </w:rPr>
            </w:pPr>
            <w:r w:rsidRPr="0035394E">
              <w:rPr>
                <w:rFonts w:ascii="Cambria" w:eastAsia="Batang" w:hAnsi="Cambria"/>
                <w:b/>
                <w:bCs/>
                <w:color w:val="000000"/>
              </w:rPr>
              <w:t xml:space="preserve">Facts: </w:t>
            </w:r>
            <w:r w:rsidRPr="0035394E">
              <w:rPr>
                <w:rFonts w:ascii="Cambria" w:eastAsia="Batang" w:hAnsi="Cambria"/>
                <w:bCs/>
                <w:color w:val="000000"/>
              </w:rPr>
              <w:t xml:space="preserve">In summary, on February 19, 2004, the IACHR received a petition filed by Amanda Gertrudis Escobar Ruiz, Fernando Nicolás Mérida Fernández, Amparo Antonieta Mérida Escobar, Rosmel Omar Mérida Escobar, Ever Obdulio Mérida Escobar, William Ramírez Fernández, Nadezhda Vásquez Cucho, and Helen Mack Chan alleging that the State of Guatemala was responsible for the extrajudicial execution of José Miguel Mérida Escobar on August 5, 1991. According to the petition, Mr. Mérida Escobar worked as Chief of the Homicide Section of the Department of Criminological Investigations of the National Police and </w:t>
            </w:r>
            <w:r w:rsidR="0035394E" w:rsidRPr="0035394E">
              <w:rPr>
                <w:rFonts w:ascii="Cambria" w:eastAsia="Batang" w:hAnsi="Cambria"/>
                <w:bCs/>
                <w:color w:val="000000"/>
              </w:rPr>
              <w:t>oversaw</w:t>
            </w:r>
            <w:r w:rsidRPr="0035394E">
              <w:rPr>
                <w:rFonts w:ascii="Cambria" w:eastAsia="Batang" w:hAnsi="Cambria"/>
                <w:bCs/>
                <w:color w:val="000000"/>
              </w:rPr>
              <w:t xml:space="preserve"> the criminal investigation into the assassination of anthropologist Myrna Mack Chang.  In the context of this criminal investigation, on September 29, 1990, he concluded that the main suspect in the assassination of Myrna Mack Chang was a member of the Security Department of the Presidential High Command of the Guatemalan Army. On August 5, 1991, Mr. Mérida Escobar was assassinated with gunshots to the head, neck, left torso, and left arm; he died instantly.</w:t>
            </w:r>
            <w:r w:rsidRPr="0035394E">
              <w:rPr>
                <w:rFonts w:ascii="Cambria" w:eastAsia="Batang" w:hAnsi="Cambria"/>
                <w:b/>
                <w:color w:val="000000"/>
              </w:rPr>
              <w:t xml:space="preserve"> </w:t>
            </w:r>
          </w:p>
          <w:p w14:paraId="4BDBE16E" w14:textId="77777777" w:rsidR="00EE73DF" w:rsidRPr="007B7FF5" w:rsidRDefault="00EE73DF" w:rsidP="00EE73DF">
            <w:pPr>
              <w:tabs>
                <w:tab w:val="left" w:pos="9270"/>
              </w:tabs>
              <w:spacing w:after="0" w:line="240" w:lineRule="auto"/>
              <w:jc w:val="both"/>
              <w:rPr>
                <w:rFonts w:ascii="Cambria" w:eastAsia="Batang" w:hAnsi="Cambria"/>
                <w:b/>
                <w:color w:val="000000"/>
                <w:highlight w:val="yellow"/>
              </w:rPr>
            </w:pPr>
          </w:p>
          <w:p w14:paraId="7BE7FC29" w14:textId="4D642216" w:rsidR="00583C84" w:rsidRPr="00DD1E2F" w:rsidRDefault="00EE73DF" w:rsidP="00EE73DF">
            <w:pPr>
              <w:spacing w:after="0" w:line="240" w:lineRule="auto"/>
              <w:jc w:val="both"/>
              <w:rPr>
                <w:rFonts w:ascii="Cambria" w:eastAsia="Batang" w:hAnsi="Cambria"/>
                <w:color w:val="000000"/>
              </w:rPr>
            </w:pPr>
            <w:r w:rsidRPr="0035394E">
              <w:rPr>
                <w:rFonts w:ascii="Cambria" w:eastAsia="Batang" w:hAnsi="Cambria"/>
                <w:b/>
                <w:bCs/>
                <w:color w:val="000000"/>
              </w:rPr>
              <w:t>Rights asserted:</w:t>
            </w:r>
            <w:r w:rsidRPr="0035394E">
              <w:rPr>
                <w:rFonts w:ascii="Cambria" w:eastAsia="Batang" w:hAnsi="Cambria"/>
                <w:b/>
                <w:color w:val="000000"/>
              </w:rPr>
              <w:t xml:space="preserve"> </w:t>
            </w:r>
            <w:r w:rsidRPr="0035394E">
              <w:rPr>
                <w:rFonts w:ascii="Cambria" w:eastAsia="Batang" w:hAnsi="Cambria"/>
                <w:bCs/>
                <w:color w:val="000000"/>
              </w:rPr>
              <w:t>The petition alleged that the State was responsible for violating the rights enshrined in Articles 4 (right to life), 5 (right to humane treatment), 8 (right to a fair trial), 25 (right to judicial protection), and 1.1 (obligation to respect rights) of the American Convention, to the detriment of José Miguel Mérida Escobar, who was extrajudicially executed, and his family.</w:t>
            </w:r>
          </w:p>
        </w:tc>
      </w:tr>
    </w:tbl>
    <w:p w14:paraId="599D0A72" w14:textId="77777777" w:rsidR="00583C84" w:rsidRPr="00DD1E2F" w:rsidRDefault="00583C84" w:rsidP="0045789B">
      <w:pPr>
        <w:spacing w:after="0" w:line="240" w:lineRule="auto"/>
        <w:ind w:firstLine="709"/>
        <w:contextualSpacing/>
        <w:jc w:val="both"/>
        <w:rPr>
          <w:rFonts w:ascii="Cambria" w:eastAsia="Batang" w:hAnsi="Cambria" w:cs="Calibri Light"/>
          <w:b/>
          <w:color w:val="000000"/>
        </w:rPr>
      </w:pPr>
    </w:p>
    <w:p w14:paraId="78A6AED9" w14:textId="77777777" w:rsidR="00583C84" w:rsidRPr="00DD1E2F" w:rsidRDefault="00583C84" w:rsidP="00AD711F">
      <w:pPr>
        <w:numPr>
          <w:ilvl w:val="0"/>
          <w:numId w:val="83"/>
        </w:numPr>
        <w:spacing w:after="0" w:line="240" w:lineRule="auto"/>
        <w:ind w:left="-142" w:firstLine="851"/>
        <w:contextualSpacing/>
        <w:jc w:val="both"/>
        <w:rPr>
          <w:rFonts w:ascii="Cambria" w:eastAsia="Batang" w:hAnsi="Cambria" w:cs="Calibri Light"/>
          <w:b/>
          <w:color w:val="000000"/>
        </w:rPr>
      </w:pPr>
      <w:r w:rsidRPr="00DD1E2F">
        <w:rPr>
          <w:rFonts w:ascii="Cambria" w:eastAsia="Batang" w:hAnsi="Cambria"/>
          <w:b/>
          <w:color w:val="000000"/>
        </w:rPr>
        <w:t>PROCEDURAL ACTIVITY</w:t>
      </w:r>
    </w:p>
    <w:p w14:paraId="2D8EA934" w14:textId="77777777" w:rsidR="00583C84" w:rsidRPr="00DD1E2F" w:rsidRDefault="00583C84" w:rsidP="0045789B">
      <w:pPr>
        <w:spacing w:after="0" w:line="240" w:lineRule="auto"/>
        <w:ind w:left="-142" w:firstLine="851"/>
        <w:contextualSpacing/>
        <w:jc w:val="both"/>
        <w:rPr>
          <w:rFonts w:ascii="Cambria" w:eastAsia="Batang" w:hAnsi="Cambria"/>
          <w:b/>
          <w:color w:val="000000"/>
        </w:rPr>
      </w:pPr>
    </w:p>
    <w:p w14:paraId="5727446D" w14:textId="69B510A9" w:rsidR="002F01A5" w:rsidRPr="002F01A5" w:rsidRDefault="002F01A5" w:rsidP="002F01A5">
      <w:pPr>
        <w:numPr>
          <w:ilvl w:val="3"/>
          <w:numId w:val="83"/>
        </w:numPr>
        <w:spacing w:after="0" w:line="240" w:lineRule="auto"/>
        <w:ind w:left="0" w:firstLine="720"/>
        <w:jc w:val="both"/>
        <w:rPr>
          <w:rFonts w:ascii="Cambria" w:eastAsia="Batang" w:hAnsi="Cambria" w:cs="Calibri Light"/>
          <w:color w:val="000000"/>
        </w:rPr>
      </w:pPr>
      <w:r w:rsidRPr="002F01A5">
        <w:rPr>
          <w:rFonts w:ascii="Cambria" w:eastAsia="Batang" w:hAnsi="Cambria" w:cs="Calibri Light"/>
          <w:color w:val="000000"/>
        </w:rPr>
        <w:t xml:space="preserve">On </w:t>
      </w:r>
      <w:r w:rsidR="00844987">
        <w:rPr>
          <w:rFonts w:ascii="Cambria" w:eastAsia="Batang" w:hAnsi="Cambria" w:cs="Calibri Light"/>
          <w:color w:val="000000"/>
        </w:rPr>
        <w:t>July</w:t>
      </w:r>
      <w:r w:rsidRPr="002F01A5">
        <w:rPr>
          <w:rFonts w:ascii="Cambria" w:eastAsia="Batang" w:hAnsi="Cambria" w:cs="Calibri Light"/>
          <w:color w:val="000000"/>
        </w:rPr>
        <w:t xml:space="preserve"> 2</w:t>
      </w:r>
      <w:r w:rsidR="00844987">
        <w:rPr>
          <w:rFonts w:ascii="Cambria" w:eastAsia="Batang" w:hAnsi="Cambria" w:cs="Calibri Light"/>
          <w:color w:val="000000"/>
        </w:rPr>
        <w:t>2</w:t>
      </w:r>
      <w:r w:rsidRPr="002F01A5">
        <w:rPr>
          <w:rFonts w:ascii="Cambria" w:eastAsia="Batang" w:hAnsi="Cambria" w:cs="Calibri Light"/>
          <w:color w:val="000000"/>
        </w:rPr>
        <w:t>, 2005, the parties signed a friendly settlement agreement.</w:t>
      </w:r>
    </w:p>
    <w:p w14:paraId="107FCEAD" w14:textId="77777777" w:rsidR="002F01A5" w:rsidRPr="002F01A5" w:rsidRDefault="002F01A5" w:rsidP="002F01A5">
      <w:pPr>
        <w:spacing w:after="0" w:line="240" w:lineRule="auto"/>
        <w:ind w:left="720"/>
        <w:jc w:val="both"/>
        <w:rPr>
          <w:rFonts w:ascii="Cambria" w:eastAsia="Batang" w:hAnsi="Cambria" w:cs="Calibri Light"/>
          <w:color w:val="000000"/>
        </w:rPr>
      </w:pPr>
    </w:p>
    <w:p w14:paraId="36F75975" w14:textId="13950681" w:rsidR="002F01A5" w:rsidRPr="002F01A5" w:rsidRDefault="002F01A5" w:rsidP="002F01A5">
      <w:pPr>
        <w:numPr>
          <w:ilvl w:val="3"/>
          <w:numId w:val="83"/>
        </w:numPr>
        <w:spacing w:after="0" w:line="240" w:lineRule="auto"/>
        <w:ind w:left="0" w:firstLine="720"/>
        <w:jc w:val="both"/>
        <w:rPr>
          <w:rFonts w:ascii="Cambria" w:eastAsia="Batang" w:hAnsi="Cambria" w:cs="Calibri Light"/>
          <w:color w:val="000000"/>
        </w:rPr>
      </w:pPr>
      <w:r w:rsidRPr="002F01A5">
        <w:rPr>
          <w:rFonts w:ascii="Cambria" w:eastAsia="Batang" w:hAnsi="Cambria" w:cs="Calibri Light"/>
          <w:color w:val="000000"/>
        </w:rPr>
        <w:t>On October 27, 2005, the Commission approved the agreement signed by the parties, by means of Report No. 99/05.</w:t>
      </w:r>
    </w:p>
    <w:p w14:paraId="7C865BF8" w14:textId="77777777" w:rsidR="00583C84" w:rsidRPr="00DD1E2F" w:rsidRDefault="00583C84" w:rsidP="00AD711F">
      <w:pPr>
        <w:numPr>
          <w:ilvl w:val="0"/>
          <w:numId w:val="83"/>
        </w:numPr>
        <w:spacing w:after="0" w:line="240" w:lineRule="auto"/>
        <w:ind w:left="0" w:firstLine="720"/>
        <w:contextualSpacing/>
        <w:jc w:val="both"/>
        <w:rPr>
          <w:rFonts w:ascii="Cambria" w:eastAsia="Batang" w:hAnsi="Cambria" w:cs="Calibri Light"/>
          <w:b/>
          <w:color w:val="000000"/>
        </w:rPr>
      </w:pPr>
      <w:r w:rsidRPr="00DD1E2F">
        <w:rPr>
          <w:rFonts w:ascii="Cambria" w:eastAsia="Batang" w:hAnsi="Cambria" w:cs="Calibri Light"/>
          <w:b/>
          <w:color w:val="000000"/>
        </w:rPr>
        <w:lastRenderedPageBreak/>
        <w:t>ANALYSIS OF COMPLIANCE WITH THE CLAUSES OF THE FRIENDLY SETTLEMENT AGREEMENT</w:t>
      </w:r>
    </w:p>
    <w:p w14:paraId="49833A45" w14:textId="77777777" w:rsidR="00583C84" w:rsidRPr="00DD1E2F" w:rsidRDefault="00583C84" w:rsidP="0045789B">
      <w:pPr>
        <w:spacing w:after="0" w:line="240" w:lineRule="auto"/>
        <w:ind w:left="1440"/>
        <w:contextualSpacing/>
        <w:jc w:val="both"/>
        <w:rPr>
          <w:rFonts w:ascii="Cambria" w:eastAsia="Batang" w:hAnsi="Cambria" w:cs="Calibri Light"/>
          <w:b/>
          <w:color w:val="000000"/>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860"/>
      </w:tblGrid>
      <w:tr w:rsidR="00C33F81" w:rsidRPr="008D6D56" w14:paraId="3BE57863" w14:textId="77777777" w:rsidTr="0078071E">
        <w:trPr>
          <w:jc w:val="center"/>
        </w:trPr>
        <w:tc>
          <w:tcPr>
            <w:tcW w:w="72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DBFA71" w14:textId="77777777" w:rsidR="00C33F81" w:rsidRPr="008D6D56" w:rsidRDefault="00C33F81" w:rsidP="00ED04B7">
            <w:pPr>
              <w:tabs>
                <w:tab w:val="center" w:pos="2049"/>
              </w:tabs>
              <w:spacing w:after="0" w:line="240" w:lineRule="auto"/>
              <w:jc w:val="center"/>
              <w:rPr>
                <w:rFonts w:ascii="Cambria" w:eastAsia="Batang" w:hAnsi="Cambria"/>
                <w:b/>
                <w:color w:val="000000"/>
              </w:rPr>
            </w:pPr>
            <w:r w:rsidRPr="008D6D56">
              <w:rPr>
                <w:rFonts w:ascii="Cambria" w:eastAsia="Batang" w:hAnsi="Cambria"/>
                <w:b/>
                <w:color w:val="000000"/>
              </w:rPr>
              <w:t xml:space="preserve">Clause of the Agreement </w:t>
            </w:r>
          </w:p>
        </w:tc>
        <w:tc>
          <w:tcPr>
            <w:tcW w:w="18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23A7B3" w14:textId="77777777" w:rsidR="00C33F81" w:rsidRPr="008D6D56" w:rsidRDefault="00C33F81" w:rsidP="00ED04B7">
            <w:pPr>
              <w:spacing w:after="0" w:line="240" w:lineRule="auto"/>
              <w:jc w:val="center"/>
              <w:rPr>
                <w:rFonts w:ascii="Cambria" w:eastAsia="Batang" w:hAnsi="Cambria"/>
                <w:b/>
                <w:color w:val="000000"/>
              </w:rPr>
            </w:pPr>
            <w:r w:rsidRPr="008D6D56">
              <w:rPr>
                <w:rFonts w:ascii="Cambria" w:eastAsia="Batang" w:hAnsi="Cambria"/>
                <w:b/>
                <w:color w:val="000000"/>
              </w:rPr>
              <w:t xml:space="preserve">Status of Implementation </w:t>
            </w:r>
          </w:p>
        </w:tc>
      </w:tr>
      <w:tr w:rsidR="00AD71F8" w:rsidRPr="008D6D56" w14:paraId="66F9CFEB" w14:textId="77777777" w:rsidTr="0078071E">
        <w:trPr>
          <w:jc w:val="center"/>
        </w:trPr>
        <w:tc>
          <w:tcPr>
            <w:tcW w:w="7230" w:type="dxa"/>
            <w:tcBorders>
              <w:top w:val="single" w:sz="4" w:space="0" w:color="auto"/>
              <w:left w:val="single" w:sz="4" w:space="0" w:color="auto"/>
              <w:bottom w:val="single" w:sz="4" w:space="0" w:color="auto"/>
              <w:right w:val="single" w:sz="4" w:space="0" w:color="auto"/>
            </w:tcBorders>
            <w:vAlign w:val="center"/>
          </w:tcPr>
          <w:p w14:paraId="4BC49A44" w14:textId="732D6EA1" w:rsidR="00AD71F8" w:rsidRPr="006E4E4D" w:rsidRDefault="00AD71F8" w:rsidP="00AD71F8">
            <w:pPr>
              <w:tabs>
                <w:tab w:val="left" w:pos="3921"/>
              </w:tabs>
              <w:spacing w:after="0" w:line="240" w:lineRule="auto"/>
              <w:ind w:right="69"/>
              <w:jc w:val="both"/>
              <w:rPr>
                <w:rFonts w:ascii="Cambria" w:eastAsia="Times New Roman" w:hAnsi="Cambria"/>
                <w:b/>
                <w:bCs/>
                <w:color w:val="000000"/>
              </w:rPr>
            </w:pPr>
            <w:r w:rsidRPr="006E4E4D">
              <w:rPr>
                <w:rFonts w:ascii="Cambria" w:eastAsia="Times New Roman" w:hAnsi="Cambria"/>
                <w:b/>
                <w:bCs/>
                <w:color w:val="000000"/>
              </w:rPr>
              <w:t>III.         RESPONSIBILITY OF THE STATE</w:t>
            </w:r>
            <w:r w:rsidR="00473633">
              <w:rPr>
                <w:rFonts w:ascii="Cambria" w:eastAsia="Times New Roman" w:hAnsi="Cambria"/>
                <w:b/>
                <w:bCs/>
                <w:color w:val="000000"/>
              </w:rPr>
              <w:t>.</w:t>
            </w:r>
          </w:p>
          <w:p w14:paraId="5816812E" w14:textId="505EF606" w:rsidR="00AD71F8" w:rsidRPr="006C2E83" w:rsidRDefault="00AD71F8" w:rsidP="00AD71F8">
            <w:pPr>
              <w:tabs>
                <w:tab w:val="left" w:pos="3921"/>
              </w:tabs>
              <w:spacing w:after="0" w:line="240" w:lineRule="auto"/>
              <w:ind w:right="69"/>
              <w:jc w:val="both"/>
              <w:rPr>
                <w:rFonts w:ascii="Cambria" w:eastAsia="Times New Roman" w:hAnsi="Cambria"/>
                <w:color w:val="000000"/>
                <w:highlight w:val="yellow"/>
              </w:rPr>
            </w:pPr>
            <w:r w:rsidRPr="00AD71F8">
              <w:rPr>
                <w:rFonts w:ascii="Cambria" w:eastAsia="Times New Roman" w:hAnsi="Cambria"/>
                <w:color w:val="000000"/>
              </w:rPr>
              <w:t>The Government of Guatemala recognizes the international responsibility of the State for the extrajudicial execution of the Chief of the Homicide Section of the National Police, JOSÉ MIGUEL MÉRIDA ESCOBAR, who was the victim or retaliation, persecution, and threats by members of the Guatemalan Military Intelligence as a result of his valiant work as an investigator in the case of the murder of Myrna Mack Chang, and who was subsequently executed extrajudicially on August 5, 1991.  Likewise, the Government of Guatemala recognizes the international responsibility of the Guatemalan State for refusal to administer justice by investigating, prosecuting, and punishing the material and intellectual authors of the extrajudicial execution of José Miguel Mérida Escobar.[...].</w:t>
            </w:r>
          </w:p>
        </w:tc>
        <w:tc>
          <w:tcPr>
            <w:tcW w:w="1860" w:type="dxa"/>
            <w:tcBorders>
              <w:top w:val="single" w:sz="4" w:space="0" w:color="auto"/>
              <w:left w:val="single" w:sz="4" w:space="0" w:color="auto"/>
              <w:bottom w:val="single" w:sz="4" w:space="0" w:color="auto"/>
              <w:right w:val="single" w:sz="4" w:space="0" w:color="auto"/>
            </w:tcBorders>
            <w:vAlign w:val="center"/>
          </w:tcPr>
          <w:p w14:paraId="7266A5F6" w14:textId="5F5646D9" w:rsidR="00AD71F8" w:rsidRPr="006C2E83" w:rsidRDefault="00560B04" w:rsidP="00ED04B7">
            <w:pPr>
              <w:spacing w:after="0" w:line="240" w:lineRule="auto"/>
              <w:jc w:val="center"/>
              <w:rPr>
                <w:rFonts w:ascii="Cambria" w:hAnsi="Cambria"/>
                <w:b/>
                <w:bCs/>
                <w:color w:val="000000"/>
                <w:highlight w:val="yellow"/>
              </w:rPr>
            </w:pPr>
            <w:r w:rsidRPr="00A62D8C">
              <w:rPr>
                <w:rFonts w:ascii="Cambria" w:hAnsi="Cambria"/>
                <w:b/>
                <w:bCs/>
                <w:color w:val="000000"/>
              </w:rPr>
              <w:t>Declarative</w:t>
            </w:r>
          </w:p>
        </w:tc>
      </w:tr>
      <w:tr w:rsidR="00C33F81" w:rsidRPr="008D6D56" w14:paraId="19A75B04" w14:textId="77777777" w:rsidTr="0078071E">
        <w:trPr>
          <w:jc w:val="center"/>
        </w:trPr>
        <w:tc>
          <w:tcPr>
            <w:tcW w:w="7230" w:type="dxa"/>
            <w:tcBorders>
              <w:top w:val="single" w:sz="4" w:space="0" w:color="auto"/>
              <w:left w:val="single" w:sz="4" w:space="0" w:color="auto"/>
              <w:bottom w:val="single" w:sz="4" w:space="0" w:color="auto"/>
              <w:right w:val="single" w:sz="4" w:space="0" w:color="auto"/>
            </w:tcBorders>
            <w:vAlign w:val="center"/>
          </w:tcPr>
          <w:p w14:paraId="035391B1" w14:textId="00EA083B" w:rsidR="00473633" w:rsidRPr="00560B04" w:rsidRDefault="00473633" w:rsidP="00ED04B7">
            <w:pPr>
              <w:tabs>
                <w:tab w:val="left" w:pos="3921"/>
              </w:tabs>
              <w:spacing w:after="0" w:line="240" w:lineRule="auto"/>
              <w:ind w:right="69"/>
              <w:jc w:val="both"/>
              <w:rPr>
                <w:rFonts w:ascii="Cambria" w:eastAsia="Times New Roman" w:hAnsi="Cambria"/>
                <w:b/>
                <w:bCs/>
                <w:color w:val="000000"/>
              </w:rPr>
            </w:pPr>
            <w:r w:rsidRPr="00560B04">
              <w:rPr>
                <w:rFonts w:ascii="Cambria" w:eastAsia="Times New Roman" w:hAnsi="Cambria"/>
                <w:b/>
                <w:bCs/>
                <w:color w:val="000000"/>
              </w:rPr>
              <w:t>IV.        RIGHT TO REPARATIONS FOR DAMAGES.</w:t>
            </w:r>
          </w:p>
          <w:p w14:paraId="6D483931" w14:textId="74C6A276" w:rsidR="00C33F81" w:rsidRPr="00560B04" w:rsidRDefault="00C33F81" w:rsidP="00ED04B7">
            <w:pPr>
              <w:tabs>
                <w:tab w:val="left" w:pos="3921"/>
              </w:tabs>
              <w:spacing w:after="0" w:line="240" w:lineRule="auto"/>
              <w:ind w:right="69"/>
              <w:jc w:val="both"/>
              <w:rPr>
                <w:rFonts w:ascii="Cambria" w:hAnsi="Cambria"/>
                <w:color w:val="000000"/>
              </w:rPr>
            </w:pPr>
            <w:r w:rsidRPr="00560B04">
              <w:rPr>
                <w:rFonts w:ascii="Cambria" w:eastAsia="Times New Roman" w:hAnsi="Cambria"/>
                <w:color w:val="000000"/>
              </w:rPr>
              <w:t xml:space="preserve">The right to reparations to assist the victim’s next of kin is reflected in various universal and regional treaties and conventions, and even in the resolutions issued by the Inter-American Court of Human Rights itself.  Pecuniary compensation is the most common way to compensate victims and/or their next of kin.  It is extremely difficult to compute the appropriate amount, and usually the decision is made to opt for a prudent amount that does not necessarily cover absolutely all the damages or losses </w:t>
            </w:r>
            <w:r w:rsidR="00736330" w:rsidRPr="00560B04">
              <w:rPr>
                <w:rFonts w:ascii="Cambria" w:eastAsia="Times New Roman" w:hAnsi="Cambria"/>
                <w:color w:val="000000"/>
              </w:rPr>
              <w:t>incurred but</w:t>
            </w:r>
            <w:r w:rsidRPr="00560B04">
              <w:rPr>
                <w:rFonts w:ascii="Cambria" w:eastAsia="Times New Roman" w:hAnsi="Cambria"/>
                <w:color w:val="000000"/>
              </w:rPr>
              <w:t xml:space="preserve"> does provide relatives with a sufficient amount to compensate for their suffering and the damages caused.  It is therefore the right of the next of kin to obtain integral reparations, including measures of compensation for serious damages and losses incurred, in addition to measures to satisfy them individually and their dignity in the community, including moral and symbolic reparations.</w:t>
            </w:r>
          </w:p>
        </w:tc>
        <w:tc>
          <w:tcPr>
            <w:tcW w:w="1860" w:type="dxa"/>
            <w:tcBorders>
              <w:top w:val="single" w:sz="4" w:space="0" w:color="auto"/>
              <w:left w:val="single" w:sz="4" w:space="0" w:color="auto"/>
              <w:bottom w:val="single" w:sz="4" w:space="0" w:color="auto"/>
              <w:right w:val="single" w:sz="4" w:space="0" w:color="auto"/>
            </w:tcBorders>
            <w:vAlign w:val="center"/>
            <w:hideMark/>
          </w:tcPr>
          <w:p w14:paraId="06C6F4BB" w14:textId="05D444B0" w:rsidR="00C33F81" w:rsidRPr="00560B04" w:rsidRDefault="00C33F81" w:rsidP="00ED04B7">
            <w:pPr>
              <w:spacing w:after="0" w:line="240" w:lineRule="auto"/>
              <w:jc w:val="center"/>
              <w:rPr>
                <w:rFonts w:ascii="Cambria" w:eastAsia="Batang" w:hAnsi="Cambria"/>
                <w:color w:val="000000"/>
              </w:rPr>
            </w:pPr>
            <w:r w:rsidRPr="00560B04">
              <w:rPr>
                <w:rFonts w:ascii="Cambria" w:hAnsi="Cambria"/>
                <w:b/>
                <w:bCs/>
                <w:color w:val="000000"/>
              </w:rPr>
              <w:t>Declarative</w:t>
            </w:r>
          </w:p>
        </w:tc>
      </w:tr>
      <w:tr w:rsidR="00C33F81" w:rsidRPr="008D6D56" w14:paraId="176D102A" w14:textId="77777777" w:rsidTr="0078071E">
        <w:trPr>
          <w:trHeight w:val="708"/>
          <w:jc w:val="center"/>
        </w:trPr>
        <w:tc>
          <w:tcPr>
            <w:tcW w:w="7230" w:type="dxa"/>
            <w:tcBorders>
              <w:top w:val="single" w:sz="4" w:space="0" w:color="auto"/>
              <w:left w:val="single" w:sz="4" w:space="0" w:color="auto"/>
              <w:bottom w:val="single" w:sz="4" w:space="0" w:color="auto"/>
              <w:right w:val="single" w:sz="4" w:space="0" w:color="auto"/>
            </w:tcBorders>
          </w:tcPr>
          <w:p w14:paraId="445B5AF4" w14:textId="77777777" w:rsidR="00C33F81" w:rsidRPr="00560B04" w:rsidRDefault="00C33F81" w:rsidP="00ED04B7">
            <w:pPr>
              <w:spacing w:after="0" w:line="240" w:lineRule="auto"/>
              <w:ind w:right="72"/>
              <w:jc w:val="both"/>
              <w:rPr>
                <w:rFonts w:ascii="Cambria" w:hAnsi="Cambria"/>
                <w:b/>
                <w:bCs/>
                <w:color w:val="000000"/>
                <w:kern w:val="36"/>
              </w:rPr>
            </w:pPr>
            <w:r w:rsidRPr="00560B04">
              <w:rPr>
                <w:rFonts w:ascii="Cambria" w:eastAsia="Times New Roman" w:hAnsi="Cambria"/>
                <w:b/>
                <w:bCs/>
                <w:color w:val="000000"/>
              </w:rPr>
              <w:t>V.         ECONOMIC REPARATIONS.</w:t>
            </w:r>
            <w:r w:rsidRPr="00560B04">
              <w:rPr>
                <w:rFonts w:ascii="Cambria" w:eastAsia="Times New Roman" w:hAnsi="Cambria"/>
                <w:color w:val="000000"/>
              </w:rPr>
              <w:t xml:space="preserve"> The amount of economic reparations may not be published and shall remain confidential out of concerns for the security of the family of José Miguel Mérida Escobar.</w:t>
            </w:r>
          </w:p>
        </w:tc>
        <w:tc>
          <w:tcPr>
            <w:tcW w:w="1860" w:type="dxa"/>
            <w:tcBorders>
              <w:top w:val="single" w:sz="4" w:space="0" w:color="auto"/>
              <w:left w:val="single" w:sz="4" w:space="0" w:color="auto"/>
              <w:bottom w:val="single" w:sz="4" w:space="0" w:color="auto"/>
              <w:right w:val="single" w:sz="4" w:space="0" w:color="auto"/>
            </w:tcBorders>
            <w:vAlign w:val="center"/>
            <w:hideMark/>
          </w:tcPr>
          <w:p w14:paraId="7FBD2CCF" w14:textId="77777777" w:rsidR="00C33F81" w:rsidRPr="00560B04" w:rsidRDefault="00C33F81" w:rsidP="00ED04B7">
            <w:pPr>
              <w:jc w:val="center"/>
              <w:rPr>
                <w:rFonts w:ascii="Cambria" w:hAnsi="Cambria"/>
                <w:b/>
                <w:color w:val="000000"/>
              </w:rPr>
            </w:pPr>
            <w:r w:rsidRPr="00560B04">
              <w:rPr>
                <w:rFonts w:ascii="Cambria" w:hAnsi="Cambria"/>
                <w:b/>
                <w:bCs/>
                <w:color w:val="000000"/>
              </w:rPr>
              <w:t>Total</w:t>
            </w:r>
            <w:r w:rsidRPr="00560B04">
              <w:rPr>
                <w:rFonts w:ascii="Cambria" w:hAnsi="Cambria"/>
                <w:b/>
                <w:bCs/>
                <w:color w:val="000000"/>
                <w:vertAlign w:val="superscript"/>
              </w:rPr>
              <w:footnoteReference w:id="2"/>
            </w:r>
          </w:p>
        </w:tc>
      </w:tr>
      <w:tr w:rsidR="00C33F81" w:rsidRPr="008D6D56" w14:paraId="1F7C2E35" w14:textId="77777777" w:rsidTr="0078071E">
        <w:trPr>
          <w:trHeight w:val="275"/>
          <w:jc w:val="center"/>
        </w:trPr>
        <w:tc>
          <w:tcPr>
            <w:tcW w:w="9090" w:type="dxa"/>
            <w:gridSpan w:val="2"/>
            <w:tcBorders>
              <w:top w:val="single" w:sz="4" w:space="0" w:color="auto"/>
              <w:left w:val="single" w:sz="4" w:space="0" w:color="auto"/>
              <w:bottom w:val="single" w:sz="4" w:space="0" w:color="auto"/>
              <w:right w:val="single" w:sz="4" w:space="0" w:color="auto"/>
            </w:tcBorders>
          </w:tcPr>
          <w:p w14:paraId="4E11E49D" w14:textId="77777777" w:rsidR="00C33F81" w:rsidRPr="00560B04" w:rsidRDefault="00C33F81" w:rsidP="00ED04B7">
            <w:pPr>
              <w:spacing w:after="0" w:line="240" w:lineRule="auto"/>
              <w:rPr>
                <w:rFonts w:ascii="Cambria" w:hAnsi="Cambria"/>
                <w:b/>
                <w:color w:val="000000"/>
              </w:rPr>
            </w:pPr>
            <w:r w:rsidRPr="00560B04">
              <w:rPr>
                <w:rFonts w:ascii="Cambria" w:eastAsia="Times New Roman" w:hAnsi="Cambria"/>
                <w:b/>
                <w:bCs/>
                <w:color w:val="000000"/>
              </w:rPr>
              <w:t>VI.   OTHER TYPES OF REPARATIONS</w:t>
            </w:r>
          </w:p>
        </w:tc>
      </w:tr>
      <w:tr w:rsidR="00C33F81" w:rsidRPr="008D6D56" w14:paraId="5EE025DB" w14:textId="77777777" w:rsidTr="0078071E">
        <w:trPr>
          <w:trHeight w:val="2015"/>
          <w:jc w:val="center"/>
        </w:trPr>
        <w:tc>
          <w:tcPr>
            <w:tcW w:w="7230" w:type="dxa"/>
            <w:tcBorders>
              <w:top w:val="single" w:sz="4" w:space="0" w:color="auto"/>
              <w:left w:val="single" w:sz="4" w:space="0" w:color="auto"/>
              <w:bottom w:val="single" w:sz="4" w:space="0" w:color="auto"/>
              <w:right w:val="single" w:sz="4" w:space="0" w:color="auto"/>
            </w:tcBorders>
          </w:tcPr>
          <w:p w14:paraId="7A05728E" w14:textId="77777777" w:rsidR="00C33F81" w:rsidRPr="00560B04" w:rsidRDefault="00C33F81" w:rsidP="00ED04B7">
            <w:pPr>
              <w:spacing w:after="0" w:line="240" w:lineRule="auto"/>
              <w:jc w:val="both"/>
              <w:rPr>
                <w:rFonts w:ascii="Cambria" w:eastAsia="Times New Roman" w:hAnsi="Cambria"/>
                <w:b/>
                <w:bCs/>
                <w:color w:val="000000"/>
                <w:u w:val="single"/>
              </w:rPr>
            </w:pPr>
            <w:r w:rsidRPr="00560B04">
              <w:rPr>
                <w:rFonts w:ascii="Cambria" w:eastAsia="Times New Roman" w:hAnsi="Cambria"/>
                <w:b/>
                <w:bCs/>
                <w:color w:val="000000"/>
                <w:u w:val="single"/>
              </w:rPr>
              <w:t> INVESTIGATION</w:t>
            </w:r>
          </w:p>
          <w:p w14:paraId="6C0161ED" w14:textId="77777777" w:rsidR="00C33F81" w:rsidRPr="00560B04" w:rsidRDefault="00C33F81" w:rsidP="00ED04B7">
            <w:pPr>
              <w:spacing w:after="0" w:line="240" w:lineRule="auto"/>
              <w:jc w:val="both"/>
              <w:rPr>
                <w:rFonts w:ascii="Cambria" w:eastAsia="Times New Roman" w:hAnsi="Cambria"/>
                <w:b/>
                <w:bCs/>
                <w:color w:val="000000"/>
                <w:u w:val="single"/>
              </w:rPr>
            </w:pPr>
            <w:r w:rsidRPr="00560B04">
              <w:rPr>
                <w:rFonts w:ascii="Cambria" w:eastAsia="Times New Roman" w:hAnsi="Cambria"/>
                <w:color w:val="000000"/>
              </w:rPr>
              <w:t xml:space="preserve">The Government of Guatemala shall take steps to ensure that the </w:t>
            </w:r>
            <w:r w:rsidRPr="00560B04">
              <w:rPr>
                <w:rFonts w:ascii="Cambria" w:eastAsia="Times New Roman" w:hAnsi="Cambria"/>
                <w:i/>
                <w:iCs/>
                <w:color w:val="000000"/>
              </w:rPr>
              <w:t xml:space="preserve">Ministerio Público </w:t>
            </w:r>
            <w:r w:rsidRPr="00560B04">
              <w:rPr>
                <w:rFonts w:ascii="Cambria" w:eastAsia="Times New Roman" w:hAnsi="Cambria"/>
                <w:color w:val="000000"/>
              </w:rPr>
              <w:t>conducts a serious and effective investigation, that culminates in a criminal proceeding that identifies, prosecutes and convicts all the material and intellectual parties responsible for the extrajudicial execution of police investigator José Miguel Mérida Escobar, in addition to the parties responsible for irregularities in the criminal investigation of this case.</w:t>
            </w:r>
          </w:p>
        </w:tc>
        <w:tc>
          <w:tcPr>
            <w:tcW w:w="1860" w:type="dxa"/>
            <w:tcBorders>
              <w:top w:val="single" w:sz="4" w:space="0" w:color="auto"/>
              <w:left w:val="single" w:sz="4" w:space="0" w:color="auto"/>
              <w:bottom w:val="single" w:sz="4" w:space="0" w:color="auto"/>
              <w:right w:val="single" w:sz="4" w:space="0" w:color="auto"/>
            </w:tcBorders>
            <w:vAlign w:val="center"/>
          </w:tcPr>
          <w:p w14:paraId="0C16B9BC" w14:textId="77777777" w:rsidR="00C33F81" w:rsidRPr="00560B04" w:rsidRDefault="00C33F81" w:rsidP="00ED04B7">
            <w:pPr>
              <w:spacing w:after="0" w:line="240" w:lineRule="auto"/>
              <w:jc w:val="center"/>
              <w:rPr>
                <w:rFonts w:ascii="Cambria" w:hAnsi="Cambria"/>
                <w:b/>
                <w:color w:val="000000"/>
              </w:rPr>
            </w:pPr>
            <w:r w:rsidRPr="00560B04">
              <w:rPr>
                <w:rFonts w:ascii="Cambria" w:hAnsi="Cambria"/>
                <w:b/>
                <w:bCs/>
              </w:rPr>
              <w:t>Total</w:t>
            </w:r>
            <w:r w:rsidRPr="00560B04">
              <w:rPr>
                <w:rStyle w:val="FootnoteReference"/>
                <w:rFonts w:ascii="Cambria" w:hAnsi="Cambria"/>
                <w:b/>
                <w:bCs/>
              </w:rPr>
              <w:footnoteReference w:id="3"/>
            </w:r>
          </w:p>
        </w:tc>
      </w:tr>
      <w:tr w:rsidR="00C33F81" w:rsidRPr="006C2E83" w14:paraId="578B5968" w14:textId="77777777" w:rsidTr="0078071E">
        <w:trPr>
          <w:trHeight w:val="274"/>
          <w:jc w:val="center"/>
        </w:trPr>
        <w:tc>
          <w:tcPr>
            <w:tcW w:w="9090" w:type="dxa"/>
            <w:gridSpan w:val="2"/>
            <w:tcBorders>
              <w:top w:val="single" w:sz="4" w:space="0" w:color="auto"/>
              <w:left w:val="single" w:sz="4" w:space="0" w:color="auto"/>
              <w:bottom w:val="single" w:sz="4" w:space="0" w:color="auto"/>
              <w:right w:val="single" w:sz="4" w:space="0" w:color="auto"/>
            </w:tcBorders>
          </w:tcPr>
          <w:p w14:paraId="5819241D" w14:textId="77777777" w:rsidR="00C33F81" w:rsidRPr="00560B04" w:rsidRDefault="00C33F81" w:rsidP="00ED04B7">
            <w:pPr>
              <w:spacing w:after="0" w:line="240" w:lineRule="auto"/>
              <w:rPr>
                <w:rFonts w:ascii="Cambria" w:hAnsi="Cambria"/>
                <w:b/>
                <w:color w:val="000000"/>
                <w:sz w:val="20"/>
                <w:szCs w:val="20"/>
              </w:rPr>
            </w:pPr>
            <w:r w:rsidRPr="00560B04">
              <w:rPr>
                <w:rFonts w:ascii="Cambria" w:eastAsia="Times New Roman" w:hAnsi="Cambria"/>
                <w:b/>
                <w:bCs/>
                <w:color w:val="000000"/>
                <w:sz w:val="20"/>
                <w:szCs w:val="20"/>
                <w:u w:val="single"/>
              </w:rPr>
              <w:t>MEASURES TO HONOR THE MEMORY OF THE VICTIM</w:t>
            </w:r>
          </w:p>
        </w:tc>
      </w:tr>
      <w:tr w:rsidR="00C33F81" w:rsidRPr="006C2E83" w14:paraId="21B82EFB" w14:textId="77777777" w:rsidTr="0078071E">
        <w:trPr>
          <w:trHeight w:val="758"/>
          <w:jc w:val="center"/>
        </w:trPr>
        <w:tc>
          <w:tcPr>
            <w:tcW w:w="7230" w:type="dxa"/>
            <w:tcBorders>
              <w:top w:val="single" w:sz="4" w:space="0" w:color="auto"/>
              <w:left w:val="single" w:sz="4" w:space="0" w:color="auto"/>
              <w:bottom w:val="single" w:sz="4" w:space="0" w:color="auto"/>
              <w:right w:val="single" w:sz="4" w:space="0" w:color="auto"/>
            </w:tcBorders>
          </w:tcPr>
          <w:p w14:paraId="17F1C1B3" w14:textId="77777777" w:rsidR="00C33F81" w:rsidRPr="00A62D8C" w:rsidRDefault="00C33F81" w:rsidP="00ED04B7">
            <w:pPr>
              <w:spacing w:after="0" w:line="240" w:lineRule="auto"/>
              <w:ind w:right="72"/>
              <w:jc w:val="both"/>
              <w:rPr>
                <w:rFonts w:ascii="Cambria" w:hAnsi="Cambria"/>
                <w:color w:val="000000"/>
                <w:kern w:val="36"/>
              </w:rPr>
            </w:pPr>
            <w:r w:rsidRPr="00A62D8C">
              <w:rPr>
                <w:rFonts w:ascii="Cambria" w:hAnsi="Cambria"/>
                <w:color w:val="000000"/>
                <w:kern w:val="36"/>
              </w:rPr>
              <w:lastRenderedPageBreak/>
              <w:t>a) The Government of the Republic pledges to make appropriate arrangements with the Ministry of the Interior and International Cooperation to establish a fellowship for police studies abroad.</w:t>
            </w:r>
          </w:p>
        </w:tc>
        <w:tc>
          <w:tcPr>
            <w:tcW w:w="1860" w:type="dxa"/>
            <w:tcBorders>
              <w:top w:val="single" w:sz="4" w:space="0" w:color="auto"/>
              <w:left w:val="single" w:sz="4" w:space="0" w:color="auto"/>
              <w:bottom w:val="single" w:sz="4" w:space="0" w:color="auto"/>
              <w:right w:val="single" w:sz="4" w:space="0" w:color="auto"/>
            </w:tcBorders>
            <w:vAlign w:val="center"/>
          </w:tcPr>
          <w:p w14:paraId="30A0BE7B" w14:textId="77777777" w:rsidR="00C33F81" w:rsidRPr="00A62D8C" w:rsidRDefault="00C33F81" w:rsidP="00ED04B7">
            <w:pPr>
              <w:spacing w:after="0" w:line="240" w:lineRule="auto"/>
              <w:jc w:val="center"/>
              <w:rPr>
                <w:rFonts w:ascii="Cambria" w:hAnsi="Cambria"/>
                <w:b/>
                <w:bCs/>
                <w:color w:val="000000"/>
              </w:rPr>
            </w:pPr>
            <w:r w:rsidRPr="00A62D8C">
              <w:rPr>
                <w:rFonts w:ascii="Cambria" w:hAnsi="Cambria"/>
                <w:b/>
                <w:bCs/>
                <w:color w:val="000000"/>
              </w:rPr>
              <w:t>Total</w:t>
            </w:r>
            <w:r w:rsidRPr="00A62D8C">
              <w:rPr>
                <w:rStyle w:val="FootnoteReference"/>
                <w:rFonts w:ascii="Cambria" w:hAnsi="Cambria"/>
                <w:b/>
                <w:bCs/>
                <w:color w:val="000000"/>
              </w:rPr>
              <w:footnoteReference w:id="4"/>
            </w:r>
          </w:p>
        </w:tc>
      </w:tr>
      <w:tr w:rsidR="00C33F81" w:rsidRPr="008D6D56" w14:paraId="10118EDB" w14:textId="77777777" w:rsidTr="0078071E">
        <w:trPr>
          <w:trHeight w:val="1266"/>
          <w:jc w:val="center"/>
        </w:trPr>
        <w:tc>
          <w:tcPr>
            <w:tcW w:w="7230" w:type="dxa"/>
            <w:tcBorders>
              <w:top w:val="single" w:sz="4" w:space="0" w:color="auto"/>
              <w:left w:val="single" w:sz="4" w:space="0" w:color="auto"/>
              <w:bottom w:val="single" w:sz="4" w:space="0" w:color="auto"/>
              <w:right w:val="single" w:sz="4" w:space="0" w:color="auto"/>
            </w:tcBorders>
          </w:tcPr>
          <w:p w14:paraId="31EF12CD" w14:textId="77777777" w:rsidR="00C33F81" w:rsidRPr="00A62D8C" w:rsidRDefault="00C33F81" w:rsidP="00ED04B7">
            <w:pPr>
              <w:spacing w:after="0" w:line="240" w:lineRule="auto"/>
              <w:ind w:right="72"/>
              <w:jc w:val="both"/>
              <w:rPr>
                <w:rFonts w:ascii="Cambria" w:hAnsi="Cambria"/>
                <w:color w:val="000000"/>
                <w:kern w:val="36"/>
              </w:rPr>
            </w:pPr>
            <w:r w:rsidRPr="00A62D8C">
              <w:rPr>
                <w:rFonts w:ascii="Cambria" w:hAnsi="Cambria"/>
                <w:color w:val="000000"/>
                <w:kern w:val="36"/>
              </w:rPr>
              <w:t>b) The Government of the Republic pledges to look into the feasibility of drawing up a letter of recognition of the international responsibility of the State of Guatemala for the extrajudicial execution of José Miguel Mérida Escobar, a letter which will be circulated to international organizations by way of the Official Gazette and the Internet.</w:t>
            </w:r>
          </w:p>
        </w:tc>
        <w:tc>
          <w:tcPr>
            <w:tcW w:w="1860" w:type="dxa"/>
            <w:tcBorders>
              <w:top w:val="single" w:sz="4" w:space="0" w:color="auto"/>
              <w:left w:val="single" w:sz="4" w:space="0" w:color="auto"/>
              <w:bottom w:val="single" w:sz="4" w:space="0" w:color="auto"/>
              <w:right w:val="single" w:sz="4" w:space="0" w:color="auto"/>
            </w:tcBorders>
            <w:vAlign w:val="center"/>
          </w:tcPr>
          <w:p w14:paraId="3BB0FE1E" w14:textId="77777777" w:rsidR="00C33F81" w:rsidRPr="00A62D8C" w:rsidRDefault="00C33F81" w:rsidP="00ED04B7">
            <w:pPr>
              <w:jc w:val="center"/>
              <w:rPr>
                <w:rFonts w:ascii="Cambria" w:hAnsi="Cambria"/>
                <w:b/>
                <w:bCs/>
                <w:color w:val="000000"/>
              </w:rPr>
            </w:pPr>
            <w:r w:rsidRPr="00A62D8C">
              <w:rPr>
                <w:rFonts w:ascii="Cambria" w:hAnsi="Cambria"/>
                <w:b/>
                <w:bCs/>
                <w:color w:val="000000"/>
              </w:rPr>
              <w:t>Partial</w:t>
            </w:r>
            <w:r w:rsidRPr="00A62D8C">
              <w:rPr>
                <w:rStyle w:val="FootnoteReference"/>
                <w:rFonts w:ascii="Cambria" w:hAnsi="Cambria"/>
                <w:b/>
                <w:bCs/>
                <w:color w:val="000000"/>
              </w:rPr>
              <w:footnoteReference w:id="5"/>
            </w:r>
          </w:p>
        </w:tc>
      </w:tr>
      <w:tr w:rsidR="00C33F81" w:rsidRPr="008D6D56" w14:paraId="468297C5" w14:textId="77777777" w:rsidTr="0078071E">
        <w:trPr>
          <w:trHeight w:val="1833"/>
          <w:jc w:val="center"/>
        </w:trPr>
        <w:tc>
          <w:tcPr>
            <w:tcW w:w="7230" w:type="dxa"/>
            <w:tcBorders>
              <w:top w:val="single" w:sz="4" w:space="0" w:color="auto"/>
              <w:left w:val="single" w:sz="4" w:space="0" w:color="auto"/>
              <w:bottom w:val="single" w:sz="4" w:space="0" w:color="auto"/>
              <w:right w:val="single" w:sz="4" w:space="0" w:color="auto"/>
            </w:tcBorders>
            <w:vAlign w:val="center"/>
          </w:tcPr>
          <w:p w14:paraId="0CA225C1" w14:textId="77777777" w:rsidR="00C33F81" w:rsidRPr="00A62D8C" w:rsidRDefault="00C33F81" w:rsidP="00ED04B7">
            <w:pPr>
              <w:spacing w:after="0" w:line="240" w:lineRule="auto"/>
              <w:ind w:hanging="18"/>
              <w:jc w:val="both"/>
              <w:rPr>
                <w:rFonts w:ascii="Cambria" w:hAnsi="Cambria"/>
                <w:color w:val="000000"/>
              </w:rPr>
            </w:pPr>
            <w:r w:rsidRPr="00A62D8C">
              <w:rPr>
                <w:rFonts w:ascii="Cambria" w:hAnsi="Cambria"/>
                <w:color w:val="000000"/>
              </w:rPr>
              <w:t>c) The Government of Guatemala pledges to take the relevant steps to ensure that the Ministry of the Interior authorizes placement of a plaque in honor of police investigator José Miguel Mérida Escobar at the facilities of the Palace of the Civil National Police, in memory of José Miguel Mérida Escobar.</w:t>
            </w:r>
          </w:p>
          <w:p w14:paraId="438F0773" w14:textId="77777777" w:rsidR="00C33F81" w:rsidRPr="00A62D8C" w:rsidRDefault="00C33F81" w:rsidP="00ED04B7">
            <w:pPr>
              <w:spacing w:after="0" w:line="240" w:lineRule="auto"/>
              <w:ind w:hanging="18"/>
              <w:jc w:val="both"/>
              <w:rPr>
                <w:rFonts w:ascii="Cambria" w:hAnsi="Cambria"/>
                <w:bCs/>
                <w:color w:val="000000"/>
              </w:rPr>
            </w:pPr>
            <w:r w:rsidRPr="00A62D8C">
              <w:rPr>
                <w:rFonts w:ascii="Cambria" w:eastAsia="Times New Roman" w:hAnsi="Cambria"/>
                <w:color w:val="000000"/>
              </w:rPr>
              <w:t>However, the petitioners are advised that if placement of the plaque at the place indicated should not be authorized, an alternative will be arranged.</w:t>
            </w:r>
          </w:p>
        </w:tc>
        <w:tc>
          <w:tcPr>
            <w:tcW w:w="1860" w:type="dxa"/>
            <w:tcBorders>
              <w:top w:val="single" w:sz="4" w:space="0" w:color="auto"/>
              <w:left w:val="single" w:sz="4" w:space="0" w:color="auto"/>
              <w:bottom w:val="single" w:sz="4" w:space="0" w:color="auto"/>
              <w:right w:val="single" w:sz="4" w:space="0" w:color="auto"/>
            </w:tcBorders>
            <w:vAlign w:val="center"/>
          </w:tcPr>
          <w:p w14:paraId="611D924E" w14:textId="77777777" w:rsidR="00C33F81" w:rsidRPr="00A62D8C" w:rsidRDefault="00C33F81" w:rsidP="00ED04B7">
            <w:pPr>
              <w:spacing w:after="0" w:line="240" w:lineRule="auto"/>
              <w:jc w:val="center"/>
              <w:rPr>
                <w:rFonts w:ascii="Cambria" w:hAnsi="Cambria"/>
                <w:b/>
                <w:color w:val="000000"/>
              </w:rPr>
            </w:pPr>
            <w:r w:rsidRPr="00A62D8C">
              <w:rPr>
                <w:rFonts w:ascii="Cambria" w:hAnsi="Cambria"/>
                <w:b/>
                <w:bCs/>
              </w:rPr>
              <w:t xml:space="preserve">Total </w:t>
            </w:r>
            <w:r w:rsidRPr="00A62D8C">
              <w:rPr>
                <w:rStyle w:val="FootnoteReference"/>
                <w:rFonts w:ascii="Cambria" w:hAnsi="Cambria"/>
                <w:b/>
                <w:bCs/>
              </w:rPr>
              <w:footnoteReference w:id="6"/>
            </w:r>
          </w:p>
        </w:tc>
      </w:tr>
      <w:tr w:rsidR="00C33F81" w:rsidRPr="008D6D56" w14:paraId="4CD5C426" w14:textId="77777777" w:rsidTr="0078071E">
        <w:trPr>
          <w:trHeight w:val="1277"/>
          <w:jc w:val="center"/>
        </w:trPr>
        <w:tc>
          <w:tcPr>
            <w:tcW w:w="7230" w:type="dxa"/>
            <w:tcBorders>
              <w:top w:val="single" w:sz="4" w:space="0" w:color="auto"/>
              <w:left w:val="single" w:sz="4" w:space="0" w:color="auto"/>
              <w:bottom w:val="single" w:sz="4" w:space="0" w:color="auto"/>
              <w:right w:val="single" w:sz="4" w:space="0" w:color="auto"/>
            </w:tcBorders>
          </w:tcPr>
          <w:p w14:paraId="1B054DD0" w14:textId="77777777" w:rsidR="00C33F81" w:rsidRPr="00A62D8C" w:rsidRDefault="00C33F81" w:rsidP="00ED04B7">
            <w:pPr>
              <w:spacing w:after="0" w:line="240" w:lineRule="auto"/>
              <w:ind w:right="72"/>
              <w:contextualSpacing/>
              <w:jc w:val="both"/>
              <w:rPr>
                <w:rFonts w:ascii="Cambria" w:hAnsi="Cambria"/>
                <w:b/>
                <w:bCs/>
                <w:color w:val="000000"/>
                <w:kern w:val="36"/>
              </w:rPr>
            </w:pPr>
            <w:r w:rsidRPr="00A62D8C">
              <w:rPr>
                <w:rFonts w:ascii="Cambria" w:eastAsia="Times New Roman" w:hAnsi="Cambria"/>
                <w:color w:val="000000"/>
              </w:rPr>
              <w:t>d) The Government of the Republic pledges to ensure that the appropriate authorities will take steps to determine the viability of changing the name of the Santa Luisa district in the Municipality of San José del Golfo, department of Guatemala, where he resided with his family, to the name of José Miguel Mérida Escobar.</w:t>
            </w:r>
          </w:p>
        </w:tc>
        <w:tc>
          <w:tcPr>
            <w:tcW w:w="1860" w:type="dxa"/>
            <w:tcBorders>
              <w:top w:val="single" w:sz="4" w:space="0" w:color="auto"/>
              <w:left w:val="single" w:sz="4" w:space="0" w:color="auto"/>
              <w:bottom w:val="single" w:sz="4" w:space="0" w:color="auto"/>
              <w:right w:val="single" w:sz="4" w:space="0" w:color="auto"/>
            </w:tcBorders>
            <w:vAlign w:val="center"/>
          </w:tcPr>
          <w:p w14:paraId="3586F7F5" w14:textId="77777777" w:rsidR="00C33F81" w:rsidRPr="00A62D8C" w:rsidRDefault="00C33F81" w:rsidP="00ED04B7">
            <w:pPr>
              <w:jc w:val="center"/>
              <w:rPr>
                <w:rFonts w:ascii="Cambria" w:hAnsi="Cambria"/>
                <w:b/>
                <w:color w:val="000000"/>
              </w:rPr>
            </w:pPr>
            <w:r w:rsidRPr="00A62D8C">
              <w:rPr>
                <w:rFonts w:ascii="Cambria" w:hAnsi="Cambria"/>
                <w:b/>
                <w:bCs/>
                <w:color w:val="000000"/>
              </w:rPr>
              <w:t>Total</w:t>
            </w:r>
            <w:r w:rsidRPr="00A62D8C">
              <w:rPr>
                <w:rFonts w:ascii="Cambria" w:hAnsi="Cambria"/>
                <w:b/>
                <w:bCs/>
                <w:color w:val="000000"/>
                <w:vertAlign w:val="superscript"/>
              </w:rPr>
              <w:footnoteReference w:id="7"/>
            </w:r>
          </w:p>
          <w:p w14:paraId="15E35237" w14:textId="77777777" w:rsidR="00C33F81" w:rsidRPr="00A62D8C" w:rsidRDefault="00C33F81" w:rsidP="00ED04B7">
            <w:pPr>
              <w:spacing w:after="0" w:line="240" w:lineRule="auto"/>
              <w:jc w:val="center"/>
              <w:rPr>
                <w:rFonts w:ascii="Cambria" w:hAnsi="Cambria"/>
                <w:b/>
                <w:color w:val="000000"/>
              </w:rPr>
            </w:pPr>
            <w:r w:rsidRPr="00A62D8C">
              <w:rPr>
                <w:rFonts w:ascii="Cambria" w:eastAsia="MS Mincho" w:hAnsi="Cambria"/>
                <w:color w:val="000000"/>
                <w:u w:color="FF0000"/>
              </w:rPr>
              <w:t xml:space="preserve"> </w:t>
            </w:r>
          </w:p>
        </w:tc>
      </w:tr>
      <w:tr w:rsidR="00C33F81" w:rsidRPr="008D6D56" w14:paraId="7B400304" w14:textId="77777777" w:rsidTr="0078071E">
        <w:trPr>
          <w:trHeight w:val="558"/>
          <w:jc w:val="center"/>
        </w:trPr>
        <w:tc>
          <w:tcPr>
            <w:tcW w:w="7230" w:type="dxa"/>
            <w:tcBorders>
              <w:top w:val="single" w:sz="4" w:space="0" w:color="auto"/>
              <w:left w:val="single" w:sz="4" w:space="0" w:color="auto"/>
              <w:bottom w:val="single" w:sz="4" w:space="0" w:color="auto"/>
              <w:right w:val="single" w:sz="4" w:space="0" w:color="auto"/>
            </w:tcBorders>
          </w:tcPr>
          <w:p w14:paraId="3FD2BA2D" w14:textId="77777777" w:rsidR="00C33F81" w:rsidRPr="00A62D8C" w:rsidRDefault="00C33F81" w:rsidP="00ED04B7">
            <w:pPr>
              <w:spacing w:after="0" w:line="240" w:lineRule="auto"/>
              <w:contextualSpacing/>
              <w:jc w:val="both"/>
              <w:rPr>
                <w:rFonts w:ascii="Cambria" w:eastAsia="Times New Roman" w:hAnsi="Cambria"/>
                <w:b/>
                <w:bCs/>
                <w:color w:val="000000"/>
                <w:u w:val="single"/>
              </w:rPr>
            </w:pPr>
            <w:r w:rsidRPr="00A62D8C">
              <w:rPr>
                <w:rFonts w:ascii="Cambria" w:eastAsia="Times New Roman" w:hAnsi="Cambria"/>
                <w:b/>
                <w:bCs/>
                <w:color w:val="000000"/>
                <w:u w:val="single"/>
              </w:rPr>
              <w:t>LIFE PENSION</w:t>
            </w:r>
          </w:p>
          <w:p w14:paraId="123D180F" w14:textId="77777777" w:rsidR="00C33F81" w:rsidRPr="00A62D8C" w:rsidRDefault="00C33F81" w:rsidP="00ED04B7">
            <w:pPr>
              <w:spacing w:after="0" w:line="240" w:lineRule="auto"/>
              <w:ind w:right="72"/>
              <w:contextualSpacing/>
              <w:jc w:val="both"/>
              <w:rPr>
                <w:rFonts w:ascii="Cambria" w:hAnsi="Cambria"/>
                <w:b/>
                <w:bCs/>
                <w:color w:val="000000"/>
                <w:kern w:val="36"/>
              </w:rPr>
            </w:pPr>
            <w:r w:rsidRPr="00A62D8C">
              <w:rPr>
                <w:rFonts w:ascii="Cambria" w:eastAsia="Times New Roman" w:hAnsi="Cambria"/>
                <w:color w:val="000000"/>
              </w:rPr>
              <w:t xml:space="preserve"> The Government of the Republic shall take steps to ensure that the Executive Agency provides a life pension to the parents of José Miguel Mérida Escobar, Amanda Gertrudis Escobar Ruiz, and Fernando Nicolás Mérida Hernández, and a pension to his youngest son, Edilsar Omar Mérida Alvarado, until he completes his advanced technical studies.  Through the power of the President of the Republic to grant this type of benefits, in accordance with the provisions of Art. 183, paragraph “t” of the Political Constitution of the Republic of Guatemala.</w:t>
            </w:r>
          </w:p>
        </w:tc>
        <w:tc>
          <w:tcPr>
            <w:tcW w:w="1860" w:type="dxa"/>
            <w:tcBorders>
              <w:top w:val="single" w:sz="4" w:space="0" w:color="auto"/>
              <w:left w:val="single" w:sz="4" w:space="0" w:color="auto"/>
              <w:bottom w:val="single" w:sz="4" w:space="0" w:color="auto"/>
              <w:right w:val="single" w:sz="4" w:space="0" w:color="auto"/>
            </w:tcBorders>
            <w:vAlign w:val="center"/>
          </w:tcPr>
          <w:p w14:paraId="4CD0A468" w14:textId="77777777" w:rsidR="00C33F81" w:rsidRPr="00A62D8C" w:rsidRDefault="00C33F81" w:rsidP="00ED04B7">
            <w:pPr>
              <w:spacing w:after="0" w:line="240" w:lineRule="auto"/>
              <w:jc w:val="center"/>
              <w:rPr>
                <w:rFonts w:ascii="Cambria" w:hAnsi="Cambria"/>
                <w:b/>
                <w:color w:val="000000"/>
              </w:rPr>
            </w:pPr>
            <w:r w:rsidRPr="00A62D8C">
              <w:rPr>
                <w:rFonts w:ascii="Cambria" w:hAnsi="Cambria"/>
                <w:b/>
                <w:bCs/>
                <w:color w:val="000000"/>
              </w:rPr>
              <w:t>Total</w:t>
            </w:r>
            <w:r w:rsidRPr="00A62D8C">
              <w:rPr>
                <w:rStyle w:val="FootnoteReference"/>
                <w:rFonts w:ascii="Cambria" w:hAnsi="Cambria"/>
                <w:b/>
                <w:bCs/>
                <w:color w:val="000000"/>
              </w:rPr>
              <w:footnoteReference w:id="8"/>
            </w:r>
          </w:p>
        </w:tc>
      </w:tr>
      <w:tr w:rsidR="00C33F81" w:rsidRPr="008D6D56" w14:paraId="12C09C5C" w14:textId="77777777" w:rsidTr="0078071E">
        <w:trPr>
          <w:trHeight w:val="1347"/>
          <w:jc w:val="center"/>
        </w:trPr>
        <w:tc>
          <w:tcPr>
            <w:tcW w:w="7230" w:type="dxa"/>
            <w:tcBorders>
              <w:top w:val="single" w:sz="4" w:space="0" w:color="auto"/>
              <w:left w:val="single" w:sz="4" w:space="0" w:color="auto"/>
              <w:bottom w:val="single" w:sz="4" w:space="0" w:color="auto"/>
              <w:right w:val="single" w:sz="4" w:space="0" w:color="auto"/>
            </w:tcBorders>
          </w:tcPr>
          <w:p w14:paraId="61C0BD77" w14:textId="77777777" w:rsidR="00C33F81" w:rsidRPr="00A62D8C" w:rsidRDefault="00C33F81" w:rsidP="00ED04B7">
            <w:pPr>
              <w:spacing w:after="0"/>
              <w:jc w:val="both"/>
              <w:rPr>
                <w:rFonts w:ascii="Cambria" w:eastAsia="Times New Roman" w:hAnsi="Cambria"/>
                <w:b/>
                <w:bCs/>
                <w:color w:val="000000"/>
                <w:u w:val="single"/>
              </w:rPr>
            </w:pPr>
            <w:r w:rsidRPr="00A62D8C">
              <w:rPr>
                <w:rFonts w:ascii="Cambria" w:eastAsia="Times New Roman" w:hAnsi="Cambria"/>
                <w:b/>
                <w:bCs/>
                <w:color w:val="000000"/>
                <w:u w:val="single"/>
              </w:rPr>
              <w:t>HEALTH</w:t>
            </w:r>
          </w:p>
          <w:p w14:paraId="3A3178BD" w14:textId="77777777" w:rsidR="00C33F81" w:rsidRPr="00A62D8C" w:rsidRDefault="00C33F81" w:rsidP="00ED04B7">
            <w:pPr>
              <w:spacing w:after="0" w:line="240" w:lineRule="auto"/>
              <w:ind w:right="72"/>
              <w:jc w:val="both"/>
              <w:rPr>
                <w:rFonts w:ascii="Cambria" w:hAnsi="Cambria"/>
                <w:b/>
                <w:bCs/>
                <w:color w:val="000000"/>
                <w:kern w:val="36"/>
              </w:rPr>
            </w:pPr>
            <w:r w:rsidRPr="00A62D8C">
              <w:rPr>
                <w:rFonts w:ascii="Cambria" w:eastAsia="Times New Roman" w:hAnsi="Cambria"/>
                <w:color w:val="000000"/>
              </w:rPr>
              <w:t>The Government of the Republic pledges to take the relevant steps to ensure that the Ministry of Public Health provide for psychological treatment for Mrs. Rosa Amalia López, the widow of the victim, and for the youngest of his sons, Edilsar Omar Mérida Alvarado.</w:t>
            </w:r>
          </w:p>
        </w:tc>
        <w:tc>
          <w:tcPr>
            <w:tcW w:w="1860" w:type="dxa"/>
            <w:tcBorders>
              <w:top w:val="single" w:sz="4" w:space="0" w:color="auto"/>
              <w:left w:val="single" w:sz="4" w:space="0" w:color="auto"/>
              <w:bottom w:val="single" w:sz="4" w:space="0" w:color="auto"/>
              <w:right w:val="single" w:sz="4" w:space="0" w:color="auto"/>
            </w:tcBorders>
            <w:vAlign w:val="center"/>
          </w:tcPr>
          <w:p w14:paraId="16F1C3D4" w14:textId="77777777" w:rsidR="00C33F81" w:rsidRPr="00A62D8C" w:rsidRDefault="00C33F81" w:rsidP="00ED04B7">
            <w:pPr>
              <w:jc w:val="center"/>
              <w:rPr>
                <w:rFonts w:ascii="Cambria" w:hAnsi="Cambria"/>
                <w:b/>
                <w:color w:val="000000"/>
              </w:rPr>
            </w:pPr>
            <w:r w:rsidRPr="00A62D8C">
              <w:rPr>
                <w:rFonts w:ascii="Cambria" w:hAnsi="Cambria"/>
                <w:b/>
                <w:bCs/>
                <w:color w:val="000000"/>
              </w:rPr>
              <w:t>Total</w:t>
            </w:r>
            <w:r w:rsidRPr="00A62D8C">
              <w:rPr>
                <w:rFonts w:ascii="Cambria" w:hAnsi="Cambria"/>
                <w:b/>
                <w:bCs/>
                <w:color w:val="000000"/>
                <w:vertAlign w:val="superscript"/>
              </w:rPr>
              <w:footnoteReference w:id="9"/>
            </w:r>
          </w:p>
          <w:p w14:paraId="53F25556" w14:textId="77777777" w:rsidR="00C33F81" w:rsidRPr="00A62D8C" w:rsidRDefault="00C33F81" w:rsidP="00ED04B7">
            <w:pPr>
              <w:spacing w:after="0" w:line="240" w:lineRule="auto"/>
              <w:jc w:val="center"/>
              <w:rPr>
                <w:rFonts w:ascii="Cambria" w:hAnsi="Cambria"/>
                <w:b/>
                <w:color w:val="000000"/>
              </w:rPr>
            </w:pPr>
            <w:r w:rsidRPr="00A62D8C">
              <w:rPr>
                <w:rFonts w:ascii="Cambria" w:eastAsia="MS Mincho" w:hAnsi="Cambria"/>
                <w:color w:val="000000"/>
                <w:u w:color="FF0000"/>
              </w:rPr>
              <w:t xml:space="preserve"> </w:t>
            </w:r>
          </w:p>
        </w:tc>
      </w:tr>
      <w:tr w:rsidR="00C33F81" w:rsidRPr="008D6D56" w14:paraId="1BDC8E5C" w14:textId="77777777" w:rsidTr="0078071E">
        <w:trPr>
          <w:trHeight w:val="1664"/>
          <w:jc w:val="center"/>
        </w:trPr>
        <w:tc>
          <w:tcPr>
            <w:tcW w:w="7230" w:type="dxa"/>
            <w:tcBorders>
              <w:top w:val="single" w:sz="4" w:space="0" w:color="auto"/>
              <w:left w:val="single" w:sz="4" w:space="0" w:color="auto"/>
              <w:bottom w:val="single" w:sz="4" w:space="0" w:color="auto"/>
              <w:right w:val="single" w:sz="4" w:space="0" w:color="auto"/>
            </w:tcBorders>
          </w:tcPr>
          <w:p w14:paraId="023B4048" w14:textId="77777777" w:rsidR="00C33F81" w:rsidRPr="00A62D8C" w:rsidRDefault="00C33F81" w:rsidP="00ED04B7">
            <w:pPr>
              <w:spacing w:after="0" w:line="240" w:lineRule="auto"/>
              <w:jc w:val="both"/>
              <w:rPr>
                <w:rFonts w:ascii="Cambria" w:eastAsia="Times New Roman" w:hAnsi="Cambria"/>
                <w:b/>
                <w:bCs/>
                <w:color w:val="000000"/>
                <w:u w:val="single"/>
              </w:rPr>
            </w:pPr>
            <w:r w:rsidRPr="00A62D8C">
              <w:rPr>
                <w:rFonts w:ascii="Cambria" w:eastAsia="Times New Roman" w:hAnsi="Cambria"/>
                <w:b/>
                <w:bCs/>
                <w:color w:val="000000"/>
                <w:u w:val="single"/>
              </w:rPr>
              <w:lastRenderedPageBreak/>
              <w:t>EDUCATION</w:t>
            </w:r>
          </w:p>
          <w:p w14:paraId="361DA8E1" w14:textId="77777777" w:rsidR="00C33F81" w:rsidRPr="00A62D8C" w:rsidRDefault="00C33F81" w:rsidP="00ED04B7">
            <w:pPr>
              <w:spacing w:after="0" w:line="240" w:lineRule="auto"/>
              <w:jc w:val="both"/>
              <w:rPr>
                <w:rFonts w:ascii="Cambria" w:eastAsia="Times New Roman" w:hAnsi="Cambria"/>
                <w:b/>
                <w:bCs/>
                <w:color w:val="000000"/>
                <w:u w:val="single"/>
              </w:rPr>
            </w:pPr>
            <w:r w:rsidRPr="00A62D8C">
              <w:rPr>
                <w:rFonts w:ascii="Cambria" w:eastAsia="Times New Roman" w:hAnsi="Cambria"/>
                <w:color w:val="000000"/>
              </w:rPr>
              <w:t xml:space="preserve"> The Government of the Republic pledges to take the relevant steps to ensure that the Ministry of Education arranges for a scholarship to be granted to the youngest son of the victim, Edilsar Omar Mérida Alvarado, in accordance with his level of education, and provided it is legally possible to do so.</w:t>
            </w:r>
          </w:p>
        </w:tc>
        <w:tc>
          <w:tcPr>
            <w:tcW w:w="1860" w:type="dxa"/>
            <w:tcBorders>
              <w:top w:val="single" w:sz="4" w:space="0" w:color="auto"/>
              <w:left w:val="single" w:sz="4" w:space="0" w:color="auto"/>
              <w:bottom w:val="single" w:sz="4" w:space="0" w:color="auto"/>
              <w:right w:val="single" w:sz="4" w:space="0" w:color="auto"/>
            </w:tcBorders>
            <w:vAlign w:val="center"/>
          </w:tcPr>
          <w:p w14:paraId="2AE4855A" w14:textId="77777777" w:rsidR="00C33F81" w:rsidRPr="00A62D8C" w:rsidRDefault="00C33F81" w:rsidP="00ED04B7">
            <w:pPr>
              <w:jc w:val="center"/>
              <w:rPr>
                <w:rFonts w:ascii="Cambria" w:hAnsi="Cambria"/>
                <w:b/>
                <w:bCs/>
                <w:color w:val="000000"/>
              </w:rPr>
            </w:pPr>
            <w:r w:rsidRPr="00A62D8C">
              <w:rPr>
                <w:rFonts w:ascii="Cambria" w:hAnsi="Cambria"/>
                <w:b/>
                <w:bCs/>
                <w:color w:val="000000"/>
              </w:rPr>
              <w:t>Total</w:t>
            </w:r>
            <w:r w:rsidRPr="00A62D8C">
              <w:rPr>
                <w:rStyle w:val="FootnoteReference"/>
                <w:rFonts w:ascii="Cambria" w:hAnsi="Cambria"/>
                <w:b/>
                <w:bCs/>
                <w:color w:val="000000"/>
              </w:rPr>
              <w:footnoteReference w:id="10"/>
            </w:r>
          </w:p>
        </w:tc>
      </w:tr>
    </w:tbl>
    <w:p w14:paraId="764A57E2" w14:textId="56CFDA0B" w:rsidR="00583C84" w:rsidRDefault="00583C84" w:rsidP="0045789B">
      <w:pPr>
        <w:spacing w:after="0" w:line="240" w:lineRule="auto"/>
        <w:rPr>
          <w:rFonts w:ascii="Cambria" w:eastAsia="Batang" w:hAnsi="Cambria"/>
          <w:color w:val="000000"/>
        </w:rPr>
      </w:pPr>
    </w:p>
    <w:p w14:paraId="1D1A7A35" w14:textId="77777777" w:rsidR="00583C84" w:rsidRPr="00DD1E2F" w:rsidRDefault="00583C84" w:rsidP="00AD711F">
      <w:pPr>
        <w:numPr>
          <w:ilvl w:val="0"/>
          <w:numId w:val="83"/>
        </w:numPr>
        <w:autoSpaceDE w:val="0"/>
        <w:autoSpaceDN w:val="0"/>
        <w:adjustRightInd w:val="0"/>
        <w:spacing w:after="0" w:line="240" w:lineRule="auto"/>
        <w:ind w:left="-142" w:firstLine="710"/>
        <w:jc w:val="both"/>
        <w:rPr>
          <w:rFonts w:ascii="Cambria" w:eastAsia="Batang" w:hAnsi="Cambria"/>
          <w:color w:val="000000"/>
        </w:rPr>
      </w:pPr>
      <w:r w:rsidRPr="00DD1E2F">
        <w:rPr>
          <w:rFonts w:ascii="Cambria" w:eastAsia="Batang" w:hAnsi="Cambria" w:cs="Calibri Light"/>
          <w:b/>
          <w:color w:val="000000"/>
        </w:rPr>
        <w:t>LEVEL OF COMPLIANCE OF THE CASE</w:t>
      </w:r>
    </w:p>
    <w:p w14:paraId="1BCEF589" w14:textId="77777777" w:rsidR="00583C84" w:rsidRPr="00DD1E2F" w:rsidRDefault="00583C84" w:rsidP="0045789B">
      <w:pPr>
        <w:autoSpaceDE w:val="0"/>
        <w:autoSpaceDN w:val="0"/>
        <w:adjustRightInd w:val="0"/>
        <w:spacing w:after="0" w:line="240" w:lineRule="auto"/>
        <w:ind w:left="-142" w:firstLine="710"/>
        <w:jc w:val="both"/>
        <w:rPr>
          <w:rFonts w:ascii="Cambria" w:eastAsia="Batang" w:hAnsi="Cambria"/>
          <w:color w:val="000000"/>
        </w:rPr>
      </w:pPr>
    </w:p>
    <w:p w14:paraId="59C966A9" w14:textId="69AF0C0A" w:rsidR="006D133A" w:rsidRPr="007B5C2A" w:rsidRDefault="006D133A" w:rsidP="006D133A">
      <w:pPr>
        <w:pStyle w:val="ListParagraph"/>
        <w:numPr>
          <w:ilvl w:val="0"/>
          <w:numId w:val="107"/>
        </w:numPr>
        <w:spacing w:after="0" w:line="240" w:lineRule="auto"/>
        <w:ind w:left="0" w:firstLine="720"/>
        <w:jc w:val="both"/>
        <w:rPr>
          <w:rFonts w:ascii="Cambria" w:hAnsi="Cambria"/>
          <w:lang w:val="en-US"/>
        </w:rPr>
      </w:pPr>
      <w:r w:rsidRPr="00DD1E2F">
        <w:rPr>
          <w:rFonts w:ascii="Cambria" w:hAnsi="Cambria"/>
          <w:color w:val="000000"/>
          <w:lang w:val="en-US"/>
        </w:rPr>
        <w:t xml:space="preserve">The Commission noted that the </w:t>
      </w:r>
      <w:r w:rsidRPr="007B5C2A">
        <w:rPr>
          <w:rFonts w:ascii="Cambria" w:hAnsi="Cambria"/>
          <w:color w:val="000000"/>
          <w:lang w:val="en-US"/>
        </w:rPr>
        <w:t xml:space="preserve">petitioners did not submit updated information since the publication of the friendly settlement agreement </w:t>
      </w:r>
      <w:r w:rsidR="00F02E6A" w:rsidRPr="007B5C2A">
        <w:rPr>
          <w:rFonts w:ascii="Cambria" w:hAnsi="Cambria"/>
          <w:color w:val="000000"/>
          <w:lang w:val="en-US"/>
        </w:rPr>
        <w:t>since October 19, 2017</w:t>
      </w:r>
      <w:r w:rsidRPr="007B5C2A">
        <w:rPr>
          <w:rFonts w:ascii="Cambria" w:hAnsi="Cambria"/>
          <w:color w:val="000000"/>
          <w:lang w:val="en-US"/>
        </w:rPr>
        <w:t xml:space="preserve">. Additionally, the Commission noted that since publication of the FSA, the Commission had been following up on compliance with the clauses agreed upon by the parties in Chapter II G of the Annual Report, presented to the OAS General Assembly. </w:t>
      </w:r>
      <w:r w:rsidRPr="007B5C2A">
        <w:rPr>
          <w:rFonts w:ascii="Cambria" w:hAnsi="Cambria"/>
          <w:lang w:val="en-US"/>
        </w:rPr>
        <w:t xml:space="preserve">As part of this follow-up, the petitioning party was requested updated information each year, granting them a reasonable period of time to submit the information they deem necessary. </w:t>
      </w:r>
    </w:p>
    <w:p w14:paraId="70434F5A" w14:textId="77777777" w:rsidR="006D133A" w:rsidRPr="007B5C2A" w:rsidRDefault="006D133A" w:rsidP="006D133A">
      <w:pPr>
        <w:pStyle w:val="ListParagraph"/>
        <w:spacing w:after="0" w:line="240" w:lineRule="auto"/>
        <w:ind w:left="0" w:firstLine="720"/>
        <w:jc w:val="both"/>
        <w:rPr>
          <w:rFonts w:ascii="Cambria" w:hAnsi="Cambria"/>
          <w:lang w:val="en-US"/>
        </w:rPr>
      </w:pPr>
    </w:p>
    <w:p w14:paraId="5DE8BD2D" w14:textId="22945751" w:rsidR="006D133A" w:rsidRPr="006D133A" w:rsidRDefault="006D133A" w:rsidP="006D133A">
      <w:pPr>
        <w:pStyle w:val="ListParagraph"/>
        <w:numPr>
          <w:ilvl w:val="0"/>
          <w:numId w:val="107"/>
        </w:numPr>
        <w:spacing w:after="0" w:line="240" w:lineRule="auto"/>
        <w:ind w:left="0" w:firstLine="720"/>
        <w:jc w:val="both"/>
        <w:rPr>
          <w:rFonts w:ascii="Cambria" w:hAnsi="Cambria"/>
          <w:lang w:val="en-US"/>
        </w:rPr>
      </w:pPr>
      <w:r w:rsidRPr="007B5C2A">
        <w:rPr>
          <w:rFonts w:ascii="Cambria" w:hAnsi="Cambria"/>
          <w:color w:val="000000"/>
          <w:lang w:val="en-US"/>
        </w:rPr>
        <w:t xml:space="preserve">Based on the foregoing and taking into account that the petitioners did not submit the comprehensive report as requested by the IACHR on </w:t>
      </w:r>
      <w:r w:rsidR="00F02E6A" w:rsidRPr="007B5C2A">
        <w:rPr>
          <w:rFonts w:ascii="Cambria" w:hAnsi="Cambria"/>
          <w:color w:val="000000"/>
          <w:lang w:val="en-US"/>
        </w:rPr>
        <w:t>July 30, 2021</w:t>
      </w:r>
      <w:r w:rsidRPr="007B5C2A">
        <w:rPr>
          <w:rFonts w:ascii="Cambria" w:hAnsi="Cambria"/>
          <w:color w:val="000000"/>
          <w:lang w:val="en-US"/>
        </w:rPr>
        <w:t xml:space="preserve"> and noting the unjustified procedural inactivity of the petitioners, which constitutes a serious indication</w:t>
      </w:r>
      <w:r w:rsidRPr="006D133A">
        <w:rPr>
          <w:rFonts w:ascii="Cambria" w:hAnsi="Cambria"/>
          <w:color w:val="000000"/>
          <w:lang w:val="en-US"/>
        </w:rPr>
        <w:t xml:space="preserve"> of disinterest in the follow-up on the FSA, the Commission decided to cease the follow-up of the compliance of the friendly settlement agreement and archive the case in accordance with Articles 42 and 48 of its Rules of Procedure, noting on the record of its Annual Report  to the General Assembly of the Organization of American States, that there has been partial compliance with the friendly settlement agreement. </w:t>
      </w:r>
    </w:p>
    <w:p w14:paraId="26741E22" w14:textId="77777777" w:rsidR="006D133A" w:rsidRDefault="006D133A" w:rsidP="006D133A">
      <w:pPr>
        <w:pStyle w:val="ListParagraph"/>
        <w:spacing w:after="0" w:line="240" w:lineRule="auto"/>
        <w:ind w:left="0" w:firstLine="720"/>
        <w:jc w:val="both"/>
        <w:rPr>
          <w:rFonts w:ascii="Cambria" w:hAnsi="Cambria"/>
          <w:lang w:val="en-US"/>
        </w:rPr>
      </w:pPr>
    </w:p>
    <w:p w14:paraId="479D42AC" w14:textId="41E734FE" w:rsidR="006D133A" w:rsidRPr="006D133A" w:rsidRDefault="006D133A" w:rsidP="006D133A">
      <w:pPr>
        <w:pStyle w:val="ListParagraph"/>
        <w:numPr>
          <w:ilvl w:val="0"/>
          <w:numId w:val="107"/>
        </w:numPr>
        <w:spacing w:after="0" w:line="240" w:lineRule="auto"/>
        <w:ind w:left="0" w:firstLine="720"/>
        <w:jc w:val="both"/>
        <w:rPr>
          <w:rFonts w:ascii="Cambria" w:hAnsi="Cambria"/>
          <w:lang w:val="en-US"/>
        </w:rPr>
      </w:pPr>
      <w:r w:rsidRPr="006D133A">
        <w:rPr>
          <w:rFonts w:ascii="Cambria" w:hAnsi="Cambria"/>
          <w:color w:val="000000"/>
          <w:lang w:val="en-US"/>
        </w:rPr>
        <w:t xml:space="preserve">Consequently, the Commission decided to cease the follow-up on compliance with the friendly settlement agreement and archive the matter. </w:t>
      </w:r>
    </w:p>
    <w:p w14:paraId="4F9AB672" w14:textId="77777777" w:rsidR="00583C84" w:rsidRPr="00DD1E2F" w:rsidRDefault="00583C84" w:rsidP="0045789B">
      <w:pPr>
        <w:autoSpaceDE w:val="0"/>
        <w:autoSpaceDN w:val="0"/>
        <w:adjustRightInd w:val="0"/>
        <w:spacing w:after="0" w:line="240" w:lineRule="auto"/>
        <w:ind w:left="-142" w:firstLine="710"/>
        <w:jc w:val="both"/>
        <w:rPr>
          <w:rFonts w:ascii="Cambria" w:eastAsia="Batang" w:hAnsi="Cambria" w:cs="Calibri Light"/>
          <w:b/>
          <w:color w:val="000000"/>
        </w:rPr>
      </w:pPr>
    </w:p>
    <w:p w14:paraId="7D562214" w14:textId="77777777" w:rsidR="00583C84" w:rsidRPr="00DD1E2F" w:rsidRDefault="00583C84" w:rsidP="006D133A">
      <w:pPr>
        <w:numPr>
          <w:ilvl w:val="0"/>
          <w:numId w:val="107"/>
        </w:numPr>
        <w:autoSpaceDE w:val="0"/>
        <w:autoSpaceDN w:val="0"/>
        <w:adjustRightInd w:val="0"/>
        <w:spacing w:after="0" w:line="240" w:lineRule="auto"/>
        <w:ind w:left="-142" w:firstLine="710"/>
        <w:jc w:val="both"/>
        <w:rPr>
          <w:rFonts w:ascii="Cambria" w:eastAsia="Batang" w:hAnsi="Cambria" w:cs="Calibri Light"/>
          <w:b/>
          <w:color w:val="000000"/>
        </w:rPr>
      </w:pPr>
      <w:r w:rsidRPr="00DD1E2F">
        <w:rPr>
          <w:rFonts w:ascii="Cambria" w:eastAsia="Batang" w:hAnsi="Cambria" w:cs="Calibri Light"/>
          <w:b/>
          <w:color w:val="000000"/>
        </w:rPr>
        <w:t xml:space="preserve">INDIVIDUAL AND STRUCTURAL OUTCOMES OF THE CASE </w:t>
      </w:r>
    </w:p>
    <w:p w14:paraId="6C666455" w14:textId="77777777" w:rsidR="00583C84" w:rsidRPr="00DD1E2F" w:rsidRDefault="00583C84" w:rsidP="0045789B">
      <w:pPr>
        <w:spacing w:after="0" w:line="240" w:lineRule="auto"/>
        <w:ind w:left="-142" w:firstLine="710"/>
        <w:contextualSpacing/>
        <w:jc w:val="both"/>
        <w:rPr>
          <w:rFonts w:ascii="Cambria" w:eastAsia="Batang" w:hAnsi="Cambria" w:cs="Calibri Light"/>
          <w:b/>
          <w:color w:val="000000"/>
        </w:rPr>
      </w:pPr>
    </w:p>
    <w:p w14:paraId="2F23EF84" w14:textId="77777777" w:rsidR="00583C84" w:rsidRPr="00DD1E2F" w:rsidRDefault="00D54D6F" w:rsidP="00AD711F">
      <w:pPr>
        <w:numPr>
          <w:ilvl w:val="0"/>
          <w:numId w:val="84"/>
        </w:numPr>
        <w:spacing w:after="0" w:line="240" w:lineRule="auto"/>
        <w:ind w:left="-142" w:firstLine="710"/>
        <w:contextualSpacing/>
        <w:jc w:val="both"/>
        <w:rPr>
          <w:rFonts w:ascii="Cambria" w:eastAsia="Batang" w:hAnsi="Cambria" w:cs="Calibri Light"/>
          <w:b/>
          <w:color w:val="000000"/>
        </w:rPr>
      </w:pPr>
      <w:r w:rsidRPr="00DD1E2F">
        <w:rPr>
          <w:rFonts w:ascii="Cambria" w:eastAsia="Batang" w:hAnsi="Cambria" w:cs="Calibri Light"/>
          <w:b/>
          <w:color w:val="000000"/>
        </w:rPr>
        <w:t>Individual outcomes of the case</w:t>
      </w:r>
    </w:p>
    <w:p w14:paraId="10A85E51" w14:textId="77777777" w:rsidR="00D54D6F" w:rsidRPr="00DD1E2F" w:rsidRDefault="00D54D6F" w:rsidP="0045789B">
      <w:pPr>
        <w:spacing w:after="0" w:line="240" w:lineRule="auto"/>
        <w:ind w:left="568"/>
        <w:contextualSpacing/>
        <w:jc w:val="both"/>
        <w:rPr>
          <w:rFonts w:ascii="Cambria" w:eastAsia="Batang" w:hAnsi="Cambria" w:cs="Calibri Light"/>
          <w:b/>
          <w:color w:val="000000"/>
        </w:rPr>
      </w:pPr>
    </w:p>
    <w:p w14:paraId="4A807AA6" w14:textId="53EEED16" w:rsidR="00707573" w:rsidRPr="00707573" w:rsidRDefault="0073273B" w:rsidP="006A09D8">
      <w:pPr>
        <w:numPr>
          <w:ilvl w:val="0"/>
          <w:numId w:val="3"/>
        </w:numPr>
        <w:spacing w:after="0" w:line="240" w:lineRule="auto"/>
        <w:ind w:left="1440" w:hanging="720"/>
        <w:contextualSpacing/>
        <w:jc w:val="both"/>
        <w:rPr>
          <w:rFonts w:ascii="Cambria" w:hAnsi="Cambria"/>
          <w:color w:val="000000"/>
        </w:rPr>
      </w:pPr>
      <w:r w:rsidRPr="00DD1E2F">
        <w:rPr>
          <w:rFonts w:ascii="Cambria" w:eastAsia="Batang" w:hAnsi="Cambria"/>
          <w:color w:val="000000"/>
        </w:rPr>
        <w:t xml:space="preserve"> </w:t>
      </w:r>
      <w:r w:rsidR="00707573" w:rsidRPr="00707573">
        <w:rPr>
          <w:rFonts w:ascii="Cambria" w:hAnsi="Cambria"/>
          <w:color w:val="000000"/>
        </w:rPr>
        <w:t>The compensation amounts agreed to by the parties was paid to the victim’s family members.</w:t>
      </w:r>
    </w:p>
    <w:p w14:paraId="3DEDFCA2" w14:textId="77777777" w:rsidR="00707573" w:rsidRPr="00707573" w:rsidRDefault="00707573" w:rsidP="006A09D8">
      <w:pPr>
        <w:numPr>
          <w:ilvl w:val="0"/>
          <w:numId w:val="3"/>
        </w:numPr>
        <w:spacing w:after="0" w:line="240" w:lineRule="auto"/>
        <w:ind w:left="1440" w:hanging="720"/>
        <w:contextualSpacing/>
        <w:jc w:val="both"/>
        <w:rPr>
          <w:rFonts w:ascii="Cambria" w:eastAsia="MS Mincho" w:hAnsi="Cambria"/>
          <w:color w:val="000000"/>
        </w:rPr>
      </w:pPr>
      <w:r w:rsidRPr="00707573">
        <w:rPr>
          <w:rFonts w:ascii="Cambria" w:eastAsia="MS Mincho" w:hAnsi="Cambria"/>
          <w:color w:val="000000"/>
        </w:rPr>
        <w:t>A commemorative plaque was installed.</w:t>
      </w:r>
    </w:p>
    <w:p w14:paraId="6E01B3E2" w14:textId="77777777" w:rsidR="00707573" w:rsidRPr="00707573" w:rsidRDefault="00707573" w:rsidP="006A09D8">
      <w:pPr>
        <w:numPr>
          <w:ilvl w:val="0"/>
          <w:numId w:val="3"/>
        </w:numPr>
        <w:spacing w:after="0" w:line="240" w:lineRule="auto"/>
        <w:ind w:left="1440" w:hanging="720"/>
        <w:jc w:val="both"/>
        <w:rPr>
          <w:rFonts w:ascii="Cambria" w:eastAsia="MS Mincho" w:hAnsi="Cambria"/>
          <w:color w:val="000000"/>
        </w:rPr>
      </w:pPr>
      <w:r w:rsidRPr="00707573">
        <w:rPr>
          <w:rFonts w:ascii="Cambria" w:eastAsia="MS Mincho" w:hAnsi="Cambria"/>
          <w:color w:val="000000"/>
        </w:rPr>
        <w:t>A street was named in the victim’s honor.</w:t>
      </w:r>
    </w:p>
    <w:p w14:paraId="525EC78E" w14:textId="77777777" w:rsidR="00707573" w:rsidRPr="00707573" w:rsidRDefault="00707573" w:rsidP="006A09D8">
      <w:pPr>
        <w:numPr>
          <w:ilvl w:val="0"/>
          <w:numId w:val="3"/>
        </w:numPr>
        <w:spacing w:after="0" w:line="240" w:lineRule="auto"/>
        <w:ind w:left="1440" w:hanging="720"/>
        <w:jc w:val="both"/>
        <w:rPr>
          <w:rFonts w:ascii="Cambria" w:eastAsia="MS Mincho" w:hAnsi="Cambria"/>
          <w:color w:val="000000"/>
        </w:rPr>
      </w:pPr>
      <w:r w:rsidRPr="00707573">
        <w:rPr>
          <w:rFonts w:ascii="Cambria" w:eastAsia="MS Mincho" w:hAnsi="Cambria"/>
          <w:color w:val="000000"/>
        </w:rPr>
        <w:t>The beneficiaries’ medical expenses were covered.</w:t>
      </w:r>
    </w:p>
    <w:p w14:paraId="191A8681" w14:textId="77777777" w:rsidR="00707573" w:rsidRPr="00707573" w:rsidRDefault="00707573" w:rsidP="006A09D8">
      <w:pPr>
        <w:numPr>
          <w:ilvl w:val="0"/>
          <w:numId w:val="3"/>
        </w:numPr>
        <w:spacing w:after="0" w:line="240" w:lineRule="auto"/>
        <w:ind w:left="1440" w:hanging="720"/>
        <w:jc w:val="both"/>
        <w:rPr>
          <w:rFonts w:ascii="Cambria" w:hAnsi="Cambria"/>
          <w:b/>
          <w:bCs/>
          <w:color w:val="000000"/>
        </w:rPr>
      </w:pPr>
      <w:r w:rsidRPr="00707573">
        <w:rPr>
          <w:rFonts w:ascii="Cambria" w:eastAsia="MS Mincho" w:hAnsi="Cambria"/>
          <w:color w:val="000000"/>
        </w:rPr>
        <w:t>The Criminal Sentencing Court for Drug Trafficking and Crimes against the Environment, High Risk, handed down convictions against the former police officers José Miguel González Grijalva, Julio Rabanales, and Martin Alejandro García Mejía, for crimes against duties to humanity and complicity in murder.</w:t>
      </w:r>
      <w:r w:rsidRPr="00707573">
        <w:rPr>
          <w:rFonts w:ascii="Cambria" w:hAnsi="Cambria"/>
          <w:b/>
          <w:bCs/>
          <w:color w:val="000000"/>
        </w:rPr>
        <w:t xml:space="preserve"> </w:t>
      </w:r>
    </w:p>
    <w:p w14:paraId="605131BB" w14:textId="29A6B644" w:rsidR="00D54D6F" w:rsidRDefault="00D54D6F" w:rsidP="00707573">
      <w:pPr>
        <w:spacing w:after="0" w:line="240" w:lineRule="auto"/>
        <w:ind w:left="-142" w:firstLine="710"/>
        <w:contextualSpacing/>
        <w:jc w:val="both"/>
        <w:rPr>
          <w:rFonts w:ascii="Cambria" w:eastAsia="Batang" w:hAnsi="Cambria"/>
          <w:color w:val="000000"/>
        </w:rPr>
      </w:pPr>
    </w:p>
    <w:p w14:paraId="25EDC221" w14:textId="77777777" w:rsidR="00BE01CC" w:rsidRDefault="00BE01CC" w:rsidP="00BE01CC">
      <w:pPr>
        <w:spacing w:after="0" w:line="240" w:lineRule="auto"/>
        <w:contextualSpacing/>
        <w:jc w:val="both"/>
        <w:rPr>
          <w:rFonts w:ascii="Cambria" w:eastAsia="Batang" w:hAnsi="Cambria"/>
          <w:color w:val="000000"/>
        </w:rPr>
      </w:pPr>
    </w:p>
    <w:sectPr w:rsidR="00BE01CC" w:rsidSect="008E42E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0ED5" w14:textId="77777777" w:rsidR="00BB7D1E" w:rsidRDefault="00BB7D1E" w:rsidP="00A343FF">
      <w:pPr>
        <w:spacing w:after="0" w:line="240" w:lineRule="auto"/>
      </w:pPr>
      <w:r>
        <w:separator/>
      </w:r>
    </w:p>
  </w:endnote>
  <w:endnote w:type="continuationSeparator" w:id="0">
    <w:p w14:paraId="0954AD39" w14:textId="77777777" w:rsidR="00BB7D1E" w:rsidRDefault="00BB7D1E"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B043" w14:textId="77777777" w:rsidR="00561C07" w:rsidRDefault="0056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9748" w14:textId="77777777" w:rsidR="006D7134" w:rsidRPr="00A61B5E" w:rsidRDefault="006D7134">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CA5D4D">
      <w:rPr>
        <w:noProof/>
        <w:color w:val="404040"/>
        <w:sz w:val="16"/>
        <w:szCs w:val="16"/>
      </w:rPr>
      <w:t>21</w:t>
    </w:r>
    <w:r w:rsidRPr="00A61B5E">
      <w:rPr>
        <w:noProof/>
        <w:color w:val="404040"/>
        <w:sz w:val="16"/>
        <w:szCs w:val="16"/>
      </w:rPr>
      <w:fldChar w:fldCharType="end"/>
    </w:r>
  </w:p>
  <w:p w14:paraId="36357D1F" w14:textId="77777777" w:rsidR="006D7134" w:rsidRDefault="006D7134"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3A07" w14:textId="77777777" w:rsidR="006D7134" w:rsidRDefault="00CA07C7" w:rsidP="008F2248">
    <w:pPr>
      <w:pStyle w:val="Footer"/>
      <w:spacing w:line="360" w:lineRule="auto"/>
    </w:pPr>
    <w:r>
      <w:pict w14:anchorId="7A8F4E14">
        <v:rect id="_x0000_i1028" style="width:0;height:1.5pt" o:hralign="center" o:hrstd="t" o:hr="t" fillcolor="#a0a0a0" stroked="f"/>
      </w:pict>
    </w:r>
  </w:p>
  <w:p w14:paraId="5603FA41" w14:textId="77777777" w:rsidR="006D7134" w:rsidRDefault="00CA07C7" w:rsidP="006E2BD8">
    <w:pPr>
      <w:pStyle w:val="Footer"/>
      <w:jc w:val="center"/>
    </w:pPr>
    <w:r>
      <w:pict w14:anchorId="54EB0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85pt;height:24.75pt">
          <v:imagedata r:id="rId1" o:title="footer-e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6C86" w14:textId="77777777" w:rsidR="00BB7D1E" w:rsidRDefault="00BB7D1E" w:rsidP="00A343FF">
      <w:pPr>
        <w:spacing w:after="0" w:line="240" w:lineRule="auto"/>
      </w:pPr>
      <w:r>
        <w:separator/>
      </w:r>
    </w:p>
  </w:footnote>
  <w:footnote w:type="continuationSeparator" w:id="0">
    <w:p w14:paraId="11A09C60" w14:textId="77777777" w:rsidR="00BB7D1E" w:rsidRDefault="00BB7D1E" w:rsidP="00A343FF">
      <w:pPr>
        <w:spacing w:after="0" w:line="240" w:lineRule="auto"/>
      </w:pPr>
      <w:r>
        <w:continuationSeparator/>
      </w:r>
    </w:p>
  </w:footnote>
  <w:footnote w:id="1">
    <w:p w14:paraId="157C79C4" w14:textId="77777777" w:rsidR="00EE73DF" w:rsidRPr="00A62D8C" w:rsidRDefault="00EE73DF" w:rsidP="00736330">
      <w:pPr>
        <w:pStyle w:val="FootnoteText"/>
        <w:ind w:firstLine="720"/>
        <w:jc w:val="both"/>
        <w:rPr>
          <w:rFonts w:ascii="Cambria" w:hAnsi="Cambria"/>
          <w:sz w:val="16"/>
          <w:szCs w:val="16"/>
        </w:rPr>
      </w:pPr>
      <w:r w:rsidRPr="00A62D8C">
        <w:rPr>
          <w:rStyle w:val="FootnoteReference"/>
          <w:rFonts w:ascii="Cambria" w:hAnsi="Cambria"/>
          <w:sz w:val="16"/>
          <w:szCs w:val="16"/>
        </w:rPr>
        <w:footnoteRef/>
      </w:r>
      <w:r w:rsidRPr="00A62D8C">
        <w:rPr>
          <w:rFonts w:ascii="Cambria" w:hAnsi="Cambria"/>
          <w:sz w:val="16"/>
          <w:szCs w:val="16"/>
        </w:rPr>
        <w:t xml:space="preserve"> On August 31, 2021, the Myrna Mack Foundation stated that it no longer continued to act as representative; decision made known to the petitioners.</w:t>
      </w:r>
    </w:p>
  </w:footnote>
  <w:footnote w:id="2">
    <w:p w14:paraId="774E2FE4" w14:textId="77777777" w:rsidR="00C33F81" w:rsidRPr="00A62D8C" w:rsidRDefault="00C33F81" w:rsidP="00A62D8C">
      <w:pPr>
        <w:spacing w:after="0" w:line="240" w:lineRule="auto"/>
        <w:ind w:firstLine="706"/>
        <w:jc w:val="both"/>
        <w:rPr>
          <w:rFonts w:ascii="Cambria" w:hAnsi="Cambria"/>
          <w:noProof/>
          <w:sz w:val="16"/>
          <w:szCs w:val="16"/>
        </w:rPr>
      </w:pPr>
      <w:r w:rsidRPr="00A62D8C">
        <w:rPr>
          <w:rStyle w:val="FootnoteReference"/>
          <w:rFonts w:ascii="Cambria" w:hAnsi="Cambria"/>
          <w:noProof/>
          <w:sz w:val="16"/>
          <w:szCs w:val="16"/>
        </w:rPr>
        <w:footnoteRef/>
      </w:r>
      <w:r w:rsidRPr="00A62D8C">
        <w:rPr>
          <w:rFonts w:ascii="Cambria" w:hAnsi="Cambria"/>
          <w:noProof/>
          <w:sz w:val="16"/>
          <w:szCs w:val="16"/>
        </w:rPr>
        <w:t xml:space="preserve"> </w:t>
      </w:r>
      <w:r w:rsidRPr="00A62D8C">
        <w:rPr>
          <w:rFonts w:ascii="Cambria" w:hAnsi="Cambria"/>
          <w:noProof/>
          <w:color w:val="000000"/>
          <w:sz w:val="16"/>
          <w:szCs w:val="16"/>
        </w:rPr>
        <w:t xml:space="preserve">See IACHR, Annual Report 2018, Chapter II, Section G. Status of Compliance with the Recommendations Issued by the IACHR in Merits Reports and Friendly Settlement Agreements Approved by the IACHR, available at: </w:t>
      </w:r>
      <w:hyperlink r:id="rId1" w:history="1">
        <w:r w:rsidRPr="00A62D8C">
          <w:rPr>
            <w:rStyle w:val="Hyperlink"/>
            <w:rFonts w:ascii="Cambria" w:hAnsi="Cambria"/>
            <w:noProof/>
            <w:sz w:val="16"/>
            <w:szCs w:val="16"/>
          </w:rPr>
          <w:t>http://www.oas.org/en/iachr/docs/annual/2018/docs/IA2018cap.2-en.pdf</w:t>
        </w:r>
      </w:hyperlink>
    </w:p>
  </w:footnote>
  <w:footnote w:id="3">
    <w:p w14:paraId="0D90412E" w14:textId="77777777" w:rsidR="00C33F81" w:rsidRPr="00A62D8C" w:rsidRDefault="00C33F81" w:rsidP="00A62D8C">
      <w:pPr>
        <w:spacing w:after="0" w:line="240" w:lineRule="auto"/>
        <w:ind w:firstLine="706"/>
        <w:jc w:val="both"/>
        <w:rPr>
          <w:rFonts w:ascii="Cambria" w:hAnsi="Cambria"/>
          <w:color w:val="0000FF"/>
          <w:sz w:val="16"/>
          <w:szCs w:val="16"/>
          <w:u w:val="single"/>
        </w:rPr>
      </w:pPr>
      <w:r w:rsidRPr="00A62D8C">
        <w:rPr>
          <w:rStyle w:val="FootnoteReference"/>
          <w:rFonts w:ascii="Cambria" w:hAnsi="Cambria"/>
          <w:sz w:val="16"/>
          <w:szCs w:val="16"/>
        </w:rPr>
        <w:footnoteRef/>
      </w:r>
      <w:r w:rsidRPr="00A62D8C">
        <w:rPr>
          <w:rFonts w:ascii="Cambria" w:hAnsi="Cambria"/>
          <w:color w:val="000000"/>
          <w:sz w:val="16"/>
          <w:szCs w:val="16"/>
        </w:rPr>
        <w:t xml:space="preserve">See IACHR, 2019 Annual Report, Chapter II.G, Friendly Settlements, available at </w:t>
      </w:r>
      <w:hyperlink r:id="rId2" w:history="1">
        <w:r w:rsidRPr="00A62D8C">
          <w:rPr>
            <w:rStyle w:val="Hyperlink"/>
            <w:rFonts w:ascii="Cambria" w:hAnsi="Cambria"/>
            <w:sz w:val="16"/>
            <w:szCs w:val="16"/>
          </w:rPr>
          <w:t>http://www.oas.org/en/iachr/docs/annual/2018/docs/IA2019cap.2-en.pdf</w:t>
        </w:r>
      </w:hyperlink>
    </w:p>
  </w:footnote>
  <w:footnote w:id="4">
    <w:p w14:paraId="72214538" w14:textId="77777777" w:rsidR="00C33F81" w:rsidRPr="00A62D8C" w:rsidRDefault="00C33F81" w:rsidP="00A62D8C">
      <w:pPr>
        <w:pStyle w:val="FootnoteText"/>
        <w:ind w:firstLine="706"/>
        <w:contextualSpacing/>
        <w:jc w:val="both"/>
        <w:rPr>
          <w:rFonts w:ascii="Cambria" w:hAnsi="Cambria"/>
          <w:sz w:val="16"/>
          <w:szCs w:val="16"/>
        </w:rPr>
      </w:pPr>
      <w:r w:rsidRPr="00A62D8C">
        <w:rPr>
          <w:rStyle w:val="FootnoteReference"/>
          <w:rFonts w:ascii="Cambria" w:hAnsi="Cambria"/>
          <w:sz w:val="16"/>
          <w:szCs w:val="16"/>
        </w:rPr>
        <w:footnoteRef/>
      </w:r>
      <w:r w:rsidRPr="00A62D8C">
        <w:rPr>
          <w:rFonts w:ascii="Cambria" w:hAnsi="Cambria"/>
          <w:sz w:val="16"/>
          <w:szCs w:val="16"/>
        </w:rPr>
        <w:t xml:space="preserve"> See IACHR, Annual Report 2021, Chapter II, Section F: Progress and Setbacks in the Negotiation and Implementation of Friendly Settlement Agreements, Available at: https://www.oas.org/es/cidh/docs/anual/2021/capitulos/IA2021cap2-es.pdf.</w:t>
      </w:r>
    </w:p>
  </w:footnote>
  <w:footnote w:id="5">
    <w:p w14:paraId="01696870" w14:textId="77777777" w:rsidR="00C33F81" w:rsidRPr="00A62D8C" w:rsidRDefault="00C33F81" w:rsidP="00A62D8C">
      <w:pPr>
        <w:pStyle w:val="FootnoteText"/>
        <w:ind w:firstLine="706"/>
        <w:contextualSpacing/>
        <w:jc w:val="both"/>
        <w:rPr>
          <w:rFonts w:ascii="Cambria" w:hAnsi="Cambria"/>
          <w:sz w:val="16"/>
          <w:szCs w:val="16"/>
        </w:rPr>
      </w:pPr>
      <w:r w:rsidRPr="00A62D8C">
        <w:rPr>
          <w:rStyle w:val="FootnoteReference"/>
          <w:rFonts w:ascii="Cambria" w:hAnsi="Cambria"/>
          <w:sz w:val="16"/>
          <w:szCs w:val="16"/>
        </w:rPr>
        <w:footnoteRef/>
      </w:r>
      <w:r w:rsidRPr="00A62D8C">
        <w:rPr>
          <w:rFonts w:ascii="Cambria" w:hAnsi="Cambria"/>
          <w:sz w:val="16"/>
          <w:szCs w:val="16"/>
        </w:rPr>
        <w:t xml:space="preserve"> See IACHR, Annual Report 2021, Chapter II, Section F: Progress and Setbacks in the Negotiation and Implementation of Friendly Settlement Agreements, Available at: https://www.oas.org/es/cidh/docs/anual/2021/capitulos/IA2021cap2-es.pdf.</w:t>
      </w:r>
    </w:p>
  </w:footnote>
  <w:footnote w:id="6">
    <w:p w14:paraId="43D8442A" w14:textId="77777777" w:rsidR="00C33F81" w:rsidRPr="00A62D8C" w:rsidRDefault="00C33F81" w:rsidP="00A62D8C">
      <w:pPr>
        <w:spacing w:after="0" w:line="240" w:lineRule="auto"/>
        <w:ind w:firstLine="706"/>
        <w:contextualSpacing/>
        <w:jc w:val="both"/>
        <w:rPr>
          <w:rFonts w:ascii="Cambria" w:hAnsi="Cambria"/>
          <w:noProof/>
          <w:sz w:val="16"/>
          <w:szCs w:val="16"/>
        </w:rPr>
      </w:pPr>
      <w:r w:rsidRPr="00A62D8C">
        <w:rPr>
          <w:rStyle w:val="FootnoteReference"/>
          <w:rFonts w:ascii="Cambria" w:hAnsi="Cambria"/>
          <w:noProof/>
          <w:sz w:val="16"/>
          <w:szCs w:val="16"/>
        </w:rPr>
        <w:footnoteRef/>
      </w:r>
      <w:r w:rsidRPr="00A62D8C">
        <w:rPr>
          <w:rFonts w:ascii="Cambria" w:hAnsi="Cambria"/>
          <w:noProof/>
          <w:sz w:val="16"/>
          <w:szCs w:val="16"/>
        </w:rPr>
        <w:t xml:space="preserve"> </w:t>
      </w:r>
      <w:r w:rsidRPr="00A62D8C">
        <w:rPr>
          <w:rFonts w:ascii="Cambria" w:hAnsi="Cambria"/>
          <w:noProof/>
          <w:color w:val="000000"/>
          <w:sz w:val="16"/>
          <w:szCs w:val="16"/>
        </w:rPr>
        <w:t xml:space="preserve">See: IACHR, Annual Report 2018, Chapter II, Section G. Status of Compliance with the Recommendations Issued by the IACHR in Merits Reports and Friendly Settlement Agreements Approved by the IACHR, available at: </w:t>
      </w:r>
      <w:hyperlink r:id="rId3" w:history="1">
        <w:r w:rsidRPr="00A62D8C">
          <w:rPr>
            <w:rStyle w:val="Hyperlink"/>
            <w:rFonts w:ascii="Cambria" w:hAnsi="Cambria"/>
            <w:noProof/>
            <w:sz w:val="16"/>
            <w:szCs w:val="16"/>
          </w:rPr>
          <w:t>http://www.oas.org/en/iachr/docs/annual/2018/docs/IA2018cap.2-en.pdf</w:t>
        </w:r>
      </w:hyperlink>
    </w:p>
  </w:footnote>
  <w:footnote w:id="7">
    <w:p w14:paraId="5ABBD0EE" w14:textId="77777777" w:rsidR="00C33F81" w:rsidRPr="00A62D8C" w:rsidRDefault="00C33F81" w:rsidP="00A62D8C">
      <w:pPr>
        <w:spacing w:after="0" w:line="240" w:lineRule="auto"/>
        <w:ind w:firstLine="706"/>
        <w:contextualSpacing/>
        <w:jc w:val="both"/>
        <w:rPr>
          <w:rFonts w:ascii="Cambria" w:hAnsi="Cambria"/>
          <w:noProof/>
          <w:sz w:val="16"/>
          <w:szCs w:val="16"/>
        </w:rPr>
      </w:pPr>
      <w:r w:rsidRPr="00A62D8C">
        <w:rPr>
          <w:rStyle w:val="FootnoteReference"/>
          <w:rFonts w:ascii="Cambria" w:hAnsi="Cambria"/>
          <w:noProof/>
          <w:sz w:val="16"/>
          <w:szCs w:val="16"/>
        </w:rPr>
        <w:footnoteRef/>
      </w:r>
      <w:r w:rsidRPr="00A62D8C">
        <w:rPr>
          <w:rFonts w:ascii="Cambria" w:hAnsi="Cambria"/>
          <w:noProof/>
          <w:sz w:val="16"/>
          <w:szCs w:val="16"/>
        </w:rPr>
        <w:t xml:space="preserve"> </w:t>
      </w:r>
      <w:r w:rsidRPr="00A62D8C">
        <w:rPr>
          <w:rFonts w:ascii="Cambria" w:hAnsi="Cambria"/>
          <w:noProof/>
          <w:color w:val="000000"/>
          <w:sz w:val="16"/>
          <w:szCs w:val="16"/>
        </w:rPr>
        <w:t xml:space="preserve">See: IACHR, Annual Report 2018, Chapter II, Section G. Status of Compliance with the Recommendations Issued by the IACHR in Merits Reports and Friendly Settlement Agreements Approved by the IACHR, available at: </w:t>
      </w:r>
      <w:hyperlink r:id="rId4" w:history="1">
        <w:r w:rsidRPr="00A62D8C">
          <w:rPr>
            <w:rStyle w:val="Hyperlink"/>
            <w:rFonts w:ascii="Cambria" w:hAnsi="Cambria"/>
            <w:noProof/>
            <w:sz w:val="16"/>
            <w:szCs w:val="16"/>
          </w:rPr>
          <w:t>http://www.oas.org/en/iachr/docs/annual/2018/docs/IA2018cap.2-en.pdf</w:t>
        </w:r>
      </w:hyperlink>
    </w:p>
  </w:footnote>
  <w:footnote w:id="8">
    <w:p w14:paraId="724B1F50" w14:textId="77777777" w:rsidR="00C33F81" w:rsidRPr="00A62D8C" w:rsidRDefault="00C33F81" w:rsidP="00A62D8C">
      <w:pPr>
        <w:spacing w:after="0" w:line="240" w:lineRule="auto"/>
        <w:ind w:firstLine="706"/>
        <w:contextualSpacing/>
        <w:jc w:val="both"/>
        <w:rPr>
          <w:rFonts w:ascii="Cambria" w:hAnsi="Cambria"/>
          <w:noProof/>
          <w:sz w:val="16"/>
          <w:szCs w:val="16"/>
        </w:rPr>
      </w:pPr>
      <w:r w:rsidRPr="00A62D8C">
        <w:rPr>
          <w:rStyle w:val="FootnoteReference"/>
          <w:rFonts w:ascii="Cambria" w:hAnsi="Cambria"/>
          <w:noProof/>
          <w:sz w:val="16"/>
          <w:szCs w:val="16"/>
        </w:rPr>
        <w:footnoteRef/>
      </w:r>
      <w:r w:rsidRPr="00A62D8C">
        <w:rPr>
          <w:rFonts w:ascii="Cambria" w:hAnsi="Cambria"/>
          <w:noProof/>
          <w:sz w:val="16"/>
          <w:szCs w:val="16"/>
        </w:rPr>
        <w:t xml:space="preserve"> </w:t>
      </w:r>
      <w:r w:rsidRPr="00A62D8C">
        <w:rPr>
          <w:rFonts w:ascii="Cambria" w:hAnsi="Cambria"/>
          <w:noProof/>
          <w:color w:val="000000"/>
          <w:sz w:val="16"/>
          <w:szCs w:val="16"/>
        </w:rPr>
        <w:t xml:space="preserve">See: IACHR, Annual Report 2018, Chapter II, Section G. Status of Compliance with the Recommendations Issued by the IACHR in Merits Reports and Friendly Settlement Agreements Approved by the IACHR, available at: </w:t>
      </w:r>
      <w:hyperlink r:id="rId5" w:history="1">
        <w:r w:rsidRPr="00A62D8C">
          <w:rPr>
            <w:rStyle w:val="Hyperlink"/>
            <w:rFonts w:ascii="Cambria" w:hAnsi="Cambria"/>
            <w:noProof/>
            <w:sz w:val="16"/>
            <w:szCs w:val="16"/>
          </w:rPr>
          <w:t>http://www.oas.org/en/iachr/docs/annual/2018/docs/IA2018cap.2-en.pdf</w:t>
        </w:r>
      </w:hyperlink>
    </w:p>
  </w:footnote>
  <w:footnote w:id="9">
    <w:p w14:paraId="46FD2CA2" w14:textId="77777777" w:rsidR="00C33F81" w:rsidRPr="00A62D8C" w:rsidRDefault="00C33F81" w:rsidP="00A62D8C">
      <w:pPr>
        <w:spacing w:after="0" w:line="240" w:lineRule="auto"/>
        <w:ind w:firstLine="706"/>
        <w:contextualSpacing/>
        <w:jc w:val="both"/>
        <w:rPr>
          <w:rFonts w:ascii="Cambria" w:hAnsi="Cambria"/>
          <w:noProof/>
          <w:sz w:val="16"/>
          <w:szCs w:val="16"/>
        </w:rPr>
      </w:pPr>
      <w:r w:rsidRPr="00A62D8C">
        <w:rPr>
          <w:rStyle w:val="FootnoteReference"/>
          <w:rFonts w:ascii="Cambria" w:hAnsi="Cambria"/>
          <w:noProof/>
          <w:sz w:val="16"/>
          <w:szCs w:val="16"/>
        </w:rPr>
        <w:footnoteRef/>
      </w:r>
      <w:r w:rsidRPr="00A62D8C">
        <w:rPr>
          <w:rFonts w:ascii="Cambria" w:hAnsi="Cambria"/>
          <w:noProof/>
          <w:sz w:val="16"/>
          <w:szCs w:val="16"/>
        </w:rPr>
        <w:t xml:space="preserve"> </w:t>
      </w:r>
      <w:r w:rsidRPr="00A62D8C">
        <w:rPr>
          <w:rFonts w:ascii="Cambria" w:hAnsi="Cambria"/>
          <w:noProof/>
          <w:color w:val="000000"/>
          <w:sz w:val="16"/>
          <w:szCs w:val="16"/>
        </w:rPr>
        <w:t xml:space="preserve">See: IACHR, Annual Report 2018, Chapter II, Section G. Status of Compliance with the Recommendations Issued by the IACHR in Merits Reports and Friendly Settlement Agreements Approved by the IACHR, available at: </w:t>
      </w:r>
      <w:hyperlink r:id="rId6" w:history="1">
        <w:r w:rsidRPr="00A62D8C">
          <w:rPr>
            <w:rStyle w:val="Hyperlink"/>
            <w:rFonts w:ascii="Cambria" w:hAnsi="Cambria"/>
            <w:noProof/>
            <w:sz w:val="16"/>
            <w:szCs w:val="16"/>
          </w:rPr>
          <w:t>http://www.oas.org/en/iachr/docs/annual/2018/docs/IA2018cap.2-en.pdf</w:t>
        </w:r>
      </w:hyperlink>
    </w:p>
  </w:footnote>
  <w:footnote w:id="10">
    <w:p w14:paraId="79A62454" w14:textId="77777777" w:rsidR="00C33F81" w:rsidRPr="00B869D0" w:rsidRDefault="00C33F81" w:rsidP="00C33F81">
      <w:pPr>
        <w:spacing w:line="240" w:lineRule="auto"/>
        <w:ind w:firstLine="720"/>
        <w:jc w:val="both"/>
        <w:rPr>
          <w:rFonts w:ascii="Cambria" w:hAnsi="Cambria"/>
          <w:noProof/>
          <w:sz w:val="16"/>
          <w:szCs w:val="16"/>
        </w:rPr>
      </w:pPr>
      <w:r w:rsidRPr="00A62D8C">
        <w:rPr>
          <w:rStyle w:val="FootnoteReference"/>
          <w:rFonts w:ascii="Cambria" w:hAnsi="Cambria"/>
          <w:noProof/>
          <w:sz w:val="16"/>
          <w:szCs w:val="16"/>
        </w:rPr>
        <w:footnoteRef/>
      </w:r>
      <w:r w:rsidRPr="00A62D8C">
        <w:rPr>
          <w:rFonts w:ascii="Cambria" w:hAnsi="Cambria"/>
          <w:noProof/>
          <w:sz w:val="16"/>
          <w:szCs w:val="16"/>
        </w:rPr>
        <w:t xml:space="preserve"> </w:t>
      </w:r>
      <w:r w:rsidRPr="00A62D8C">
        <w:rPr>
          <w:rFonts w:ascii="Cambria" w:hAnsi="Cambria"/>
          <w:noProof/>
          <w:color w:val="000000"/>
          <w:sz w:val="16"/>
          <w:szCs w:val="16"/>
        </w:rPr>
        <w:t xml:space="preserve">See: IACHR, Annual Report 2018, Chapter II, Section G. Status of Compliance with the Recommendations Issued by the IACHR in Merits Reports and Friendly Settlement Agreements Approved by the IACHR, available at: </w:t>
      </w:r>
      <w:hyperlink r:id="rId7" w:history="1">
        <w:r w:rsidRPr="00A62D8C">
          <w:rPr>
            <w:rStyle w:val="Hyperlink"/>
            <w:rFonts w:ascii="Cambria" w:hAnsi="Cambria"/>
            <w:noProof/>
            <w:sz w:val="16"/>
            <w:szCs w:val="16"/>
          </w:rPr>
          <w:t>http://www.oas.org/en/iachr/docs/annual/2018/docs/IA2018cap.2-en.pdf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E4D9" w14:textId="77777777" w:rsidR="00561C07" w:rsidRDefault="0056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C543" w14:textId="77777777" w:rsidR="006D7134" w:rsidRDefault="00CA07C7" w:rsidP="00DC7C8F">
    <w:pPr>
      <w:pStyle w:val="Header"/>
      <w:jc w:val="center"/>
    </w:pPr>
    <w:r>
      <w:pict w14:anchorId="798A9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3pt;height:9pt">
          <v:imagedata r:id="rId1" o:title="iachr-peq"/>
        </v:shape>
      </w:pict>
    </w:r>
  </w:p>
  <w:p w14:paraId="7F80648B" w14:textId="77777777" w:rsidR="006D7134" w:rsidRDefault="00CA07C7">
    <w:pPr>
      <w:pStyle w:val="Header"/>
    </w:pPr>
    <w:r>
      <w:pict w14:anchorId="38F43403">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2ED2" w14:textId="77777777" w:rsidR="006D7134" w:rsidRDefault="00CA07C7" w:rsidP="00A61B5E">
    <w:pPr>
      <w:pStyle w:val="Header"/>
    </w:pPr>
    <w:r>
      <w:rPr>
        <w:noProof/>
      </w:rPr>
      <w:pict w14:anchorId="41877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2.25pt;width:202.2pt;height:39pt;z-index:-251659264" wrapcoords="-87 0 -87 21150 21600 21150 21600 0 -87 0">
          <v:imagedata r:id="rId1" o:title="cidh-en"/>
          <w10:wrap type="through"/>
        </v:shape>
      </w:pict>
    </w:r>
    <w:r>
      <w:rPr>
        <w:noProof/>
      </w:rPr>
      <w:pict w14:anchorId="057C4CAD">
        <v:shape id="_x0000_s1026" type="#_x0000_t75" style="position:absolute;margin-left:316.5pt;margin-top:-2.7pt;width:151.5pt;height:39.3pt;z-index:-251658240" wrapcoords="1653 0 882 1694 -110 5506 -110 14824 992 20329 1653 21176 3747 21176 13445 20329 21600 17365 21600 12706 20057 6776 20278 5082 16971 3812 3747 0 1653 0">
          <v:imagedata r:id="rId2" o:title="OAS_Seal_ENG_Principal_"/>
          <w10:wrap type="through"/>
        </v:shape>
      </w:pict>
    </w:r>
    <w:r w:rsidR="006D7134">
      <w:tab/>
    </w:r>
    <w:r w:rsidR="006D7134">
      <w:tab/>
    </w:r>
  </w:p>
  <w:p w14:paraId="7E291982" w14:textId="77777777" w:rsidR="006D7134" w:rsidRDefault="006D7134" w:rsidP="00A61B5E">
    <w:pPr>
      <w:pStyle w:val="Header"/>
    </w:pPr>
  </w:p>
  <w:p w14:paraId="09C48DA9" w14:textId="77777777" w:rsidR="006D7134" w:rsidRDefault="006D7134" w:rsidP="00A61B5E">
    <w:pPr>
      <w:pStyle w:val="Header"/>
    </w:pPr>
  </w:p>
  <w:p w14:paraId="547B4291" w14:textId="77777777" w:rsidR="006D7134" w:rsidRDefault="00CA07C7" w:rsidP="00A61B5E">
    <w:pPr>
      <w:pStyle w:val="Header"/>
    </w:pPr>
    <w:r>
      <w:pict w14:anchorId="0C963C2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B4"/>
    <w:multiLevelType w:val="hybridMultilevel"/>
    <w:tmpl w:val="5E16D26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F1915"/>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24D03ED"/>
    <w:multiLevelType w:val="hybridMultilevel"/>
    <w:tmpl w:val="51CC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97E4C"/>
    <w:multiLevelType w:val="hybridMultilevel"/>
    <w:tmpl w:val="88409002"/>
    <w:lvl w:ilvl="0" w:tplc="92566816">
      <w:start w:val="1"/>
      <w:numFmt w:val="decimal"/>
      <w:lvlText w:val="%1."/>
      <w:lvlJc w:val="left"/>
      <w:pPr>
        <w:ind w:left="1800" w:hanging="360"/>
      </w:pPr>
      <w:rPr>
        <w:rFonts w:cs="Times New Roman"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812A68"/>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80522"/>
    <w:multiLevelType w:val="hybridMultilevel"/>
    <w:tmpl w:val="F544C17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AAE6EAD"/>
    <w:multiLevelType w:val="hybridMultilevel"/>
    <w:tmpl w:val="2D7C3B04"/>
    <w:lvl w:ilvl="0" w:tplc="FFFFFFFF">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0"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F50237B"/>
    <w:multiLevelType w:val="hybridMultilevel"/>
    <w:tmpl w:val="0A2443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096CFD"/>
    <w:multiLevelType w:val="hybridMultilevel"/>
    <w:tmpl w:val="F3E65A9E"/>
    <w:lvl w:ilvl="0" w:tplc="66E275F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10D14E2F"/>
    <w:multiLevelType w:val="hybridMultilevel"/>
    <w:tmpl w:val="AA364C9E"/>
    <w:lvl w:ilvl="0" w:tplc="0338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A33F95"/>
    <w:multiLevelType w:val="hybridMultilevel"/>
    <w:tmpl w:val="B3E264FA"/>
    <w:lvl w:ilvl="0" w:tplc="5F62A53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4EE265F"/>
    <w:multiLevelType w:val="hybridMultilevel"/>
    <w:tmpl w:val="CC4C1884"/>
    <w:lvl w:ilvl="0" w:tplc="BFDCF8E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5F477A3"/>
    <w:multiLevelType w:val="hybridMultilevel"/>
    <w:tmpl w:val="634E0DC4"/>
    <w:lvl w:ilvl="0" w:tplc="8260077C">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16D800B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981FE7"/>
    <w:multiLevelType w:val="hybridMultilevel"/>
    <w:tmpl w:val="596C04B0"/>
    <w:lvl w:ilvl="0" w:tplc="47808AB8">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7F4874"/>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DE16DF5"/>
    <w:multiLevelType w:val="hybridMultilevel"/>
    <w:tmpl w:val="43683FBE"/>
    <w:lvl w:ilvl="0" w:tplc="EBBE5C6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F02392C"/>
    <w:multiLevelType w:val="hybridMultilevel"/>
    <w:tmpl w:val="A1547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31D36C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2342637C"/>
    <w:multiLevelType w:val="hybridMultilevel"/>
    <w:tmpl w:val="E55A6CF2"/>
    <w:lvl w:ilvl="0" w:tplc="FA94A6DC">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38B5396"/>
    <w:multiLevelType w:val="hybridMultilevel"/>
    <w:tmpl w:val="E6249728"/>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3D31722"/>
    <w:multiLevelType w:val="hybridMultilevel"/>
    <w:tmpl w:val="AE8E2586"/>
    <w:lvl w:ilvl="0" w:tplc="E5D6C0E0">
      <w:start w:val="2"/>
      <w:numFmt w:val="upperRoman"/>
      <w:lvlText w:val="%1."/>
      <w:lvlJc w:val="left"/>
      <w:pPr>
        <w:ind w:left="1440" w:hanging="720"/>
      </w:pPr>
      <w:rPr>
        <w:rFonts w:cs="Times New Roman" w:hint="default"/>
        <w:b/>
        <w:bC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3"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5B559C4"/>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63C7FC2"/>
    <w:multiLevelType w:val="hybridMultilevel"/>
    <w:tmpl w:val="2AD22794"/>
    <w:lvl w:ilvl="0" w:tplc="BC2696BC">
      <w:start w:val="1"/>
      <w:numFmt w:val="upperRoman"/>
      <w:lvlText w:val="%1."/>
      <w:lvlJc w:val="left"/>
      <w:pPr>
        <w:ind w:left="1288"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27BE4DD0"/>
    <w:multiLevelType w:val="hybridMultilevel"/>
    <w:tmpl w:val="88409002"/>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0535A9"/>
    <w:multiLevelType w:val="hybridMultilevel"/>
    <w:tmpl w:val="91088DBA"/>
    <w:lvl w:ilvl="0" w:tplc="99C81214">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2A646E24"/>
    <w:multiLevelType w:val="hybridMultilevel"/>
    <w:tmpl w:val="0E60F21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2BCD018A"/>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C0A27DC"/>
    <w:multiLevelType w:val="hybridMultilevel"/>
    <w:tmpl w:val="AAC83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2D3A39C1"/>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2F2A0EBB"/>
    <w:multiLevelType w:val="hybridMultilevel"/>
    <w:tmpl w:val="0AE2CBB2"/>
    <w:lvl w:ilvl="0" w:tplc="F33E4636">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3066084B"/>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A808D6"/>
    <w:multiLevelType w:val="hybridMultilevel"/>
    <w:tmpl w:val="E4484D36"/>
    <w:lvl w:ilvl="0" w:tplc="9FC61820">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0" w15:restartNumberingAfterBreak="0">
    <w:nsid w:val="34A84033"/>
    <w:multiLevelType w:val="hybridMultilevel"/>
    <w:tmpl w:val="F6FCC5FC"/>
    <w:lvl w:ilvl="0" w:tplc="EEF49C9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36CD047C"/>
    <w:multiLevelType w:val="hybridMultilevel"/>
    <w:tmpl w:val="B5E80E60"/>
    <w:lvl w:ilvl="0" w:tplc="F8683754">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15:restartNumberingAfterBreak="0">
    <w:nsid w:val="378816C6"/>
    <w:multiLevelType w:val="hybridMultilevel"/>
    <w:tmpl w:val="4B7C54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79A4549"/>
    <w:multiLevelType w:val="hybridMultilevel"/>
    <w:tmpl w:val="EE06FA14"/>
    <w:lvl w:ilvl="0" w:tplc="583E931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54" w15:restartNumberingAfterBreak="0">
    <w:nsid w:val="38640E60"/>
    <w:multiLevelType w:val="hybridMultilevel"/>
    <w:tmpl w:val="5DA894BA"/>
    <w:lvl w:ilvl="0" w:tplc="20DC086A">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ABD281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7" w15:restartNumberingAfterBreak="0">
    <w:nsid w:val="3BC5381F"/>
    <w:multiLevelType w:val="hybridMultilevel"/>
    <w:tmpl w:val="31F03516"/>
    <w:lvl w:ilvl="0" w:tplc="1F9AA54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BF2A9F"/>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3"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1C31CDA"/>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35304E1"/>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92C711D"/>
    <w:multiLevelType w:val="hybridMultilevel"/>
    <w:tmpl w:val="B492C49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15:restartNumberingAfterBreak="0">
    <w:nsid w:val="4A3E6C95"/>
    <w:multiLevelType w:val="hybridMultilevel"/>
    <w:tmpl w:val="98EE7E7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2"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3" w15:restartNumberingAfterBreak="0">
    <w:nsid w:val="4E6C4836"/>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4" w15:restartNumberingAfterBreak="0">
    <w:nsid w:val="4E9B47A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5" w15:restartNumberingAfterBreak="0">
    <w:nsid w:val="50656865"/>
    <w:multiLevelType w:val="hybridMultilevel"/>
    <w:tmpl w:val="6FFC9F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14505AB"/>
    <w:multiLevelType w:val="hybridMultilevel"/>
    <w:tmpl w:val="53AA1E40"/>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47C67A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6FA766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3" w15:restartNumberingAfterBreak="0">
    <w:nsid w:val="5710431D"/>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9F26E82"/>
    <w:multiLevelType w:val="hybridMultilevel"/>
    <w:tmpl w:val="9EC20220"/>
    <w:lvl w:ilvl="0" w:tplc="CB00531A">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5" w15:restartNumberingAfterBreak="0">
    <w:nsid w:val="5B8009D7"/>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6" w15:restartNumberingAfterBreak="0">
    <w:nsid w:val="5B9F3E40"/>
    <w:multiLevelType w:val="hybridMultilevel"/>
    <w:tmpl w:val="01881064"/>
    <w:lvl w:ilvl="0" w:tplc="2FE6DA22">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E29185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5F824EF1"/>
    <w:multiLevelType w:val="hybridMultilevel"/>
    <w:tmpl w:val="08BED2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FE9425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5FFB66E7"/>
    <w:multiLevelType w:val="hybridMultilevel"/>
    <w:tmpl w:val="CEBC8738"/>
    <w:lvl w:ilvl="0" w:tplc="0AC23898">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4" w15:restartNumberingAfterBreak="0">
    <w:nsid w:val="61A24E55"/>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5"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685C5A7B"/>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730838B0"/>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3B95A32"/>
    <w:multiLevelType w:val="hybridMultilevel"/>
    <w:tmpl w:val="20D62F2E"/>
    <w:lvl w:ilvl="0" w:tplc="7B808112">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2" w15:restartNumberingAfterBreak="0">
    <w:nsid w:val="756861C7"/>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3"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82C7D43"/>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9A877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CC44672"/>
    <w:multiLevelType w:val="hybridMultilevel"/>
    <w:tmpl w:val="E34EE0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82213858">
    <w:abstractNumId w:val="80"/>
  </w:num>
  <w:num w:numId="2" w16cid:durableId="1986202234">
    <w:abstractNumId w:val="61"/>
  </w:num>
  <w:num w:numId="3" w16cid:durableId="463278870">
    <w:abstractNumId w:val="22"/>
  </w:num>
  <w:num w:numId="4" w16cid:durableId="1802113142">
    <w:abstractNumId w:val="54"/>
  </w:num>
  <w:num w:numId="5" w16cid:durableId="929657657">
    <w:abstractNumId w:val="3"/>
  </w:num>
  <w:num w:numId="6" w16cid:durableId="875580577">
    <w:abstractNumId w:val="46"/>
  </w:num>
  <w:num w:numId="7" w16cid:durableId="316501613">
    <w:abstractNumId w:val="106"/>
  </w:num>
  <w:num w:numId="8" w16cid:durableId="770514087">
    <w:abstractNumId w:val="38"/>
  </w:num>
  <w:num w:numId="9" w16cid:durableId="1535266348">
    <w:abstractNumId w:val="0"/>
  </w:num>
  <w:num w:numId="10" w16cid:durableId="881668587">
    <w:abstractNumId w:val="32"/>
  </w:num>
  <w:num w:numId="11" w16cid:durableId="1238981104">
    <w:abstractNumId w:val="67"/>
  </w:num>
  <w:num w:numId="12" w16cid:durableId="109516483">
    <w:abstractNumId w:val="70"/>
  </w:num>
  <w:num w:numId="13" w16cid:durableId="1969428420">
    <w:abstractNumId w:val="53"/>
  </w:num>
  <w:num w:numId="14" w16cid:durableId="2022314341">
    <w:abstractNumId w:val="1"/>
  </w:num>
  <w:num w:numId="15" w16cid:durableId="1969775281">
    <w:abstractNumId w:val="49"/>
  </w:num>
  <w:num w:numId="16" w16cid:durableId="1605382638">
    <w:abstractNumId w:val="69"/>
  </w:num>
  <w:num w:numId="17" w16cid:durableId="997536414">
    <w:abstractNumId w:val="50"/>
  </w:num>
  <w:num w:numId="18" w16cid:durableId="440295505">
    <w:abstractNumId w:val="102"/>
  </w:num>
  <w:num w:numId="19" w16cid:durableId="1158155769">
    <w:abstractNumId w:val="72"/>
  </w:num>
  <w:num w:numId="20" w16cid:durableId="724335756">
    <w:abstractNumId w:val="33"/>
  </w:num>
  <w:num w:numId="21" w16cid:durableId="1310328360">
    <w:abstractNumId w:val="9"/>
  </w:num>
  <w:num w:numId="22" w16cid:durableId="1866209858">
    <w:abstractNumId w:val="34"/>
  </w:num>
  <w:num w:numId="23" w16cid:durableId="277374262">
    <w:abstractNumId w:val="2"/>
  </w:num>
  <w:num w:numId="24" w16cid:durableId="69697515">
    <w:abstractNumId w:val="83"/>
  </w:num>
  <w:num w:numId="25" w16cid:durableId="707068243">
    <w:abstractNumId w:val="94"/>
  </w:num>
  <w:num w:numId="26" w16cid:durableId="75133383">
    <w:abstractNumId w:val="100"/>
  </w:num>
  <w:num w:numId="27" w16cid:durableId="10606376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2207306">
    <w:abstractNumId w:val="78"/>
  </w:num>
  <w:num w:numId="29" w16cid:durableId="702681178">
    <w:abstractNumId w:val="17"/>
  </w:num>
  <w:num w:numId="30" w16cid:durableId="2093430953">
    <w:abstractNumId w:val="13"/>
  </w:num>
  <w:num w:numId="31" w16cid:durableId="2070179720">
    <w:abstractNumId w:val="65"/>
  </w:num>
  <w:num w:numId="32" w16cid:durableId="228620193">
    <w:abstractNumId w:val="25"/>
  </w:num>
  <w:num w:numId="33" w16cid:durableId="505825449">
    <w:abstractNumId w:val="11"/>
  </w:num>
  <w:num w:numId="34" w16cid:durableId="804465140">
    <w:abstractNumId w:val="68"/>
  </w:num>
  <w:num w:numId="35" w16cid:durableId="873033378">
    <w:abstractNumId w:val="5"/>
  </w:num>
  <w:num w:numId="36" w16cid:durableId="407312059">
    <w:abstractNumId w:val="7"/>
  </w:num>
  <w:num w:numId="37" w16cid:durableId="777874390">
    <w:abstractNumId w:val="55"/>
  </w:num>
  <w:num w:numId="38" w16cid:durableId="1201480540">
    <w:abstractNumId w:val="56"/>
  </w:num>
  <w:num w:numId="39" w16cid:durableId="1203396167">
    <w:abstractNumId w:val="29"/>
  </w:num>
  <w:num w:numId="40" w16cid:durableId="398748636">
    <w:abstractNumId w:val="37"/>
  </w:num>
  <w:num w:numId="41" w16cid:durableId="341199664">
    <w:abstractNumId w:val="79"/>
  </w:num>
  <w:num w:numId="42" w16cid:durableId="680165315">
    <w:abstractNumId w:val="24"/>
  </w:num>
  <w:num w:numId="43" w16cid:durableId="1079524479">
    <w:abstractNumId w:val="66"/>
  </w:num>
  <w:num w:numId="44" w16cid:durableId="455371048">
    <w:abstractNumId w:val="26"/>
  </w:num>
  <w:num w:numId="45" w16cid:durableId="2122993553">
    <w:abstractNumId w:val="89"/>
  </w:num>
  <w:num w:numId="46" w16cid:durableId="706183073">
    <w:abstractNumId w:val="44"/>
  </w:num>
  <w:num w:numId="47" w16cid:durableId="221983773">
    <w:abstractNumId w:val="63"/>
  </w:num>
  <w:num w:numId="48" w16cid:durableId="1889566513">
    <w:abstractNumId w:val="101"/>
  </w:num>
  <w:num w:numId="49" w16cid:durableId="1491218200">
    <w:abstractNumId w:val="92"/>
  </w:num>
  <w:num w:numId="50" w16cid:durableId="1667787181">
    <w:abstractNumId w:val="42"/>
  </w:num>
  <w:num w:numId="51" w16cid:durableId="1721006330">
    <w:abstractNumId w:val="95"/>
  </w:num>
  <w:num w:numId="52" w16cid:durableId="1927765101">
    <w:abstractNumId w:val="51"/>
  </w:num>
  <w:num w:numId="53" w16cid:durableId="336737844">
    <w:abstractNumId w:val="85"/>
  </w:num>
  <w:num w:numId="54" w16cid:durableId="416247078">
    <w:abstractNumId w:val="35"/>
  </w:num>
  <w:num w:numId="55" w16cid:durableId="305016064">
    <w:abstractNumId w:val="4"/>
  </w:num>
  <w:num w:numId="56" w16cid:durableId="223563426">
    <w:abstractNumId w:val="30"/>
  </w:num>
  <w:num w:numId="57" w16cid:durableId="1953897760">
    <w:abstractNumId w:val="10"/>
  </w:num>
  <w:num w:numId="58" w16cid:durableId="214313154">
    <w:abstractNumId w:val="77"/>
  </w:num>
  <w:num w:numId="59" w16cid:durableId="1164317414">
    <w:abstractNumId w:val="57"/>
  </w:num>
  <w:num w:numId="60" w16cid:durableId="675159900">
    <w:abstractNumId w:val="75"/>
  </w:num>
  <w:num w:numId="61" w16cid:durableId="139126744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58767162">
    <w:abstractNumId w:val="104"/>
  </w:num>
  <w:num w:numId="63" w16cid:durableId="1613896476">
    <w:abstractNumId w:val="84"/>
  </w:num>
  <w:num w:numId="64" w16cid:durableId="741412312">
    <w:abstractNumId w:val="28"/>
  </w:num>
  <w:num w:numId="65" w16cid:durableId="13943103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11851704">
    <w:abstractNumId w:val="97"/>
  </w:num>
  <w:num w:numId="67" w16cid:durableId="2095398609">
    <w:abstractNumId w:val="20"/>
  </w:num>
  <w:num w:numId="68" w16cid:durableId="331956452">
    <w:abstractNumId w:val="21"/>
  </w:num>
  <w:num w:numId="69" w16cid:durableId="932975903">
    <w:abstractNumId w:val="9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2302724">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780730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0042115">
    <w:abstractNumId w:val="62"/>
  </w:num>
  <w:num w:numId="73" w16cid:durableId="180388803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0251196">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649158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539020">
    <w:abstractNumId w:val="90"/>
  </w:num>
  <w:num w:numId="77" w16cid:durableId="6808638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207580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10444178">
    <w:abstractNumId w:val="74"/>
  </w:num>
  <w:num w:numId="80" w16cid:durableId="68621775">
    <w:abstractNumId w:val="6"/>
  </w:num>
  <w:num w:numId="81" w16cid:durableId="1324089452">
    <w:abstractNumId w:val="88"/>
  </w:num>
  <w:num w:numId="82" w16cid:durableId="1747458382">
    <w:abstractNumId w:val="73"/>
  </w:num>
  <w:num w:numId="83" w16cid:durableId="19675444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078701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44555932">
    <w:abstractNumId w:val="81"/>
  </w:num>
  <w:num w:numId="86" w16cid:durableId="696733166">
    <w:abstractNumId w:val="18"/>
  </w:num>
  <w:num w:numId="87" w16cid:durableId="1652952216">
    <w:abstractNumId w:val="87"/>
  </w:num>
  <w:num w:numId="88" w16cid:durableId="1545798997">
    <w:abstractNumId w:val="16"/>
  </w:num>
  <w:num w:numId="89" w16cid:durableId="1116370569">
    <w:abstractNumId w:val="71"/>
  </w:num>
  <w:num w:numId="90" w16cid:durableId="851726736">
    <w:abstractNumId w:val="48"/>
  </w:num>
  <w:num w:numId="91" w16cid:durableId="1359545533">
    <w:abstractNumId w:val="93"/>
  </w:num>
  <w:num w:numId="92" w16cid:durableId="21789686">
    <w:abstractNumId w:val="45"/>
  </w:num>
  <w:num w:numId="93" w16cid:durableId="1714384627">
    <w:abstractNumId w:val="8"/>
  </w:num>
  <w:num w:numId="94" w16cid:durableId="786241247">
    <w:abstractNumId w:val="39"/>
  </w:num>
  <w:num w:numId="95" w16cid:durableId="649528749">
    <w:abstractNumId w:val="40"/>
  </w:num>
  <w:num w:numId="96" w16cid:durableId="1985231754">
    <w:abstractNumId w:val="41"/>
  </w:num>
  <w:num w:numId="97" w16cid:durableId="1818257746">
    <w:abstractNumId w:val="12"/>
  </w:num>
  <w:num w:numId="98" w16cid:durableId="1102726790">
    <w:abstractNumId w:val="91"/>
  </w:num>
  <w:num w:numId="99" w16cid:durableId="1263100923">
    <w:abstractNumId w:val="76"/>
  </w:num>
  <w:num w:numId="100" w16cid:durableId="1540388728">
    <w:abstractNumId w:val="31"/>
  </w:num>
  <w:num w:numId="101" w16cid:durableId="2033260563">
    <w:abstractNumId w:val="105"/>
  </w:num>
  <w:num w:numId="102" w16cid:durableId="877012422">
    <w:abstractNumId w:val="82"/>
  </w:num>
  <w:num w:numId="103" w16cid:durableId="1669557871">
    <w:abstractNumId w:val="43"/>
  </w:num>
  <w:num w:numId="104" w16cid:durableId="1489902596">
    <w:abstractNumId w:val="86"/>
  </w:num>
  <w:num w:numId="105" w16cid:durableId="1928271383">
    <w:abstractNumId w:val="15"/>
  </w:num>
  <w:num w:numId="106" w16cid:durableId="2001497597">
    <w:abstractNumId w:val="14"/>
  </w:num>
  <w:num w:numId="107" w16cid:durableId="56900145">
    <w:abstractNumId w:val="2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B0F"/>
    <w:rsid w:val="0002150A"/>
    <w:rsid w:val="00021551"/>
    <w:rsid w:val="0002624B"/>
    <w:rsid w:val="00030763"/>
    <w:rsid w:val="000321E0"/>
    <w:rsid w:val="000432F0"/>
    <w:rsid w:val="00047B56"/>
    <w:rsid w:val="0006009D"/>
    <w:rsid w:val="0006625E"/>
    <w:rsid w:val="0006762F"/>
    <w:rsid w:val="00096079"/>
    <w:rsid w:val="00096F88"/>
    <w:rsid w:val="000B0076"/>
    <w:rsid w:val="000D228E"/>
    <w:rsid w:val="000E1242"/>
    <w:rsid w:val="000E2820"/>
    <w:rsid w:val="000E3F0D"/>
    <w:rsid w:val="000F3F0F"/>
    <w:rsid w:val="00112F7C"/>
    <w:rsid w:val="001164B6"/>
    <w:rsid w:val="00123896"/>
    <w:rsid w:val="001256E5"/>
    <w:rsid w:val="0012586C"/>
    <w:rsid w:val="001424B8"/>
    <w:rsid w:val="00157163"/>
    <w:rsid w:val="00162DF2"/>
    <w:rsid w:val="001838B1"/>
    <w:rsid w:val="00195811"/>
    <w:rsid w:val="001A1C17"/>
    <w:rsid w:val="001B1050"/>
    <w:rsid w:val="001C3035"/>
    <w:rsid w:val="001C53D9"/>
    <w:rsid w:val="001D4270"/>
    <w:rsid w:val="001E156D"/>
    <w:rsid w:val="001E3C79"/>
    <w:rsid w:val="002032CF"/>
    <w:rsid w:val="00206C8A"/>
    <w:rsid w:val="00214378"/>
    <w:rsid w:val="0021669C"/>
    <w:rsid w:val="00223987"/>
    <w:rsid w:val="00226F48"/>
    <w:rsid w:val="00234203"/>
    <w:rsid w:val="00235E0A"/>
    <w:rsid w:val="00240E8E"/>
    <w:rsid w:val="00245574"/>
    <w:rsid w:val="00245A73"/>
    <w:rsid w:val="00255AC0"/>
    <w:rsid w:val="00260F47"/>
    <w:rsid w:val="002643E1"/>
    <w:rsid w:val="00275D2E"/>
    <w:rsid w:val="00284638"/>
    <w:rsid w:val="002859A9"/>
    <w:rsid w:val="00292B52"/>
    <w:rsid w:val="00293A11"/>
    <w:rsid w:val="002944EB"/>
    <w:rsid w:val="00294B17"/>
    <w:rsid w:val="002966F4"/>
    <w:rsid w:val="002A39B2"/>
    <w:rsid w:val="002B0CEE"/>
    <w:rsid w:val="002E66CA"/>
    <w:rsid w:val="002E6730"/>
    <w:rsid w:val="002F01A5"/>
    <w:rsid w:val="002F5C77"/>
    <w:rsid w:val="00317741"/>
    <w:rsid w:val="0032106C"/>
    <w:rsid w:val="003408C5"/>
    <w:rsid w:val="00343CED"/>
    <w:rsid w:val="0035302C"/>
    <w:rsid w:val="0035394E"/>
    <w:rsid w:val="003548C4"/>
    <w:rsid w:val="00357D1A"/>
    <w:rsid w:val="00376845"/>
    <w:rsid w:val="00393310"/>
    <w:rsid w:val="003B1772"/>
    <w:rsid w:val="003B4055"/>
    <w:rsid w:val="003B45B5"/>
    <w:rsid w:val="003B6168"/>
    <w:rsid w:val="003C2346"/>
    <w:rsid w:val="003C4836"/>
    <w:rsid w:val="003D5044"/>
    <w:rsid w:val="003E0DFA"/>
    <w:rsid w:val="003F0F0D"/>
    <w:rsid w:val="003F186E"/>
    <w:rsid w:val="003F262C"/>
    <w:rsid w:val="00414974"/>
    <w:rsid w:val="00433F4F"/>
    <w:rsid w:val="0045789B"/>
    <w:rsid w:val="0047146A"/>
    <w:rsid w:val="004722BC"/>
    <w:rsid w:val="00473633"/>
    <w:rsid w:val="00474650"/>
    <w:rsid w:val="00476696"/>
    <w:rsid w:val="004933A3"/>
    <w:rsid w:val="00494C40"/>
    <w:rsid w:val="00495CA7"/>
    <w:rsid w:val="004A66BD"/>
    <w:rsid w:val="004B3074"/>
    <w:rsid w:val="004D2211"/>
    <w:rsid w:val="004F12B6"/>
    <w:rsid w:val="004F6FD8"/>
    <w:rsid w:val="0050266C"/>
    <w:rsid w:val="00503957"/>
    <w:rsid w:val="00526977"/>
    <w:rsid w:val="0052740B"/>
    <w:rsid w:val="005309E6"/>
    <w:rsid w:val="00531C37"/>
    <w:rsid w:val="00534F2B"/>
    <w:rsid w:val="00543B28"/>
    <w:rsid w:val="005523E5"/>
    <w:rsid w:val="005534B1"/>
    <w:rsid w:val="005566F5"/>
    <w:rsid w:val="00560B04"/>
    <w:rsid w:val="00561C07"/>
    <w:rsid w:val="00572284"/>
    <w:rsid w:val="00575931"/>
    <w:rsid w:val="00580A30"/>
    <w:rsid w:val="00583C84"/>
    <w:rsid w:val="00587AE9"/>
    <w:rsid w:val="005A00E8"/>
    <w:rsid w:val="005A328E"/>
    <w:rsid w:val="005A5E14"/>
    <w:rsid w:val="005A5F0E"/>
    <w:rsid w:val="005A6A6D"/>
    <w:rsid w:val="005D447F"/>
    <w:rsid w:val="005E3827"/>
    <w:rsid w:val="005F4AAA"/>
    <w:rsid w:val="00602467"/>
    <w:rsid w:val="00604132"/>
    <w:rsid w:val="00613DA3"/>
    <w:rsid w:val="0061420C"/>
    <w:rsid w:val="006436A8"/>
    <w:rsid w:val="00652C68"/>
    <w:rsid w:val="00666251"/>
    <w:rsid w:val="00675F22"/>
    <w:rsid w:val="006A09D8"/>
    <w:rsid w:val="006A5BD8"/>
    <w:rsid w:val="006A6AE0"/>
    <w:rsid w:val="006B441D"/>
    <w:rsid w:val="006B5B33"/>
    <w:rsid w:val="006D133A"/>
    <w:rsid w:val="006D6565"/>
    <w:rsid w:val="006D7134"/>
    <w:rsid w:val="006E2BD8"/>
    <w:rsid w:val="006E2C7E"/>
    <w:rsid w:val="006E4E4D"/>
    <w:rsid w:val="006F0429"/>
    <w:rsid w:val="006F0E6C"/>
    <w:rsid w:val="006F1011"/>
    <w:rsid w:val="006F6C6F"/>
    <w:rsid w:val="00707573"/>
    <w:rsid w:val="00707CA7"/>
    <w:rsid w:val="0071332B"/>
    <w:rsid w:val="0073273B"/>
    <w:rsid w:val="00736330"/>
    <w:rsid w:val="00736A43"/>
    <w:rsid w:val="007609D9"/>
    <w:rsid w:val="0076210E"/>
    <w:rsid w:val="00772E3C"/>
    <w:rsid w:val="0078071E"/>
    <w:rsid w:val="00792456"/>
    <w:rsid w:val="007B0327"/>
    <w:rsid w:val="007B5C2A"/>
    <w:rsid w:val="007B7762"/>
    <w:rsid w:val="007C2CC3"/>
    <w:rsid w:val="007C351D"/>
    <w:rsid w:val="007E2645"/>
    <w:rsid w:val="007E6A34"/>
    <w:rsid w:val="007F5F4E"/>
    <w:rsid w:val="00807BAA"/>
    <w:rsid w:val="00822FF4"/>
    <w:rsid w:val="0082548A"/>
    <w:rsid w:val="00841815"/>
    <w:rsid w:val="00844987"/>
    <w:rsid w:val="008550EF"/>
    <w:rsid w:val="0085675C"/>
    <w:rsid w:val="00860263"/>
    <w:rsid w:val="00864EB7"/>
    <w:rsid w:val="0087552B"/>
    <w:rsid w:val="008837A8"/>
    <w:rsid w:val="008C09FD"/>
    <w:rsid w:val="008D1A95"/>
    <w:rsid w:val="008D3BD3"/>
    <w:rsid w:val="008E42E1"/>
    <w:rsid w:val="008F2248"/>
    <w:rsid w:val="008F7FFD"/>
    <w:rsid w:val="00903383"/>
    <w:rsid w:val="00910BBC"/>
    <w:rsid w:val="00922155"/>
    <w:rsid w:val="0092467B"/>
    <w:rsid w:val="00930AD9"/>
    <w:rsid w:val="00942C8E"/>
    <w:rsid w:val="009453FE"/>
    <w:rsid w:val="00955E55"/>
    <w:rsid w:val="009566FE"/>
    <w:rsid w:val="00963542"/>
    <w:rsid w:val="00980A7D"/>
    <w:rsid w:val="00981586"/>
    <w:rsid w:val="009866D9"/>
    <w:rsid w:val="009949ED"/>
    <w:rsid w:val="0099696A"/>
    <w:rsid w:val="009A3C1C"/>
    <w:rsid w:val="009B219C"/>
    <w:rsid w:val="009B6E96"/>
    <w:rsid w:val="009C095B"/>
    <w:rsid w:val="009C227B"/>
    <w:rsid w:val="009C4D87"/>
    <w:rsid w:val="009D20A3"/>
    <w:rsid w:val="009D6F0F"/>
    <w:rsid w:val="009E73F0"/>
    <w:rsid w:val="009F11D2"/>
    <w:rsid w:val="00A14411"/>
    <w:rsid w:val="00A16430"/>
    <w:rsid w:val="00A2502C"/>
    <w:rsid w:val="00A25CA7"/>
    <w:rsid w:val="00A30651"/>
    <w:rsid w:val="00A343FF"/>
    <w:rsid w:val="00A43DD8"/>
    <w:rsid w:val="00A518D3"/>
    <w:rsid w:val="00A54047"/>
    <w:rsid w:val="00A5663C"/>
    <w:rsid w:val="00A61B5E"/>
    <w:rsid w:val="00A62D8C"/>
    <w:rsid w:val="00A74A8B"/>
    <w:rsid w:val="00A7781B"/>
    <w:rsid w:val="00A90CCA"/>
    <w:rsid w:val="00A962A2"/>
    <w:rsid w:val="00AA2279"/>
    <w:rsid w:val="00AA7906"/>
    <w:rsid w:val="00AB1BC7"/>
    <w:rsid w:val="00AC61DF"/>
    <w:rsid w:val="00AD711F"/>
    <w:rsid w:val="00AD71F8"/>
    <w:rsid w:val="00AE1B0F"/>
    <w:rsid w:val="00AF3A07"/>
    <w:rsid w:val="00AF51F7"/>
    <w:rsid w:val="00B056D9"/>
    <w:rsid w:val="00B111C3"/>
    <w:rsid w:val="00B130F3"/>
    <w:rsid w:val="00B205A7"/>
    <w:rsid w:val="00B238D3"/>
    <w:rsid w:val="00B341F5"/>
    <w:rsid w:val="00B4618D"/>
    <w:rsid w:val="00B47600"/>
    <w:rsid w:val="00B50962"/>
    <w:rsid w:val="00B571D6"/>
    <w:rsid w:val="00B806AC"/>
    <w:rsid w:val="00B93993"/>
    <w:rsid w:val="00BA2B9F"/>
    <w:rsid w:val="00BA3C5C"/>
    <w:rsid w:val="00BB13EE"/>
    <w:rsid w:val="00BB7D1E"/>
    <w:rsid w:val="00BD5884"/>
    <w:rsid w:val="00BE01CC"/>
    <w:rsid w:val="00BE28A3"/>
    <w:rsid w:val="00BE32DA"/>
    <w:rsid w:val="00BE4A59"/>
    <w:rsid w:val="00BE53EB"/>
    <w:rsid w:val="00BF2D33"/>
    <w:rsid w:val="00BF54F6"/>
    <w:rsid w:val="00C01947"/>
    <w:rsid w:val="00C17F04"/>
    <w:rsid w:val="00C33F81"/>
    <w:rsid w:val="00C359F1"/>
    <w:rsid w:val="00C37778"/>
    <w:rsid w:val="00C37954"/>
    <w:rsid w:val="00C402CB"/>
    <w:rsid w:val="00C57947"/>
    <w:rsid w:val="00C66C6D"/>
    <w:rsid w:val="00C931AE"/>
    <w:rsid w:val="00CA07C7"/>
    <w:rsid w:val="00CA5D4D"/>
    <w:rsid w:val="00CB6344"/>
    <w:rsid w:val="00CC0727"/>
    <w:rsid w:val="00CC5D2E"/>
    <w:rsid w:val="00CC6DB2"/>
    <w:rsid w:val="00CD1D6A"/>
    <w:rsid w:val="00CE4346"/>
    <w:rsid w:val="00CF54E1"/>
    <w:rsid w:val="00D0510C"/>
    <w:rsid w:val="00D05BCC"/>
    <w:rsid w:val="00D26B92"/>
    <w:rsid w:val="00D277D6"/>
    <w:rsid w:val="00D32DD7"/>
    <w:rsid w:val="00D54D6F"/>
    <w:rsid w:val="00D63A53"/>
    <w:rsid w:val="00D7738D"/>
    <w:rsid w:val="00DA0C80"/>
    <w:rsid w:val="00DA1E58"/>
    <w:rsid w:val="00DA4368"/>
    <w:rsid w:val="00DA5231"/>
    <w:rsid w:val="00DC5A37"/>
    <w:rsid w:val="00DC7C8F"/>
    <w:rsid w:val="00DD1E2F"/>
    <w:rsid w:val="00DD67A1"/>
    <w:rsid w:val="00DE65A9"/>
    <w:rsid w:val="00DE7A8B"/>
    <w:rsid w:val="00DF0687"/>
    <w:rsid w:val="00DF0FE5"/>
    <w:rsid w:val="00E0254C"/>
    <w:rsid w:val="00E0542C"/>
    <w:rsid w:val="00E16827"/>
    <w:rsid w:val="00E3040C"/>
    <w:rsid w:val="00E317D4"/>
    <w:rsid w:val="00E5644B"/>
    <w:rsid w:val="00E57070"/>
    <w:rsid w:val="00E62F1F"/>
    <w:rsid w:val="00E6614F"/>
    <w:rsid w:val="00E66191"/>
    <w:rsid w:val="00E76706"/>
    <w:rsid w:val="00E90D5A"/>
    <w:rsid w:val="00E9516C"/>
    <w:rsid w:val="00E979A1"/>
    <w:rsid w:val="00EA4D16"/>
    <w:rsid w:val="00EB0F8E"/>
    <w:rsid w:val="00EE07D8"/>
    <w:rsid w:val="00EE38E0"/>
    <w:rsid w:val="00EE73DF"/>
    <w:rsid w:val="00F02E6A"/>
    <w:rsid w:val="00F045AB"/>
    <w:rsid w:val="00F0747D"/>
    <w:rsid w:val="00F33205"/>
    <w:rsid w:val="00F5380D"/>
    <w:rsid w:val="00F53B51"/>
    <w:rsid w:val="00F5415B"/>
    <w:rsid w:val="00F54F60"/>
    <w:rsid w:val="00F66184"/>
    <w:rsid w:val="00F66FEE"/>
    <w:rsid w:val="00F67CA5"/>
    <w:rsid w:val="00F7094E"/>
    <w:rsid w:val="00F74974"/>
    <w:rsid w:val="00F86C52"/>
    <w:rsid w:val="00FB18BD"/>
    <w:rsid w:val="00FC66C2"/>
    <w:rsid w:val="00F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3A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583C8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583C84"/>
    <w:rPr>
      <w:rFonts w:ascii="Times New Roman" w:eastAsia="Times New Roman" w:hAnsi="Times New Roman"/>
      <w:b/>
      <w:bCs/>
      <w:sz w:val="36"/>
      <w:szCs w:val="36"/>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83C84"/>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583C84"/>
    <w:rPr>
      <w:rFonts w:ascii="Times New Roman" w:hAnsi="Times New Roman"/>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583C84"/>
    <w:rPr>
      <w:vertAlign w:val="superscript"/>
    </w:rPr>
  </w:style>
  <w:style w:type="paragraph" w:customStyle="1" w:styleId="Appelnotedebasde">
    <w:name w:val="Appel note de bas de..."/>
    <w:basedOn w:val="Normal"/>
    <w:link w:val="FootnoteReference"/>
    <w:uiPriority w:val="99"/>
    <w:rsid w:val="00583C84"/>
    <w:pPr>
      <w:spacing w:after="160" w:line="240" w:lineRule="exact"/>
    </w:pPr>
    <w:rPr>
      <w:sz w:val="20"/>
      <w:szCs w:val="20"/>
      <w:vertAlign w:val="superscript"/>
      <w:lang w:val="es-AR" w:eastAsia="es-AR"/>
    </w:rPr>
  </w:style>
  <w:style w:type="paragraph" w:customStyle="1" w:styleId="LightGrid-Accent31">
    <w:name w:val="Light Grid - Accent 31"/>
    <w:aliases w:val="Párrafo de lista1,List Paragraph1,Colorful List - Accent 11,List Paragraph11"/>
    <w:basedOn w:val="Normal"/>
    <w:link w:val="LightGrid-Accent3Char"/>
    <w:uiPriority w:val="34"/>
    <w:qFormat/>
    <w:rsid w:val="00583C84"/>
    <w:pPr>
      <w:ind w:left="720"/>
      <w:contextualSpacing/>
    </w:pPr>
  </w:style>
  <w:style w:type="character" w:styleId="Hyperlink">
    <w:name w:val="Hyperlink"/>
    <w:uiPriority w:val="99"/>
    <w:unhideWhenUsed/>
    <w:rsid w:val="00583C84"/>
    <w:rPr>
      <w:color w:val="0000FF"/>
      <w:u w:val="single"/>
    </w:rPr>
  </w:style>
  <w:style w:type="paragraph" w:customStyle="1" w:styleId="MediumGrid2-Accent11">
    <w:name w:val="Medium Grid 2 - Accent 11"/>
    <w:uiPriority w:val="1"/>
    <w:qFormat/>
    <w:rsid w:val="00583C84"/>
    <w:rPr>
      <w:sz w:val="22"/>
      <w:szCs w:val="22"/>
      <w:lang w:val="pt-BR"/>
    </w:rPr>
  </w:style>
  <w:style w:type="character" w:customStyle="1" w:styleId="LightGrid-Accent3Char">
    <w:name w:val="Light Grid - Accent 3 Char"/>
    <w:aliases w:val="Párrafo de lista1 Char,List Paragraph1 Char,Colorful List - Accent 11 Char,List Paragraph11 Char,Colorful List - Accent 1 Char"/>
    <w:link w:val="LightGrid-Accent31"/>
    <w:uiPriority w:val="34"/>
    <w:locked/>
    <w:rsid w:val="00583C84"/>
    <w:rPr>
      <w:sz w:val="22"/>
      <w:szCs w:val="22"/>
      <w:lang w:val="en-US" w:eastAsia="en-US"/>
    </w:rPr>
  </w:style>
  <w:style w:type="paragraph" w:customStyle="1" w:styleId="MediumGrid21">
    <w:name w:val="Medium Grid 21"/>
    <w:uiPriority w:val="1"/>
    <w:qFormat/>
    <w:rsid w:val="00583C84"/>
    <w:rPr>
      <w:sz w:val="22"/>
      <w:szCs w:val="22"/>
      <w:lang w:val="pt-BR"/>
    </w:rPr>
  </w:style>
  <w:style w:type="character" w:styleId="UnresolvedMention">
    <w:name w:val="Unresolved Mention"/>
    <w:uiPriority w:val="99"/>
    <w:semiHidden/>
    <w:unhideWhenUsed/>
    <w:rsid w:val="00583C84"/>
    <w:rPr>
      <w:color w:val="605E5C"/>
      <w:shd w:val="clear" w:color="auto" w:fill="E1DFDD"/>
    </w:rPr>
  </w:style>
  <w:style w:type="character" w:customStyle="1" w:styleId="Cuadrculaclara-nfasis3Car">
    <w:name w:val="Cuadrícula clara - Énfasis 3 Car"/>
    <w:aliases w:val="Párrafo de lista1 Car,List Paragraph1 Car,Colorful List - Accent 11 Car,List Paragraph11 Car,Cuadrícula media 1 - Énfasis 2 Car,Párrafo de lista Car"/>
    <w:link w:val="LightGrid-Accent3"/>
    <w:uiPriority w:val="34"/>
    <w:locked/>
    <w:rsid w:val="00583C84"/>
    <w:rPr>
      <w:sz w:val="22"/>
      <w:szCs w:val="22"/>
      <w:lang w:val="en-US" w:eastAsia="en-US"/>
    </w:rPr>
  </w:style>
  <w:style w:type="table" w:styleId="LightGrid-Accent3">
    <w:name w:val="Light Grid Accent 3"/>
    <w:basedOn w:val="TableNormal"/>
    <w:link w:val="Cuadrculaclara-nfasis3Car"/>
    <w:uiPriority w:val="34"/>
    <w:unhideWhenUsed/>
    <w:rsid w:val="00583C84"/>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ListParagraph">
    <w:name w:val="List Paragraph"/>
    <w:basedOn w:val="Normal"/>
    <w:uiPriority w:val="34"/>
    <w:qFormat/>
    <w:rsid w:val="00583C84"/>
    <w:pPr>
      <w:ind w:left="720"/>
      <w:contextualSpacing/>
    </w:pPr>
    <w:rPr>
      <w:lang w:val="es-ES"/>
    </w:rPr>
  </w:style>
  <w:style w:type="paragraph" w:customStyle="1" w:styleId="Default">
    <w:name w:val="Default"/>
    <w:rsid w:val="00583C84"/>
    <w:pPr>
      <w:autoSpaceDE w:val="0"/>
      <w:autoSpaceDN w:val="0"/>
      <w:adjustRightInd w:val="0"/>
    </w:pPr>
    <w:rPr>
      <w:rFonts w:ascii="Cambria" w:hAnsi="Cambria" w:cs="Cambria"/>
      <w:color w:val="000000"/>
      <w:sz w:val="24"/>
      <w:szCs w:val="24"/>
      <w:lang w:val="pt-BR" w:eastAsia="pt-BR"/>
    </w:rPr>
  </w:style>
  <w:style w:type="paragraph" w:styleId="NoSpacing">
    <w:name w:val="No Spacing"/>
    <w:uiPriority w:val="1"/>
    <w:qFormat/>
    <w:rsid w:val="00583C84"/>
    <w:rPr>
      <w:sz w:val="22"/>
      <w:szCs w:val="22"/>
    </w:rPr>
  </w:style>
  <w:style w:type="paragraph" w:styleId="EndnoteText">
    <w:name w:val="endnote text"/>
    <w:basedOn w:val="Normal"/>
    <w:link w:val="EndnoteTextChar"/>
    <w:uiPriority w:val="99"/>
    <w:semiHidden/>
    <w:unhideWhenUsed/>
    <w:rsid w:val="00D54D6F"/>
    <w:rPr>
      <w:sz w:val="20"/>
      <w:szCs w:val="20"/>
    </w:rPr>
  </w:style>
  <w:style w:type="character" w:customStyle="1" w:styleId="EndnoteTextChar">
    <w:name w:val="Endnote Text Char"/>
    <w:link w:val="EndnoteText"/>
    <w:uiPriority w:val="99"/>
    <w:semiHidden/>
    <w:rsid w:val="00D54D6F"/>
    <w:rPr>
      <w:lang w:val="en-US" w:eastAsia="en-US"/>
    </w:rPr>
  </w:style>
  <w:style w:type="character" w:styleId="EndnoteReference">
    <w:name w:val="endnote reference"/>
    <w:uiPriority w:val="99"/>
    <w:semiHidden/>
    <w:unhideWhenUsed/>
    <w:rsid w:val="00D54D6F"/>
    <w:rPr>
      <w:vertAlign w:val="superscript"/>
    </w:rPr>
  </w:style>
  <w:style w:type="character" w:styleId="FollowedHyperlink">
    <w:name w:val="FollowedHyperlink"/>
    <w:uiPriority w:val="99"/>
    <w:semiHidden/>
    <w:unhideWhenUsed/>
    <w:rsid w:val="0073273B"/>
    <w:rPr>
      <w:color w:val="954F72"/>
      <w:u w:val="single"/>
    </w:rPr>
  </w:style>
  <w:style w:type="character" w:customStyle="1" w:styleId="ui-provider">
    <w:name w:val="ui-provider"/>
    <w:basedOn w:val="DefaultParagraphFont"/>
    <w:rsid w:val="00AA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rteidh.or.cr/docs/opiniones/seriea_08_ing.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oas.org/en/iachr/docs/annual/2018/docs/IA2018cap.2-en.pdf" TargetMode="External"/><Relationship Id="rId7" Type="http://schemas.openxmlformats.org/officeDocument/2006/relationships/hyperlink" Target="http://www.oas.org/en/iachr/docs/annual/2018/docs/IA2018cap.2-en.pdf" TargetMode="External"/><Relationship Id="rId2" Type="http://schemas.openxmlformats.org/officeDocument/2006/relationships/hyperlink" Target="http://www.oas.org/en/iachr/docs/annual/2018/docs/IA2019cap.2-en.pdf" TargetMode="External"/><Relationship Id="rId1" Type="http://schemas.openxmlformats.org/officeDocument/2006/relationships/hyperlink" Target="http://www.oas.org/en/iachr/docs/annual/2018/docs/IA2018cap.2-en.pdf" TargetMode="External"/><Relationship Id="rId6" Type="http://schemas.openxmlformats.org/officeDocument/2006/relationships/hyperlink" Target="http://www.oas.org/en/iachr/docs/annual/2018/docs/IA2018cap.2-en.pdf" TargetMode="External"/><Relationship Id="rId5" Type="http://schemas.openxmlformats.org/officeDocument/2006/relationships/hyperlink" Target="http://www.oas.org/en/iachr/docs/annual/2018/docs/IA2018cap.2-en.pdf" TargetMode="External"/><Relationship Id="rId4" Type="http://schemas.openxmlformats.org/officeDocument/2006/relationships/hyperlink" Target="http://www.oas.org/en/iachr/docs/annual/2018/docs/IA2018cap.2-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2.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01585-DE71-493B-B245-668A51CE9202}">
  <ds:schemaRefs>
    <ds:schemaRef ds:uri="http://schemas.openxmlformats.org/officeDocument/2006/bibliography"/>
  </ds:schemaRefs>
</ds:datastoreItem>
</file>

<file path=customXml/itemProps4.xml><?xml version="1.0" encoding="utf-8"?>
<ds:datastoreItem xmlns:ds="http://schemas.openxmlformats.org/officeDocument/2006/customXml" ds:itemID="{DCDC3242-CF68-44A2-BDBB-17E15E538EAD}">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5.xml><?xml version="1.0" encoding="utf-8"?>
<ds:datastoreItem xmlns:ds="http://schemas.openxmlformats.org/officeDocument/2006/customXml" ds:itemID="{2C534A0D-18CE-4362-9E26-A3C7BFDE7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Links>
    <vt:vector size="12" baseType="variant">
      <vt:variant>
        <vt:i4>7077996</vt:i4>
      </vt:variant>
      <vt:variant>
        <vt:i4>0</vt:i4>
      </vt:variant>
      <vt:variant>
        <vt:i4>0</vt:i4>
      </vt:variant>
      <vt:variant>
        <vt:i4>5</vt:i4>
      </vt:variant>
      <vt:variant>
        <vt:lpwstr>http://www.oas.org/en/iachr/decisions/friendly.asp</vt:lpwstr>
      </vt:variant>
      <vt:variant>
        <vt:lpwstr/>
      </vt:variant>
      <vt:variant>
        <vt:i4>3670115</vt:i4>
      </vt:variant>
      <vt:variant>
        <vt:i4>0</vt:i4>
      </vt:variant>
      <vt:variant>
        <vt:i4>0</vt:i4>
      </vt:variant>
      <vt:variant>
        <vt:i4>5</vt:i4>
      </vt:variant>
      <vt:variant>
        <vt:lpwstr>http://www.oas.org/en/iachr/docs/annual/2020/Chapters/IA2020cap2-en.pdf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2023-03-03T22:05:00Z</dcterms:created>
  <dcterms:modified xsi:type="dcterms:W3CDTF">2023-03-03T22:05:00Z</dcterms:modified>
</cp:coreProperties>
</file>