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7669E4" w:rsidRDefault="006311DA" w:rsidP="00627C9F">
      <w:pPr>
        <w:jc w:val="both"/>
        <w:rPr>
          <w:rFonts w:asciiTheme="majorHAnsi" w:hAnsiTheme="majorHAnsi" w:cs="Univers"/>
          <w:b/>
          <w:bCs/>
          <w:sz w:val="22"/>
          <w:szCs w:val="22"/>
          <w:lang w:val="es-ES_tradnl"/>
        </w:rPr>
      </w:pPr>
      <w:r w:rsidRPr="007669E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549DB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669E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7669E4"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7669E4"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7669E4"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7669E4"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7669E4"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7669E4"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7669E4"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7669E4"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7669E4"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7669E4"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7669E4" w:rsidRDefault="00E533FF" w:rsidP="00040C3A">
      <w:pPr>
        <w:tabs>
          <w:tab w:val="center" w:pos="5400"/>
        </w:tabs>
        <w:suppressAutoHyphens/>
        <w:jc w:val="center"/>
        <w:rPr>
          <w:rFonts w:asciiTheme="majorHAnsi" w:hAnsiTheme="majorHAnsi"/>
          <w:sz w:val="22"/>
          <w:szCs w:val="22"/>
          <w:lang w:val="es-ES_tradnl"/>
        </w:rPr>
      </w:pPr>
      <w:r w:rsidRPr="007669E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88D1E" w14:textId="77777777" w:rsidR="00954611" w:rsidRPr="004B7EB6" w:rsidRDefault="00954611" w:rsidP="0095461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68</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54FAB075" w14:textId="77777777" w:rsidR="00954611" w:rsidRPr="004B7EB6" w:rsidRDefault="00954611" w:rsidP="0095461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1080-14</w:t>
                            </w:r>
                          </w:p>
                          <w:p w14:paraId="30505C4F" w14:textId="77777777" w:rsidR="00954611" w:rsidRPr="004B7EB6" w:rsidRDefault="00954611" w:rsidP="0095461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15F21A71" w14:textId="77777777" w:rsidR="00954611" w:rsidRPr="004B7EB6" w:rsidRDefault="00954611" w:rsidP="00954611">
                            <w:pPr>
                              <w:spacing w:line="276" w:lineRule="auto"/>
                              <w:rPr>
                                <w:rFonts w:asciiTheme="majorHAnsi" w:hAnsiTheme="majorHAnsi" w:cs="Arial"/>
                                <w:color w:val="0D0D0D" w:themeColor="text1" w:themeTint="F2"/>
                                <w:szCs w:val="22"/>
                              </w:rPr>
                            </w:pPr>
                          </w:p>
                          <w:p w14:paraId="03ED2F6E" w14:textId="77777777" w:rsidR="00954611" w:rsidRPr="004B625D" w:rsidRDefault="00954611" w:rsidP="0095461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OMAR EVANS AND FAMILY</w:t>
                            </w:r>
                          </w:p>
                          <w:p w14:paraId="3D41424A" w14:textId="77777777" w:rsidR="00954611" w:rsidRPr="004B625D" w:rsidRDefault="00954611" w:rsidP="0095461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B688D1E" w14:textId="77777777" w:rsidR="00954611" w:rsidRPr="004B7EB6" w:rsidRDefault="00954611" w:rsidP="0095461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68</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54FAB075" w14:textId="77777777" w:rsidR="00954611" w:rsidRPr="004B7EB6" w:rsidRDefault="00954611" w:rsidP="00954611">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1080-14</w:t>
                      </w:r>
                    </w:p>
                    <w:p w14:paraId="30505C4F" w14:textId="77777777" w:rsidR="00954611" w:rsidRPr="004B7EB6" w:rsidRDefault="00954611" w:rsidP="0095461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15F21A71" w14:textId="77777777" w:rsidR="00954611" w:rsidRPr="004B7EB6" w:rsidRDefault="00954611" w:rsidP="00954611">
                      <w:pPr>
                        <w:spacing w:line="276" w:lineRule="auto"/>
                        <w:rPr>
                          <w:rFonts w:asciiTheme="majorHAnsi" w:hAnsiTheme="majorHAnsi" w:cs="Arial"/>
                          <w:color w:val="0D0D0D" w:themeColor="text1" w:themeTint="F2"/>
                          <w:szCs w:val="22"/>
                        </w:rPr>
                      </w:pPr>
                    </w:p>
                    <w:p w14:paraId="03ED2F6E" w14:textId="77777777" w:rsidR="00954611" w:rsidRPr="004B625D" w:rsidRDefault="00954611" w:rsidP="0095461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OMAR EVANS AND FAMILY</w:t>
                      </w:r>
                    </w:p>
                    <w:p w14:paraId="3D41424A" w14:textId="77777777" w:rsidR="00954611" w:rsidRPr="004B625D" w:rsidRDefault="00954611" w:rsidP="0095461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7669E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225EB" w14:textId="77777777" w:rsidR="00954611" w:rsidRPr="00F00363" w:rsidRDefault="00954611" w:rsidP="00954611">
                            <w:pPr>
                              <w:jc w:val="right"/>
                              <w:rPr>
                                <w:rFonts w:asciiTheme="minorHAnsi" w:hAnsiTheme="minorHAnsi"/>
                                <w:color w:val="FFFFFF" w:themeColor="background1"/>
                                <w:sz w:val="22"/>
                                <w:lang w:val="es-US"/>
                              </w:rPr>
                            </w:pPr>
                            <w:r w:rsidRPr="00F00363">
                              <w:rPr>
                                <w:rFonts w:asciiTheme="minorHAnsi" w:hAnsiTheme="minorHAnsi"/>
                                <w:color w:val="FFFFFF" w:themeColor="background1"/>
                                <w:sz w:val="22"/>
                                <w:lang w:val="es-US"/>
                              </w:rPr>
                              <w:t>OEA/</w:t>
                            </w:r>
                            <w:proofErr w:type="spellStart"/>
                            <w:r w:rsidRPr="00F00363">
                              <w:rPr>
                                <w:rFonts w:asciiTheme="minorHAnsi" w:hAnsiTheme="minorHAnsi"/>
                                <w:color w:val="FFFFFF" w:themeColor="background1"/>
                                <w:sz w:val="22"/>
                                <w:lang w:val="es-US"/>
                              </w:rPr>
                              <w:t>Ser.L</w:t>
                            </w:r>
                            <w:proofErr w:type="spellEnd"/>
                            <w:r w:rsidRPr="00F00363">
                              <w:rPr>
                                <w:rFonts w:asciiTheme="minorHAnsi" w:hAnsiTheme="minorHAnsi"/>
                                <w:color w:val="FFFFFF" w:themeColor="background1"/>
                                <w:sz w:val="22"/>
                                <w:lang w:val="es-US"/>
                              </w:rPr>
                              <w:t>/V/II</w:t>
                            </w:r>
                          </w:p>
                          <w:p w14:paraId="50756EF4" w14:textId="77777777" w:rsidR="00954611" w:rsidRPr="00F00363" w:rsidRDefault="00954611" w:rsidP="00954611">
                            <w:pPr>
                              <w:jc w:val="right"/>
                              <w:rPr>
                                <w:rFonts w:asciiTheme="minorHAnsi" w:hAnsiTheme="minorHAnsi"/>
                                <w:color w:val="FFFFFF" w:themeColor="background1"/>
                                <w:sz w:val="22"/>
                                <w:lang w:val="es-US"/>
                              </w:rPr>
                            </w:pPr>
                            <w:r w:rsidRPr="00F00363">
                              <w:rPr>
                                <w:rFonts w:asciiTheme="minorHAnsi" w:hAnsiTheme="minorHAnsi"/>
                                <w:color w:val="FFFFFF" w:themeColor="background1"/>
                                <w:sz w:val="22"/>
                                <w:lang w:val="es-US"/>
                              </w:rPr>
                              <w:t>Doc. 73</w:t>
                            </w:r>
                          </w:p>
                          <w:p w14:paraId="442E6487" w14:textId="77777777" w:rsidR="00954611" w:rsidRPr="00F02644" w:rsidRDefault="00954611" w:rsidP="00954611">
                            <w:pPr>
                              <w:jc w:val="right"/>
                              <w:rPr>
                                <w:rFonts w:asciiTheme="minorHAnsi" w:hAnsiTheme="minorHAnsi"/>
                                <w:color w:val="FFFFFF" w:themeColor="background1"/>
                                <w:sz w:val="22"/>
                              </w:rPr>
                            </w:pPr>
                            <w:r w:rsidRPr="00F00363">
                              <w:rPr>
                                <w:rFonts w:asciiTheme="minorHAnsi" w:hAnsiTheme="minorHAnsi"/>
                                <w:color w:val="FFFFFF" w:themeColor="background1"/>
                                <w:sz w:val="22"/>
                                <w:lang w:val="es-US"/>
                              </w:rPr>
                              <w:t xml:space="preserve"> </w:t>
                            </w:r>
                            <w:r>
                              <w:rPr>
                                <w:rFonts w:asciiTheme="minorHAnsi" w:hAnsiTheme="minorHAnsi"/>
                                <w:color w:val="FFFFFF" w:themeColor="background1"/>
                                <w:sz w:val="22"/>
                              </w:rPr>
                              <w:t>9 March</w:t>
                            </w:r>
                            <w:r w:rsidRPr="00F02644">
                              <w:rPr>
                                <w:rFonts w:asciiTheme="minorHAnsi" w:hAnsiTheme="minorHAnsi"/>
                                <w:color w:val="FFFFFF" w:themeColor="background1"/>
                                <w:sz w:val="22"/>
                              </w:rPr>
                              <w:t xml:space="preserve"> 20</w:t>
                            </w:r>
                            <w:r>
                              <w:rPr>
                                <w:rFonts w:asciiTheme="minorHAnsi" w:hAnsiTheme="minorHAnsi"/>
                                <w:color w:val="FFFFFF" w:themeColor="background1"/>
                                <w:sz w:val="22"/>
                              </w:rPr>
                              <w:t>21</w:t>
                            </w:r>
                          </w:p>
                          <w:p w14:paraId="42D3595F" w14:textId="77777777" w:rsidR="00954611" w:rsidRPr="00F02644" w:rsidRDefault="00954611" w:rsidP="00954611">
                            <w:pPr>
                              <w:jc w:val="right"/>
                              <w:rPr>
                                <w:rFonts w:asciiTheme="minorHAnsi" w:hAnsiTheme="minorHAnsi"/>
                                <w:color w:val="FFFFFF" w:themeColor="background1"/>
                                <w:sz w:val="22"/>
                              </w:rPr>
                            </w:pPr>
                            <w:r w:rsidRPr="00F02644">
                              <w:rPr>
                                <w:rFonts w:asciiTheme="minorHAnsi" w:hAnsiTheme="minorHAnsi"/>
                                <w:color w:val="FFFFFF" w:themeColor="background1"/>
                                <w:sz w:val="22"/>
                              </w:rPr>
                              <w:t>Original: English</w:t>
                            </w:r>
                          </w:p>
                          <w:p w14:paraId="0FC103BD" w14:textId="31C3C8FB" w:rsidR="00627C9F" w:rsidRPr="004B7EB6"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F0225EB" w14:textId="77777777" w:rsidR="00954611" w:rsidRPr="001640D7" w:rsidRDefault="00954611" w:rsidP="00954611">
                      <w:pPr>
                        <w:jc w:val="right"/>
                        <w:rPr>
                          <w:rFonts w:asciiTheme="minorHAnsi" w:hAnsiTheme="minorHAnsi"/>
                          <w:color w:val="FFFFFF" w:themeColor="background1"/>
                          <w:sz w:val="22"/>
                        </w:rPr>
                      </w:pPr>
                      <w:r w:rsidRPr="001640D7">
                        <w:rPr>
                          <w:rFonts w:asciiTheme="minorHAnsi" w:hAnsiTheme="minorHAnsi"/>
                          <w:color w:val="FFFFFF" w:themeColor="background1"/>
                          <w:sz w:val="22"/>
                        </w:rPr>
                        <w:t>OEA/</w:t>
                      </w:r>
                      <w:proofErr w:type="spellStart"/>
                      <w:r w:rsidRPr="001640D7">
                        <w:rPr>
                          <w:rFonts w:asciiTheme="minorHAnsi" w:hAnsiTheme="minorHAnsi"/>
                          <w:color w:val="FFFFFF" w:themeColor="background1"/>
                          <w:sz w:val="22"/>
                        </w:rPr>
                        <w:t>Ser.L</w:t>
                      </w:r>
                      <w:proofErr w:type="spellEnd"/>
                      <w:r w:rsidRPr="001640D7">
                        <w:rPr>
                          <w:rFonts w:asciiTheme="minorHAnsi" w:hAnsiTheme="minorHAnsi"/>
                          <w:color w:val="FFFFFF" w:themeColor="background1"/>
                          <w:sz w:val="22"/>
                        </w:rPr>
                        <w:t>/V/II</w:t>
                      </w:r>
                    </w:p>
                    <w:p w14:paraId="50756EF4" w14:textId="77777777" w:rsidR="00954611" w:rsidRPr="00F02644" w:rsidRDefault="00954611" w:rsidP="00954611">
                      <w:pPr>
                        <w:jc w:val="right"/>
                        <w:rPr>
                          <w:rFonts w:asciiTheme="minorHAnsi" w:hAnsiTheme="minorHAnsi"/>
                          <w:color w:val="FFFFFF" w:themeColor="background1"/>
                          <w:sz w:val="22"/>
                        </w:rPr>
                      </w:pPr>
                      <w:r w:rsidRPr="00F02644">
                        <w:rPr>
                          <w:rFonts w:asciiTheme="minorHAnsi" w:hAnsiTheme="minorHAnsi"/>
                          <w:color w:val="FFFFFF" w:themeColor="background1"/>
                          <w:sz w:val="22"/>
                        </w:rPr>
                        <w:t>Doc. 73</w:t>
                      </w:r>
                    </w:p>
                    <w:p w14:paraId="442E6487" w14:textId="77777777" w:rsidR="00954611" w:rsidRPr="00F02644" w:rsidRDefault="00954611" w:rsidP="00954611">
                      <w:pPr>
                        <w:jc w:val="right"/>
                        <w:rPr>
                          <w:rFonts w:asciiTheme="minorHAnsi" w:hAnsiTheme="minorHAnsi"/>
                          <w:color w:val="FFFFFF" w:themeColor="background1"/>
                          <w:sz w:val="22"/>
                        </w:rPr>
                      </w:pPr>
                      <w:r w:rsidRPr="00F02644">
                        <w:rPr>
                          <w:rFonts w:asciiTheme="minorHAnsi" w:hAnsiTheme="minorHAnsi"/>
                          <w:color w:val="FFFFFF" w:themeColor="background1"/>
                          <w:sz w:val="22"/>
                        </w:rPr>
                        <w:t xml:space="preserve"> </w:t>
                      </w:r>
                      <w:r>
                        <w:rPr>
                          <w:rFonts w:asciiTheme="minorHAnsi" w:hAnsiTheme="minorHAnsi"/>
                          <w:color w:val="FFFFFF" w:themeColor="background1"/>
                          <w:sz w:val="22"/>
                        </w:rPr>
                        <w:t>9 March</w:t>
                      </w:r>
                      <w:r w:rsidRPr="00F02644">
                        <w:rPr>
                          <w:rFonts w:asciiTheme="minorHAnsi" w:hAnsiTheme="minorHAnsi"/>
                          <w:color w:val="FFFFFF" w:themeColor="background1"/>
                          <w:sz w:val="22"/>
                        </w:rPr>
                        <w:t xml:space="preserve"> 20</w:t>
                      </w:r>
                      <w:r>
                        <w:rPr>
                          <w:rFonts w:asciiTheme="minorHAnsi" w:hAnsiTheme="minorHAnsi"/>
                          <w:color w:val="FFFFFF" w:themeColor="background1"/>
                          <w:sz w:val="22"/>
                        </w:rPr>
                        <w:t>21</w:t>
                      </w:r>
                    </w:p>
                    <w:p w14:paraId="42D3595F" w14:textId="77777777" w:rsidR="00954611" w:rsidRPr="00F02644" w:rsidRDefault="00954611" w:rsidP="00954611">
                      <w:pPr>
                        <w:jc w:val="right"/>
                        <w:rPr>
                          <w:rFonts w:asciiTheme="minorHAnsi" w:hAnsiTheme="minorHAnsi"/>
                          <w:color w:val="FFFFFF" w:themeColor="background1"/>
                          <w:sz w:val="22"/>
                        </w:rPr>
                      </w:pPr>
                      <w:r w:rsidRPr="00F02644">
                        <w:rPr>
                          <w:rFonts w:asciiTheme="minorHAnsi" w:hAnsiTheme="minorHAnsi"/>
                          <w:color w:val="FFFFFF" w:themeColor="background1"/>
                          <w:sz w:val="22"/>
                        </w:rPr>
                        <w:t>Original: English</w:t>
                      </w:r>
                    </w:p>
                    <w:p w14:paraId="0FC103BD" w14:textId="31C3C8FB" w:rsidR="00627C9F" w:rsidRPr="004B7EB6" w:rsidRDefault="00627C9F"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7669E4"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7669E4"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7669E4"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7669E4"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7669E4"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7669E4"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7669E4" w:rsidRDefault="003C32BC" w:rsidP="00040C3A">
      <w:pPr>
        <w:tabs>
          <w:tab w:val="center" w:pos="5400"/>
        </w:tabs>
        <w:suppressAutoHyphens/>
        <w:jc w:val="center"/>
        <w:rPr>
          <w:rFonts w:asciiTheme="majorHAnsi" w:hAnsiTheme="majorHAnsi"/>
          <w:sz w:val="18"/>
          <w:szCs w:val="22"/>
          <w:lang w:val="es-ES_tradnl"/>
        </w:rPr>
      </w:pPr>
      <w:r w:rsidRPr="007669E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4538B6D" w:rsidR="00092F32" w:rsidRPr="003C32BC" w:rsidRDefault="0095461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the Commission</w:t>
                            </w:r>
                            <w:r>
                              <w:rPr>
                                <w:rFonts w:asciiTheme="majorHAnsi" w:hAnsiTheme="majorHAnsi"/>
                                <w:color w:val="0D0D0D" w:themeColor="text1" w:themeTint="F2"/>
                                <w:sz w:val="18"/>
                                <w:szCs w:val="20"/>
                              </w:rPr>
                              <w:t xml:space="preserve"> on March 9, 2021</w:t>
                            </w:r>
                            <w:r w:rsidR="00F00363">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4538B6D" w:rsidR="00092F32" w:rsidRPr="003C32BC" w:rsidRDefault="0095461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the Commission</w:t>
                      </w:r>
                      <w:r>
                        <w:rPr>
                          <w:rFonts w:asciiTheme="majorHAnsi" w:hAnsiTheme="majorHAnsi"/>
                          <w:color w:val="0D0D0D" w:themeColor="text1" w:themeTint="F2"/>
                          <w:sz w:val="18"/>
                          <w:szCs w:val="20"/>
                        </w:rPr>
                        <w:t xml:space="preserve"> on March 9, 2021</w:t>
                      </w:r>
                      <w:r w:rsidR="00F00363">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7669E4" w:rsidRDefault="003C32BC" w:rsidP="00040C3A">
      <w:pPr>
        <w:tabs>
          <w:tab w:val="center" w:pos="5400"/>
        </w:tabs>
        <w:suppressAutoHyphens/>
        <w:jc w:val="center"/>
        <w:rPr>
          <w:rFonts w:asciiTheme="majorHAnsi" w:hAnsiTheme="majorHAnsi"/>
          <w:sz w:val="18"/>
          <w:szCs w:val="22"/>
          <w:lang w:val="es-ES_tradnl"/>
        </w:rPr>
      </w:pPr>
      <w:r w:rsidRPr="007669E4">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4420137" w:rsidR="00F644E6" w:rsidRPr="003C32BC" w:rsidRDefault="0095461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68/21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1080-14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Omar Evans and family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Jamaica. March 9,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4420137" w:rsidR="00F644E6" w:rsidRPr="003C32BC" w:rsidRDefault="00954611"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68/21</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1080-14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Omar Evans and family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Jamaica. March 9, 2021</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7669E4"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7669E4" w:rsidRDefault="003C32BC" w:rsidP="003C32BC">
      <w:pPr>
        <w:tabs>
          <w:tab w:val="center" w:pos="5400"/>
        </w:tabs>
        <w:suppressAutoHyphens/>
        <w:jc w:val="center"/>
        <w:rPr>
          <w:rFonts w:asciiTheme="majorHAnsi" w:hAnsiTheme="majorHAnsi"/>
          <w:sz w:val="18"/>
          <w:szCs w:val="22"/>
        </w:rPr>
      </w:pPr>
    </w:p>
    <w:p w14:paraId="154A4854" w14:textId="77777777" w:rsidR="003C32BC" w:rsidRPr="007669E4" w:rsidRDefault="006311DA" w:rsidP="003C32BC">
      <w:pPr>
        <w:tabs>
          <w:tab w:val="center" w:pos="5400"/>
        </w:tabs>
        <w:suppressAutoHyphens/>
        <w:jc w:val="center"/>
        <w:rPr>
          <w:rFonts w:asciiTheme="majorHAnsi" w:hAnsiTheme="majorHAnsi"/>
          <w:sz w:val="18"/>
          <w:szCs w:val="22"/>
        </w:rPr>
      </w:pPr>
      <w:r w:rsidRPr="007669E4">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4968F6C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5461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4968F6C6"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5461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7669E4">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7669E4" w:rsidRDefault="007607C4" w:rsidP="003C32BC">
      <w:pPr>
        <w:tabs>
          <w:tab w:val="center" w:pos="5400"/>
        </w:tabs>
        <w:suppressAutoHyphens/>
        <w:jc w:val="center"/>
        <w:rPr>
          <w:rFonts w:asciiTheme="majorHAnsi" w:hAnsiTheme="majorHAnsi"/>
          <w:sz w:val="18"/>
          <w:szCs w:val="22"/>
        </w:rPr>
        <w:sectPr w:rsidR="007607C4" w:rsidRPr="007669E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7669E4" w:rsidRDefault="00F621C3" w:rsidP="00F621C3">
      <w:pPr>
        <w:spacing w:after="240"/>
        <w:ind w:firstLine="720"/>
        <w:jc w:val="both"/>
        <w:rPr>
          <w:rFonts w:asciiTheme="majorHAnsi" w:hAnsiTheme="majorHAnsi"/>
          <w:b/>
          <w:bCs/>
          <w:sz w:val="20"/>
          <w:szCs w:val="20"/>
        </w:rPr>
      </w:pPr>
      <w:r w:rsidRPr="007669E4">
        <w:rPr>
          <w:rFonts w:asciiTheme="majorHAnsi" w:hAnsiTheme="majorHAnsi"/>
          <w:b/>
          <w:bCs/>
          <w:sz w:val="20"/>
          <w:szCs w:val="20"/>
        </w:rPr>
        <w:lastRenderedPageBreak/>
        <w:t>I.</w:t>
      </w:r>
      <w:r w:rsidRPr="007669E4">
        <w:rPr>
          <w:rFonts w:asciiTheme="majorHAnsi" w:hAnsiTheme="majorHAnsi"/>
          <w:b/>
          <w:bCs/>
          <w:sz w:val="20"/>
          <w:szCs w:val="20"/>
        </w:rPr>
        <w:tab/>
      </w:r>
      <w:r w:rsidR="00592718" w:rsidRPr="007669E4">
        <w:rPr>
          <w:rFonts w:asciiTheme="majorHAnsi" w:hAnsiTheme="majorHAnsi"/>
          <w:b/>
          <w:bCs/>
          <w:sz w:val="20"/>
          <w:szCs w:val="20"/>
        </w:rPr>
        <w:t>INFORMATION ABOUT THE PETITION</w:t>
      </w:r>
      <w:r w:rsidRPr="007669E4">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669E4"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7669E4" w:rsidRDefault="003771A3" w:rsidP="009163FC">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Petitioner</w:t>
            </w:r>
            <w:r w:rsidR="00F621C3" w:rsidRPr="007669E4">
              <w:rPr>
                <w:rFonts w:ascii="Cambria" w:hAnsi="Cambria"/>
                <w:b/>
                <w:bCs/>
                <w:color w:val="FFFFFF" w:themeColor="background1"/>
                <w:sz w:val="20"/>
                <w:szCs w:val="20"/>
              </w:rPr>
              <w:t>:</w:t>
            </w:r>
          </w:p>
        </w:tc>
        <w:tc>
          <w:tcPr>
            <w:tcW w:w="5670" w:type="dxa"/>
            <w:vAlign w:val="center"/>
          </w:tcPr>
          <w:p w14:paraId="0674C7B8" w14:textId="392060B3" w:rsidR="00F621C3" w:rsidRPr="007669E4" w:rsidRDefault="002E30AD" w:rsidP="009163FC">
            <w:pPr>
              <w:jc w:val="both"/>
              <w:rPr>
                <w:rFonts w:ascii="Cambria" w:hAnsi="Cambria"/>
                <w:bCs/>
                <w:sz w:val="20"/>
                <w:szCs w:val="20"/>
              </w:rPr>
            </w:pPr>
            <w:r w:rsidRPr="007669E4">
              <w:rPr>
                <w:rFonts w:ascii="Cambria" w:hAnsi="Cambria"/>
                <w:bCs/>
                <w:sz w:val="20"/>
                <w:szCs w:val="20"/>
              </w:rPr>
              <w:t>International Human Rights Clinic, Loyola Law School, Los A</w:t>
            </w:r>
            <w:r w:rsidR="00001FA4" w:rsidRPr="007669E4">
              <w:rPr>
                <w:rFonts w:ascii="Cambria" w:hAnsi="Cambria"/>
                <w:bCs/>
                <w:sz w:val="20"/>
                <w:szCs w:val="20"/>
              </w:rPr>
              <w:t>ngeles and Jamaicans for Justice</w:t>
            </w:r>
          </w:p>
        </w:tc>
      </w:tr>
      <w:tr w:rsidR="00F621C3" w:rsidRPr="007669E4"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7669E4" w:rsidRDefault="00623864"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7669E4">
                  <w:rPr>
                    <w:rFonts w:ascii="Cambria" w:hAnsi="Cambria"/>
                    <w:b/>
                    <w:bCs/>
                    <w:color w:val="FFFFFF" w:themeColor="background1"/>
                    <w:sz w:val="20"/>
                    <w:szCs w:val="20"/>
                  </w:rPr>
                  <w:t>Alleged victim</w:t>
                </w:r>
              </w:sdtContent>
            </w:sdt>
            <w:r w:rsidR="00F621C3" w:rsidRPr="007669E4">
              <w:rPr>
                <w:rFonts w:ascii="Cambria" w:hAnsi="Cambria"/>
                <w:b/>
                <w:bCs/>
                <w:color w:val="FFFFFF" w:themeColor="background1"/>
                <w:sz w:val="20"/>
                <w:szCs w:val="20"/>
              </w:rPr>
              <w:t>:</w:t>
            </w:r>
          </w:p>
        </w:tc>
        <w:tc>
          <w:tcPr>
            <w:tcW w:w="5670" w:type="dxa"/>
            <w:vAlign w:val="center"/>
          </w:tcPr>
          <w:p w14:paraId="60895337" w14:textId="5C51890A" w:rsidR="00F621C3" w:rsidRPr="007669E4" w:rsidRDefault="0027666E" w:rsidP="009163FC">
            <w:pPr>
              <w:jc w:val="both"/>
              <w:rPr>
                <w:rFonts w:ascii="Cambria" w:hAnsi="Cambria"/>
                <w:bCs/>
                <w:sz w:val="20"/>
                <w:szCs w:val="20"/>
              </w:rPr>
            </w:pPr>
            <w:r w:rsidRPr="007669E4">
              <w:rPr>
                <w:rFonts w:ascii="Cambria" w:hAnsi="Cambria"/>
                <w:bCs/>
                <w:sz w:val="20"/>
                <w:szCs w:val="20"/>
              </w:rPr>
              <w:t>Omar Evans and family</w:t>
            </w:r>
          </w:p>
        </w:tc>
      </w:tr>
      <w:tr w:rsidR="00F621C3" w:rsidRPr="007669E4"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7669E4" w:rsidRDefault="005816E5" w:rsidP="005816E5">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 xml:space="preserve">Respondent </w:t>
            </w:r>
            <w:r w:rsidR="00F621C3" w:rsidRPr="007669E4">
              <w:rPr>
                <w:rFonts w:ascii="Cambria" w:hAnsi="Cambria"/>
                <w:b/>
                <w:bCs/>
                <w:color w:val="FFFFFF" w:themeColor="background1"/>
                <w:sz w:val="20"/>
                <w:szCs w:val="20"/>
              </w:rPr>
              <w:t>State:</w:t>
            </w:r>
          </w:p>
        </w:tc>
        <w:tc>
          <w:tcPr>
            <w:tcW w:w="5670" w:type="dxa"/>
            <w:vAlign w:val="center"/>
          </w:tcPr>
          <w:p w14:paraId="2C816E6F" w14:textId="31F36429" w:rsidR="0027666E" w:rsidRPr="007669E4" w:rsidRDefault="0027666E" w:rsidP="0027666E">
            <w:pPr>
              <w:jc w:val="both"/>
              <w:rPr>
                <w:rFonts w:ascii="Cambria" w:hAnsi="Cambria"/>
                <w:bCs/>
                <w:sz w:val="20"/>
                <w:szCs w:val="20"/>
              </w:rPr>
            </w:pPr>
            <w:r w:rsidRPr="007669E4">
              <w:rPr>
                <w:rFonts w:ascii="Cambria" w:hAnsi="Cambria"/>
                <w:bCs/>
                <w:sz w:val="20"/>
                <w:szCs w:val="20"/>
              </w:rPr>
              <w:t>Jamaica</w:t>
            </w:r>
            <w:r w:rsidRPr="007669E4">
              <w:rPr>
                <w:rStyle w:val="FootnoteReference"/>
                <w:rFonts w:ascii="Cambria" w:hAnsi="Cambria"/>
                <w:bCs/>
                <w:sz w:val="20"/>
                <w:szCs w:val="20"/>
              </w:rPr>
              <w:footnoteReference w:id="2"/>
            </w:r>
          </w:p>
          <w:p w14:paraId="3539D391" w14:textId="538F1A9E" w:rsidR="00F621C3" w:rsidRPr="007669E4" w:rsidRDefault="00F621C3" w:rsidP="009163FC">
            <w:pPr>
              <w:jc w:val="both"/>
              <w:rPr>
                <w:rFonts w:ascii="Cambria" w:hAnsi="Cambria"/>
                <w:bCs/>
                <w:sz w:val="20"/>
                <w:szCs w:val="20"/>
              </w:rPr>
            </w:pPr>
          </w:p>
        </w:tc>
      </w:tr>
      <w:tr w:rsidR="00594549" w:rsidRPr="007669E4" w14:paraId="57F2C481" w14:textId="77777777" w:rsidTr="00EE108E">
        <w:tc>
          <w:tcPr>
            <w:tcW w:w="3690" w:type="dxa"/>
            <w:tcBorders>
              <w:top w:val="single" w:sz="6" w:space="0" w:color="auto"/>
              <w:bottom w:val="single" w:sz="6" w:space="0" w:color="auto"/>
            </w:tcBorders>
            <w:shd w:val="clear" w:color="auto" w:fill="67AE3C"/>
            <w:vAlign w:val="center"/>
          </w:tcPr>
          <w:p w14:paraId="62BEEF4B" w14:textId="52EAAEA3" w:rsidR="00594549" w:rsidRPr="007669E4" w:rsidRDefault="00594549" w:rsidP="00594549">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Rights invoked:</w:t>
            </w:r>
          </w:p>
        </w:tc>
        <w:tc>
          <w:tcPr>
            <w:tcW w:w="5670" w:type="dxa"/>
          </w:tcPr>
          <w:p w14:paraId="51EEF9D2" w14:textId="73CF7DA0" w:rsidR="00594549" w:rsidRPr="007669E4" w:rsidRDefault="00311ABE" w:rsidP="00311ABE">
            <w:pPr>
              <w:jc w:val="both"/>
              <w:rPr>
                <w:rFonts w:ascii="Cambria" w:hAnsi="Cambria"/>
                <w:bCs/>
                <w:sz w:val="20"/>
                <w:szCs w:val="20"/>
              </w:rPr>
            </w:pPr>
            <w:r w:rsidRPr="007669E4">
              <w:rPr>
                <w:rFonts w:ascii="Cambria" w:hAnsi="Cambria"/>
                <w:bCs/>
                <w:sz w:val="19"/>
                <w:szCs w:val="19"/>
              </w:rPr>
              <w:t xml:space="preserve">Articles </w:t>
            </w:r>
            <w:r w:rsidR="00140D49" w:rsidRPr="007669E4">
              <w:rPr>
                <w:rFonts w:ascii="Cambria" w:hAnsi="Cambria"/>
                <w:bCs/>
                <w:sz w:val="19"/>
                <w:szCs w:val="19"/>
              </w:rPr>
              <w:t xml:space="preserve">4 (Life), 5 (Humane Treatment), 8 (Fair Trial), </w:t>
            </w:r>
            <w:r w:rsidR="000744B8" w:rsidRPr="007669E4">
              <w:rPr>
                <w:rFonts w:ascii="Cambria" w:hAnsi="Cambria"/>
                <w:bCs/>
                <w:sz w:val="19"/>
                <w:szCs w:val="19"/>
              </w:rPr>
              <w:t xml:space="preserve">and </w:t>
            </w:r>
            <w:r w:rsidR="00140D49" w:rsidRPr="007669E4">
              <w:rPr>
                <w:rFonts w:ascii="Cambria" w:hAnsi="Cambria"/>
                <w:bCs/>
                <w:sz w:val="19"/>
                <w:szCs w:val="19"/>
              </w:rPr>
              <w:t>25 (Judicial Protection) of the American Convention on Human Rights</w:t>
            </w:r>
            <w:r w:rsidR="00140D49" w:rsidRPr="007669E4">
              <w:rPr>
                <w:rStyle w:val="FootnoteReference"/>
                <w:rFonts w:ascii="Cambria" w:hAnsi="Cambria"/>
                <w:bCs/>
                <w:sz w:val="19"/>
                <w:szCs w:val="19"/>
              </w:rPr>
              <w:footnoteReference w:id="3"/>
            </w:r>
            <w:r w:rsidR="00140D49" w:rsidRPr="007669E4">
              <w:rPr>
                <w:rFonts w:ascii="Cambria" w:hAnsi="Cambria"/>
                <w:bCs/>
                <w:sz w:val="19"/>
                <w:szCs w:val="19"/>
              </w:rPr>
              <w:t xml:space="preserve">, and </w:t>
            </w:r>
            <w:r w:rsidRPr="007669E4">
              <w:rPr>
                <w:rFonts w:ascii="Cambria" w:hAnsi="Cambria"/>
                <w:bCs/>
                <w:sz w:val="19"/>
                <w:szCs w:val="19"/>
              </w:rPr>
              <w:t>A</w:t>
            </w:r>
            <w:r w:rsidR="00140D49" w:rsidRPr="007669E4">
              <w:rPr>
                <w:rFonts w:ascii="Cambria" w:hAnsi="Cambria"/>
                <w:bCs/>
                <w:sz w:val="19"/>
                <w:szCs w:val="19"/>
              </w:rPr>
              <w:t>rticles 1.1 (Obligation To Respect Rights) and 2 (Domestic Legal Effects)</w:t>
            </w:r>
            <w:r w:rsidR="00140D49" w:rsidRPr="007669E4">
              <w:rPr>
                <w:rFonts w:ascii="Cambria" w:hAnsi="Cambria"/>
                <w:bCs/>
                <w:color w:val="FF0000"/>
                <w:sz w:val="19"/>
                <w:szCs w:val="19"/>
              </w:rPr>
              <w:t xml:space="preserve"> </w:t>
            </w:r>
            <w:r w:rsidR="00140D49" w:rsidRPr="007669E4">
              <w:rPr>
                <w:rFonts w:ascii="Cambria" w:hAnsi="Cambria"/>
                <w:bCs/>
                <w:sz w:val="19"/>
                <w:szCs w:val="19"/>
              </w:rPr>
              <w:t>of the same instrument</w:t>
            </w:r>
          </w:p>
        </w:tc>
      </w:tr>
    </w:tbl>
    <w:p w14:paraId="006E8D49" w14:textId="1C646C41" w:rsidR="00F621C3" w:rsidRPr="007669E4" w:rsidRDefault="00F621C3" w:rsidP="00F621C3">
      <w:pPr>
        <w:spacing w:before="240" w:after="240"/>
        <w:ind w:firstLine="720"/>
        <w:jc w:val="both"/>
        <w:rPr>
          <w:rFonts w:asciiTheme="majorHAnsi" w:hAnsiTheme="majorHAnsi"/>
          <w:b/>
          <w:bCs/>
          <w:sz w:val="20"/>
          <w:szCs w:val="20"/>
        </w:rPr>
      </w:pPr>
      <w:r w:rsidRPr="007669E4">
        <w:rPr>
          <w:rFonts w:asciiTheme="majorHAnsi" w:hAnsiTheme="majorHAnsi"/>
          <w:b/>
          <w:bCs/>
          <w:sz w:val="20"/>
          <w:szCs w:val="20"/>
        </w:rPr>
        <w:t>II.</w:t>
      </w:r>
      <w:r w:rsidRPr="007669E4">
        <w:rPr>
          <w:rFonts w:asciiTheme="majorHAnsi" w:hAnsiTheme="majorHAnsi"/>
          <w:b/>
          <w:bCs/>
          <w:sz w:val="20"/>
          <w:szCs w:val="20"/>
        </w:rPr>
        <w:tab/>
        <w:t>PROCE</w:t>
      </w:r>
      <w:r w:rsidR="00321AFD" w:rsidRPr="007669E4">
        <w:rPr>
          <w:rFonts w:asciiTheme="majorHAnsi" w:hAnsiTheme="majorHAnsi"/>
          <w:b/>
          <w:bCs/>
          <w:sz w:val="20"/>
          <w:szCs w:val="20"/>
        </w:rPr>
        <w:t>EDINGS</w:t>
      </w:r>
      <w:r w:rsidRPr="007669E4">
        <w:rPr>
          <w:rFonts w:asciiTheme="majorHAnsi" w:hAnsiTheme="majorHAnsi"/>
          <w:b/>
          <w:bCs/>
          <w:sz w:val="20"/>
          <w:szCs w:val="20"/>
        </w:rPr>
        <w:t xml:space="preserve"> BEFORE THE IACHR</w:t>
      </w:r>
      <w:r w:rsidR="00653EA6" w:rsidRPr="007669E4">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669E4"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7669E4" w:rsidRDefault="00B06BB7" w:rsidP="00B06BB7">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Filing of the petition</w:t>
            </w:r>
            <w:r w:rsidR="00F621C3" w:rsidRPr="007669E4">
              <w:rPr>
                <w:rFonts w:ascii="Cambria" w:hAnsi="Cambria"/>
                <w:b/>
                <w:bCs/>
                <w:color w:val="FFFFFF" w:themeColor="background1"/>
                <w:sz w:val="20"/>
                <w:szCs w:val="20"/>
              </w:rPr>
              <w:t>:</w:t>
            </w:r>
          </w:p>
        </w:tc>
        <w:tc>
          <w:tcPr>
            <w:tcW w:w="5670" w:type="dxa"/>
            <w:vAlign w:val="center"/>
          </w:tcPr>
          <w:p w14:paraId="1C0C3DE2" w14:textId="6ACEB55E" w:rsidR="00F621C3" w:rsidRPr="007669E4" w:rsidRDefault="00140D49" w:rsidP="009163FC">
            <w:pPr>
              <w:jc w:val="both"/>
              <w:rPr>
                <w:rFonts w:ascii="Cambria" w:hAnsi="Cambria"/>
                <w:bCs/>
                <w:sz w:val="20"/>
                <w:szCs w:val="20"/>
              </w:rPr>
            </w:pPr>
            <w:r w:rsidRPr="007669E4">
              <w:rPr>
                <w:rFonts w:ascii="Cambria" w:hAnsi="Cambria"/>
                <w:bCs/>
                <w:sz w:val="20"/>
                <w:szCs w:val="20"/>
              </w:rPr>
              <w:t>July 29, 2014</w:t>
            </w:r>
          </w:p>
        </w:tc>
      </w:tr>
      <w:tr w:rsidR="00F621C3" w:rsidRPr="007669E4"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7669E4" w:rsidRDefault="00F621C3" w:rsidP="003771A3">
            <w:pPr>
              <w:jc w:val="center"/>
              <w:rPr>
                <w:rFonts w:ascii="Cambria" w:hAnsi="Cambria"/>
                <w:b/>
                <w:color w:val="FFFFFF" w:themeColor="background1"/>
                <w:sz w:val="20"/>
                <w:szCs w:val="20"/>
              </w:rPr>
            </w:pPr>
            <w:r w:rsidRPr="007669E4">
              <w:rPr>
                <w:rFonts w:ascii="Cambria" w:hAnsi="Cambria"/>
                <w:b/>
                <w:color w:val="FFFFFF" w:themeColor="background1"/>
                <w:sz w:val="20"/>
                <w:szCs w:val="20"/>
              </w:rPr>
              <w:t xml:space="preserve">Additional information received at the </w:t>
            </w:r>
            <w:r w:rsidR="003771A3" w:rsidRPr="007669E4">
              <w:rPr>
                <w:rFonts w:ascii="Cambria" w:hAnsi="Cambria"/>
                <w:b/>
                <w:color w:val="FFFFFF" w:themeColor="background1"/>
                <w:sz w:val="20"/>
                <w:szCs w:val="20"/>
              </w:rPr>
              <w:t>s</w:t>
            </w:r>
            <w:r w:rsidRPr="007669E4">
              <w:rPr>
                <w:rFonts w:ascii="Cambria" w:hAnsi="Cambria"/>
                <w:b/>
                <w:color w:val="FFFFFF" w:themeColor="background1"/>
                <w:sz w:val="20"/>
                <w:szCs w:val="20"/>
              </w:rPr>
              <w:t>tage</w:t>
            </w:r>
            <w:r w:rsidR="003771A3" w:rsidRPr="007669E4">
              <w:rPr>
                <w:rFonts w:ascii="Cambria" w:hAnsi="Cambria"/>
                <w:b/>
                <w:color w:val="FFFFFF" w:themeColor="background1"/>
                <w:sz w:val="20"/>
                <w:szCs w:val="20"/>
              </w:rPr>
              <w:t xml:space="preserve"> of initial review</w:t>
            </w:r>
            <w:r w:rsidRPr="007669E4">
              <w:rPr>
                <w:rFonts w:ascii="Cambria" w:hAnsi="Cambria"/>
                <w:b/>
                <w:color w:val="FFFFFF" w:themeColor="background1"/>
                <w:sz w:val="20"/>
                <w:szCs w:val="20"/>
              </w:rPr>
              <w:t>:</w:t>
            </w:r>
          </w:p>
        </w:tc>
        <w:tc>
          <w:tcPr>
            <w:tcW w:w="5670" w:type="dxa"/>
            <w:vAlign w:val="center"/>
          </w:tcPr>
          <w:p w14:paraId="499B90CB" w14:textId="1BF82A9A" w:rsidR="00F621C3" w:rsidRPr="007669E4" w:rsidRDefault="00140D49" w:rsidP="009163FC">
            <w:pPr>
              <w:jc w:val="both"/>
              <w:rPr>
                <w:rFonts w:ascii="Cambria" w:hAnsi="Cambria"/>
                <w:bCs/>
                <w:sz w:val="20"/>
                <w:szCs w:val="20"/>
              </w:rPr>
            </w:pPr>
            <w:r w:rsidRPr="007669E4">
              <w:rPr>
                <w:rFonts w:ascii="Cambria" w:hAnsi="Cambria"/>
                <w:bCs/>
                <w:sz w:val="20"/>
                <w:szCs w:val="20"/>
              </w:rPr>
              <w:t>April 16, 2019</w:t>
            </w:r>
          </w:p>
        </w:tc>
      </w:tr>
      <w:tr w:rsidR="00F621C3" w:rsidRPr="007669E4"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7669E4" w:rsidRDefault="00B06BB7" w:rsidP="00B06BB7">
            <w:pPr>
              <w:jc w:val="center"/>
              <w:rPr>
                <w:rFonts w:ascii="Cambria" w:hAnsi="Cambria"/>
                <w:b/>
                <w:bCs/>
                <w:color w:val="FFFFFF" w:themeColor="background1"/>
                <w:sz w:val="20"/>
                <w:szCs w:val="20"/>
              </w:rPr>
            </w:pPr>
            <w:r w:rsidRPr="007669E4">
              <w:rPr>
                <w:rFonts w:ascii="Cambria" w:hAnsi="Cambria"/>
                <w:b/>
                <w:color w:val="FFFFFF" w:themeColor="background1"/>
                <w:sz w:val="20"/>
                <w:szCs w:val="20"/>
              </w:rPr>
              <w:t>Notification of the petition to</w:t>
            </w:r>
            <w:r w:rsidR="00F621C3" w:rsidRPr="007669E4">
              <w:rPr>
                <w:rFonts w:ascii="Cambria" w:hAnsi="Cambria"/>
                <w:b/>
                <w:color w:val="FFFFFF" w:themeColor="background1"/>
                <w:sz w:val="20"/>
                <w:szCs w:val="20"/>
              </w:rPr>
              <w:t xml:space="preserve"> the State:</w:t>
            </w:r>
          </w:p>
        </w:tc>
        <w:tc>
          <w:tcPr>
            <w:tcW w:w="5670" w:type="dxa"/>
            <w:vAlign w:val="center"/>
          </w:tcPr>
          <w:p w14:paraId="22ADBFFE" w14:textId="1C895FE5" w:rsidR="00F621C3" w:rsidRPr="007669E4" w:rsidRDefault="00140D49" w:rsidP="009163FC">
            <w:pPr>
              <w:jc w:val="both"/>
              <w:rPr>
                <w:rFonts w:ascii="Cambria" w:hAnsi="Cambria"/>
                <w:bCs/>
                <w:sz w:val="20"/>
                <w:szCs w:val="20"/>
              </w:rPr>
            </w:pPr>
            <w:r w:rsidRPr="007669E4">
              <w:rPr>
                <w:rFonts w:ascii="Cambria" w:hAnsi="Cambria"/>
                <w:bCs/>
                <w:sz w:val="20"/>
                <w:szCs w:val="20"/>
              </w:rPr>
              <w:t>June 4, 2019</w:t>
            </w:r>
          </w:p>
        </w:tc>
      </w:tr>
      <w:tr w:rsidR="00F621C3" w:rsidRPr="007669E4"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7669E4" w:rsidRDefault="00F621C3" w:rsidP="009163FC">
            <w:pPr>
              <w:jc w:val="center"/>
              <w:rPr>
                <w:rFonts w:ascii="Cambria" w:hAnsi="Cambria"/>
                <w:b/>
                <w:bCs/>
                <w:color w:val="FFFFFF" w:themeColor="background1"/>
                <w:sz w:val="20"/>
                <w:szCs w:val="20"/>
              </w:rPr>
            </w:pPr>
            <w:r w:rsidRPr="007669E4">
              <w:rPr>
                <w:rFonts w:ascii="Cambria" w:hAnsi="Cambria"/>
                <w:b/>
                <w:color w:val="FFFFFF" w:themeColor="background1"/>
                <w:sz w:val="20"/>
                <w:szCs w:val="20"/>
              </w:rPr>
              <w:t>State’s first response:</w:t>
            </w:r>
          </w:p>
        </w:tc>
        <w:tc>
          <w:tcPr>
            <w:tcW w:w="5670" w:type="dxa"/>
            <w:vAlign w:val="center"/>
          </w:tcPr>
          <w:p w14:paraId="19C5DA57" w14:textId="414AA04D" w:rsidR="00F621C3" w:rsidRPr="007669E4" w:rsidRDefault="00140D49" w:rsidP="009163FC">
            <w:pPr>
              <w:jc w:val="both"/>
              <w:rPr>
                <w:rFonts w:ascii="Cambria" w:hAnsi="Cambria"/>
                <w:bCs/>
                <w:sz w:val="20"/>
                <w:szCs w:val="20"/>
              </w:rPr>
            </w:pPr>
            <w:r w:rsidRPr="007669E4">
              <w:rPr>
                <w:rFonts w:ascii="Cambria" w:hAnsi="Cambria"/>
                <w:bCs/>
                <w:sz w:val="20"/>
                <w:szCs w:val="20"/>
              </w:rPr>
              <w:t>December 17, 2019</w:t>
            </w:r>
          </w:p>
        </w:tc>
      </w:tr>
      <w:tr w:rsidR="003771A3" w:rsidRPr="007669E4"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7669E4" w:rsidRDefault="003771A3" w:rsidP="0023351C">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Additional observations from the petition</w:t>
            </w:r>
            <w:r w:rsidR="0023351C" w:rsidRPr="007669E4">
              <w:rPr>
                <w:rFonts w:ascii="Cambria" w:hAnsi="Cambria"/>
                <w:b/>
                <w:bCs/>
                <w:color w:val="FFFFFF" w:themeColor="background1"/>
                <w:sz w:val="20"/>
                <w:szCs w:val="20"/>
              </w:rPr>
              <w:t>er</w:t>
            </w:r>
            <w:r w:rsidRPr="007669E4">
              <w:rPr>
                <w:rFonts w:ascii="Cambria" w:hAnsi="Cambria"/>
                <w:b/>
                <w:bCs/>
                <w:color w:val="FFFFFF" w:themeColor="background1"/>
                <w:sz w:val="20"/>
                <w:szCs w:val="20"/>
              </w:rPr>
              <w:t>:</w:t>
            </w:r>
          </w:p>
        </w:tc>
        <w:tc>
          <w:tcPr>
            <w:tcW w:w="5670" w:type="dxa"/>
            <w:vAlign w:val="center"/>
          </w:tcPr>
          <w:p w14:paraId="2A863ACD" w14:textId="33532715" w:rsidR="003771A3" w:rsidRPr="007669E4" w:rsidRDefault="00140D49" w:rsidP="009163FC">
            <w:pPr>
              <w:jc w:val="both"/>
              <w:rPr>
                <w:rFonts w:ascii="Cambria" w:hAnsi="Cambria"/>
                <w:bCs/>
                <w:sz w:val="20"/>
                <w:szCs w:val="20"/>
              </w:rPr>
            </w:pPr>
            <w:r w:rsidRPr="007669E4">
              <w:rPr>
                <w:rFonts w:ascii="Cambria" w:hAnsi="Cambria"/>
                <w:bCs/>
                <w:sz w:val="20"/>
                <w:szCs w:val="20"/>
              </w:rPr>
              <w:t>May 5, 2020</w:t>
            </w:r>
            <w:r w:rsidR="00630D8B" w:rsidRPr="007669E4">
              <w:rPr>
                <w:rFonts w:ascii="Cambria" w:hAnsi="Cambria"/>
                <w:bCs/>
                <w:sz w:val="20"/>
                <w:szCs w:val="20"/>
              </w:rPr>
              <w:t>. November</w:t>
            </w:r>
            <w:r w:rsidR="00AC18C0" w:rsidRPr="007669E4">
              <w:rPr>
                <w:rFonts w:ascii="Cambria" w:hAnsi="Cambria"/>
                <w:bCs/>
                <w:sz w:val="20"/>
                <w:szCs w:val="20"/>
              </w:rPr>
              <w:t xml:space="preserve"> 20</w:t>
            </w:r>
            <w:r w:rsidR="00630D8B" w:rsidRPr="007669E4">
              <w:rPr>
                <w:rFonts w:ascii="Cambria" w:hAnsi="Cambria"/>
                <w:bCs/>
                <w:sz w:val="20"/>
                <w:szCs w:val="20"/>
              </w:rPr>
              <w:t>, 2020</w:t>
            </w:r>
          </w:p>
        </w:tc>
      </w:tr>
      <w:tr w:rsidR="00CF092B" w:rsidRPr="007669E4" w14:paraId="1A10CB21" w14:textId="77777777" w:rsidTr="00B06BB7">
        <w:tc>
          <w:tcPr>
            <w:tcW w:w="3690" w:type="dxa"/>
            <w:tcBorders>
              <w:top w:val="single" w:sz="6" w:space="0" w:color="auto"/>
              <w:bottom w:val="single" w:sz="6" w:space="0" w:color="auto"/>
            </w:tcBorders>
            <w:shd w:val="clear" w:color="auto" w:fill="67AE3C"/>
            <w:vAlign w:val="center"/>
          </w:tcPr>
          <w:p w14:paraId="58CD400B" w14:textId="6B1A450B" w:rsidR="00CF092B" w:rsidRPr="007669E4" w:rsidRDefault="00CF092B" w:rsidP="0023351C">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Additional observations from the State:</w:t>
            </w:r>
          </w:p>
        </w:tc>
        <w:tc>
          <w:tcPr>
            <w:tcW w:w="5670" w:type="dxa"/>
            <w:vAlign w:val="center"/>
          </w:tcPr>
          <w:p w14:paraId="551ECFA5" w14:textId="5B5E0473" w:rsidR="00CF092B" w:rsidRPr="007669E4" w:rsidRDefault="00CF092B" w:rsidP="009163FC">
            <w:pPr>
              <w:jc w:val="both"/>
              <w:rPr>
                <w:rFonts w:ascii="Cambria" w:hAnsi="Cambria"/>
                <w:bCs/>
                <w:sz w:val="20"/>
                <w:szCs w:val="20"/>
              </w:rPr>
            </w:pPr>
            <w:r w:rsidRPr="007669E4">
              <w:rPr>
                <w:rFonts w:ascii="Cambria" w:hAnsi="Cambria"/>
                <w:bCs/>
                <w:sz w:val="20"/>
                <w:szCs w:val="20"/>
              </w:rPr>
              <w:t>August 29, 2020</w:t>
            </w:r>
          </w:p>
        </w:tc>
      </w:tr>
    </w:tbl>
    <w:p w14:paraId="7F88B361" w14:textId="77777777" w:rsidR="00F621C3" w:rsidRPr="007669E4" w:rsidRDefault="00F621C3" w:rsidP="00F621C3">
      <w:pPr>
        <w:spacing w:before="240" w:after="240"/>
        <w:ind w:firstLine="720"/>
        <w:jc w:val="both"/>
        <w:rPr>
          <w:rFonts w:asciiTheme="majorHAnsi" w:hAnsiTheme="majorHAnsi"/>
          <w:b/>
          <w:bCs/>
          <w:sz w:val="20"/>
          <w:szCs w:val="20"/>
        </w:rPr>
      </w:pPr>
      <w:r w:rsidRPr="007669E4">
        <w:rPr>
          <w:rFonts w:asciiTheme="majorHAnsi" w:hAnsiTheme="majorHAnsi"/>
          <w:b/>
          <w:bCs/>
          <w:sz w:val="20"/>
          <w:szCs w:val="20"/>
        </w:rPr>
        <w:t xml:space="preserve">III. </w:t>
      </w:r>
      <w:r w:rsidRPr="007669E4">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F621C3" w:rsidRPr="007669E4" w14:paraId="2F81CC8B" w14:textId="77777777" w:rsidTr="006D2398">
        <w:trPr>
          <w:cantSplit/>
        </w:trPr>
        <w:tc>
          <w:tcPr>
            <w:tcW w:w="3655" w:type="dxa"/>
            <w:tcBorders>
              <w:top w:val="single" w:sz="4" w:space="0" w:color="auto"/>
              <w:bottom w:val="single" w:sz="6" w:space="0" w:color="auto"/>
            </w:tcBorders>
            <w:shd w:val="clear" w:color="auto" w:fill="67AE3C"/>
            <w:vAlign w:val="center"/>
          </w:tcPr>
          <w:p w14:paraId="3A568008" w14:textId="77777777" w:rsidR="00F621C3" w:rsidRPr="007669E4" w:rsidRDefault="00F621C3" w:rsidP="009163FC">
            <w:pPr>
              <w:jc w:val="center"/>
              <w:rPr>
                <w:rFonts w:ascii="Cambria" w:hAnsi="Cambria"/>
                <w:b/>
                <w:bCs/>
                <w:i/>
                <w:color w:val="FFFFFF" w:themeColor="background1"/>
                <w:sz w:val="20"/>
                <w:szCs w:val="20"/>
              </w:rPr>
            </w:pPr>
            <w:r w:rsidRPr="007669E4">
              <w:rPr>
                <w:rFonts w:ascii="Cambria" w:hAnsi="Cambria"/>
                <w:b/>
                <w:bCs/>
                <w:color w:val="FFFFFF" w:themeColor="background1"/>
                <w:sz w:val="20"/>
                <w:szCs w:val="20"/>
              </w:rPr>
              <w:t>Competence</w:t>
            </w:r>
            <w:r w:rsidRPr="007669E4">
              <w:rPr>
                <w:rFonts w:ascii="Cambria" w:hAnsi="Cambria"/>
                <w:b/>
                <w:bCs/>
                <w:i/>
                <w:color w:val="FFFFFF" w:themeColor="background1"/>
                <w:sz w:val="20"/>
                <w:szCs w:val="20"/>
              </w:rPr>
              <w:t xml:space="preserve"> Ratione personae:</w:t>
            </w:r>
          </w:p>
        </w:tc>
        <w:tc>
          <w:tcPr>
            <w:tcW w:w="5587" w:type="dxa"/>
            <w:vAlign w:val="center"/>
          </w:tcPr>
          <w:p w14:paraId="237A8D0C" w14:textId="77386185" w:rsidR="00F621C3" w:rsidRPr="007669E4" w:rsidRDefault="00594549" w:rsidP="009163FC">
            <w:pPr>
              <w:rPr>
                <w:rFonts w:asciiTheme="majorHAnsi" w:hAnsiTheme="majorHAnsi"/>
                <w:bCs/>
                <w:sz w:val="20"/>
                <w:szCs w:val="20"/>
              </w:rPr>
            </w:pPr>
            <w:r w:rsidRPr="007669E4">
              <w:rPr>
                <w:rFonts w:asciiTheme="majorHAnsi" w:hAnsiTheme="majorHAnsi"/>
                <w:bCs/>
                <w:sz w:val="20"/>
                <w:szCs w:val="20"/>
              </w:rPr>
              <w:t>Yes</w:t>
            </w:r>
          </w:p>
        </w:tc>
      </w:tr>
      <w:tr w:rsidR="00F621C3" w:rsidRPr="007669E4" w14:paraId="5FE56D1B" w14:textId="77777777" w:rsidTr="006D2398">
        <w:trPr>
          <w:cantSplit/>
        </w:trPr>
        <w:tc>
          <w:tcPr>
            <w:tcW w:w="3655" w:type="dxa"/>
            <w:tcBorders>
              <w:top w:val="single" w:sz="6" w:space="0" w:color="auto"/>
              <w:bottom w:val="single" w:sz="6" w:space="0" w:color="auto"/>
            </w:tcBorders>
            <w:shd w:val="clear" w:color="auto" w:fill="67AE3C"/>
            <w:vAlign w:val="center"/>
          </w:tcPr>
          <w:p w14:paraId="2190B967" w14:textId="77777777" w:rsidR="00F621C3" w:rsidRPr="007669E4" w:rsidRDefault="00F621C3" w:rsidP="009163FC">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Competence</w:t>
            </w:r>
            <w:r w:rsidRPr="007669E4">
              <w:rPr>
                <w:rFonts w:ascii="Cambria" w:hAnsi="Cambria"/>
                <w:b/>
                <w:bCs/>
                <w:i/>
                <w:color w:val="FFFFFF" w:themeColor="background1"/>
                <w:sz w:val="20"/>
                <w:szCs w:val="20"/>
              </w:rPr>
              <w:t xml:space="preserve"> Ratione loci</w:t>
            </w:r>
            <w:r w:rsidRPr="007669E4">
              <w:rPr>
                <w:rFonts w:ascii="Cambria" w:hAnsi="Cambria"/>
                <w:b/>
                <w:bCs/>
                <w:color w:val="FFFFFF" w:themeColor="background1"/>
                <w:sz w:val="20"/>
                <w:szCs w:val="20"/>
              </w:rPr>
              <w:t>:</w:t>
            </w:r>
          </w:p>
        </w:tc>
        <w:tc>
          <w:tcPr>
            <w:tcW w:w="5587" w:type="dxa"/>
            <w:vAlign w:val="center"/>
          </w:tcPr>
          <w:p w14:paraId="48257424" w14:textId="30EC29C8" w:rsidR="00F621C3" w:rsidRPr="007669E4" w:rsidRDefault="00594549" w:rsidP="009163FC">
            <w:pPr>
              <w:rPr>
                <w:rFonts w:asciiTheme="majorHAnsi" w:hAnsiTheme="majorHAnsi"/>
                <w:bCs/>
                <w:sz w:val="20"/>
                <w:szCs w:val="20"/>
              </w:rPr>
            </w:pPr>
            <w:r w:rsidRPr="007669E4">
              <w:rPr>
                <w:rFonts w:asciiTheme="majorHAnsi" w:hAnsiTheme="majorHAnsi"/>
                <w:bCs/>
                <w:sz w:val="20"/>
                <w:szCs w:val="20"/>
              </w:rPr>
              <w:t>Yes</w:t>
            </w:r>
          </w:p>
        </w:tc>
      </w:tr>
      <w:tr w:rsidR="00F621C3" w:rsidRPr="007669E4" w14:paraId="372B5DD8" w14:textId="77777777" w:rsidTr="006D2398">
        <w:trPr>
          <w:cantSplit/>
        </w:trPr>
        <w:tc>
          <w:tcPr>
            <w:tcW w:w="3655" w:type="dxa"/>
            <w:tcBorders>
              <w:top w:val="single" w:sz="6" w:space="0" w:color="auto"/>
              <w:bottom w:val="single" w:sz="6" w:space="0" w:color="auto"/>
            </w:tcBorders>
            <w:shd w:val="clear" w:color="auto" w:fill="67AE3C"/>
            <w:vAlign w:val="center"/>
          </w:tcPr>
          <w:p w14:paraId="7F979173" w14:textId="77777777" w:rsidR="00F621C3" w:rsidRPr="007669E4" w:rsidRDefault="00F621C3" w:rsidP="009163FC">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Competence</w:t>
            </w:r>
            <w:r w:rsidRPr="007669E4">
              <w:rPr>
                <w:rFonts w:ascii="Cambria" w:hAnsi="Cambria"/>
                <w:b/>
                <w:bCs/>
                <w:i/>
                <w:color w:val="FFFFFF" w:themeColor="background1"/>
                <w:sz w:val="20"/>
                <w:szCs w:val="20"/>
              </w:rPr>
              <w:t xml:space="preserve"> Ratione temporis</w:t>
            </w:r>
            <w:r w:rsidRPr="007669E4">
              <w:rPr>
                <w:rFonts w:ascii="Cambria" w:hAnsi="Cambria"/>
                <w:b/>
                <w:bCs/>
                <w:color w:val="FFFFFF" w:themeColor="background1"/>
                <w:sz w:val="20"/>
                <w:szCs w:val="20"/>
              </w:rPr>
              <w:t>:</w:t>
            </w:r>
          </w:p>
        </w:tc>
        <w:tc>
          <w:tcPr>
            <w:tcW w:w="5587" w:type="dxa"/>
            <w:vAlign w:val="center"/>
          </w:tcPr>
          <w:p w14:paraId="74B3F783" w14:textId="1EC0B925" w:rsidR="00F621C3" w:rsidRPr="007669E4" w:rsidRDefault="00594549" w:rsidP="009163FC">
            <w:pPr>
              <w:rPr>
                <w:rFonts w:asciiTheme="majorHAnsi" w:hAnsiTheme="majorHAnsi"/>
                <w:bCs/>
                <w:sz w:val="20"/>
                <w:szCs w:val="20"/>
              </w:rPr>
            </w:pPr>
            <w:r w:rsidRPr="007669E4">
              <w:rPr>
                <w:rFonts w:asciiTheme="majorHAnsi" w:hAnsiTheme="majorHAnsi"/>
                <w:bCs/>
                <w:sz w:val="20"/>
                <w:szCs w:val="20"/>
              </w:rPr>
              <w:t>Yes</w:t>
            </w:r>
          </w:p>
        </w:tc>
      </w:tr>
      <w:tr w:rsidR="006D2398" w:rsidRPr="007669E4" w14:paraId="6648704B" w14:textId="77777777" w:rsidTr="006D2398">
        <w:trPr>
          <w:cantSplit/>
        </w:trPr>
        <w:tc>
          <w:tcPr>
            <w:tcW w:w="3655" w:type="dxa"/>
            <w:tcBorders>
              <w:top w:val="single" w:sz="6" w:space="0" w:color="auto"/>
              <w:bottom w:val="single" w:sz="6" w:space="0" w:color="auto"/>
            </w:tcBorders>
            <w:shd w:val="clear" w:color="auto" w:fill="67AE3C"/>
            <w:vAlign w:val="center"/>
          </w:tcPr>
          <w:p w14:paraId="15BBE7AF" w14:textId="77777777" w:rsidR="006D2398" w:rsidRPr="007669E4" w:rsidRDefault="006D2398" w:rsidP="006D2398">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Competence</w:t>
            </w:r>
            <w:r w:rsidRPr="007669E4">
              <w:rPr>
                <w:rFonts w:ascii="Cambria" w:hAnsi="Cambria"/>
                <w:b/>
                <w:bCs/>
                <w:i/>
                <w:color w:val="FFFFFF" w:themeColor="background1"/>
                <w:sz w:val="20"/>
                <w:szCs w:val="20"/>
              </w:rPr>
              <w:t xml:space="preserve"> Ratione materiae</w:t>
            </w:r>
            <w:r w:rsidRPr="007669E4">
              <w:rPr>
                <w:rFonts w:ascii="Cambria" w:hAnsi="Cambria"/>
                <w:b/>
                <w:bCs/>
                <w:color w:val="FFFFFF" w:themeColor="background1"/>
                <w:sz w:val="20"/>
                <w:szCs w:val="20"/>
              </w:rPr>
              <w:t>:</w:t>
            </w:r>
          </w:p>
        </w:tc>
        <w:tc>
          <w:tcPr>
            <w:tcW w:w="5587" w:type="dxa"/>
          </w:tcPr>
          <w:p w14:paraId="64B3F199" w14:textId="0C9D7246" w:rsidR="006D2398" w:rsidRPr="007669E4" w:rsidRDefault="006D2398" w:rsidP="006D2398">
            <w:pPr>
              <w:jc w:val="both"/>
              <w:rPr>
                <w:rFonts w:asciiTheme="majorHAnsi" w:hAnsiTheme="majorHAnsi"/>
                <w:bCs/>
                <w:sz w:val="20"/>
                <w:szCs w:val="20"/>
              </w:rPr>
            </w:pPr>
            <w:r w:rsidRPr="007669E4">
              <w:rPr>
                <w:rFonts w:ascii="Cambria" w:hAnsi="Cambria"/>
                <w:bCs/>
                <w:sz w:val="19"/>
                <w:szCs w:val="19"/>
              </w:rPr>
              <w:t>Yes, American Convention (deposit of instrument of ratification made on August 7, 1978)</w:t>
            </w:r>
            <w:r w:rsidRPr="007669E4">
              <w:rPr>
                <w:sz w:val="19"/>
                <w:szCs w:val="19"/>
              </w:rPr>
              <w:t xml:space="preserve"> </w:t>
            </w:r>
          </w:p>
        </w:tc>
      </w:tr>
    </w:tbl>
    <w:p w14:paraId="0408D4CD" w14:textId="54A61356" w:rsidR="00F621C3" w:rsidRPr="007669E4" w:rsidRDefault="00F621C3" w:rsidP="00F621C3">
      <w:pPr>
        <w:spacing w:before="240" w:after="240"/>
        <w:ind w:firstLine="720"/>
        <w:jc w:val="both"/>
        <w:rPr>
          <w:rFonts w:asciiTheme="majorHAnsi" w:hAnsiTheme="majorHAnsi"/>
          <w:b/>
          <w:bCs/>
          <w:sz w:val="20"/>
          <w:szCs w:val="20"/>
        </w:rPr>
      </w:pPr>
      <w:r w:rsidRPr="007669E4">
        <w:rPr>
          <w:rFonts w:asciiTheme="majorHAnsi" w:hAnsiTheme="majorHAnsi"/>
          <w:b/>
          <w:bCs/>
          <w:sz w:val="20"/>
          <w:szCs w:val="20"/>
        </w:rPr>
        <w:t xml:space="preserve">IV. </w:t>
      </w:r>
      <w:r w:rsidRPr="007669E4">
        <w:rPr>
          <w:rFonts w:asciiTheme="majorHAnsi" w:hAnsiTheme="majorHAnsi"/>
          <w:b/>
          <w:bCs/>
          <w:sz w:val="20"/>
          <w:szCs w:val="20"/>
        </w:rPr>
        <w:tab/>
        <w:t xml:space="preserve">DUPLICATION OF PROCEDURES AND INTERNATIONAL </w:t>
      </w:r>
      <w:r w:rsidRPr="007669E4">
        <w:rPr>
          <w:rFonts w:asciiTheme="majorHAnsi" w:hAnsiTheme="majorHAnsi"/>
          <w:b/>
          <w:bCs/>
          <w:i/>
          <w:sz w:val="20"/>
          <w:szCs w:val="20"/>
        </w:rPr>
        <w:t>RES JUDICATA</w:t>
      </w:r>
      <w:r w:rsidRPr="007669E4">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7669E4"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7669E4" w:rsidRDefault="00F621C3" w:rsidP="009163FC">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 xml:space="preserve">Duplication of procedures and International </w:t>
            </w:r>
            <w:r w:rsidRPr="007669E4">
              <w:rPr>
                <w:rFonts w:ascii="Cambria" w:hAnsi="Cambria"/>
                <w:b/>
                <w:bCs/>
                <w:i/>
                <w:color w:val="FFFFFF" w:themeColor="background1"/>
                <w:sz w:val="20"/>
                <w:szCs w:val="20"/>
              </w:rPr>
              <w:t>res judicata</w:t>
            </w:r>
            <w:r w:rsidRPr="007669E4">
              <w:rPr>
                <w:rFonts w:ascii="Cambria" w:hAnsi="Cambria"/>
                <w:b/>
                <w:bCs/>
                <w:color w:val="FFFFFF" w:themeColor="background1"/>
                <w:sz w:val="20"/>
                <w:szCs w:val="20"/>
              </w:rPr>
              <w:t>:</w:t>
            </w:r>
          </w:p>
        </w:tc>
        <w:tc>
          <w:tcPr>
            <w:tcW w:w="5670" w:type="dxa"/>
            <w:vAlign w:val="center"/>
          </w:tcPr>
          <w:p w14:paraId="4773CD23" w14:textId="618DF005" w:rsidR="00F621C3" w:rsidRPr="007669E4" w:rsidRDefault="00594549" w:rsidP="009163FC">
            <w:pPr>
              <w:jc w:val="both"/>
              <w:rPr>
                <w:rFonts w:ascii="Cambria" w:hAnsi="Cambria"/>
                <w:bCs/>
                <w:sz w:val="20"/>
                <w:szCs w:val="20"/>
              </w:rPr>
            </w:pPr>
            <w:r w:rsidRPr="007669E4">
              <w:rPr>
                <w:rFonts w:ascii="Cambria" w:hAnsi="Cambria"/>
                <w:bCs/>
                <w:sz w:val="20"/>
                <w:szCs w:val="20"/>
              </w:rPr>
              <w:t>No</w:t>
            </w:r>
          </w:p>
        </w:tc>
      </w:tr>
      <w:tr w:rsidR="00F621C3" w:rsidRPr="007669E4"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7669E4" w:rsidRDefault="00F621C3" w:rsidP="009163FC">
            <w:pPr>
              <w:jc w:val="center"/>
              <w:rPr>
                <w:rFonts w:ascii="Cambria" w:hAnsi="Cambria"/>
                <w:b/>
                <w:bCs/>
                <w:i/>
                <w:color w:val="FFFFFF" w:themeColor="background1"/>
                <w:sz w:val="20"/>
                <w:szCs w:val="20"/>
              </w:rPr>
            </w:pPr>
            <w:r w:rsidRPr="007669E4">
              <w:rPr>
                <w:rFonts w:ascii="Cambria" w:hAnsi="Cambria"/>
                <w:b/>
                <w:bCs/>
                <w:color w:val="FFFFFF" w:themeColor="background1"/>
                <w:sz w:val="20"/>
                <w:szCs w:val="20"/>
              </w:rPr>
              <w:t>Rights declared admissible</w:t>
            </w:r>
          </w:p>
        </w:tc>
        <w:tc>
          <w:tcPr>
            <w:tcW w:w="5670" w:type="dxa"/>
            <w:vAlign w:val="center"/>
          </w:tcPr>
          <w:p w14:paraId="33BE4040" w14:textId="7A13505E" w:rsidR="00F621C3" w:rsidRPr="007669E4" w:rsidRDefault="00311ABE">
            <w:pPr>
              <w:jc w:val="both"/>
              <w:rPr>
                <w:rFonts w:ascii="Cambria" w:hAnsi="Cambria"/>
                <w:bCs/>
                <w:sz w:val="20"/>
                <w:szCs w:val="20"/>
              </w:rPr>
            </w:pPr>
            <w:r w:rsidRPr="007669E4">
              <w:rPr>
                <w:rFonts w:ascii="Cambria" w:hAnsi="Cambria"/>
                <w:bCs/>
                <w:sz w:val="19"/>
                <w:szCs w:val="19"/>
              </w:rPr>
              <w:t xml:space="preserve">Articles </w:t>
            </w:r>
            <w:r w:rsidR="00CC5DC1" w:rsidRPr="007669E4">
              <w:rPr>
                <w:rFonts w:ascii="Cambria" w:hAnsi="Cambria"/>
                <w:bCs/>
                <w:sz w:val="19"/>
                <w:szCs w:val="19"/>
              </w:rPr>
              <w:t>4 (Life), 5 (Humane Treatment), 8 (Fair Trial), and 25 (Judicial Protection) of the American Convention on Human Rights</w:t>
            </w:r>
            <w:r w:rsidR="00CC5DC1" w:rsidRPr="007669E4">
              <w:rPr>
                <w:rStyle w:val="FootnoteReference"/>
                <w:rFonts w:ascii="Cambria" w:hAnsi="Cambria"/>
                <w:bCs/>
                <w:sz w:val="19"/>
                <w:szCs w:val="19"/>
              </w:rPr>
              <w:footnoteReference w:id="5"/>
            </w:r>
            <w:r w:rsidR="00CC5DC1" w:rsidRPr="007669E4">
              <w:rPr>
                <w:rFonts w:ascii="Cambria" w:hAnsi="Cambria"/>
                <w:bCs/>
                <w:sz w:val="19"/>
                <w:szCs w:val="19"/>
              </w:rPr>
              <w:t xml:space="preserve">, and </w:t>
            </w:r>
            <w:r w:rsidRPr="007669E4">
              <w:rPr>
                <w:rFonts w:ascii="Cambria" w:hAnsi="Cambria"/>
                <w:bCs/>
                <w:sz w:val="19"/>
                <w:szCs w:val="19"/>
              </w:rPr>
              <w:t>A</w:t>
            </w:r>
            <w:r w:rsidR="00CC5DC1" w:rsidRPr="007669E4">
              <w:rPr>
                <w:rFonts w:ascii="Cambria" w:hAnsi="Cambria"/>
                <w:bCs/>
                <w:sz w:val="19"/>
                <w:szCs w:val="19"/>
              </w:rPr>
              <w:t>rticles 1.1 (Obligation To Respect Rights) and 2 (Domestic Legal Effects)</w:t>
            </w:r>
            <w:r w:rsidR="00CC5DC1" w:rsidRPr="007669E4">
              <w:rPr>
                <w:rFonts w:ascii="Cambria" w:hAnsi="Cambria"/>
                <w:bCs/>
                <w:color w:val="FF0000"/>
                <w:sz w:val="19"/>
                <w:szCs w:val="19"/>
              </w:rPr>
              <w:t xml:space="preserve"> </w:t>
            </w:r>
            <w:r w:rsidR="00CC5DC1" w:rsidRPr="007669E4">
              <w:rPr>
                <w:rFonts w:ascii="Cambria" w:hAnsi="Cambria"/>
                <w:bCs/>
                <w:sz w:val="19"/>
                <w:szCs w:val="19"/>
              </w:rPr>
              <w:t>of the same instrument</w:t>
            </w:r>
          </w:p>
        </w:tc>
      </w:tr>
      <w:tr w:rsidR="00F621C3" w:rsidRPr="007669E4"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7669E4" w:rsidRDefault="00F621C3" w:rsidP="009163FC">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0FC48066" w:rsidR="00F621C3" w:rsidRPr="007669E4" w:rsidRDefault="00140D49" w:rsidP="009163FC">
            <w:pPr>
              <w:rPr>
                <w:rFonts w:ascii="Cambria" w:hAnsi="Cambria"/>
                <w:bCs/>
                <w:sz w:val="20"/>
                <w:szCs w:val="20"/>
              </w:rPr>
            </w:pPr>
            <w:r w:rsidRPr="007669E4">
              <w:rPr>
                <w:rFonts w:ascii="Cambria" w:hAnsi="Cambria"/>
                <w:bCs/>
                <w:sz w:val="19"/>
                <w:szCs w:val="19"/>
              </w:rPr>
              <w:t>Yes,</w:t>
            </w:r>
            <w:r w:rsidRPr="007669E4">
              <w:rPr>
                <w:rFonts w:asciiTheme="majorHAnsi" w:hAnsiTheme="majorHAnsi"/>
                <w:bCs/>
                <w:sz w:val="19"/>
                <w:szCs w:val="19"/>
              </w:rPr>
              <w:t xml:space="preserve"> under the terms of section VI</w:t>
            </w:r>
          </w:p>
          <w:p w14:paraId="432DC56B" w14:textId="77777777" w:rsidR="00F621C3" w:rsidRPr="007669E4" w:rsidRDefault="00F621C3" w:rsidP="009163FC">
            <w:pPr>
              <w:rPr>
                <w:rFonts w:ascii="Cambria" w:hAnsi="Cambria"/>
                <w:bCs/>
                <w:sz w:val="20"/>
                <w:szCs w:val="20"/>
              </w:rPr>
            </w:pPr>
          </w:p>
        </w:tc>
      </w:tr>
      <w:tr w:rsidR="00F621C3" w:rsidRPr="007669E4"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7669E4" w:rsidRDefault="00F621C3" w:rsidP="009163FC">
            <w:pPr>
              <w:jc w:val="center"/>
              <w:rPr>
                <w:rFonts w:ascii="Cambria" w:hAnsi="Cambria"/>
                <w:b/>
                <w:bCs/>
                <w:color w:val="FFFFFF" w:themeColor="background1"/>
                <w:sz w:val="20"/>
                <w:szCs w:val="20"/>
              </w:rPr>
            </w:pPr>
            <w:r w:rsidRPr="007669E4">
              <w:rPr>
                <w:rFonts w:ascii="Cambria" w:hAnsi="Cambria"/>
                <w:b/>
                <w:bCs/>
                <w:color w:val="FFFFFF" w:themeColor="background1"/>
                <w:sz w:val="20"/>
                <w:szCs w:val="20"/>
              </w:rPr>
              <w:t>Timeliness of the petition:</w:t>
            </w:r>
          </w:p>
        </w:tc>
        <w:tc>
          <w:tcPr>
            <w:tcW w:w="5670" w:type="dxa"/>
            <w:vAlign w:val="center"/>
          </w:tcPr>
          <w:p w14:paraId="6A26CCE9" w14:textId="6357BCFB" w:rsidR="00F621C3" w:rsidRPr="007669E4" w:rsidRDefault="00140D49" w:rsidP="009163FC">
            <w:pPr>
              <w:rPr>
                <w:rFonts w:asciiTheme="majorHAnsi" w:hAnsiTheme="majorHAnsi"/>
                <w:bCs/>
                <w:sz w:val="20"/>
                <w:szCs w:val="20"/>
              </w:rPr>
            </w:pPr>
            <w:r w:rsidRPr="007669E4">
              <w:rPr>
                <w:rFonts w:ascii="Cambria" w:hAnsi="Cambria"/>
                <w:bCs/>
                <w:sz w:val="19"/>
                <w:szCs w:val="19"/>
              </w:rPr>
              <w:t>Yes,</w:t>
            </w:r>
            <w:r w:rsidRPr="007669E4">
              <w:rPr>
                <w:rFonts w:asciiTheme="majorHAnsi" w:hAnsiTheme="majorHAnsi"/>
                <w:bCs/>
                <w:sz w:val="19"/>
                <w:szCs w:val="19"/>
              </w:rPr>
              <w:t xml:space="preserve"> under the terms of section VI</w:t>
            </w:r>
          </w:p>
        </w:tc>
      </w:tr>
    </w:tbl>
    <w:p w14:paraId="72F1DECA" w14:textId="77777777" w:rsidR="00954611" w:rsidRPr="007669E4" w:rsidRDefault="00954611" w:rsidP="00F621C3">
      <w:pPr>
        <w:spacing w:before="240" w:after="240"/>
        <w:ind w:firstLine="720"/>
        <w:jc w:val="both"/>
        <w:rPr>
          <w:rFonts w:asciiTheme="majorHAnsi" w:hAnsiTheme="majorHAnsi"/>
          <w:b/>
          <w:sz w:val="20"/>
          <w:szCs w:val="20"/>
        </w:rPr>
      </w:pPr>
    </w:p>
    <w:p w14:paraId="629E2DE8" w14:textId="5ACFDA2D" w:rsidR="00F621C3" w:rsidRPr="007669E4" w:rsidRDefault="00F621C3" w:rsidP="00F621C3">
      <w:pPr>
        <w:spacing w:before="240" w:after="240"/>
        <w:ind w:firstLine="720"/>
        <w:jc w:val="both"/>
        <w:rPr>
          <w:rFonts w:asciiTheme="majorHAnsi" w:hAnsiTheme="majorHAnsi"/>
          <w:b/>
          <w:sz w:val="20"/>
          <w:szCs w:val="20"/>
        </w:rPr>
      </w:pPr>
      <w:r w:rsidRPr="007669E4">
        <w:rPr>
          <w:rFonts w:asciiTheme="majorHAnsi" w:hAnsiTheme="majorHAnsi"/>
          <w:b/>
          <w:sz w:val="20"/>
          <w:szCs w:val="20"/>
        </w:rPr>
        <w:lastRenderedPageBreak/>
        <w:t xml:space="preserve">V. </w:t>
      </w:r>
      <w:r w:rsidRPr="007669E4">
        <w:rPr>
          <w:rFonts w:asciiTheme="majorHAnsi" w:hAnsiTheme="majorHAnsi"/>
          <w:b/>
          <w:sz w:val="20"/>
          <w:szCs w:val="20"/>
        </w:rPr>
        <w:tab/>
      </w:r>
      <w:r w:rsidR="00706858" w:rsidRPr="007669E4">
        <w:rPr>
          <w:rFonts w:asciiTheme="majorHAnsi" w:hAnsiTheme="majorHAnsi"/>
          <w:b/>
          <w:sz w:val="20"/>
          <w:szCs w:val="20"/>
        </w:rPr>
        <w:t xml:space="preserve">ALLEGED </w:t>
      </w:r>
      <w:r w:rsidRPr="007669E4">
        <w:rPr>
          <w:rFonts w:asciiTheme="majorHAnsi" w:hAnsiTheme="majorHAnsi"/>
          <w:b/>
          <w:sz w:val="20"/>
          <w:szCs w:val="20"/>
        </w:rPr>
        <w:t xml:space="preserve">FACTS </w:t>
      </w:r>
    </w:p>
    <w:p w14:paraId="6953F7A4" w14:textId="295BF41B" w:rsidR="00F621C3" w:rsidRPr="007669E4" w:rsidRDefault="00C73385" w:rsidP="00C73385">
      <w:pPr>
        <w:pStyle w:val="ListParagraph"/>
        <w:numPr>
          <w:ilvl w:val="0"/>
          <w:numId w:val="103"/>
        </w:numPr>
        <w:jc w:val="both"/>
        <w:rPr>
          <w:rFonts w:eastAsia="Arial Unicode MS" w:cs="Times New Roman"/>
          <w:color w:val="auto"/>
          <w:sz w:val="20"/>
          <w:szCs w:val="20"/>
          <w:lang w:eastAsia="en-US"/>
        </w:rPr>
      </w:pPr>
      <w:r w:rsidRPr="007669E4">
        <w:rPr>
          <w:rFonts w:eastAsia="Arial Unicode MS" w:cs="Times New Roman"/>
          <w:color w:val="auto"/>
          <w:sz w:val="20"/>
          <w:szCs w:val="20"/>
          <w:lang w:eastAsia="en-US"/>
        </w:rPr>
        <w:t xml:space="preserve">The petitioners allege </w:t>
      </w:r>
      <w:r w:rsidR="001B4306" w:rsidRPr="007669E4">
        <w:rPr>
          <w:rFonts w:eastAsia="Arial Unicode MS" w:cs="Times New Roman"/>
          <w:color w:val="auto"/>
          <w:sz w:val="20"/>
          <w:szCs w:val="20"/>
          <w:lang w:eastAsia="en-US"/>
        </w:rPr>
        <w:t xml:space="preserve">the </w:t>
      </w:r>
      <w:r w:rsidR="000D17B2" w:rsidRPr="007669E4">
        <w:rPr>
          <w:rFonts w:eastAsia="Arial Unicode MS" w:cs="Times New Roman"/>
          <w:color w:val="auto"/>
          <w:sz w:val="20"/>
          <w:szCs w:val="20"/>
          <w:lang w:eastAsia="en-US"/>
        </w:rPr>
        <w:t xml:space="preserve">State </w:t>
      </w:r>
      <w:r w:rsidRPr="007669E4">
        <w:rPr>
          <w:rFonts w:eastAsia="Arial Unicode MS" w:cs="Times New Roman"/>
          <w:color w:val="auto"/>
          <w:sz w:val="20"/>
          <w:szCs w:val="20"/>
          <w:lang w:eastAsia="en-US"/>
        </w:rPr>
        <w:t xml:space="preserve">responsibility for the </w:t>
      </w:r>
      <w:r w:rsidR="00FA0016" w:rsidRPr="007669E4">
        <w:rPr>
          <w:rFonts w:eastAsia="Arial Unicode MS" w:cs="Times New Roman"/>
          <w:color w:val="auto"/>
          <w:sz w:val="20"/>
          <w:szCs w:val="20"/>
          <w:lang w:eastAsia="en-US"/>
        </w:rPr>
        <w:t xml:space="preserve">extrajudicial execution </w:t>
      </w:r>
      <w:r w:rsidRPr="007669E4">
        <w:rPr>
          <w:rFonts w:eastAsia="Arial Unicode MS" w:cs="Times New Roman"/>
          <w:color w:val="auto"/>
          <w:sz w:val="20"/>
          <w:szCs w:val="20"/>
          <w:lang w:eastAsia="en-US"/>
        </w:rPr>
        <w:t xml:space="preserve">of alleged victim Omar Evans, as well as the lack of due diligence in the investigation of the facts, plus violations </w:t>
      </w:r>
      <w:r w:rsidR="00311ABE" w:rsidRPr="007669E4">
        <w:rPr>
          <w:rFonts w:eastAsia="Arial Unicode MS" w:cs="Times New Roman"/>
          <w:color w:val="auto"/>
          <w:sz w:val="20"/>
          <w:szCs w:val="20"/>
          <w:lang w:eastAsia="en-US"/>
        </w:rPr>
        <w:t xml:space="preserve">of the rights </w:t>
      </w:r>
      <w:r w:rsidRPr="007669E4">
        <w:rPr>
          <w:rFonts w:eastAsia="Arial Unicode MS" w:cs="Times New Roman"/>
          <w:color w:val="auto"/>
          <w:sz w:val="20"/>
          <w:szCs w:val="20"/>
          <w:lang w:eastAsia="en-US"/>
        </w:rPr>
        <w:t>to judicial guarantees and judicial protection, which resulted in the lack of reparatio</w:t>
      </w:r>
      <w:r w:rsidR="000D17B2" w:rsidRPr="007669E4">
        <w:rPr>
          <w:rFonts w:eastAsia="Arial Unicode MS" w:cs="Times New Roman"/>
          <w:color w:val="auto"/>
          <w:sz w:val="20"/>
          <w:szCs w:val="20"/>
          <w:lang w:eastAsia="en-US"/>
        </w:rPr>
        <w:t>ns and compensation</w:t>
      </w:r>
      <w:r w:rsidRPr="007669E4">
        <w:rPr>
          <w:rFonts w:eastAsia="Arial Unicode MS" w:cs="Times New Roman"/>
          <w:color w:val="auto"/>
          <w:sz w:val="20"/>
          <w:szCs w:val="20"/>
          <w:lang w:eastAsia="en-US"/>
        </w:rPr>
        <w:t xml:space="preserve"> to the alleged victim</w:t>
      </w:r>
      <w:r w:rsidR="00311ABE" w:rsidRPr="007669E4">
        <w:rPr>
          <w:rFonts w:eastAsia="Arial Unicode MS" w:cs="Times New Roman"/>
          <w:color w:val="auto"/>
          <w:sz w:val="20"/>
          <w:szCs w:val="20"/>
          <w:lang w:eastAsia="en-US"/>
        </w:rPr>
        <w:t>´</w:t>
      </w:r>
      <w:r w:rsidRPr="007669E4">
        <w:rPr>
          <w:rFonts w:eastAsia="Arial Unicode MS" w:cs="Times New Roman"/>
          <w:color w:val="auto"/>
          <w:sz w:val="20"/>
          <w:szCs w:val="20"/>
          <w:lang w:eastAsia="en-US"/>
        </w:rPr>
        <w:t xml:space="preserve">s next of kin. </w:t>
      </w:r>
      <w:r w:rsidR="00311ABE" w:rsidRPr="007669E4">
        <w:rPr>
          <w:rFonts w:eastAsia="Arial Unicode MS" w:cs="Times New Roman"/>
          <w:color w:val="auto"/>
          <w:sz w:val="20"/>
          <w:szCs w:val="20"/>
          <w:lang w:eastAsia="en-US"/>
        </w:rPr>
        <w:t xml:space="preserve">They further submit that </w:t>
      </w:r>
      <w:r w:rsidR="00017111" w:rsidRPr="007669E4">
        <w:rPr>
          <w:sz w:val="20"/>
          <w:szCs w:val="20"/>
        </w:rPr>
        <w:t xml:space="preserve">Omar Evans’s extrajudicial killing and the subsequent failure of the State to diligently </w:t>
      </w:r>
      <w:r w:rsidR="001B4306" w:rsidRPr="007669E4">
        <w:rPr>
          <w:sz w:val="20"/>
          <w:szCs w:val="20"/>
        </w:rPr>
        <w:t>investigate,</w:t>
      </w:r>
      <w:r w:rsidR="00017111" w:rsidRPr="007669E4">
        <w:rPr>
          <w:sz w:val="20"/>
          <w:szCs w:val="20"/>
        </w:rPr>
        <w:t xml:space="preserve"> prosecute and punish the crime</w:t>
      </w:r>
      <w:r w:rsidR="001B4306" w:rsidRPr="007669E4">
        <w:rPr>
          <w:sz w:val="20"/>
          <w:szCs w:val="20"/>
        </w:rPr>
        <w:t>,</w:t>
      </w:r>
      <w:r w:rsidR="00017111" w:rsidRPr="007669E4">
        <w:rPr>
          <w:sz w:val="20"/>
          <w:szCs w:val="20"/>
        </w:rPr>
        <w:t xml:space="preserve"> fall within a well-documented pattern of fatal police shootings</w:t>
      </w:r>
      <w:r w:rsidR="00311ABE" w:rsidRPr="007669E4">
        <w:rPr>
          <w:sz w:val="20"/>
          <w:szCs w:val="20"/>
        </w:rPr>
        <w:t>, which</w:t>
      </w:r>
      <w:r w:rsidR="00017111" w:rsidRPr="007669E4">
        <w:rPr>
          <w:sz w:val="20"/>
          <w:szCs w:val="20"/>
        </w:rPr>
        <w:t xml:space="preserve"> enjoy virtually absolute impunity. </w:t>
      </w:r>
      <w:r w:rsidR="00311ABE" w:rsidRPr="007669E4">
        <w:rPr>
          <w:sz w:val="20"/>
          <w:szCs w:val="20"/>
        </w:rPr>
        <w:t>The p</w:t>
      </w:r>
      <w:r w:rsidR="00017111" w:rsidRPr="007669E4">
        <w:rPr>
          <w:sz w:val="20"/>
          <w:szCs w:val="20"/>
        </w:rPr>
        <w:t xml:space="preserve">etitioners </w:t>
      </w:r>
      <w:r w:rsidR="00311ABE" w:rsidRPr="007669E4">
        <w:rPr>
          <w:sz w:val="20"/>
          <w:szCs w:val="20"/>
        </w:rPr>
        <w:t xml:space="preserve">also </w:t>
      </w:r>
      <w:r w:rsidR="00017111" w:rsidRPr="007669E4">
        <w:rPr>
          <w:sz w:val="20"/>
          <w:szCs w:val="20"/>
        </w:rPr>
        <w:t xml:space="preserve">state that Omar Evans´ death and </w:t>
      </w:r>
      <w:r w:rsidR="00311ABE" w:rsidRPr="007669E4">
        <w:rPr>
          <w:sz w:val="20"/>
          <w:szCs w:val="20"/>
        </w:rPr>
        <w:t>his</w:t>
      </w:r>
      <w:r w:rsidR="00017111" w:rsidRPr="007669E4">
        <w:rPr>
          <w:sz w:val="20"/>
          <w:szCs w:val="20"/>
        </w:rPr>
        <w:t xml:space="preserve"> family’s intense suffering </w:t>
      </w:r>
      <w:r w:rsidR="00C930A8" w:rsidRPr="007669E4">
        <w:rPr>
          <w:sz w:val="20"/>
          <w:szCs w:val="20"/>
        </w:rPr>
        <w:t>is</w:t>
      </w:r>
      <w:r w:rsidR="00017111" w:rsidRPr="007669E4">
        <w:rPr>
          <w:sz w:val="20"/>
          <w:szCs w:val="20"/>
        </w:rPr>
        <w:t xml:space="preserve"> the result of deficient investigat</w:t>
      </w:r>
      <w:r w:rsidR="00311ABE" w:rsidRPr="007669E4">
        <w:rPr>
          <w:sz w:val="20"/>
          <w:szCs w:val="20"/>
        </w:rPr>
        <w:t>ive</w:t>
      </w:r>
      <w:r w:rsidR="00017111" w:rsidRPr="007669E4">
        <w:rPr>
          <w:sz w:val="20"/>
          <w:szCs w:val="20"/>
        </w:rPr>
        <w:t xml:space="preserve">, prosecutorial and judicial action that operated in tandem to shield police from accountability, and in this case led to an </w:t>
      </w:r>
      <w:r w:rsidR="00311ABE" w:rsidRPr="007669E4">
        <w:rPr>
          <w:sz w:val="20"/>
          <w:szCs w:val="20"/>
        </w:rPr>
        <w:t>avoidable</w:t>
      </w:r>
      <w:r w:rsidR="00017111" w:rsidRPr="007669E4">
        <w:rPr>
          <w:sz w:val="20"/>
          <w:szCs w:val="20"/>
        </w:rPr>
        <w:t xml:space="preserve"> </w:t>
      </w:r>
      <w:r w:rsidR="00311ABE" w:rsidRPr="007669E4">
        <w:rPr>
          <w:sz w:val="20"/>
          <w:szCs w:val="20"/>
        </w:rPr>
        <w:t>injustice</w:t>
      </w:r>
      <w:r w:rsidR="00017111" w:rsidRPr="007669E4">
        <w:rPr>
          <w:sz w:val="20"/>
          <w:szCs w:val="20"/>
        </w:rPr>
        <w:t>.</w:t>
      </w:r>
    </w:p>
    <w:p w14:paraId="49CC6A35" w14:textId="77777777" w:rsidR="00C73385" w:rsidRPr="007669E4" w:rsidRDefault="00C73385" w:rsidP="00C73385">
      <w:pPr>
        <w:pStyle w:val="ListParagraph"/>
        <w:jc w:val="both"/>
        <w:rPr>
          <w:rFonts w:eastAsia="Arial Unicode MS" w:cs="Times New Roman"/>
          <w:color w:val="auto"/>
          <w:sz w:val="20"/>
          <w:szCs w:val="20"/>
          <w:lang w:eastAsia="en-US"/>
        </w:rPr>
      </w:pPr>
    </w:p>
    <w:p w14:paraId="29A1C5E8" w14:textId="59CD06B6" w:rsidR="00B513C8" w:rsidRPr="007669E4" w:rsidRDefault="00311ABE" w:rsidP="00B513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669E4">
        <w:rPr>
          <w:rFonts w:ascii="Cambria" w:hAnsi="Cambria"/>
          <w:sz w:val="20"/>
          <w:szCs w:val="20"/>
        </w:rPr>
        <w:t>According to the p</w:t>
      </w:r>
      <w:r w:rsidR="00C73385" w:rsidRPr="007669E4">
        <w:rPr>
          <w:rFonts w:ascii="Cambria" w:hAnsi="Cambria"/>
          <w:sz w:val="20"/>
          <w:szCs w:val="20"/>
        </w:rPr>
        <w:t>etitioners</w:t>
      </w:r>
      <w:r w:rsidRPr="007669E4">
        <w:rPr>
          <w:rFonts w:ascii="Cambria" w:hAnsi="Cambria"/>
          <w:sz w:val="20"/>
          <w:szCs w:val="20"/>
        </w:rPr>
        <w:t>,</w:t>
      </w:r>
      <w:r w:rsidR="00C73385" w:rsidRPr="007669E4">
        <w:rPr>
          <w:rFonts w:ascii="Cambria" w:hAnsi="Cambria"/>
          <w:sz w:val="20"/>
          <w:szCs w:val="20"/>
        </w:rPr>
        <w:t xml:space="preserve"> Omar E</w:t>
      </w:r>
      <w:r w:rsidR="00200CAB" w:rsidRPr="007669E4">
        <w:rPr>
          <w:rFonts w:ascii="Cambria" w:hAnsi="Cambria"/>
          <w:sz w:val="20"/>
          <w:szCs w:val="20"/>
        </w:rPr>
        <w:t xml:space="preserve">vans </w:t>
      </w:r>
      <w:r w:rsidRPr="007669E4">
        <w:rPr>
          <w:rFonts w:ascii="Cambria" w:hAnsi="Cambria"/>
          <w:sz w:val="20"/>
          <w:szCs w:val="20"/>
        </w:rPr>
        <w:t xml:space="preserve">was </w:t>
      </w:r>
      <w:r w:rsidR="00200CAB" w:rsidRPr="007669E4">
        <w:rPr>
          <w:rFonts w:ascii="Cambria" w:hAnsi="Cambria"/>
          <w:sz w:val="20"/>
          <w:szCs w:val="20"/>
        </w:rPr>
        <w:t xml:space="preserve">a </w:t>
      </w:r>
      <w:r w:rsidR="0079379D" w:rsidRPr="007669E4">
        <w:rPr>
          <w:rFonts w:ascii="Cambria" w:hAnsi="Cambria"/>
          <w:sz w:val="20"/>
          <w:szCs w:val="20"/>
        </w:rPr>
        <w:t>27-year-old</w:t>
      </w:r>
      <w:r w:rsidR="00200CAB" w:rsidRPr="007669E4">
        <w:rPr>
          <w:rFonts w:ascii="Cambria" w:hAnsi="Cambria"/>
          <w:sz w:val="20"/>
          <w:szCs w:val="20"/>
        </w:rPr>
        <w:t xml:space="preserve"> welder employed at the Jose Marti High School</w:t>
      </w:r>
      <w:r w:rsidR="00247649" w:rsidRPr="007669E4">
        <w:rPr>
          <w:rFonts w:ascii="Cambria" w:hAnsi="Cambria"/>
          <w:sz w:val="20"/>
          <w:szCs w:val="20"/>
        </w:rPr>
        <w:t>,</w:t>
      </w:r>
      <w:r w:rsidRPr="007669E4">
        <w:rPr>
          <w:rFonts w:ascii="Cambria" w:hAnsi="Cambria"/>
          <w:sz w:val="20"/>
          <w:szCs w:val="20"/>
        </w:rPr>
        <w:t xml:space="preserve"> </w:t>
      </w:r>
      <w:r w:rsidR="00C73385" w:rsidRPr="007669E4">
        <w:rPr>
          <w:rFonts w:ascii="Cambria" w:hAnsi="Cambria"/>
          <w:sz w:val="20"/>
          <w:szCs w:val="20"/>
        </w:rPr>
        <w:t>was shot and killed by two Jamaican C</w:t>
      </w:r>
      <w:r w:rsidR="00200CAB" w:rsidRPr="007669E4">
        <w:rPr>
          <w:rFonts w:ascii="Cambria" w:hAnsi="Cambria"/>
          <w:sz w:val="20"/>
          <w:szCs w:val="20"/>
        </w:rPr>
        <w:t>o</w:t>
      </w:r>
      <w:r w:rsidR="00C73385" w:rsidRPr="007669E4">
        <w:rPr>
          <w:rFonts w:ascii="Cambria" w:hAnsi="Cambria"/>
          <w:sz w:val="20"/>
          <w:szCs w:val="20"/>
        </w:rPr>
        <w:t>nstabulary F</w:t>
      </w:r>
      <w:r w:rsidR="00200CAB" w:rsidRPr="007669E4">
        <w:rPr>
          <w:rFonts w:ascii="Cambria" w:hAnsi="Cambria"/>
          <w:sz w:val="20"/>
          <w:szCs w:val="20"/>
        </w:rPr>
        <w:t>o</w:t>
      </w:r>
      <w:r w:rsidR="00C73385" w:rsidRPr="007669E4">
        <w:rPr>
          <w:rFonts w:ascii="Cambria" w:hAnsi="Cambria"/>
          <w:sz w:val="20"/>
          <w:szCs w:val="20"/>
        </w:rPr>
        <w:t>rce (J</w:t>
      </w:r>
      <w:r w:rsidRPr="007669E4">
        <w:rPr>
          <w:rFonts w:ascii="Cambria" w:hAnsi="Cambria"/>
          <w:sz w:val="20"/>
          <w:szCs w:val="20"/>
        </w:rPr>
        <w:t>C</w:t>
      </w:r>
      <w:r w:rsidR="00C73385" w:rsidRPr="007669E4">
        <w:rPr>
          <w:rFonts w:ascii="Cambria" w:hAnsi="Cambria"/>
          <w:sz w:val="20"/>
          <w:szCs w:val="20"/>
        </w:rPr>
        <w:t xml:space="preserve">F) officers on September 19, 2001 in Central Village in the parish of St Catherine where </w:t>
      </w:r>
      <w:r w:rsidRPr="007669E4">
        <w:rPr>
          <w:rFonts w:ascii="Cambria" w:hAnsi="Cambria"/>
          <w:sz w:val="20"/>
          <w:szCs w:val="20"/>
        </w:rPr>
        <w:t>he</w:t>
      </w:r>
      <w:r w:rsidR="00C73385" w:rsidRPr="007669E4">
        <w:rPr>
          <w:rFonts w:ascii="Cambria" w:hAnsi="Cambria"/>
          <w:sz w:val="20"/>
          <w:szCs w:val="20"/>
        </w:rPr>
        <w:t xml:space="preserve"> was working on a construction site at </w:t>
      </w:r>
      <w:r w:rsidR="00D30D55" w:rsidRPr="007669E4">
        <w:rPr>
          <w:rFonts w:ascii="Cambria" w:hAnsi="Cambria"/>
          <w:sz w:val="20"/>
          <w:szCs w:val="20"/>
        </w:rPr>
        <w:t xml:space="preserve">said </w:t>
      </w:r>
      <w:r w:rsidRPr="007669E4">
        <w:rPr>
          <w:rFonts w:ascii="Cambria" w:hAnsi="Cambria"/>
          <w:sz w:val="20"/>
          <w:szCs w:val="20"/>
        </w:rPr>
        <w:t>s</w:t>
      </w:r>
      <w:r w:rsidR="00C73385" w:rsidRPr="007669E4">
        <w:rPr>
          <w:rFonts w:ascii="Cambria" w:hAnsi="Cambria"/>
          <w:sz w:val="20"/>
          <w:szCs w:val="20"/>
        </w:rPr>
        <w:t xml:space="preserve">chool.  </w:t>
      </w:r>
      <w:r w:rsidR="00D30D55" w:rsidRPr="007669E4">
        <w:rPr>
          <w:rFonts w:ascii="Cambria" w:hAnsi="Cambria"/>
          <w:sz w:val="20"/>
          <w:szCs w:val="20"/>
        </w:rPr>
        <w:t>Eyewitness account</w:t>
      </w:r>
      <w:r w:rsidR="00200CAB" w:rsidRPr="007669E4">
        <w:rPr>
          <w:rFonts w:ascii="Cambria" w:hAnsi="Cambria"/>
          <w:sz w:val="20"/>
          <w:szCs w:val="20"/>
        </w:rPr>
        <w:t xml:space="preserve">s said that a JCF vehicle arrived at the High </w:t>
      </w:r>
      <w:r w:rsidR="0079379D" w:rsidRPr="007669E4">
        <w:rPr>
          <w:rFonts w:ascii="Cambria" w:hAnsi="Cambria"/>
          <w:sz w:val="20"/>
          <w:szCs w:val="20"/>
        </w:rPr>
        <w:t>School</w:t>
      </w:r>
      <w:r w:rsidR="00200CAB" w:rsidRPr="007669E4">
        <w:rPr>
          <w:rFonts w:ascii="Cambria" w:hAnsi="Cambria"/>
          <w:sz w:val="20"/>
          <w:szCs w:val="20"/>
        </w:rPr>
        <w:t xml:space="preserve"> and</w:t>
      </w:r>
      <w:r w:rsidR="001D53BC" w:rsidRPr="007669E4">
        <w:rPr>
          <w:rFonts w:ascii="Cambria" w:hAnsi="Cambria"/>
          <w:sz w:val="20"/>
          <w:szCs w:val="20"/>
        </w:rPr>
        <w:t xml:space="preserve"> that its</w:t>
      </w:r>
      <w:r w:rsidR="00200CAB" w:rsidRPr="007669E4">
        <w:rPr>
          <w:rFonts w:ascii="Cambria" w:hAnsi="Cambria"/>
          <w:sz w:val="20"/>
          <w:szCs w:val="20"/>
        </w:rPr>
        <w:t xml:space="preserve"> officer</w:t>
      </w:r>
      <w:r w:rsidR="001D53BC" w:rsidRPr="007669E4">
        <w:rPr>
          <w:rFonts w:ascii="Cambria" w:hAnsi="Cambria"/>
          <w:sz w:val="20"/>
          <w:szCs w:val="20"/>
        </w:rPr>
        <w:t>s</w:t>
      </w:r>
      <w:r w:rsidR="00200CAB" w:rsidRPr="007669E4">
        <w:rPr>
          <w:rFonts w:ascii="Cambria" w:hAnsi="Cambria"/>
          <w:sz w:val="20"/>
          <w:szCs w:val="20"/>
        </w:rPr>
        <w:t xml:space="preserve"> </w:t>
      </w:r>
      <w:r w:rsidR="0079379D" w:rsidRPr="007669E4">
        <w:rPr>
          <w:rFonts w:ascii="Cambria" w:hAnsi="Cambria"/>
          <w:sz w:val="20"/>
          <w:szCs w:val="20"/>
        </w:rPr>
        <w:t>surr</w:t>
      </w:r>
      <w:r w:rsidR="001D53BC" w:rsidRPr="007669E4">
        <w:rPr>
          <w:rFonts w:ascii="Cambria" w:hAnsi="Cambria"/>
          <w:sz w:val="20"/>
          <w:szCs w:val="20"/>
        </w:rPr>
        <w:t>ounded</w:t>
      </w:r>
      <w:r w:rsidR="00200CAB" w:rsidRPr="007669E4">
        <w:rPr>
          <w:rFonts w:ascii="Cambria" w:hAnsi="Cambria"/>
          <w:sz w:val="20"/>
          <w:szCs w:val="20"/>
        </w:rPr>
        <w:t xml:space="preserve"> the campus, </w:t>
      </w:r>
      <w:r w:rsidR="000D17B2" w:rsidRPr="007669E4">
        <w:rPr>
          <w:rFonts w:ascii="Cambria" w:hAnsi="Cambria"/>
          <w:sz w:val="20"/>
          <w:szCs w:val="20"/>
        </w:rPr>
        <w:t xml:space="preserve">and </w:t>
      </w:r>
      <w:r w:rsidR="00200CAB" w:rsidRPr="007669E4">
        <w:rPr>
          <w:rFonts w:ascii="Cambria" w:hAnsi="Cambria"/>
          <w:sz w:val="20"/>
          <w:szCs w:val="20"/>
        </w:rPr>
        <w:t xml:space="preserve">that </w:t>
      </w:r>
      <w:r w:rsidR="001D53BC" w:rsidRPr="007669E4">
        <w:rPr>
          <w:rFonts w:ascii="Cambria" w:hAnsi="Cambria"/>
          <w:sz w:val="20"/>
          <w:szCs w:val="20"/>
        </w:rPr>
        <w:t xml:space="preserve">subsequently one of </w:t>
      </w:r>
      <w:r w:rsidR="00A942D4" w:rsidRPr="007669E4">
        <w:rPr>
          <w:rFonts w:ascii="Cambria" w:hAnsi="Cambria"/>
          <w:sz w:val="20"/>
          <w:szCs w:val="20"/>
        </w:rPr>
        <w:t>them said</w:t>
      </w:r>
      <w:r w:rsidR="001D53BC" w:rsidRPr="007669E4">
        <w:rPr>
          <w:rFonts w:ascii="Cambria" w:hAnsi="Cambria"/>
          <w:sz w:val="20"/>
          <w:szCs w:val="20"/>
        </w:rPr>
        <w:t xml:space="preserve"> </w:t>
      </w:r>
      <w:r w:rsidR="00200CAB" w:rsidRPr="007669E4">
        <w:rPr>
          <w:rFonts w:ascii="Cambria" w:hAnsi="Cambria"/>
          <w:sz w:val="20"/>
          <w:szCs w:val="20"/>
        </w:rPr>
        <w:t>to Mr. Evans “M</w:t>
      </w:r>
      <w:r w:rsidR="0079379D" w:rsidRPr="007669E4">
        <w:rPr>
          <w:rFonts w:ascii="Cambria" w:hAnsi="Cambria"/>
          <w:sz w:val="20"/>
          <w:szCs w:val="20"/>
        </w:rPr>
        <w:t>atthe</w:t>
      </w:r>
      <w:r w:rsidR="00200CAB" w:rsidRPr="007669E4">
        <w:rPr>
          <w:rFonts w:ascii="Cambria" w:hAnsi="Cambria"/>
          <w:sz w:val="20"/>
          <w:szCs w:val="20"/>
        </w:rPr>
        <w:t xml:space="preserve">w, don’t </w:t>
      </w:r>
      <w:r w:rsidR="001D53BC" w:rsidRPr="007669E4">
        <w:rPr>
          <w:rFonts w:ascii="Cambria" w:hAnsi="Cambria"/>
          <w:sz w:val="20"/>
          <w:szCs w:val="20"/>
        </w:rPr>
        <w:t xml:space="preserve">move”; however, </w:t>
      </w:r>
      <w:r w:rsidR="00200CAB" w:rsidRPr="007669E4">
        <w:rPr>
          <w:rFonts w:ascii="Cambria" w:hAnsi="Cambria"/>
          <w:sz w:val="20"/>
          <w:szCs w:val="20"/>
        </w:rPr>
        <w:t>Mr</w:t>
      </w:r>
      <w:r w:rsidR="0079379D" w:rsidRPr="007669E4">
        <w:rPr>
          <w:rFonts w:ascii="Cambria" w:hAnsi="Cambria"/>
          <w:sz w:val="20"/>
          <w:szCs w:val="20"/>
        </w:rPr>
        <w:t>.</w:t>
      </w:r>
      <w:r w:rsidR="00200CAB" w:rsidRPr="007669E4">
        <w:rPr>
          <w:rFonts w:ascii="Cambria" w:hAnsi="Cambria"/>
          <w:sz w:val="20"/>
          <w:szCs w:val="20"/>
        </w:rPr>
        <w:t xml:space="preserve"> Evans ran away and hid in a cellar. </w:t>
      </w:r>
      <w:r w:rsidR="001D53BC" w:rsidRPr="007669E4">
        <w:rPr>
          <w:rFonts w:ascii="Cambria" w:hAnsi="Cambria"/>
          <w:sz w:val="20"/>
          <w:szCs w:val="20"/>
        </w:rPr>
        <w:t xml:space="preserve">They add </w:t>
      </w:r>
      <w:r w:rsidR="000D17B2" w:rsidRPr="007669E4">
        <w:rPr>
          <w:rFonts w:ascii="Cambria" w:hAnsi="Cambria"/>
          <w:sz w:val="20"/>
          <w:szCs w:val="20"/>
        </w:rPr>
        <w:t xml:space="preserve">that </w:t>
      </w:r>
      <w:r w:rsidR="001D53BC" w:rsidRPr="007669E4">
        <w:rPr>
          <w:rFonts w:ascii="Cambria" w:hAnsi="Cambria"/>
          <w:sz w:val="20"/>
          <w:szCs w:val="20"/>
        </w:rPr>
        <w:t xml:space="preserve">the </w:t>
      </w:r>
      <w:r w:rsidR="000D17B2" w:rsidRPr="007669E4">
        <w:rPr>
          <w:rFonts w:ascii="Cambria" w:hAnsi="Cambria"/>
          <w:sz w:val="20"/>
          <w:szCs w:val="20"/>
        </w:rPr>
        <w:t>o</w:t>
      </w:r>
      <w:r w:rsidR="00200CAB" w:rsidRPr="007669E4">
        <w:rPr>
          <w:rFonts w:ascii="Cambria" w:hAnsi="Cambria"/>
          <w:sz w:val="20"/>
          <w:szCs w:val="20"/>
        </w:rPr>
        <w:t xml:space="preserve">fficer </w:t>
      </w:r>
      <w:r w:rsidR="001D53BC" w:rsidRPr="007669E4">
        <w:rPr>
          <w:rFonts w:ascii="Cambria" w:hAnsi="Cambria"/>
          <w:sz w:val="20"/>
          <w:szCs w:val="20"/>
        </w:rPr>
        <w:t xml:space="preserve">and a colleague </w:t>
      </w:r>
      <w:r w:rsidR="00200CAB" w:rsidRPr="007669E4">
        <w:rPr>
          <w:rFonts w:ascii="Cambria" w:hAnsi="Cambria"/>
          <w:sz w:val="20"/>
          <w:szCs w:val="20"/>
        </w:rPr>
        <w:t xml:space="preserve">followed the </w:t>
      </w:r>
      <w:r w:rsidR="0079379D" w:rsidRPr="007669E4">
        <w:rPr>
          <w:rFonts w:ascii="Cambria" w:hAnsi="Cambria"/>
          <w:sz w:val="20"/>
          <w:szCs w:val="20"/>
        </w:rPr>
        <w:t>alleged</w:t>
      </w:r>
      <w:r w:rsidR="00200CAB" w:rsidRPr="007669E4">
        <w:rPr>
          <w:rFonts w:ascii="Cambria" w:hAnsi="Cambria"/>
          <w:sz w:val="20"/>
          <w:szCs w:val="20"/>
        </w:rPr>
        <w:t xml:space="preserve"> victim to the cellar and opened fire</w:t>
      </w:r>
      <w:r w:rsidR="00247649" w:rsidRPr="007669E4">
        <w:rPr>
          <w:rFonts w:ascii="Cambria" w:hAnsi="Cambria"/>
          <w:sz w:val="20"/>
          <w:szCs w:val="20"/>
        </w:rPr>
        <w:t>,</w:t>
      </w:r>
      <w:r w:rsidR="001D53BC" w:rsidRPr="007669E4">
        <w:rPr>
          <w:rFonts w:ascii="Cambria" w:hAnsi="Cambria"/>
          <w:sz w:val="20"/>
          <w:szCs w:val="20"/>
        </w:rPr>
        <w:t xml:space="preserve"> they t</w:t>
      </w:r>
      <w:r w:rsidR="00200CAB" w:rsidRPr="007669E4">
        <w:rPr>
          <w:rFonts w:ascii="Cambria" w:hAnsi="Cambria"/>
          <w:sz w:val="20"/>
          <w:szCs w:val="20"/>
        </w:rPr>
        <w:t>hen dragged Mr. Evans from the cellar</w:t>
      </w:r>
      <w:r w:rsidR="001D53BC" w:rsidRPr="007669E4">
        <w:rPr>
          <w:rFonts w:ascii="Cambria" w:hAnsi="Cambria"/>
          <w:sz w:val="20"/>
          <w:szCs w:val="20"/>
        </w:rPr>
        <w:t>,</w:t>
      </w:r>
      <w:r w:rsidR="00200CAB" w:rsidRPr="007669E4">
        <w:rPr>
          <w:rFonts w:ascii="Cambria" w:hAnsi="Cambria"/>
          <w:sz w:val="20"/>
          <w:szCs w:val="20"/>
        </w:rPr>
        <w:t xml:space="preserve"> produced a gun</w:t>
      </w:r>
      <w:r w:rsidR="001D53BC" w:rsidRPr="007669E4">
        <w:rPr>
          <w:rFonts w:ascii="Cambria" w:hAnsi="Cambria"/>
          <w:sz w:val="20"/>
          <w:szCs w:val="20"/>
        </w:rPr>
        <w:t>,</w:t>
      </w:r>
      <w:r w:rsidR="00200CAB" w:rsidRPr="007669E4">
        <w:rPr>
          <w:rFonts w:ascii="Cambria" w:hAnsi="Cambria"/>
          <w:sz w:val="20"/>
          <w:szCs w:val="20"/>
        </w:rPr>
        <w:t xml:space="preserve"> and fired two shots into the air. Mr. Evans was subsequently taken to the Spanish Town hospital</w:t>
      </w:r>
      <w:r w:rsidR="001D53BC" w:rsidRPr="007669E4">
        <w:rPr>
          <w:rFonts w:ascii="Cambria" w:hAnsi="Cambria"/>
          <w:sz w:val="20"/>
          <w:szCs w:val="20"/>
        </w:rPr>
        <w:t>,</w:t>
      </w:r>
      <w:r w:rsidR="00200CAB" w:rsidRPr="007669E4">
        <w:rPr>
          <w:rFonts w:ascii="Cambria" w:hAnsi="Cambria"/>
          <w:sz w:val="20"/>
          <w:szCs w:val="20"/>
        </w:rPr>
        <w:t xml:space="preserve"> where he was declared dead. </w:t>
      </w:r>
      <w:r w:rsidR="001D53BC" w:rsidRPr="007669E4">
        <w:rPr>
          <w:rFonts w:ascii="Cambria" w:hAnsi="Cambria"/>
          <w:sz w:val="20"/>
          <w:szCs w:val="20"/>
        </w:rPr>
        <w:t>The p</w:t>
      </w:r>
      <w:r w:rsidR="0079379D" w:rsidRPr="007669E4">
        <w:rPr>
          <w:rFonts w:ascii="Cambria" w:hAnsi="Cambria"/>
          <w:sz w:val="20"/>
          <w:szCs w:val="20"/>
        </w:rPr>
        <w:t xml:space="preserve">etitioners </w:t>
      </w:r>
      <w:r w:rsidR="001D53BC" w:rsidRPr="007669E4">
        <w:rPr>
          <w:rFonts w:ascii="Cambria" w:hAnsi="Cambria"/>
          <w:sz w:val="20"/>
          <w:szCs w:val="20"/>
        </w:rPr>
        <w:t>submit</w:t>
      </w:r>
      <w:r w:rsidR="000D17B2" w:rsidRPr="007669E4">
        <w:rPr>
          <w:rFonts w:ascii="Cambria" w:hAnsi="Cambria"/>
          <w:sz w:val="20"/>
          <w:szCs w:val="20"/>
        </w:rPr>
        <w:t xml:space="preserve"> that the security guard at the </w:t>
      </w:r>
      <w:r w:rsidR="00D30D55" w:rsidRPr="007669E4">
        <w:rPr>
          <w:rFonts w:ascii="Cambria" w:hAnsi="Cambria"/>
          <w:sz w:val="20"/>
          <w:szCs w:val="20"/>
        </w:rPr>
        <w:t>High S</w:t>
      </w:r>
      <w:r w:rsidR="0079379D" w:rsidRPr="007669E4">
        <w:rPr>
          <w:rFonts w:ascii="Cambria" w:hAnsi="Cambria"/>
          <w:sz w:val="20"/>
          <w:szCs w:val="20"/>
        </w:rPr>
        <w:t xml:space="preserve">chool, </w:t>
      </w:r>
      <w:r w:rsidR="00C930A8" w:rsidRPr="007669E4">
        <w:rPr>
          <w:rFonts w:ascii="Cambria" w:hAnsi="Cambria"/>
          <w:sz w:val="20"/>
          <w:szCs w:val="20"/>
        </w:rPr>
        <w:t xml:space="preserve">another eyewitness, </w:t>
      </w:r>
      <w:r w:rsidR="0079379D" w:rsidRPr="007669E4">
        <w:rPr>
          <w:rFonts w:ascii="Cambria" w:hAnsi="Cambria"/>
          <w:sz w:val="20"/>
          <w:szCs w:val="20"/>
        </w:rPr>
        <w:t>confirmed that four officers had shot into the cellar of the building and that Evans</w:t>
      </w:r>
      <w:r w:rsidR="001D53BC" w:rsidRPr="007669E4">
        <w:rPr>
          <w:rFonts w:ascii="Cambria" w:hAnsi="Cambria"/>
          <w:sz w:val="20"/>
          <w:szCs w:val="20"/>
        </w:rPr>
        <w:t>´</w:t>
      </w:r>
      <w:r w:rsidR="0079379D" w:rsidRPr="007669E4">
        <w:rPr>
          <w:rFonts w:ascii="Cambria" w:hAnsi="Cambria"/>
          <w:sz w:val="20"/>
          <w:szCs w:val="20"/>
        </w:rPr>
        <w:t xml:space="preserve"> body was drawn out with gunshots everywhere. </w:t>
      </w:r>
      <w:r w:rsidR="00B513C8" w:rsidRPr="007669E4">
        <w:rPr>
          <w:rFonts w:ascii="Cambria" w:hAnsi="Cambria"/>
          <w:sz w:val="20"/>
          <w:szCs w:val="20"/>
        </w:rPr>
        <w:t>The post mortem report indicated that Omar Evans was shot 11 times.</w:t>
      </w:r>
    </w:p>
    <w:p w14:paraId="734E677C" w14:textId="4A69019A" w:rsidR="00C84D0A" w:rsidRPr="007669E4" w:rsidRDefault="0010135D" w:rsidP="00B513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669E4">
        <w:rPr>
          <w:rFonts w:ascii="Cambria" w:hAnsi="Cambria"/>
          <w:sz w:val="20"/>
          <w:szCs w:val="20"/>
        </w:rPr>
        <w:t>Additionally</w:t>
      </w:r>
      <w:r w:rsidR="00A942D4" w:rsidRPr="007669E4">
        <w:rPr>
          <w:rFonts w:ascii="Cambria" w:hAnsi="Cambria"/>
          <w:sz w:val="20"/>
          <w:szCs w:val="20"/>
        </w:rPr>
        <w:t>, an</w:t>
      </w:r>
      <w:r w:rsidR="00FF3102" w:rsidRPr="007669E4">
        <w:rPr>
          <w:rFonts w:ascii="Cambria" w:hAnsi="Cambria"/>
          <w:sz w:val="20"/>
          <w:szCs w:val="20"/>
        </w:rPr>
        <w:t xml:space="preserve"> eyewitness </w:t>
      </w:r>
      <w:r w:rsidRPr="007669E4">
        <w:rPr>
          <w:rFonts w:ascii="Cambria" w:hAnsi="Cambria"/>
          <w:sz w:val="20"/>
          <w:szCs w:val="20"/>
        </w:rPr>
        <w:t xml:space="preserve">indicated </w:t>
      </w:r>
      <w:r w:rsidR="000D17B2" w:rsidRPr="007669E4">
        <w:rPr>
          <w:rFonts w:ascii="Cambria" w:hAnsi="Cambria"/>
          <w:sz w:val="20"/>
          <w:szCs w:val="20"/>
        </w:rPr>
        <w:t xml:space="preserve">that </w:t>
      </w:r>
      <w:r w:rsidR="0079379D" w:rsidRPr="007669E4">
        <w:rPr>
          <w:rFonts w:ascii="Cambria" w:hAnsi="Cambria"/>
          <w:sz w:val="20"/>
          <w:szCs w:val="20"/>
        </w:rPr>
        <w:t>one of the officers c</w:t>
      </w:r>
      <w:r w:rsidR="00FF3102" w:rsidRPr="007669E4">
        <w:rPr>
          <w:rFonts w:ascii="Cambria" w:hAnsi="Cambria"/>
          <w:sz w:val="20"/>
          <w:szCs w:val="20"/>
        </w:rPr>
        <w:t>a</w:t>
      </w:r>
      <w:r w:rsidR="0079379D" w:rsidRPr="007669E4">
        <w:rPr>
          <w:rFonts w:ascii="Cambria" w:hAnsi="Cambria"/>
          <w:sz w:val="20"/>
          <w:szCs w:val="20"/>
        </w:rPr>
        <w:t>me from under the cellar with a gun and sa</w:t>
      </w:r>
      <w:r w:rsidR="00D30D55" w:rsidRPr="007669E4">
        <w:rPr>
          <w:rFonts w:ascii="Cambria" w:hAnsi="Cambria"/>
          <w:sz w:val="20"/>
          <w:szCs w:val="20"/>
        </w:rPr>
        <w:t>id</w:t>
      </w:r>
      <w:r w:rsidR="0079379D" w:rsidRPr="007669E4">
        <w:rPr>
          <w:rFonts w:ascii="Cambria" w:hAnsi="Cambria"/>
          <w:sz w:val="20"/>
          <w:szCs w:val="20"/>
        </w:rPr>
        <w:t xml:space="preserve"> that </w:t>
      </w:r>
      <w:r w:rsidR="00930735" w:rsidRPr="007669E4">
        <w:rPr>
          <w:rFonts w:ascii="Cambria" w:hAnsi="Cambria"/>
          <w:sz w:val="20"/>
          <w:szCs w:val="20"/>
        </w:rPr>
        <w:t>it</w:t>
      </w:r>
      <w:r w:rsidR="0079379D" w:rsidRPr="007669E4">
        <w:rPr>
          <w:rFonts w:ascii="Cambria" w:hAnsi="Cambria"/>
          <w:sz w:val="20"/>
          <w:szCs w:val="20"/>
        </w:rPr>
        <w:t xml:space="preserve"> was taken from Mr. Evans</w:t>
      </w:r>
      <w:r w:rsidR="001D53BC" w:rsidRPr="007669E4">
        <w:rPr>
          <w:rFonts w:ascii="Cambria" w:hAnsi="Cambria"/>
          <w:sz w:val="20"/>
          <w:szCs w:val="20"/>
        </w:rPr>
        <w:t>´</w:t>
      </w:r>
      <w:r w:rsidR="00363344" w:rsidRPr="007669E4">
        <w:rPr>
          <w:rFonts w:ascii="Cambria" w:hAnsi="Cambria"/>
          <w:sz w:val="20"/>
          <w:szCs w:val="20"/>
        </w:rPr>
        <w:t xml:space="preserve"> right</w:t>
      </w:r>
      <w:r w:rsidR="0079379D" w:rsidRPr="007669E4">
        <w:rPr>
          <w:rFonts w:ascii="Cambria" w:hAnsi="Cambria"/>
          <w:sz w:val="20"/>
          <w:szCs w:val="20"/>
        </w:rPr>
        <w:t xml:space="preserve"> hand. </w:t>
      </w:r>
      <w:r w:rsidRPr="007669E4">
        <w:rPr>
          <w:rFonts w:ascii="Cambria" w:hAnsi="Cambria"/>
          <w:sz w:val="20"/>
          <w:szCs w:val="20"/>
        </w:rPr>
        <w:t>On September 26, 2001</w:t>
      </w:r>
      <w:r w:rsidR="001D53BC" w:rsidRPr="007669E4">
        <w:rPr>
          <w:rFonts w:ascii="Cambria" w:hAnsi="Cambria"/>
          <w:sz w:val="20"/>
          <w:szCs w:val="20"/>
        </w:rPr>
        <w:t>,</w:t>
      </w:r>
      <w:r w:rsidRPr="007669E4">
        <w:rPr>
          <w:rFonts w:ascii="Cambria" w:hAnsi="Cambria"/>
          <w:sz w:val="20"/>
          <w:szCs w:val="20"/>
        </w:rPr>
        <w:t xml:space="preserve"> seven days after the incident, the Forensic Laboratory in Kingston, Jamaica, received swabs taken from Mr. Evans' hands.  The results showed that there was gun residue in the palm of </w:t>
      </w:r>
      <w:r w:rsidR="00930735" w:rsidRPr="007669E4">
        <w:rPr>
          <w:rFonts w:ascii="Cambria" w:hAnsi="Cambria"/>
          <w:sz w:val="20"/>
          <w:szCs w:val="20"/>
        </w:rPr>
        <w:t>his</w:t>
      </w:r>
      <w:r w:rsidRPr="007669E4">
        <w:rPr>
          <w:rFonts w:ascii="Cambria" w:hAnsi="Cambria"/>
          <w:sz w:val="20"/>
          <w:szCs w:val="20"/>
        </w:rPr>
        <w:t xml:space="preserve"> left hand</w:t>
      </w:r>
      <w:r w:rsidR="00FF3102" w:rsidRPr="007669E4">
        <w:rPr>
          <w:rFonts w:ascii="Cambria" w:hAnsi="Cambria"/>
          <w:sz w:val="20"/>
          <w:szCs w:val="20"/>
        </w:rPr>
        <w:t xml:space="preserve"> and </w:t>
      </w:r>
      <w:r w:rsidR="00930735" w:rsidRPr="007669E4">
        <w:rPr>
          <w:rFonts w:ascii="Cambria" w:hAnsi="Cambria"/>
          <w:sz w:val="20"/>
          <w:szCs w:val="20"/>
        </w:rPr>
        <w:t xml:space="preserve">that </w:t>
      </w:r>
      <w:r w:rsidRPr="007669E4">
        <w:rPr>
          <w:rFonts w:ascii="Cambria" w:hAnsi="Cambria"/>
          <w:sz w:val="20"/>
          <w:szCs w:val="20"/>
        </w:rPr>
        <w:t xml:space="preserve">no residue </w:t>
      </w:r>
      <w:r w:rsidR="00930735" w:rsidRPr="007669E4">
        <w:rPr>
          <w:rFonts w:ascii="Cambria" w:hAnsi="Cambria"/>
          <w:sz w:val="20"/>
          <w:szCs w:val="20"/>
        </w:rPr>
        <w:t xml:space="preserve">was </w:t>
      </w:r>
      <w:r w:rsidRPr="007669E4">
        <w:rPr>
          <w:rFonts w:ascii="Cambria" w:hAnsi="Cambria"/>
          <w:sz w:val="20"/>
          <w:szCs w:val="20"/>
        </w:rPr>
        <w:t xml:space="preserve">found in </w:t>
      </w:r>
      <w:r w:rsidR="00FF3102" w:rsidRPr="007669E4">
        <w:rPr>
          <w:rFonts w:ascii="Cambria" w:hAnsi="Cambria"/>
          <w:sz w:val="20"/>
          <w:szCs w:val="20"/>
        </w:rPr>
        <w:t xml:space="preserve">his </w:t>
      </w:r>
      <w:r w:rsidRPr="007669E4">
        <w:rPr>
          <w:rFonts w:ascii="Cambria" w:hAnsi="Cambria"/>
          <w:sz w:val="20"/>
          <w:szCs w:val="20"/>
        </w:rPr>
        <w:t xml:space="preserve">right hand, which directly contradicts the statements of the JCF officers. </w:t>
      </w:r>
      <w:r w:rsidR="00930735" w:rsidRPr="007669E4">
        <w:rPr>
          <w:rFonts w:ascii="Cambria" w:hAnsi="Cambria"/>
          <w:sz w:val="20"/>
          <w:szCs w:val="20"/>
        </w:rPr>
        <w:t>In addition</w:t>
      </w:r>
      <w:r w:rsidRPr="007669E4">
        <w:rPr>
          <w:rFonts w:ascii="Cambria" w:hAnsi="Cambria"/>
          <w:sz w:val="20"/>
          <w:szCs w:val="20"/>
        </w:rPr>
        <w:t xml:space="preserve">, </w:t>
      </w:r>
      <w:r w:rsidR="00930735" w:rsidRPr="007669E4">
        <w:rPr>
          <w:rFonts w:ascii="Cambria" w:hAnsi="Cambria"/>
          <w:sz w:val="20"/>
          <w:szCs w:val="20"/>
        </w:rPr>
        <w:t xml:space="preserve">the </w:t>
      </w:r>
      <w:r w:rsidRPr="007669E4">
        <w:rPr>
          <w:rFonts w:ascii="Cambria" w:hAnsi="Cambria"/>
          <w:sz w:val="20"/>
          <w:szCs w:val="20"/>
        </w:rPr>
        <w:t xml:space="preserve">petitioners allege that </w:t>
      </w:r>
      <w:r w:rsidR="00930735" w:rsidRPr="007669E4">
        <w:rPr>
          <w:rFonts w:ascii="Cambria" w:hAnsi="Cambria"/>
          <w:sz w:val="20"/>
          <w:szCs w:val="20"/>
        </w:rPr>
        <w:t>--</w:t>
      </w:r>
      <w:r w:rsidRPr="007669E4">
        <w:rPr>
          <w:rFonts w:ascii="Cambria" w:hAnsi="Cambria"/>
          <w:sz w:val="20"/>
          <w:szCs w:val="20"/>
        </w:rPr>
        <w:t>c</w:t>
      </w:r>
      <w:r w:rsidR="0079379D" w:rsidRPr="007669E4">
        <w:rPr>
          <w:rFonts w:ascii="Cambria" w:hAnsi="Cambria"/>
          <w:sz w:val="20"/>
          <w:szCs w:val="20"/>
        </w:rPr>
        <w:t>ontrary to eyewitness testimonies</w:t>
      </w:r>
      <w:r w:rsidR="00930735" w:rsidRPr="007669E4">
        <w:rPr>
          <w:rFonts w:ascii="Cambria" w:hAnsi="Cambria"/>
          <w:sz w:val="20"/>
          <w:szCs w:val="20"/>
        </w:rPr>
        <w:t>--</w:t>
      </w:r>
      <w:r w:rsidR="0079379D" w:rsidRPr="007669E4">
        <w:rPr>
          <w:rFonts w:ascii="Cambria" w:hAnsi="Cambria"/>
          <w:sz w:val="20"/>
          <w:szCs w:val="20"/>
        </w:rPr>
        <w:t xml:space="preserve"> the JCF officers’ statements </w:t>
      </w:r>
      <w:r w:rsidR="00930735" w:rsidRPr="007669E4">
        <w:rPr>
          <w:rFonts w:ascii="Cambria" w:hAnsi="Cambria"/>
          <w:sz w:val="20"/>
          <w:szCs w:val="20"/>
        </w:rPr>
        <w:t>indicated</w:t>
      </w:r>
      <w:r w:rsidR="0079379D" w:rsidRPr="007669E4">
        <w:rPr>
          <w:rFonts w:ascii="Cambria" w:hAnsi="Cambria"/>
          <w:sz w:val="20"/>
          <w:szCs w:val="20"/>
        </w:rPr>
        <w:t xml:space="preserve"> that Omar Evans was shot during a shootout with gunmen and that the police were shooting in self-defense. </w:t>
      </w:r>
      <w:r w:rsidRPr="007669E4">
        <w:rPr>
          <w:rFonts w:ascii="Cambria" w:hAnsi="Cambria"/>
          <w:sz w:val="20"/>
          <w:szCs w:val="20"/>
        </w:rPr>
        <w:t xml:space="preserve">In this regard, </w:t>
      </w:r>
      <w:r w:rsidR="00930735" w:rsidRPr="007669E4">
        <w:rPr>
          <w:rFonts w:ascii="Cambria" w:hAnsi="Cambria"/>
          <w:sz w:val="20"/>
          <w:szCs w:val="20"/>
        </w:rPr>
        <w:t xml:space="preserve">the </w:t>
      </w:r>
      <w:r w:rsidRPr="007669E4">
        <w:rPr>
          <w:rFonts w:ascii="Cambria" w:hAnsi="Cambria"/>
          <w:sz w:val="20"/>
          <w:szCs w:val="20"/>
        </w:rPr>
        <w:t xml:space="preserve">petitioners </w:t>
      </w:r>
      <w:r w:rsidR="00434CA2" w:rsidRPr="007669E4">
        <w:rPr>
          <w:rFonts w:ascii="Cambria" w:hAnsi="Cambria"/>
          <w:sz w:val="20"/>
          <w:szCs w:val="20"/>
        </w:rPr>
        <w:t>emphasize</w:t>
      </w:r>
      <w:r w:rsidRPr="007669E4">
        <w:rPr>
          <w:rFonts w:ascii="Cambria" w:hAnsi="Cambria"/>
          <w:sz w:val="20"/>
          <w:szCs w:val="20"/>
        </w:rPr>
        <w:t xml:space="preserve"> that t</w:t>
      </w:r>
      <w:r w:rsidR="00B513C8" w:rsidRPr="007669E4">
        <w:rPr>
          <w:rFonts w:ascii="Cambria" w:hAnsi="Cambria"/>
          <w:sz w:val="20"/>
          <w:szCs w:val="20"/>
        </w:rPr>
        <w:t xml:space="preserve">he Ballistics Expert Report analyzed </w:t>
      </w:r>
      <w:r w:rsidR="00930735" w:rsidRPr="007669E4">
        <w:rPr>
          <w:rFonts w:ascii="Cambria" w:hAnsi="Cambria"/>
          <w:sz w:val="20"/>
          <w:szCs w:val="20"/>
        </w:rPr>
        <w:t>four</w:t>
      </w:r>
      <w:r w:rsidR="00B513C8" w:rsidRPr="007669E4">
        <w:rPr>
          <w:rFonts w:ascii="Cambria" w:hAnsi="Cambria"/>
          <w:sz w:val="20"/>
          <w:szCs w:val="20"/>
        </w:rPr>
        <w:t xml:space="preserve"> guns and found that three of</w:t>
      </w:r>
      <w:r w:rsidRPr="007669E4">
        <w:rPr>
          <w:rFonts w:ascii="Cambria" w:hAnsi="Cambria"/>
          <w:sz w:val="20"/>
          <w:szCs w:val="20"/>
        </w:rPr>
        <w:t xml:space="preserve"> them were fired. </w:t>
      </w:r>
      <w:r w:rsidR="00434CA2" w:rsidRPr="007669E4">
        <w:rPr>
          <w:rFonts w:ascii="Cambria" w:hAnsi="Cambria"/>
          <w:sz w:val="20"/>
          <w:szCs w:val="20"/>
        </w:rPr>
        <w:t xml:space="preserve">They </w:t>
      </w:r>
      <w:r w:rsidR="00930735" w:rsidRPr="007669E4">
        <w:rPr>
          <w:rFonts w:ascii="Cambria" w:hAnsi="Cambria"/>
          <w:sz w:val="20"/>
          <w:szCs w:val="20"/>
        </w:rPr>
        <w:t>submit</w:t>
      </w:r>
      <w:r w:rsidR="00434CA2" w:rsidRPr="007669E4">
        <w:rPr>
          <w:rFonts w:ascii="Cambria" w:hAnsi="Cambria"/>
          <w:sz w:val="20"/>
          <w:szCs w:val="20"/>
        </w:rPr>
        <w:t xml:space="preserve"> that i</w:t>
      </w:r>
      <w:r w:rsidR="00B513C8" w:rsidRPr="007669E4">
        <w:rPr>
          <w:rFonts w:ascii="Cambria" w:hAnsi="Cambria"/>
          <w:sz w:val="20"/>
          <w:szCs w:val="20"/>
        </w:rPr>
        <w:t xml:space="preserve">t is unclear </w:t>
      </w:r>
      <w:r w:rsidR="00930735" w:rsidRPr="007669E4">
        <w:rPr>
          <w:rFonts w:ascii="Cambria" w:hAnsi="Cambria"/>
          <w:sz w:val="20"/>
          <w:szCs w:val="20"/>
        </w:rPr>
        <w:t xml:space="preserve">whether </w:t>
      </w:r>
      <w:r w:rsidR="00B513C8" w:rsidRPr="007669E4">
        <w:rPr>
          <w:rFonts w:ascii="Cambria" w:hAnsi="Cambria"/>
          <w:sz w:val="20"/>
          <w:szCs w:val="20"/>
        </w:rPr>
        <w:t>one of these guns was the one claimed to be found in Omar Evans' hand</w:t>
      </w:r>
      <w:r w:rsidR="00930735" w:rsidRPr="007669E4">
        <w:rPr>
          <w:rFonts w:ascii="Cambria" w:hAnsi="Cambria"/>
          <w:sz w:val="20"/>
          <w:szCs w:val="20"/>
        </w:rPr>
        <w:t>, or</w:t>
      </w:r>
      <w:r w:rsidR="00B513C8" w:rsidRPr="007669E4">
        <w:rPr>
          <w:rFonts w:ascii="Cambria" w:hAnsi="Cambria"/>
          <w:sz w:val="20"/>
          <w:szCs w:val="20"/>
        </w:rPr>
        <w:t xml:space="preserve"> which one it </w:t>
      </w:r>
      <w:r w:rsidR="00930735" w:rsidRPr="007669E4">
        <w:rPr>
          <w:rFonts w:ascii="Cambria" w:hAnsi="Cambria"/>
          <w:sz w:val="20"/>
          <w:szCs w:val="20"/>
        </w:rPr>
        <w:t>was;</w:t>
      </w:r>
      <w:r w:rsidR="00434CA2" w:rsidRPr="007669E4">
        <w:rPr>
          <w:rFonts w:ascii="Cambria" w:hAnsi="Cambria"/>
          <w:sz w:val="20"/>
          <w:szCs w:val="20"/>
        </w:rPr>
        <w:t xml:space="preserve"> </w:t>
      </w:r>
      <w:r w:rsidR="00930735" w:rsidRPr="007669E4">
        <w:rPr>
          <w:rFonts w:ascii="Cambria" w:hAnsi="Cambria"/>
          <w:sz w:val="20"/>
          <w:szCs w:val="20"/>
        </w:rPr>
        <w:t>t</w:t>
      </w:r>
      <w:r w:rsidR="00434CA2" w:rsidRPr="007669E4">
        <w:rPr>
          <w:rFonts w:ascii="Cambria" w:hAnsi="Cambria"/>
          <w:sz w:val="20"/>
          <w:szCs w:val="20"/>
        </w:rPr>
        <w:t xml:space="preserve">hey assert that this is </w:t>
      </w:r>
      <w:r w:rsidR="00B513C8" w:rsidRPr="007669E4">
        <w:rPr>
          <w:rFonts w:ascii="Cambria" w:hAnsi="Cambria"/>
          <w:sz w:val="20"/>
          <w:szCs w:val="20"/>
        </w:rPr>
        <w:t>an</w:t>
      </w:r>
      <w:r w:rsidRPr="007669E4">
        <w:rPr>
          <w:rFonts w:ascii="Cambria" w:hAnsi="Cambria"/>
          <w:sz w:val="20"/>
          <w:szCs w:val="20"/>
        </w:rPr>
        <w:t xml:space="preserve"> </w:t>
      </w:r>
      <w:r w:rsidR="00B513C8" w:rsidRPr="007669E4">
        <w:rPr>
          <w:rFonts w:ascii="Cambria" w:hAnsi="Cambria"/>
          <w:sz w:val="20"/>
          <w:szCs w:val="20"/>
        </w:rPr>
        <w:t>issue of</w:t>
      </w:r>
      <w:r w:rsidRPr="007669E4">
        <w:rPr>
          <w:rFonts w:ascii="Cambria" w:hAnsi="Cambria"/>
          <w:sz w:val="20"/>
          <w:szCs w:val="20"/>
        </w:rPr>
        <w:t xml:space="preserve"> </w:t>
      </w:r>
      <w:r w:rsidR="00B513C8" w:rsidRPr="007669E4">
        <w:rPr>
          <w:rFonts w:ascii="Cambria" w:hAnsi="Cambria"/>
          <w:sz w:val="20"/>
          <w:szCs w:val="20"/>
        </w:rPr>
        <w:t>particular importance since one</w:t>
      </w:r>
      <w:r w:rsidRPr="007669E4">
        <w:rPr>
          <w:rFonts w:ascii="Cambria" w:hAnsi="Cambria"/>
          <w:sz w:val="20"/>
          <w:szCs w:val="20"/>
        </w:rPr>
        <w:t xml:space="preserve"> of the </w:t>
      </w:r>
      <w:r w:rsidR="00B513C8" w:rsidRPr="007669E4">
        <w:rPr>
          <w:rFonts w:ascii="Cambria" w:hAnsi="Cambria"/>
          <w:sz w:val="20"/>
          <w:szCs w:val="20"/>
        </w:rPr>
        <w:t>guns was found not</w:t>
      </w:r>
      <w:r w:rsidRPr="007669E4">
        <w:rPr>
          <w:rFonts w:ascii="Cambria" w:hAnsi="Cambria"/>
          <w:sz w:val="20"/>
          <w:szCs w:val="20"/>
        </w:rPr>
        <w:t xml:space="preserve"> </w:t>
      </w:r>
      <w:r w:rsidR="00B513C8" w:rsidRPr="007669E4">
        <w:rPr>
          <w:rFonts w:ascii="Cambria" w:hAnsi="Cambria"/>
          <w:sz w:val="20"/>
          <w:szCs w:val="20"/>
        </w:rPr>
        <w:t xml:space="preserve">to have been fired. </w:t>
      </w:r>
      <w:r w:rsidR="00930735" w:rsidRPr="007669E4">
        <w:rPr>
          <w:rFonts w:ascii="Cambria" w:hAnsi="Cambria"/>
          <w:sz w:val="20"/>
          <w:szCs w:val="20"/>
        </w:rPr>
        <w:t>The p</w:t>
      </w:r>
      <w:r w:rsidR="00434CA2" w:rsidRPr="007669E4">
        <w:rPr>
          <w:rFonts w:ascii="Cambria" w:hAnsi="Cambria"/>
          <w:sz w:val="20"/>
          <w:szCs w:val="20"/>
        </w:rPr>
        <w:t>etitioners point out that t</w:t>
      </w:r>
      <w:r w:rsidR="00B513C8" w:rsidRPr="007669E4">
        <w:rPr>
          <w:rFonts w:ascii="Cambria" w:hAnsi="Cambria"/>
          <w:sz w:val="20"/>
          <w:szCs w:val="20"/>
        </w:rPr>
        <w:t xml:space="preserve">he report further stated that </w:t>
      </w:r>
      <w:r w:rsidR="00930735" w:rsidRPr="007669E4">
        <w:rPr>
          <w:rFonts w:ascii="Cambria" w:hAnsi="Cambria"/>
          <w:sz w:val="20"/>
          <w:szCs w:val="20"/>
        </w:rPr>
        <w:t xml:space="preserve">a badly damaged lead bullet and another piece of a copper lead bullet were recovered </w:t>
      </w:r>
      <w:r w:rsidR="00B513C8" w:rsidRPr="007669E4">
        <w:rPr>
          <w:rFonts w:ascii="Cambria" w:hAnsi="Cambria"/>
          <w:sz w:val="20"/>
          <w:szCs w:val="20"/>
        </w:rPr>
        <w:t xml:space="preserve">among a number of pieces of evidence from the scene. Given the </w:t>
      </w:r>
      <w:r w:rsidRPr="007669E4">
        <w:rPr>
          <w:rFonts w:ascii="Cambria" w:hAnsi="Cambria"/>
          <w:sz w:val="20"/>
          <w:szCs w:val="20"/>
        </w:rPr>
        <w:t>police</w:t>
      </w:r>
      <w:r w:rsidR="00B513C8" w:rsidRPr="007669E4">
        <w:rPr>
          <w:rFonts w:ascii="Cambria" w:hAnsi="Cambria"/>
          <w:sz w:val="20"/>
          <w:szCs w:val="20"/>
        </w:rPr>
        <w:t xml:space="preserve"> allegation that this was a </w:t>
      </w:r>
      <w:r w:rsidRPr="007669E4">
        <w:rPr>
          <w:rFonts w:ascii="Cambria" w:hAnsi="Cambria"/>
          <w:sz w:val="20"/>
          <w:szCs w:val="20"/>
        </w:rPr>
        <w:t>shootout</w:t>
      </w:r>
      <w:r w:rsidR="00B513C8" w:rsidRPr="007669E4">
        <w:rPr>
          <w:rFonts w:ascii="Cambria" w:hAnsi="Cambria"/>
          <w:sz w:val="20"/>
          <w:szCs w:val="20"/>
        </w:rPr>
        <w:t xml:space="preserve"> between two officers and several armed men,</w:t>
      </w:r>
      <w:r w:rsidR="00434CA2" w:rsidRPr="007669E4">
        <w:rPr>
          <w:rFonts w:ascii="Cambria" w:hAnsi="Cambria"/>
          <w:sz w:val="20"/>
          <w:szCs w:val="20"/>
        </w:rPr>
        <w:t xml:space="preserve"> </w:t>
      </w:r>
      <w:r w:rsidR="00930735" w:rsidRPr="007669E4">
        <w:rPr>
          <w:rFonts w:ascii="Cambria" w:hAnsi="Cambria"/>
          <w:sz w:val="20"/>
          <w:szCs w:val="20"/>
        </w:rPr>
        <w:t xml:space="preserve">the </w:t>
      </w:r>
      <w:r w:rsidR="00FF3102" w:rsidRPr="007669E4">
        <w:rPr>
          <w:rFonts w:ascii="Cambria" w:hAnsi="Cambria"/>
          <w:sz w:val="20"/>
          <w:szCs w:val="20"/>
        </w:rPr>
        <w:t xml:space="preserve">petitioners stress </w:t>
      </w:r>
      <w:r w:rsidR="00434CA2" w:rsidRPr="007669E4">
        <w:rPr>
          <w:rFonts w:ascii="Cambria" w:hAnsi="Cambria"/>
          <w:sz w:val="20"/>
          <w:szCs w:val="20"/>
        </w:rPr>
        <w:t>that</w:t>
      </w:r>
      <w:r w:rsidR="00B513C8" w:rsidRPr="007669E4">
        <w:rPr>
          <w:rFonts w:ascii="Cambria" w:hAnsi="Cambria"/>
          <w:sz w:val="20"/>
          <w:szCs w:val="20"/>
        </w:rPr>
        <w:t xml:space="preserve"> no other casings from any other location were recovered from the scene to </w:t>
      </w:r>
      <w:r w:rsidRPr="007669E4">
        <w:rPr>
          <w:rFonts w:ascii="Cambria" w:hAnsi="Cambria"/>
          <w:sz w:val="20"/>
          <w:szCs w:val="20"/>
        </w:rPr>
        <w:t>corroborate</w:t>
      </w:r>
      <w:r w:rsidR="00B513C8" w:rsidRPr="007669E4">
        <w:rPr>
          <w:rFonts w:ascii="Cambria" w:hAnsi="Cambria"/>
          <w:sz w:val="20"/>
          <w:szCs w:val="20"/>
        </w:rPr>
        <w:t xml:space="preserve"> this </w:t>
      </w:r>
      <w:r w:rsidRPr="007669E4">
        <w:rPr>
          <w:rFonts w:ascii="Cambria" w:hAnsi="Cambria"/>
          <w:sz w:val="20"/>
          <w:szCs w:val="20"/>
        </w:rPr>
        <w:t>version</w:t>
      </w:r>
      <w:r w:rsidR="00B513C8" w:rsidRPr="007669E4">
        <w:rPr>
          <w:rFonts w:ascii="Cambria" w:hAnsi="Cambria"/>
          <w:sz w:val="20"/>
          <w:szCs w:val="20"/>
        </w:rPr>
        <w:t xml:space="preserve"> of</w:t>
      </w:r>
      <w:r w:rsidRPr="007669E4">
        <w:rPr>
          <w:rFonts w:ascii="Cambria" w:hAnsi="Cambria"/>
          <w:sz w:val="20"/>
          <w:szCs w:val="20"/>
        </w:rPr>
        <w:t xml:space="preserve"> </w:t>
      </w:r>
      <w:r w:rsidR="00B513C8" w:rsidRPr="007669E4">
        <w:rPr>
          <w:rFonts w:ascii="Cambria" w:hAnsi="Cambria"/>
          <w:sz w:val="20"/>
          <w:szCs w:val="20"/>
        </w:rPr>
        <w:t>events of</w:t>
      </w:r>
      <w:r w:rsidRPr="007669E4">
        <w:rPr>
          <w:rFonts w:ascii="Cambria" w:hAnsi="Cambria"/>
          <w:sz w:val="20"/>
          <w:szCs w:val="20"/>
        </w:rPr>
        <w:t xml:space="preserve"> </w:t>
      </w:r>
      <w:r w:rsidR="00B513C8" w:rsidRPr="007669E4">
        <w:rPr>
          <w:rFonts w:ascii="Cambria" w:hAnsi="Cambria"/>
          <w:sz w:val="20"/>
          <w:szCs w:val="20"/>
        </w:rPr>
        <w:t xml:space="preserve">a shootout with </w:t>
      </w:r>
      <w:r w:rsidRPr="007669E4">
        <w:rPr>
          <w:rFonts w:ascii="Cambria" w:hAnsi="Cambria"/>
          <w:sz w:val="20"/>
          <w:szCs w:val="20"/>
        </w:rPr>
        <w:t>multiple</w:t>
      </w:r>
      <w:r w:rsidR="00B513C8" w:rsidRPr="007669E4">
        <w:rPr>
          <w:rFonts w:ascii="Cambria" w:hAnsi="Cambria"/>
          <w:sz w:val="20"/>
          <w:szCs w:val="20"/>
        </w:rPr>
        <w:t xml:space="preserve"> gunmen</w:t>
      </w:r>
      <w:r w:rsidR="00D30D55" w:rsidRPr="007669E4">
        <w:rPr>
          <w:rFonts w:ascii="Cambria" w:hAnsi="Cambria"/>
          <w:sz w:val="20"/>
          <w:szCs w:val="20"/>
        </w:rPr>
        <w:t xml:space="preserve">. </w:t>
      </w:r>
    </w:p>
    <w:p w14:paraId="690A209B" w14:textId="6F4E6CF1" w:rsidR="008A7E3A" w:rsidRPr="007669E4" w:rsidRDefault="00D841E8" w:rsidP="00784AF5">
      <w:pPr>
        <w:pStyle w:val="ListParagraph"/>
        <w:numPr>
          <w:ilvl w:val="0"/>
          <w:numId w:val="103"/>
        </w:numPr>
        <w:jc w:val="both"/>
        <w:rPr>
          <w:rFonts w:eastAsia="Arial Unicode MS" w:cs="Times New Roman"/>
          <w:color w:val="auto"/>
          <w:sz w:val="20"/>
          <w:szCs w:val="20"/>
          <w:lang w:eastAsia="en-US"/>
        </w:rPr>
      </w:pPr>
      <w:r w:rsidRPr="007669E4">
        <w:rPr>
          <w:rFonts w:eastAsia="Arial Unicode MS" w:cs="Times New Roman"/>
          <w:color w:val="auto"/>
          <w:sz w:val="20"/>
          <w:szCs w:val="20"/>
          <w:lang w:eastAsia="en-US"/>
        </w:rPr>
        <w:t>The p</w:t>
      </w:r>
      <w:r w:rsidR="008A7E3A" w:rsidRPr="007669E4">
        <w:rPr>
          <w:rFonts w:eastAsia="Arial Unicode MS" w:cs="Times New Roman"/>
          <w:color w:val="auto"/>
          <w:sz w:val="20"/>
          <w:szCs w:val="20"/>
          <w:lang w:eastAsia="en-US"/>
        </w:rPr>
        <w:t>etitioners also denounced irregularities in the handling of evidence and in the investigation</w:t>
      </w:r>
      <w:r w:rsidRPr="007669E4">
        <w:rPr>
          <w:rFonts w:eastAsia="Arial Unicode MS" w:cs="Times New Roman"/>
          <w:color w:val="auto"/>
          <w:sz w:val="20"/>
          <w:szCs w:val="20"/>
          <w:lang w:eastAsia="en-US"/>
        </w:rPr>
        <w:t xml:space="preserve"> overall</w:t>
      </w:r>
      <w:r w:rsidR="008A7E3A" w:rsidRPr="007669E4">
        <w:rPr>
          <w:rFonts w:eastAsia="Arial Unicode MS" w:cs="Times New Roman"/>
          <w:color w:val="auto"/>
          <w:sz w:val="20"/>
          <w:szCs w:val="20"/>
          <w:lang w:eastAsia="en-US"/>
        </w:rPr>
        <w:t xml:space="preserve">. They point out that the haste with which Omar Evans' body was removed from the cellar prevented vital evidence such as photographs or other records of the positioning of the body and the proper marking and collection of physical evidence such as the bullet casings or guns. </w:t>
      </w:r>
      <w:r w:rsidR="002008F9" w:rsidRPr="007669E4">
        <w:rPr>
          <w:rFonts w:eastAsia="Arial Unicode MS" w:cs="Times New Roman"/>
          <w:color w:val="auto"/>
          <w:sz w:val="20"/>
          <w:szCs w:val="20"/>
          <w:lang w:eastAsia="en-US"/>
        </w:rPr>
        <w:t>In addition</w:t>
      </w:r>
      <w:r w:rsidR="008A7E3A" w:rsidRPr="007669E4">
        <w:rPr>
          <w:rFonts w:eastAsia="Arial Unicode MS" w:cs="Times New Roman"/>
          <w:color w:val="auto"/>
          <w:sz w:val="20"/>
          <w:szCs w:val="20"/>
          <w:lang w:eastAsia="en-US"/>
        </w:rPr>
        <w:t xml:space="preserve">, they </w:t>
      </w:r>
      <w:r w:rsidR="002008F9" w:rsidRPr="007669E4">
        <w:rPr>
          <w:rFonts w:eastAsia="Arial Unicode MS" w:cs="Times New Roman"/>
          <w:color w:val="auto"/>
          <w:sz w:val="20"/>
          <w:szCs w:val="20"/>
          <w:lang w:eastAsia="en-US"/>
        </w:rPr>
        <w:t>note</w:t>
      </w:r>
      <w:r w:rsidR="008A7E3A" w:rsidRPr="007669E4">
        <w:rPr>
          <w:rFonts w:eastAsia="Arial Unicode MS" w:cs="Times New Roman"/>
          <w:color w:val="auto"/>
          <w:sz w:val="20"/>
          <w:szCs w:val="20"/>
          <w:lang w:eastAsia="en-US"/>
        </w:rPr>
        <w:t xml:space="preserve"> that it does not appear that the firearm claimed to have found in Omar Evans' hand was tested for fingerprints. Further, </w:t>
      </w:r>
      <w:r w:rsidR="002008F9" w:rsidRPr="007669E4">
        <w:rPr>
          <w:rFonts w:eastAsia="Arial Unicode MS" w:cs="Times New Roman"/>
          <w:color w:val="auto"/>
          <w:sz w:val="20"/>
          <w:szCs w:val="20"/>
          <w:lang w:eastAsia="en-US"/>
        </w:rPr>
        <w:t xml:space="preserve">the </w:t>
      </w:r>
      <w:r w:rsidR="008A7E3A" w:rsidRPr="007669E4">
        <w:rPr>
          <w:rFonts w:eastAsia="Arial Unicode MS" w:cs="Times New Roman"/>
          <w:color w:val="auto"/>
          <w:sz w:val="20"/>
          <w:szCs w:val="20"/>
          <w:lang w:eastAsia="en-US"/>
        </w:rPr>
        <w:t xml:space="preserve">petitioners </w:t>
      </w:r>
      <w:r w:rsidR="00FF3102" w:rsidRPr="007669E4">
        <w:rPr>
          <w:rFonts w:eastAsia="Arial Unicode MS" w:cs="Times New Roman"/>
          <w:color w:val="auto"/>
          <w:sz w:val="20"/>
          <w:szCs w:val="20"/>
          <w:lang w:eastAsia="en-US"/>
        </w:rPr>
        <w:t xml:space="preserve">assert </w:t>
      </w:r>
      <w:r w:rsidR="008A7E3A" w:rsidRPr="007669E4">
        <w:rPr>
          <w:rFonts w:eastAsia="Arial Unicode MS" w:cs="Times New Roman"/>
          <w:color w:val="auto"/>
          <w:sz w:val="20"/>
          <w:szCs w:val="20"/>
          <w:lang w:eastAsia="en-US"/>
        </w:rPr>
        <w:t xml:space="preserve">that an autopsy was not performed on the </w:t>
      </w:r>
      <w:r w:rsidR="002008F9" w:rsidRPr="007669E4">
        <w:rPr>
          <w:rFonts w:eastAsia="Arial Unicode MS" w:cs="Times New Roman"/>
          <w:color w:val="auto"/>
          <w:sz w:val="20"/>
          <w:szCs w:val="20"/>
          <w:lang w:eastAsia="en-US"/>
        </w:rPr>
        <w:t xml:space="preserve">alleged </w:t>
      </w:r>
      <w:r w:rsidR="008A7E3A" w:rsidRPr="007669E4">
        <w:rPr>
          <w:rFonts w:eastAsia="Arial Unicode MS" w:cs="Times New Roman"/>
          <w:color w:val="auto"/>
          <w:sz w:val="20"/>
          <w:szCs w:val="20"/>
          <w:lang w:eastAsia="en-US"/>
        </w:rPr>
        <w:t xml:space="preserve">victim's body until 15 days after his death contrary to Jamaica's own domestic </w:t>
      </w:r>
      <w:r w:rsidR="002008F9" w:rsidRPr="007669E4">
        <w:rPr>
          <w:rFonts w:eastAsia="Arial Unicode MS" w:cs="Times New Roman"/>
          <w:color w:val="auto"/>
          <w:sz w:val="20"/>
          <w:szCs w:val="20"/>
          <w:lang w:eastAsia="en-US"/>
        </w:rPr>
        <w:t xml:space="preserve">standards, which set a limit </w:t>
      </w:r>
      <w:r w:rsidR="008A7E3A" w:rsidRPr="007669E4">
        <w:rPr>
          <w:rFonts w:eastAsia="Arial Unicode MS" w:cs="Times New Roman"/>
          <w:color w:val="auto"/>
          <w:sz w:val="20"/>
          <w:szCs w:val="20"/>
          <w:lang w:eastAsia="en-US"/>
        </w:rPr>
        <w:t>of 48 hours</w:t>
      </w:r>
      <w:r w:rsidR="002008F9" w:rsidRPr="007669E4">
        <w:rPr>
          <w:rFonts w:eastAsia="Arial Unicode MS" w:cs="Times New Roman"/>
          <w:color w:val="auto"/>
          <w:sz w:val="20"/>
          <w:szCs w:val="20"/>
          <w:lang w:eastAsia="en-US"/>
        </w:rPr>
        <w:t xml:space="preserve"> for it to be carried out</w:t>
      </w:r>
      <w:r w:rsidR="008A7E3A" w:rsidRPr="007669E4">
        <w:rPr>
          <w:rFonts w:eastAsia="Arial Unicode MS" w:cs="Times New Roman"/>
          <w:color w:val="auto"/>
          <w:sz w:val="20"/>
          <w:szCs w:val="20"/>
          <w:lang w:eastAsia="en-US"/>
        </w:rPr>
        <w:t xml:space="preserve">. </w:t>
      </w:r>
      <w:r w:rsidR="002008F9" w:rsidRPr="007669E4">
        <w:rPr>
          <w:rFonts w:eastAsia="Arial Unicode MS" w:cs="Times New Roman"/>
          <w:color w:val="auto"/>
          <w:sz w:val="20"/>
          <w:szCs w:val="20"/>
          <w:lang w:eastAsia="en-US"/>
        </w:rPr>
        <w:t xml:space="preserve">They further allege </w:t>
      </w:r>
      <w:r w:rsidR="00784AF5" w:rsidRPr="007669E4">
        <w:rPr>
          <w:rFonts w:eastAsia="Arial Unicode MS" w:cs="Times New Roman"/>
          <w:color w:val="auto"/>
          <w:sz w:val="20"/>
          <w:szCs w:val="20"/>
          <w:lang w:eastAsia="en-US"/>
        </w:rPr>
        <w:t xml:space="preserve">that all these factors </w:t>
      </w:r>
      <w:r w:rsidR="002008F9" w:rsidRPr="007669E4">
        <w:rPr>
          <w:rFonts w:eastAsia="Arial Unicode MS" w:cs="Times New Roman"/>
          <w:color w:val="auto"/>
          <w:sz w:val="20"/>
          <w:szCs w:val="20"/>
          <w:lang w:eastAsia="en-US"/>
        </w:rPr>
        <w:t>prove</w:t>
      </w:r>
      <w:r w:rsidR="00784AF5" w:rsidRPr="007669E4">
        <w:rPr>
          <w:rFonts w:eastAsia="Arial Unicode MS" w:cs="Times New Roman"/>
          <w:color w:val="auto"/>
          <w:sz w:val="20"/>
          <w:szCs w:val="20"/>
          <w:lang w:eastAsia="en-US"/>
        </w:rPr>
        <w:t xml:space="preserve"> that State agents impeded the proper investigation of this JCF killing. </w:t>
      </w:r>
      <w:r w:rsidR="002008F9" w:rsidRPr="007669E4">
        <w:rPr>
          <w:rFonts w:eastAsia="Arial Unicode MS" w:cs="Times New Roman"/>
          <w:color w:val="auto"/>
          <w:sz w:val="20"/>
          <w:szCs w:val="20"/>
          <w:lang w:eastAsia="en-US"/>
        </w:rPr>
        <w:t xml:space="preserve">They submit that </w:t>
      </w:r>
      <w:r w:rsidR="00FF3102" w:rsidRPr="007669E4">
        <w:rPr>
          <w:rFonts w:eastAsia="Arial Unicode MS" w:cs="Times New Roman"/>
          <w:color w:val="auto"/>
          <w:sz w:val="20"/>
          <w:szCs w:val="20"/>
          <w:lang w:eastAsia="en-US"/>
        </w:rPr>
        <w:t>t</w:t>
      </w:r>
      <w:r w:rsidR="00784AF5" w:rsidRPr="007669E4">
        <w:rPr>
          <w:rFonts w:eastAsia="Arial Unicode MS" w:cs="Times New Roman"/>
          <w:color w:val="auto"/>
          <w:sz w:val="20"/>
          <w:szCs w:val="20"/>
          <w:lang w:eastAsia="en-US"/>
        </w:rPr>
        <w:t>hese investigative deficiencies, marred by corruption and bias, have crippled the criminal proceedings to such an extent that they cannot constitute an effective recourse.</w:t>
      </w:r>
    </w:p>
    <w:p w14:paraId="55D7C1CB" w14:textId="77777777" w:rsidR="008A7E3A" w:rsidRPr="007669E4" w:rsidRDefault="008A7E3A" w:rsidP="00122073">
      <w:pPr>
        <w:jc w:val="both"/>
        <w:rPr>
          <w:sz w:val="20"/>
          <w:szCs w:val="20"/>
        </w:rPr>
      </w:pPr>
    </w:p>
    <w:p w14:paraId="2AB60830" w14:textId="5EF0DD10" w:rsidR="00140D49" w:rsidRPr="007669E4" w:rsidRDefault="00140D49" w:rsidP="008A7E3A">
      <w:pPr>
        <w:pStyle w:val="ListParagraph"/>
        <w:numPr>
          <w:ilvl w:val="0"/>
          <w:numId w:val="103"/>
        </w:numPr>
        <w:jc w:val="both"/>
        <w:rPr>
          <w:rFonts w:eastAsia="Arial Unicode MS" w:cs="Times New Roman"/>
          <w:color w:val="auto"/>
          <w:sz w:val="20"/>
          <w:szCs w:val="20"/>
          <w:lang w:eastAsia="en-US"/>
        </w:rPr>
      </w:pPr>
      <w:r w:rsidRPr="007669E4">
        <w:rPr>
          <w:rFonts w:eastAsia="Arial Unicode MS" w:cs="Times New Roman"/>
          <w:color w:val="auto"/>
          <w:sz w:val="20"/>
          <w:szCs w:val="20"/>
          <w:lang w:eastAsia="en-US"/>
        </w:rPr>
        <w:t>The</w:t>
      </w:r>
      <w:r w:rsidR="002008F9" w:rsidRPr="007669E4">
        <w:rPr>
          <w:rFonts w:eastAsia="Arial Unicode MS" w:cs="Times New Roman"/>
          <w:color w:val="auto"/>
          <w:sz w:val="20"/>
          <w:szCs w:val="20"/>
          <w:lang w:eastAsia="en-US"/>
        </w:rPr>
        <w:t>y also</w:t>
      </w:r>
      <w:r w:rsidRPr="007669E4">
        <w:rPr>
          <w:rFonts w:eastAsia="Arial Unicode MS" w:cs="Times New Roman"/>
          <w:color w:val="auto"/>
          <w:sz w:val="20"/>
          <w:szCs w:val="20"/>
          <w:lang w:eastAsia="en-US"/>
        </w:rPr>
        <w:t xml:space="preserve"> contend that in light of the extensive data confirming the ineffectiveness of the criminal justice system in Jamaica, especially with respect to unlawful police killings, the internal remedies are not an adequate response to the </w:t>
      </w:r>
      <w:r w:rsidR="002008F9" w:rsidRPr="007669E4">
        <w:rPr>
          <w:rFonts w:eastAsia="Arial Unicode MS" w:cs="Times New Roman"/>
          <w:color w:val="auto"/>
          <w:sz w:val="20"/>
          <w:szCs w:val="20"/>
          <w:lang w:eastAsia="en-US"/>
        </w:rPr>
        <w:t>serious</w:t>
      </w:r>
      <w:r w:rsidRPr="007669E4">
        <w:rPr>
          <w:rFonts w:eastAsia="Arial Unicode MS" w:cs="Times New Roman"/>
          <w:color w:val="auto"/>
          <w:sz w:val="20"/>
          <w:szCs w:val="20"/>
          <w:lang w:eastAsia="en-US"/>
        </w:rPr>
        <w:t xml:space="preserve"> violations of human rights suffered by the alleged victims. The</w:t>
      </w:r>
      <w:r w:rsidR="002008F9" w:rsidRPr="007669E4">
        <w:rPr>
          <w:rFonts w:eastAsia="Arial Unicode MS" w:cs="Times New Roman"/>
          <w:color w:val="auto"/>
          <w:sz w:val="20"/>
          <w:szCs w:val="20"/>
          <w:lang w:eastAsia="en-US"/>
        </w:rPr>
        <w:t xml:space="preserve"> petitioners</w:t>
      </w:r>
      <w:r w:rsidRPr="007669E4">
        <w:rPr>
          <w:rFonts w:eastAsia="Arial Unicode MS" w:cs="Times New Roman"/>
          <w:color w:val="auto"/>
          <w:sz w:val="20"/>
          <w:szCs w:val="20"/>
          <w:lang w:eastAsia="en-US"/>
        </w:rPr>
        <w:t xml:space="preserve"> refer to </w:t>
      </w:r>
      <w:r w:rsidR="002008F9" w:rsidRPr="007669E4">
        <w:rPr>
          <w:rFonts w:eastAsia="Arial Unicode MS" w:cs="Times New Roman"/>
          <w:color w:val="auto"/>
          <w:sz w:val="20"/>
          <w:szCs w:val="20"/>
          <w:lang w:eastAsia="en-US"/>
        </w:rPr>
        <w:t xml:space="preserve">several </w:t>
      </w:r>
      <w:r w:rsidRPr="007669E4">
        <w:rPr>
          <w:rFonts w:eastAsia="Arial Unicode MS" w:cs="Times New Roman"/>
          <w:color w:val="auto"/>
          <w:sz w:val="20"/>
          <w:szCs w:val="20"/>
          <w:lang w:eastAsia="en-US"/>
        </w:rPr>
        <w:t>report</w:t>
      </w:r>
      <w:r w:rsidR="002008F9" w:rsidRPr="007669E4">
        <w:rPr>
          <w:rFonts w:eastAsia="Arial Unicode MS" w:cs="Times New Roman"/>
          <w:color w:val="auto"/>
          <w:sz w:val="20"/>
          <w:szCs w:val="20"/>
          <w:lang w:eastAsia="en-US"/>
        </w:rPr>
        <w:t>s</w:t>
      </w:r>
      <w:r w:rsidRPr="007669E4">
        <w:rPr>
          <w:rFonts w:eastAsia="Arial Unicode MS" w:cs="Times New Roman"/>
          <w:color w:val="auto"/>
          <w:sz w:val="20"/>
          <w:szCs w:val="20"/>
          <w:lang w:eastAsia="en-US"/>
        </w:rPr>
        <w:t xml:space="preserve"> that </w:t>
      </w:r>
      <w:r w:rsidR="002008F9" w:rsidRPr="007669E4">
        <w:rPr>
          <w:rFonts w:eastAsia="Arial Unicode MS" w:cs="Times New Roman"/>
          <w:color w:val="auto"/>
          <w:sz w:val="20"/>
          <w:szCs w:val="20"/>
          <w:lang w:eastAsia="en-US"/>
        </w:rPr>
        <w:t xml:space="preserve">highlight almost absolute </w:t>
      </w:r>
      <w:r w:rsidRPr="007669E4">
        <w:rPr>
          <w:rFonts w:eastAsia="Arial Unicode MS" w:cs="Times New Roman"/>
          <w:color w:val="auto"/>
          <w:sz w:val="20"/>
          <w:szCs w:val="20"/>
          <w:lang w:eastAsia="en-US"/>
        </w:rPr>
        <w:t xml:space="preserve">impunity for unlawful police killings in </w:t>
      </w:r>
      <w:r w:rsidR="00A942D4" w:rsidRPr="007669E4">
        <w:rPr>
          <w:rFonts w:eastAsia="Arial Unicode MS" w:cs="Times New Roman"/>
          <w:color w:val="auto"/>
          <w:sz w:val="20"/>
          <w:szCs w:val="20"/>
          <w:lang w:eastAsia="en-US"/>
        </w:rPr>
        <w:lastRenderedPageBreak/>
        <w:t>Jamaica</w:t>
      </w:r>
      <w:r w:rsidR="00DD0FE6" w:rsidRPr="007669E4">
        <w:rPr>
          <w:rFonts w:eastAsia="Arial Unicode MS" w:cs="Times New Roman"/>
          <w:color w:val="auto"/>
          <w:sz w:val="20"/>
          <w:szCs w:val="20"/>
          <w:lang w:eastAsia="en-US"/>
        </w:rPr>
        <w:t xml:space="preserve"> </w:t>
      </w:r>
      <w:r w:rsidR="002008F9" w:rsidRPr="007669E4">
        <w:rPr>
          <w:rFonts w:eastAsia="Arial Unicode MS" w:cs="Times New Roman"/>
          <w:color w:val="auto"/>
          <w:sz w:val="20"/>
          <w:szCs w:val="20"/>
          <w:lang w:eastAsia="en-US"/>
        </w:rPr>
        <w:t xml:space="preserve">and that </w:t>
      </w:r>
      <w:r w:rsidR="00DD0FE6" w:rsidRPr="007669E4">
        <w:rPr>
          <w:rFonts w:eastAsia="Arial Unicode MS" w:cs="Times New Roman"/>
          <w:color w:val="auto"/>
          <w:sz w:val="20"/>
          <w:szCs w:val="20"/>
          <w:lang w:eastAsia="en-US"/>
        </w:rPr>
        <w:t>denounc</w:t>
      </w:r>
      <w:r w:rsidR="002008F9" w:rsidRPr="007669E4">
        <w:rPr>
          <w:rFonts w:eastAsia="Arial Unicode MS" w:cs="Times New Roman"/>
          <w:color w:val="auto"/>
          <w:sz w:val="20"/>
          <w:szCs w:val="20"/>
          <w:lang w:eastAsia="en-US"/>
        </w:rPr>
        <w:t>e</w:t>
      </w:r>
      <w:r w:rsidR="00DD0FE6" w:rsidRPr="007669E4">
        <w:rPr>
          <w:rFonts w:eastAsia="Arial Unicode MS" w:cs="Times New Roman"/>
          <w:color w:val="auto"/>
          <w:sz w:val="20"/>
          <w:szCs w:val="20"/>
          <w:lang w:eastAsia="en-US"/>
        </w:rPr>
        <w:t xml:space="preserve"> a </w:t>
      </w:r>
      <w:r w:rsidRPr="007669E4">
        <w:rPr>
          <w:rFonts w:eastAsia="Arial Unicode MS" w:cs="Times New Roman"/>
          <w:color w:val="auto"/>
          <w:sz w:val="20"/>
          <w:szCs w:val="20"/>
          <w:lang w:eastAsia="en-US"/>
        </w:rPr>
        <w:t xml:space="preserve">pattern </w:t>
      </w:r>
      <w:r w:rsidR="002008F9" w:rsidRPr="007669E4">
        <w:rPr>
          <w:rFonts w:eastAsia="Arial Unicode MS" w:cs="Times New Roman"/>
          <w:color w:val="auto"/>
          <w:sz w:val="20"/>
          <w:szCs w:val="20"/>
          <w:lang w:eastAsia="en-US"/>
        </w:rPr>
        <w:t>of</w:t>
      </w:r>
      <w:r w:rsidRPr="007669E4">
        <w:rPr>
          <w:rFonts w:eastAsia="Arial Unicode MS" w:cs="Times New Roman"/>
          <w:color w:val="auto"/>
          <w:sz w:val="20"/>
          <w:szCs w:val="20"/>
          <w:lang w:eastAsia="en-US"/>
        </w:rPr>
        <w:t xml:space="preserve"> disproportionately large number of killings </w:t>
      </w:r>
      <w:r w:rsidR="002008F9" w:rsidRPr="007669E4">
        <w:rPr>
          <w:rFonts w:eastAsia="Arial Unicode MS" w:cs="Times New Roman"/>
          <w:color w:val="auto"/>
          <w:sz w:val="20"/>
          <w:szCs w:val="20"/>
          <w:lang w:eastAsia="en-US"/>
        </w:rPr>
        <w:t>by</w:t>
      </w:r>
      <w:r w:rsidRPr="007669E4">
        <w:rPr>
          <w:rFonts w:eastAsia="Arial Unicode MS" w:cs="Times New Roman"/>
          <w:color w:val="auto"/>
          <w:sz w:val="20"/>
          <w:szCs w:val="20"/>
          <w:lang w:eastAsia="en-US"/>
        </w:rPr>
        <w:t xml:space="preserve"> State security forces, where very few prosecutions have been undertaken</w:t>
      </w:r>
      <w:r w:rsidR="00C42F14" w:rsidRPr="007669E4">
        <w:rPr>
          <w:rFonts w:eastAsia="Arial Unicode MS" w:cs="Times New Roman"/>
          <w:color w:val="auto"/>
          <w:sz w:val="20"/>
          <w:szCs w:val="20"/>
          <w:lang w:eastAsia="en-US"/>
        </w:rPr>
        <w:t xml:space="preserve"> in relation to </w:t>
      </w:r>
      <w:r w:rsidR="00DD0FE6" w:rsidRPr="007669E4">
        <w:rPr>
          <w:rFonts w:eastAsia="Arial Unicode MS" w:cs="Times New Roman"/>
          <w:color w:val="auto"/>
          <w:sz w:val="20"/>
          <w:szCs w:val="20"/>
          <w:lang w:eastAsia="en-US"/>
        </w:rPr>
        <w:t>th</w:t>
      </w:r>
      <w:r w:rsidR="00F416B1" w:rsidRPr="007669E4">
        <w:rPr>
          <w:rFonts w:eastAsia="Arial Unicode MS" w:cs="Times New Roman"/>
          <w:color w:val="auto"/>
          <w:sz w:val="20"/>
          <w:szCs w:val="20"/>
          <w:lang w:eastAsia="en-US"/>
        </w:rPr>
        <w:t>ose killings</w:t>
      </w:r>
      <w:r w:rsidR="00DD0FE6" w:rsidRPr="007669E4">
        <w:rPr>
          <w:rFonts w:eastAsia="Arial Unicode MS" w:cs="Times New Roman"/>
          <w:color w:val="auto"/>
          <w:sz w:val="20"/>
          <w:szCs w:val="20"/>
          <w:lang w:eastAsia="en-US"/>
        </w:rPr>
        <w:t>.</w:t>
      </w:r>
      <w:r w:rsidR="00F02AB5" w:rsidRPr="007669E4">
        <w:rPr>
          <w:rStyle w:val="FootnoteReference"/>
          <w:rFonts w:eastAsia="Arial Unicode MS"/>
          <w:color w:val="auto"/>
          <w:sz w:val="20"/>
          <w:szCs w:val="20"/>
          <w:lang w:eastAsia="en-US"/>
        </w:rPr>
        <w:footnoteReference w:id="6"/>
      </w:r>
    </w:p>
    <w:p w14:paraId="43D61668" w14:textId="77777777" w:rsidR="00C42F14" w:rsidRPr="007669E4" w:rsidRDefault="00C42F14" w:rsidP="00C42F14">
      <w:pPr>
        <w:pStyle w:val="ListParagraph"/>
        <w:jc w:val="both"/>
        <w:rPr>
          <w:rFonts w:eastAsia="Arial Unicode MS" w:cs="Times New Roman"/>
          <w:color w:val="auto"/>
          <w:sz w:val="20"/>
          <w:szCs w:val="20"/>
          <w:lang w:eastAsia="en-US"/>
        </w:rPr>
      </w:pPr>
    </w:p>
    <w:p w14:paraId="3233CC16" w14:textId="531F1429" w:rsidR="008A7E3A" w:rsidRPr="007669E4" w:rsidRDefault="00D30D55" w:rsidP="0055392C">
      <w:pPr>
        <w:pStyle w:val="ListParagraph"/>
        <w:numPr>
          <w:ilvl w:val="0"/>
          <w:numId w:val="103"/>
        </w:numPr>
        <w:jc w:val="both"/>
        <w:rPr>
          <w:rFonts w:eastAsia="Arial Unicode MS" w:cs="Times New Roman"/>
          <w:color w:val="FF0000"/>
          <w:sz w:val="20"/>
          <w:szCs w:val="20"/>
          <w:lang w:eastAsia="en-US"/>
        </w:rPr>
      </w:pPr>
      <w:r w:rsidRPr="007669E4">
        <w:rPr>
          <w:sz w:val="20"/>
          <w:szCs w:val="20"/>
        </w:rPr>
        <w:t xml:space="preserve">On September 20, </w:t>
      </w:r>
      <w:r w:rsidR="00AA2F34" w:rsidRPr="007669E4">
        <w:rPr>
          <w:sz w:val="20"/>
          <w:szCs w:val="20"/>
        </w:rPr>
        <w:t>2001,</w:t>
      </w:r>
      <w:r w:rsidRPr="007669E4">
        <w:rPr>
          <w:sz w:val="20"/>
          <w:szCs w:val="20"/>
        </w:rPr>
        <w:t xml:space="preserve"> </w:t>
      </w:r>
      <w:r w:rsidR="00844D98" w:rsidRPr="007669E4">
        <w:rPr>
          <w:sz w:val="20"/>
          <w:szCs w:val="20"/>
        </w:rPr>
        <w:t xml:space="preserve">Omar Evans’ brother submitted a claim </w:t>
      </w:r>
      <w:r w:rsidR="00AA2F34" w:rsidRPr="007669E4">
        <w:rPr>
          <w:sz w:val="20"/>
          <w:szCs w:val="20"/>
        </w:rPr>
        <w:t xml:space="preserve">to the Police Public Complaints Authority </w:t>
      </w:r>
      <w:r w:rsidR="00844D98" w:rsidRPr="007669E4">
        <w:rPr>
          <w:sz w:val="20"/>
          <w:szCs w:val="20"/>
        </w:rPr>
        <w:t xml:space="preserve">against </w:t>
      </w:r>
      <w:r w:rsidR="00AA2F34" w:rsidRPr="007669E4">
        <w:rPr>
          <w:sz w:val="20"/>
          <w:szCs w:val="20"/>
        </w:rPr>
        <w:t>three JCF o</w:t>
      </w:r>
      <w:r w:rsidR="00844D98" w:rsidRPr="007669E4">
        <w:rPr>
          <w:sz w:val="20"/>
          <w:szCs w:val="20"/>
        </w:rPr>
        <w:t xml:space="preserve">fficers. The Bureau of Special Investigation (BSI) took almost two years to investigate the matter, </w:t>
      </w:r>
      <w:r w:rsidRPr="007669E4">
        <w:rPr>
          <w:sz w:val="20"/>
          <w:szCs w:val="20"/>
        </w:rPr>
        <w:t xml:space="preserve">and </w:t>
      </w:r>
      <w:r w:rsidR="00844D98" w:rsidRPr="007669E4">
        <w:rPr>
          <w:sz w:val="20"/>
          <w:szCs w:val="20"/>
        </w:rPr>
        <w:t xml:space="preserve">it did not send Mr. Evans’ case to the Director of Public Prosecutions (DPP) until 28 February 2003. The DPP then brought the case </w:t>
      </w:r>
      <w:r w:rsidR="00AA2F34" w:rsidRPr="007669E4">
        <w:rPr>
          <w:sz w:val="20"/>
          <w:szCs w:val="20"/>
        </w:rPr>
        <w:t>to</w:t>
      </w:r>
      <w:r w:rsidR="00844D98" w:rsidRPr="007669E4">
        <w:rPr>
          <w:sz w:val="20"/>
          <w:szCs w:val="20"/>
        </w:rPr>
        <w:t xml:space="preserve"> the Coroner’s Court on February </w:t>
      </w:r>
      <w:r w:rsidRPr="007669E4">
        <w:rPr>
          <w:sz w:val="20"/>
          <w:szCs w:val="20"/>
        </w:rPr>
        <w:t xml:space="preserve">6, </w:t>
      </w:r>
      <w:r w:rsidR="00844D98" w:rsidRPr="007669E4">
        <w:rPr>
          <w:sz w:val="20"/>
          <w:szCs w:val="20"/>
        </w:rPr>
        <w:t xml:space="preserve">2009, </w:t>
      </w:r>
      <w:r w:rsidR="00F2733C" w:rsidRPr="007669E4">
        <w:rPr>
          <w:sz w:val="20"/>
          <w:szCs w:val="20"/>
        </w:rPr>
        <w:t>that is</w:t>
      </w:r>
      <w:r w:rsidR="00AA2F34" w:rsidRPr="007669E4">
        <w:rPr>
          <w:sz w:val="20"/>
          <w:szCs w:val="20"/>
        </w:rPr>
        <w:t>,</w:t>
      </w:r>
      <w:r w:rsidR="00F2733C" w:rsidRPr="007669E4">
        <w:rPr>
          <w:sz w:val="20"/>
          <w:szCs w:val="20"/>
        </w:rPr>
        <w:t xml:space="preserve"> </w:t>
      </w:r>
      <w:r w:rsidR="00844D98" w:rsidRPr="007669E4">
        <w:rPr>
          <w:sz w:val="20"/>
          <w:szCs w:val="20"/>
        </w:rPr>
        <w:t xml:space="preserve">almost 9 years after the incident. </w:t>
      </w:r>
      <w:r w:rsidR="00AA2F34" w:rsidRPr="007669E4">
        <w:rPr>
          <w:sz w:val="20"/>
          <w:szCs w:val="20"/>
        </w:rPr>
        <w:t>The p</w:t>
      </w:r>
      <w:r w:rsidR="00F2733C" w:rsidRPr="007669E4">
        <w:rPr>
          <w:sz w:val="20"/>
          <w:szCs w:val="20"/>
        </w:rPr>
        <w:t xml:space="preserve">etitioners </w:t>
      </w:r>
      <w:r w:rsidR="00AA2F34" w:rsidRPr="007669E4">
        <w:rPr>
          <w:sz w:val="20"/>
          <w:szCs w:val="20"/>
        </w:rPr>
        <w:t>submit</w:t>
      </w:r>
      <w:r w:rsidR="00F2733C" w:rsidRPr="007669E4">
        <w:rPr>
          <w:sz w:val="20"/>
          <w:szCs w:val="20"/>
        </w:rPr>
        <w:t xml:space="preserve"> that</w:t>
      </w:r>
      <w:r w:rsidR="00AA2F34" w:rsidRPr="007669E4">
        <w:rPr>
          <w:sz w:val="20"/>
          <w:szCs w:val="20"/>
        </w:rPr>
        <w:t>,</w:t>
      </w:r>
      <w:r w:rsidR="00F2733C" w:rsidRPr="007669E4">
        <w:rPr>
          <w:sz w:val="20"/>
          <w:szCs w:val="20"/>
        </w:rPr>
        <w:t xml:space="preserve"> d</w:t>
      </w:r>
      <w:r w:rsidR="00844D98" w:rsidRPr="007669E4">
        <w:rPr>
          <w:sz w:val="20"/>
          <w:szCs w:val="20"/>
        </w:rPr>
        <w:t>espite numerous reques</w:t>
      </w:r>
      <w:r w:rsidR="0055392C" w:rsidRPr="007669E4">
        <w:rPr>
          <w:sz w:val="20"/>
          <w:szCs w:val="20"/>
        </w:rPr>
        <w:t>ts throughout the years</w:t>
      </w:r>
      <w:r w:rsidR="00844D98" w:rsidRPr="007669E4">
        <w:rPr>
          <w:sz w:val="20"/>
          <w:szCs w:val="20"/>
        </w:rPr>
        <w:t xml:space="preserve"> for information about Omar Evans’ case, State authorities failed to inform the </w:t>
      </w:r>
      <w:r w:rsidR="00F2733C" w:rsidRPr="007669E4">
        <w:rPr>
          <w:sz w:val="20"/>
          <w:szCs w:val="20"/>
        </w:rPr>
        <w:t xml:space="preserve">family of the alleged </w:t>
      </w:r>
      <w:r w:rsidR="00844D98" w:rsidRPr="007669E4">
        <w:rPr>
          <w:sz w:val="20"/>
          <w:szCs w:val="20"/>
        </w:rPr>
        <w:t xml:space="preserve">victim or </w:t>
      </w:r>
      <w:r w:rsidR="00AA2F34" w:rsidRPr="007669E4">
        <w:rPr>
          <w:sz w:val="20"/>
          <w:szCs w:val="20"/>
        </w:rPr>
        <w:t xml:space="preserve">the </w:t>
      </w:r>
      <w:r w:rsidR="00844D98" w:rsidRPr="007669E4">
        <w:rPr>
          <w:sz w:val="20"/>
          <w:szCs w:val="20"/>
        </w:rPr>
        <w:t xml:space="preserve">petitioners whether any progress had been made on </w:t>
      </w:r>
      <w:r w:rsidR="00AA2F34" w:rsidRPr="007669E4">
        <w:rPr>
          <w:sz w:val="20"/>
          <w:szCs w:val="20"/>
        </w:rPr>
        <w:t xml:space="preserve">the </w:t>
      </w:r>
      <w:r w:rsidR="00844D98" w:rsidRPr="007669E4">
        <w:rPr>
          <w:sz w:val="20"/>
          <w:szCs w:val="20"/>
        </w:rPr>
        <w:t>prosecution.</w:t>
      </w:r>
      <w:r w:rsidR="00844D98" w:rsidRPr="007669E4">
        <w:t xml:space="preserve"> </w:t>
      </w:r>
      <w:r w:rsidR="00E2299A" w:rsidRPr="007669E4">
        <w:rPr>
          <w:sz w:val="20"/>
          <w:szCs w:val="20"/>
        </w:rPr>
        <w:t>The p</w:t>
      </w:r>
      <w:r w:rsidR="00844D98" w:rsidRPr="007669E4">
        <w:rPr>
          <w:sz w:val="20"/>
          <w:szCs w:val="20"/>
        </w:rPr>
        <w:t>etitioners learn</w:t>
      </w:r>
      <w:r w:rsidR="00E2299A" w:rsidRPr="007669E4">
        <w:rPr>
          <w:sz w:val="20"/>
          <w:szCs w:val="20"/>
        </w:rPr>
        <w:t>ed</w:t>
      </w:r>
      <w:r w:rsidR="00844D98" w:rsidRPr="007669E4">
        <w:rPr>
          <w:sz w:val="20"/>
          <w:szCs w:val="20"/>
        </w:rPr>
        <w:t xml:space="preserve"> from the State’s </w:t>
      </w:r>
      <w:r w:rsidR="001037FC" w:rsidRPr="007669E4">
        <w:rPr>
          <w:sz w:val="20"/>
          <w:szCs w:val="20"/>
        </w:rPr>
        <w:t xml:space="preserve">response to the Commission in </w:t>
      </w:r>
      <w:r w:rsidR="00844D98" w:rsidRPr="007669E4">
        <w:rPr>
          <w:sz w:val="20"/>
          <w:szCs w:val="20"/>
        </w:rPr>
        <w:t>2019, that an inqui</w:t>
      </w:r>
      <w:r w:rsidR="00E2299A" w:rsidRPr="007669E4">
        <w:rPr>
          <w:sz w:val="20"/>
          <w:szCs w:val="20"/>
        </w:rPr>
        <w:t>ry</w:t>
      </w:r>
      <w:r w:rsidR="00844D98" w:rsidRPr="007669E4">
        <w:rPr>
          <w:sz w:val="20"/>
          <w:szCs w:val="20"/>
        </w:rPr>
        <w:t xml:space="preserve"> into the matter was finally held by the Special Coroner’s Court in 2015 </w:t>
      </w:r>
      <w:r w:rsidR="00E2299A" w:rsidRPr="007669E4">
        <w:rPr>
          <w:sz w:val="20"/>
          <w:szCs w:val="20"/>
        </w:rPr>
        <w:t>--</w:t>
      </w:r>
      <w:r w:rsidR="001037FC" w:rsidRPr="007669E4">
        <w:rPr>
          <w:sz w:val="20"/>
          <w:szCs w:val="20"/>
        </w:rPr>
        <w:t>that is</w:t>
      </w:r>
      <w:r w:rsidR="00E2299A" w:rsidRPr="007669E4">
        <w:rPr>
          <w:sz w:val="20"/>
          <w:szCs w:val="20"/>
        </w:rPr>
        <w:t>,</w:t>
      </w:r>
      <w:r w:rsidR="001037FC" w:rsidRPr="007669E4">
        <w:rPr>
          <w:sz w:val="20"/>
          <w:szCs w:val="20"/>
        </w:rPr>
        <w:t xml:space="preserve"> </w:t>
      </w:r>
      <w:r w:rsidR="00844D98" w:rsidRPr="007669E4">
        <w:rPr>
          <w:sz w:val="20"/>
          <w:szCs w:val="20"/>
        </w:rPr>
        <w:t>ove</w:t>
      </w:r>
      <w:r w:rsidR="00844D98" w:rsidRPr="007669E4">
        <w:rPr>
          <w:color w:val="auto"/>
          <w:sz w:val="20"/>
          <w:szCs w:val="20"/>
        </w:rPr>
        <w:t>r 14 years after Omar Evans’ death</w:t>
      </w:r>
      <w:r w:rsidR="00E2299A" w:rsidRPr="007669E4">
        <w:rPr>
          <w:color w:val="auto"/>
          <w:sz w:val="20"/>
          <w:szCs w:val="20"/>
        </w:rPr>
        <w:t>--, which</w:t>
      </w:r>
      <w:r w:rsidR="001037FC" w:rsidRPr="007669E4">
        <w:rPr>
          <w:color w:val="auto"/>
          <w:sz w:val="20"/>
          <w:szCs w:val="20"/>
        </w:rPr>
        <w:t xml:space="preserve"> concluded o</w:t>
      </w:r>
      <w:r w:rsidR="00844D98" w:rsidRPr="007669E4">
        <w:rPr>
          <w:color w:val="auto"/>
          <w:sz w:val="20"/>
          <w:szCs w:val="20"/>
        </w:rPr>
        <w:t xml:space="preserve">n 28 August 2015 </w:t>
      </w:r>
      <w:r w:rsidR="0055392C" w:rsidRPr="007669E4">
        <w:rPr>
          <w:color w:val="auto"/>
          <w:sz w:val="20"/>
          <w:szCs w:val="20"/>
        </w:rPr>
        <w:t xml:space="preserve">with a </w:t>
      </w:r>
      <w:r w:rsidR="00E2299A" w:rsidRPr="007669E4">
        <w:rPr>
          <w:color w:val="auto"/>
          <w:sz w:val="20"/>
          <w:szCs w:val="20"/>
        </w:rPr>
        <w:t>determination</w:t>
      </w:r>
      <w:r w:rsidR="001037FC" w:rsidRPr="007669E4">
        <w:rPr>
          <w:color w:val="auto"/>
          <w:sz w:val="20"/>
          <w:szCs w:val="20"/>
        </w:rPr>
        <w:t xml:space="preserve"> that </w:t>
      </w:r>
      <w:r w:rsidR="00844D98" w:rsidRPr="007669E4">
        <w:rPr>
          <w:color w:val="auto"/>
          <w:sz w:val="20"/>
          <w:szCs w:val="20"/>
        </w:rPr>
        <w:t>“no one was criminally responsibl</w:t>
      </w:r>
      <w:r w:rsidR="001037FC" w:rsidRPr="007669E4">
        <w:rPr>
          <w:color w:val="auto"/>
          <w:sz w:val="20"/>
          <w:szCs w:val="20"/>
        </w:rPr>
        <w:t xml:space="preserve">e for the death of Omar Evans”. </w:t>
      </w:r>
      <w:r w:rsidR="0055392C" w:rsidRPr="007669E4">
        <w:rPr>
          <w:color w:val="auto"/>
          <w:sz w:val="20"/>
          <w:szCs w:val="20"/>
        </w:rPr>
        <w:t xml:space="preserve"> </w:t>
      </w:r>
      <w:r w:rsidR="00E2299A" w:rsidRPr="007669E4">
        <w:rPr>
          <w:color w:val="auto"/>
          <w:sz w:val="20"/>
          <w:szCs w:val="20"/>
        </w:rPr>
        <w:t>They submit that</w:t>
      </w:r>
      <w:r w:rsidR="0055392C" w:rsidRPr="007669E4">
        <w:rPr>
          <w:color w:val="auto"/>
          <w:sz w:val="20"/>
          <w:szCs w:val="20"/>
        </w:rPr>
        <w:t xml:space="preserve"> </w:t>
      </w:r>
      <w:r w:rsidR="0055392C" w:rsidRPr="007669E4">
        <w:rPr>
          <w:rFonts w:eastAsia="Arial Unicode MS" w:cs="Times New Roman"/>
          <w:color w:val="auto"/>
          <w:sz w:val="20"/>
          <w:szCs w:val="20"/>
          <w:lang w:eastAsia="en-US"/>
        </w:rPr>
        <w:t>t</w:t>
      </w:r>
      <w:r w:rsidR="0046711C" w:rsidRPr="007669E4">
        <w:rPr>
          <w:rFonts w:eastAsia="Arial Unicode MS" w:cs="Times New Roman"/>
          <w:color w:val="auto"/>
          <w:sz w:val="20"/>
          <w:szCs w:val="20"/>
          <w:lang w:eastAsia="en-US"/>
        </w:rPr>
        <w:t xml:space="preserve">he investigation and subsequent prosecution for Omar Evans' shooting has been marred by improper conduct and unwarranted delays that severely limit its effectiveness. </w:t>
      </w:r>
      <w:r w:rsidR="00E2299A" w:rsidRPr="007669E4">
        <w:rPr>
          <w:rFonts w:eastAsia="Arial Unicode MS" w:cs="Times New Roman"/>
          <w:color w:val="auto"/>
          <w:sz w:val="20"/>
          <w:szCs w:val="20"/>
          <w:lang w:eastAsia="en-US"/>
        </w:rPr>
        <w:t xml:space="preserve">They </w:t>
      </w:r>
      <w:r w:rsidR="0055392C" w:rsidRPr="007669E4">
        <w:rPr>
          <w:sz w:val="20"/>
          <w:szCs w:val="20"/>
        </w:rPr>
        <w:t>emphasize that to date (</w:t>
      </w:r>
      <w:r w:rsidR="00630D8B" w:rsidRPr="007669E4">
        <w:rPr>
          <w:sz w:val="20"/>
          <w:szCs w:val="20"/>
        </w:rPr>
        <w:t>November</w:t>
      </w:r>
      <w:r w:rsidR="0055392C" w:rsidRPr="007669E4">
        <w:rPr>
          <w:sz w:val="20"/>
          <w:szCs w:val="20"/>
        </w:rPr>
        <w:t xml:space="preserve"> 2020), it is not yet clear what happened and why Omar Evans was killed. Petitioners claim that the </w:t>
      </w:r>
      <w:r w:rsidR="0055392C" w:rsidRPr="007669E4">
        <w:rPr>
          <w:rFonts w:eastAsia="Arial Unicode MS" w:cs="Times New Roman"/>
          <w:color w:val="auto"/>
          <w:sz w:val="20"/>
          <w:szCs w:val="20"/>
          <w:lang w:eastAsia="en-US"/>
        </w:rPr>
        <w:t>tampering with evidence combined with a failure to thoroughly investigate the events of that day and pursue all likely theories of culpability has resulted in a grave perversion of justice.</w:t>
      </w:r>
    </w:p>
    <w:p w14:paraId="636CD68B" w14:textId="77777777" w:rsidR="0046711C" w:rsidRPr="007669E4" w:rsidRDefault="0046711C" w:rsidP="00E5599E">
      <w:pPr>
        <w:pStyle w:val="ListParagraph"/>
        <w:jc w:val="both"/>
        <w:rPr>
          <w:rFonts w:eastAsia="Arial Unicode MS" w:cs="Times New Roman"/>
          <w:color w:val="FF0000"/>
          <w:sz w:val="20"/>
          <w:szCs w:val="20"/>
          <w:lang w:eastAsia="en-US"/>
        </w:rPr>
      </w:pPr>
    </w:p>
    <w:p w14:paraId="0795FB7E" w14:textId="3507340E" w:rsidR="00F30A25" w:rsidRPr="007669E4" w:rsidRDefault="000944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669E4">
        <w:rPr>
          <w:rFonts w:ascii="Cambria" w:hAnsi="Cambria"/>
          <w:sz w:val="20"/>
          <w:szCs w:val="20"/>
        </w:rPr>
        <w:t>The State, in turn, claims that the petition should be declared inadmissible due to lack of exhaustion of domestic remedies</w:t>
      </w:r>
      <w:r w:rsidR="00F30A25" w:rsidRPr="007669E4">
        <w:rPr>
          <w:rFonts w:ascii="Cambria" w:hAnsi="Cambria"/>
          <w:sz w:val="20"/>
          <w:szCs w:val="20"/>
        </w:rPr>
        <w:t xml:space="preserve"> both with regard to the criminal and civil proceedings</w:t>
      </w:r>
      <w:r w:rsidRPr="007669E4">
        <w:rPr>
          <w:rFonts w:ascii="Cambria" w:hAnsi="Cambria"/>
          <w:sz w:val="20"/>
          <w:szCs w:val="20"/>
        </w:rPr>
        <w:t xml:space="preserve">. </w:t>
      </w:r>
      <w:r w:rsidR="00F30A25" w:rsidRPr="007669E4">
        <w:rPr>
          <w:rFonts w:ascii="Cambria" w:hAnsi="Cambria"/>
          <w:sz w:val="20"/>
          <w:szCs w:val="20"/>
        </w:rPr>
        <w:t xml:space="preserve">Concerning the duty to investigate and the alleged defects in the police investigation and delays, the State </w:t>
      </w:r>
      <w:r w:rsidR="000C55F5" w:rsidRPr="007669E4">
        <w:rPr>
          <w:rFonts w:ascii="Cambria" w:hAnsi="Cambria"/>
          <w:sz w:val="20"/>
          <w:szCs w:val="20"/>
        </w:rPr>
        <w:t>indicates</w:t>
      </w:r>
      <w:r w:rsidR="00F30A25" w:rsidRPr="007669E4">
        <w:rPr>
          <w:rFonts w:ascii="Cambria" w:hAnsi="Cambria"/>
          <w:sz w:val="20"/>
          <w:szCs w:val="20"/>
        </w:rPr>
        <w:t xml:space="preserve"> that on August 28, 2015, the Special Coroners Court completed an inquest in which it concluded that no one was criminally responsible in the death of Omar Evans. Further, the State argues that petitioners may apply to a Judge of the Supreme Court, pursuant to Section 21 of the Coroners Act, seeking an order for a fresh inquest to be held on the ground that it is necessary or desirable in the interests of justice. The State asserts that t</w:t>
      </w:r>
      <w:r w:rsidR="003C348B" w:rsidRPr="007669E4">
        <w:rPr>
          <w:rFonts w:ascii="Cambria" w:hAnsi="Cambria"/>
          <w:sz w:val="20"/>
          <w:szCs w:val="20"/>
        </w:rPr>
        <w:t xml:space="preserve">his remedy, in addition to a </w:t>
      </w:r>
      <w:r w:rsidR="000C55F5" w:rsidRPr="007669E4">
        <w:rPr>
          <w:rFonts w:ascii="Cambria" w:hAnsi="Cambria"/>
          <w:sz w:val="20"/>
          <w:szCs w:val="20"/>
        </w:rPr>
        <w:t>c</w:t>
      </w:r>
      <w:r w:rsidR="00F30A25" w:rsidRPr="007669E4">
        <w:rPr>
          <w:rFonts w:ascii="Cambria" w:hAnsi="Cambria"/>
          <w:sz w:val="20"/>
          <w:szCs w:val="20"/>
        </w:rPr>
        <w:t>onstitutional claim, can address any alleged significant defect in the investigation process or verdict of the Special Coroner. Thus, the State stresses</w:t>
      </w:r>
      <w:r w:rsidR="00853451" w:rsidRPr="007669E4">
        <w:rPr>
          <w:rFonts w:ascii="Cambria" w:hAnsi="Cambria"/>
          <w:sz w:val="20"/>
          <w:szCs w:val="20"/>
        </w:rPr>
        <w:t xml:space="preserve"> </w:t>
      </w:r>
      <w:r w:rsidR="00F30A25" w:rsidRPr="007669E4">
        <w:rPr>
          <w:rFonts w:ascii="Cambria" w:hAnsi="Cambria"/>
          <w:sz w:val="20"/>
          <w:szCs w:val="20"/>
        </w:rPr>
        <w:t xml:space="preserve">the absence of a pursuit of the domestic remedies described above.  </w:t>
      </w:r>
    </w:p>
    <w:p w14:paraId="53B79D8C" w14:textId="66359B1B" w:rsidR="00C960E9" w:rsidRPr="007669E4" w:rsidRDefault="000C55F5" w:rsidP="00C960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669E4">
        <w:rPr>
          <w:rFonts w:ascii="Cambria" w:hAnsi="Cambria"/>
          <w:sz w:val="20"/>
          <w:szCs w:val="20"/>
        </w:rPr>
        <w:t>The</w:t>
      </w:r>
      <w:r w:rsidR="003D22DB" w:rsidRPr="007669E4">
        <w:rPr>
          <w:rFonts w:ascii="Cambria" w:hAnsi="Cambria"/>
          <w:sz w:val="20"/>
          <w:szCs w:val="20"/>
        </w:rPr>
        <w:t xml:space="preserve"> </w:t>
      </w:r>
      <w:r w:rsidR="006F7E33" w:rsidRPr="007669E4">
        <w:rPr>
          <w:rFonts w:ascii="Cambria" w:hAnsi="Cambria"/>
          <w:sz w:val="20"/>
          <w:szCs w:val="20"/>
        </w:rPr>
        <w:t xml:space="preserve">State </w:t>
      </w:r>
      <w:r w:rsidRPr="007669E4">
        <w:rPr>
          <w:rFonts w:ascii="Cambria" w:hAnsi="Cambria"/>
          <w:sz w:val="20"/>
          <w:szCs w:val="20"/>
        </w:rPr>
        <w:t xml:space="preserve">also </w:t>
      </w:r>
      <w:r w:rsidR="006F7E33" w:rsidRPr="007669E4">
        <w:rPr>
          <w:rFonts w:ascii="Cambria" w:hAnsi="Cambria"/>
          <w:sz w:val="20"/>
          <w:szCs w:val="20"/>
        </w:rPr>
        <w:t xml:space="preserve">indicates that section 19(1) of the Constitution of Jamaica recognizes the right of persons to approach the Supreme Court of Jamaica </w:t>
      </w:r>
      <w:r w:rsidRPr="007669E4">
        <w:rPr>
          <w:rFonts w:ascii="Cambria" w:hAnsi="Cambria"/>
          <w:sz w:val="20"/>
          <w:szCs w:val="20"/>
        </w:rPr>
        <w:t>to seek</w:t>
      </w:r>
      <w:r w:rsidR="006F7E33" w:rsidRPr="007669E4">
        <w:rPr>
          <w:rFonts w:ascii="Cambria" w:hAnsi="Cambria"/>
          <w:sz w:val="20"/>
          <w:szCs w:val="20"/>
        </w:rPr>
        <w:t xml:space="preserve"> redress for human rights violations. These include alleged violations of the right to life and the right not to be subjected to cruel and inhumane treatment. Thus, it is submitted that civil proceedings, in the form of constitutional relief, </w:t>
      </w:r>
      <w:r w:rsidRPr="007669E4">
        <w:rPr>
          <w:rFonts w:ascii="Cambria" w:hAnsi="Cambria"/>
          <w:sz w:val="20"/>
          <w:szCs w:val="20"/>
        </w:rPr>
        <w:t>are</w:t>
      </w:r>
      <w:r w:rsidR="006F7E33" w:rsidRPr="007669E4">
        <w:rPr>
          <w:rFonts w:ascii="Cambria" w:hAnsi="Cambria"/>
          <w:sz w:val="20"/>
          <w:szCs w:val="20"/>
        </w:rPr>
        <w:t xml:space="preserve"> adequate and effective remed</w:t>
      </w:r>
      <w:r w:rsidRPr="007669E4">
        <w:rPr>
          <w:rFonts w:ascii="Cambria" w:hAnsi="Cambria"/>
          <w:sz w:val="20"/>
          <w:szCs w:val="20"/>
        </w:rPr>
        <w:t>ies</w:t>
      </w:r>
      <w:r w:rsidR="006F7E33" w:rsidRPr="007669E4">
        <w:rPr>
          <w:rFonts w:ascii="Cambria" w:hAnsi="Cambria"/>
          <w:sz w:val="20"/>
          <w:szCs w:val="20"/>
        </w:rPr>
        <w:t xml:space="preserve"> for an alleged unlawful killing by the State.</w:t>
      </w:r>
      <w:r w:rsidR="00D13677" w:rsidRPr="007669E4">
        <w:rPr>
          <w:rFonts w:ascii="Cambria" w:hAnsi="Cambria"/>
          <w:sz w:val="20"/>
          <w:szCs w:val="20"/>
        </w:rPr>
        <w:t xml:space="preserve"> The Government invites the Commission to depart from its previously held position in so far as suggesting that civil remedies are inadequate or ineffective remedies for alleged breaches of non-derogable rights by the State</w:t>
      </w:r>
      <w:r w:rsidR="00D13677" w:rsidRPr="007669E4">
        <w:rPr>
          <w:rStyle w:val="FootnoteReference"/>
          <w:rFonts w:ascii="Cambria" w:hAnsi="Cambria"/>
          <w:sz w:val="20"/>
          <w:szCs w:val="20"/>
        </w:rPr>
        <w:footnoteReference w:id="7"/>
      </w:r>
      <w:r w:rsidR="00D13677" w:rsidRPr="007669E4">
        <w:rPr>
          <w:rFonts w:ascii="Cambria" w:hAnsi="Cambria"/>
          <w:sz w:val="20"/>
          <w:szCs w:val="20"/>
        </w:rPr>
        <w:t>; and in turn submits that civil proceedings are an adequate and effective remedy and must be pursued by the petitioner regardless of whether the State has failed to adequately pursue the criminal process. The</w:t>
      </w:r>
      <w:r w:rsidR="006F7E33" w:rsidRPr="007669E4">
        <w:rPr>
          <w:rFonts w:ascii="Cambria" w:hAnsi="Cambria"/>
          <w:sz w:val="20"/>
          <w:szCs w:val="20"/>
        </w:rPr>
        <w:t xml:space="preserve"> Further, the States argues that civil proceedings are the remedy </w:t>
      </w:r>
      <w:r w:rsidRPr="007669E4">
        <w:rPr>
          <w:rFonts w:ascii="Cambria" w:hAnsi="Cambria"/>
          <w:sz w:val="20"/>
          <w:szCs w:val="20"/>
        </w:rPr>
        <w:t xml:space="preserve">to be exhausted </w:t>
      </w:r>
      <w:r w:rsidR="006F7E33" w:rsidRPr="007669E4">
        <w:rPr>
          <w:rFonts w:ascii="Cambria" w:hAnsi="Cambria"/>
          <w:sz w:val="20"/>
          <w:szCs w:val="20"/>
        </w:rPr>
        <w:t xml:space="preserve">for two reasons: </w:t>
      </w:r>
      <w:r w:rsidR="00A942D4" w:rsidRPr="007669E4">
        <w:rPr>
          <w:rFonts w:ascii="Cambria" w:hAnsi="Cambria"/>
          <w:sz w:val="20"/>
          <w:szCs w:val="20"/>
        </w:rPr>
        <w:t>i</w:t>
      </w:r>
      <w:r w:rsidR="006F7E33" w:rsidRPr="007669E4">
        <w:rPr>
          <w:rFonts w:ascii="Cambria" w:hAnsi="Cambria"/>
          <w:sz w:val="20"/>
          <w:szCs w:val="20"/>
        </w:rPr>
        <w:t>t can examine the substance of the complaint</w:t>
      </w:r>
      <w:r w:rsidR="00A942D4" w:rsidRPr="007669E4">
        <w:rPr>
          <w:rFonts w:ascii="Cambria" w:hAnsi="Cambria"/>
          <w:sz w:val="20"/>
          <w:szCs w:val="20"/>
        </w:rPr>
        <w:t>,</w:t>
      </w:r>
      <w:r w:rsidR="006F7E33" w:rsidRPr="007669E4">
        <w:rPr>
          <w:rFonts w:ascii="Cambria" w:hAnsi="Cambria"/>
          <w:sz w:val="20"/>
          <w:szCs w:val="20"/>
        </w:rPr>
        <w:t xml:space="preserve"> </w:t>
      </w:r>
      <w:r w:rsidR="00A942D4" w:rsidRPr="007669E4">
        <w:rPr>
          <w:rFonts w:ascii="Cambria" w:hAnsi="Cambria"/>
          <w:i/>
          <w:sz w:val="20"/>
          <w:szCs w:val="20"/>
        </w:rPr>
        <w:t>i.e.</w:t>
      </w:r>
      <w:r w:rsidR="006F7E33" w:rsidRPr="007669E4">
        <w:rPr>
          <w:rFonts w:ascii="Cambria" w:hAnsi="Cambria"/>
          <w:sz w:val="20"/>
          <w:szCs w:val="20"/>
        </w:rPr>
        <w:t xml:space="preserve"> the State’s responsibility for the violation of human rights; and </w:t>
      </w:r>
      <w:r w:rsidRPr="007669E4">
        <w:rPr>
          <w:rFonts w:ascii="Cambria" w:hAnsi="Cambria"/>
          <w:sz w:val="20"/>
          <w:szCs w:val="20"/>
        </w:rPr>
        <w:t>it</w:t>
      </w:r>
      <w:r w:rsidR="006F7E33" w:rsidRPr="007669E4">
        <w:rPr>
          <w:rFonts w:ascii="Cambria" w:hAnsi="Cambria"/>
          <w:sz w:val="20"/>
          <w:szCs w:val="20"/>
        </w:rPr>
        <w:t xml:space="preserve"> allows for an order of compensation, which is an adequate form of relief.  </w:t>
      </w:r>
      <w:r w:rsidR="000E77F1" w:rsidRPr="007669E4">
        <w:rPr>
          <w:rFonts w:ascii="Cambria" w:hAnsi="Cambria"/>
          <w:sz w:val="20"/>
          <w:szCs w:val="20"/>
        </w:rPr>
        <w:t>Hence,</w:t>
      </w:r>
      <w:r w:rsidR="006F7E33" w:rsidRPr="007669E4">
        <w:rPr>
          <w:rFonts w:ascii="Cambria" w:hAnsi="Cambria"/>
          <w:sz w:val="20"/>
          <w:szCs w:val="20"/>
        </w:rPr>
        <w:t xml:space="preserve"> </w:t>
      </w:r>
      <w:r w:rsidR="00E8386C" w:rsidRPr="007669E4">
        <w:rPr>
          <w:rFonts w:ascii="Cambria" w:eastAsia="Cambria" w:hAnsi="Cambria" w:cs="Cambria"/>
          <w:sz w:val="20"/>
          <w:szCs w:val="20"/>
        </w:rPr>
        <w:t xml:space="preserve">the State argues that it the petitioners </w:t>
      </w:r>
      <w:r w:rsidR="000E77F1" w:rsidRPr="007669E4">
        <w:rPr>
          <w:rFonts w:ascii="Cambria" w:eastAsia="Cambria" w:hAnsi="Cambria" w:cs="Cambria"/>
          <w:sz w:val="20"/>
          <w:szCs w:val="20"/>
        </w:rPr>
        <w:t>had</w:t>
      </w:r>
      <w:r w:rsidR="00E8386C" w:rsidRPr="007669E4">
        <w:rPr>
          <w:rFonts w:ascii="Cambria" w:eastAsia="Cambria" w:hAnsi="Cambria" w:cs="Cambria"/>
          <w:sz w:val="20"/>
          <w:szCs w:val="20"/>
        </w:rPr>
        <w:t xml:space="preserve"> civil proceedings for compensation</w:t>
      </w:r>
      <w:r w:rsidR="000E77F1" w:rsidRPr="007669E4">
        <w:rPr>
          <w:rFonts w:ascii="Cambria" w:eastAsia="Cambria" w:hAnsi="Cambria" w:cs="Cambria"/>
          <w:sz w:val="20"/>
          <w:szCs w:val="20"/>
        </w:rPr>
        <w:t xml:space="preserve"> available</w:t>
      </w:r>
      <w:r w:rsidR="00E8386C" w:rsidRPr="007669E4">
        <w:rPr>
          <w:rFonts w:ascii="Cambria" w:eastAsia="Cambria" w:hAnsi="Cambria" w:cs="Cambria"/>
          <w:sz w:val="20"/>
          <w:szCs w:val="20"/>
        </w:rPr>
        <w:t xml:space="preserve">, </w:t>
      </w:r>
      <w:r w:rsidR="00456BFF" w:rsidRPr="007669E4">
        <w:rPr>
          <w:rFonts w:ascii="Cambria" w:eastAsia="Cambria" w:hAnsi="Cambria" w:cs="Cambria"/>
          <w:sz w:val="20"/>
          <w:szCs w:val="20"/>
        </w:rPr>
        <w:t>which</w:t>
      </w:r>
      <w:r w:rsidR="00E8386C" w:rsidRPr="007669E4">
        <w:rPr>
          <w:rFonts w:ascii="Cambria" w:eastAsia="Cambria" w:hAnsi="Cambria" w:cs="Cambria"/>
          <w:sz w:val="20"/>
          <w:szCs w:val="20"/>
        </w:rPr>
        <w:t xml:space="preserve"> the</w:t>
      </w:r>
      <w:r w:rsidR="000E77F1" w:rsidRPr="007669E4">
        <w:rPr>
          <w:rFonts w:ascii="Cambria" w:eastAsia="Cambria" w:hAnsi="Cambria" w:cs="Cambria"/>
          <w:sz w:val="20"/>
          <w:szCs w:val="20"/>
        </w:rPr>
        <w:t>y</w:t>
      </w:r>
      <w:r w:rsidR="00E8386C" w:rsidRPr="007669E4">
        <w:rPr>
          <w:rFonts w:ascii="Cambria" w:eastAsia="Cambria" w:hAnsi="Cambria" w:cs="Cambria"/>
          <w:sz w:val="20"/>
          <w:szCs w:val="20"/>
        </w:rPr>
        <w:t xml:space="preserve"> failed to </w:t>
      </w:r>
      <w:r w:rsidR="000E77F1" w:rsidRPr="007669E4">
        <w:rPr>
          <w:rFonts w:ascii="Cambria" w:eastAsia="Cambria" w:hAnsi="Cambria" w:cs="Cambria"/>
          <w:sz w:val="20"/>
          <w:szCs w:val="20"/>
        </w:rPr>
        <w:t>pursue</w:t>
      </w:r>
      <w:r w:rsidR="00E8386C" w:rsidRPr="007669E4">
        <w:rPr>
          <w:rFonts w:ascii="Cambria" w:eastAsia="Cambria" w:hAnsi="Cambria" w:cs="Cambria"/>
          <w:sz w:val="20"/>
          <w:szCs w:val="20"/>
        </w:rPr>
        <w:t xml:space="preserve">.  In this regard, the State </w:t>
      </w:r>
      <w:r w:rsidR="000E77F1" w:rsidRPr="007669E4">
        <w:rPr>
          <w:rFonts w:ascii="Cambria" w:eastAsia="Cambria" w:hAnsi="Cambria" w:cs="Cambria"/>
          <w:sz w:val="20"/>
          <w:szCs w:val="20"/>
        </w:rPr>
        <w:t xml:space="preserve">also </w:t>
      </w:r>
      <w:r w:rsidR="00E8386C" w:rsidRPr="007669E4">
        <w:rPr>
          <w:rFonts w:ascii="Cambria" w:eastAsia="Cambria" w:hAnsi="Cambria" w:cs="Cambria"/>
          <w:sz w:val="20"/>
          <w:szCs w:val="20"/>
        </w:rPr>
        <w:t xml:space="preserve">emphasizes that this remedy is effective for redressing the complaints raised in the petition. In this regard, the State also submits that civil proceedings must be pursued irrespective of </w:t>
      </w:r>
      <w:r w:rsidR="000E77F1" w:rsidRPr="007669E4">
        <w:rPr>
          <w:rFonts w:ascii="Cambria" w:eastAsia="Cambria" w:hAnsi="Cambria" w:cs="Cambria"/>
          <w:sz w:val="20"/>
          <w:szCs w:val="20"/>
        </w:rPr>
        <w:t>the allegations of failure to</w:t>
      </w:r>
      <w:r w:rsidR="00E8386C" w:rsidRPr="007669E4">
        <w:rPr>
          <w:rFonts w:ascii="Cambria" w:eastAsia="Cambria" w:hAnsi="Cambria" w:cs="Cambria"/>
          <w:sz w:val="20"/>
          <w:szCs w:val="20"/>
        </w:rPr>
        <w:t xml:space="preserve"> adequately pursue the criminal process.  </w:t>
      </w:r>
    </w:p>
    <w:p w14:paraId="318C56E4" w14:textId="68A064B1" w:rsidR="00D13677" w:rsidRPr="007669E4" w:rsidRDefault="00D13677" w:rsidP="007431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669E4">
        <w:rPr>
          <w:rFonts w:ascii="Cambria" w:hAnsi="Cambria"/>
          <w:sz w:val="20"/>
          <w:szCs w:val="20"/>
        </w:rPr>
        <w:t xml:space="preserve">Furthermore, the State contends that the allegation </w:t>
      </w:r>
      <w:r w:rsidR="00D56A54" w:rsidRPr="007669E4">
        <w:rPr>
          <w:rFonts w:ascii="Cambria" w:hAnsi="Cambria"/>
          <w:sz w:val="20"/>
          <w:szCs w:val="20"/>
        </w:rPr>
        <w:t>that civil</w:t>
      </w:r>
      <w:r w:rsidR="005B5412" w:rsidRPr="007669E4">
        <w:rPr>
          <w:rFonts w:ascii="Cambria" w:hAnsi="Cambria"/>
          <w:sz w:val="20"/>
          <w:szCs w:val="20"/>
        </w:rPr>
        <w:t xml:space="preserve"> proceeding</w:t>
      </w:r>
      <w:r w:rsidRPr="007669E4">
        <w:rPr>
          <w:rFonts w:ascii="Cambria" w:hAnsi="Cambria"/>
          <w:sz w:val="20"/>
          <w:szCs w:val="20"/>
        </w:rPr>
        <w:t xml:space="preserve"> failed to adequately investigate and prosecute is manifestly groundless. The Government submits that any such claim is subject to the exhaustion rule and thus cannot be examine unless local remedies have been exhausted, which for the State in this case petitioners have failed to do so. For the State, the petitioner’s argument that Constitutional relief </w:t>
      </w:r>
      <w:r w:rsidRPr="007669E4">
        <w:rPr>
          <w:rFonts w:ascii="Cambria" w:hAnsi="Cambria"/>
          <w:sz w:val="20"/>
          <w:szCs w:val="20"/>
        </w:rPr>
        <w:lastRenderedPageBreak/>
        <w:t xml:space="preserve">can only provide monetary compensation, thus it is inadequate. This is incorrect. Constitutional relief provides the ability to receive any appropriate form of relief for an established human rights violation. This includes, but it is not limited, to compensation. For example, Constitutional relief also offers as a form of reparation, the possibility for orders to State agents to fulfil the duty to investigate, where there is any breach and it offers the prospect of the Constitutional Court issuing a judicial declaration on the State’s responsibility for human rights violations, which is itself a form of relief recognized by the Commission. Hence, for the State it was and is for the petitioners to make an application to de Supreme Court for constitutional relief, to allow the examination as to whether the government has fulfilled its duty to investigate and to gain appropriate relief.  </w:t>
      </w:r>
      <w:r w:rsidRPr="007669E4">
        <w:rPr>
          <w:rFonts w:ascii="Cambria" w:hAnsi="Cambria"/>
          <w:sz w:val="20"/>
          <w:szCs w:val="20"/>
        </w:rPr>
        <w:tab/>
      </w:r>
    </w:p>
    <w:p w14:paraId="55505107" w14:textId="28153572" w:rsidR="00F621C3" w:rsidRPr="007669E4" w:rsidRDefault="00F621C3" w:rsidP="00954611">
      <w:pPr>
        <w:spacing w:before="240" w:after="240"/>
        <w:ind w:firstLine="720"/>
        <w:jc w:val="both"/>
        <w:rPr>
          <w:rFonts w:ascii="Cambria" w:hAnsi="Cambria"/>
          <w:sz w:val="20"/>
          <w:szCs w:val="20"/>
        </w:rPr>
      </w:pPr>
      <w:r w:rsidRPr="007669E4">
        <w:rPr>
          <w:rFonts w:asciiTheme="majorHAnsi" w:eastAsia="Cambria" w:hAnsiTheme="majorHAnsi" w:cs="Cambria"/>
          <w:b/>
          <w:bCs/>
          <w:color w:val="000000"/>
          <w:sz w:val="20"/>
          <w:szCs w:val="20"/>
          <w:u w:color="000000"/>
          <w:lang w:eastAsia="es-ES"/>
        </w:rPr>
        <w:t>VI.</w:t>
      </w:r>
      <w:r w:rsidRPr="007669E4">
        <w:rPr>
          <w:rFonts w:asciiTheme="majorHAnsi" w:eastAsia="Cambria" w:hAnsiTheme="majorHAnsi" w:cs="Cambria"/>
          <w:b/>
          <w:bCs/>
          <w:color w:val="000000"/>
          <w:sz w:val="20"/>
          <w:szCs w:val="20"/>
          <w:u w:color="000000"/>
          <w:lang w:eastAsia="es-ES"/>
        </w:rPr>
        <w:tab/>
      </w:r>
      <w:r w:rsidR="001F1902" w:rsidRPr="007669E4">
        <w:rPr>
          <w:rFonts w:asciiTheme="majorHAnsi" w:hAnsiTheme="majorHAnsi"/>
          <w:b/>
          <w:bCs/>
          <w:sz w:val="20"/>
          <w:szCs w:val="20"/>
        </w:rPr>
        <w:t xml:space="preserve">ANALYSIS OF </w:t>
      </w:r>
      <w:r w:rsidRPr="007669E4">
        <w:rPr>
          <w:rFonts w:asciiTheme="majorHAnsi" w:hAnsiTheme="majorHAnsi"/>
          <w:b/>
          <w:sz w:val="20"/>
          <w:szCs w:val="20"/>
        </w:rPr>
        <w:t>EXHAUSTION OF DOMESTIC REMEDIES AND TIMELINESS OF THE PETITION</w:t>
      </w:r>
      <w:r w:rsidRPr="007669E4">
        <w:rPr>
          <w:rFonts w:asciiTheme="majorHAnsi" w:eastAsia="Cambria" w:hAnsiTheme="majorHAnsi" w:cs="Cambria"/>
          <w:b/>
          <w:bCs/>
          <w:color w:val="000000"/>
          <w:sz w:val="20"/>
          <w:szCs w:val="20"/>
          <w:u w:color="000000"/>
          <w:lang w:eastAsia="es-ES"/>
        </w:rPr>
        <w:t xml:space="preserve"> </w:t>
      </w:r>
    </w:p>
    <w:p w14:paraId="64ADDD1A" w14:textId="7A257DED" w:rsidR="00731170" w:rsidRPr="007669E4" w:rsidRDefault="00C663C4" w:rsidP="008C7E40">
      <w:pPr>
        <w:pStyle w:val="ListParagraph"/>
        <w:numPr>
          <w:ilvl w:val="0"/>
          <w:numId w:val="103"/>
        </w:numPr>
        <w:spacing w:before="120" w:after="120"/>
        <w:jc w:val="both"/>
        <w:rPr>
          <w:bCs/>
          <w:sz w:val="20"/>
          <w:szCs w:val="20"/>
        </w:rPr>
      </w:pPr>
      <w:r w:rsidRPr="007669E4">
        <w:rPr>
          <w:sz w:val="20"/>
          <w:szCs w:val="20"/>
        </w:rPr>
        <w:t xml:space="preserve">The petitioners indicate that they have exhausted the domestic remedies available to them, but that the </w:t>
      </w:r>
      <w:r w:rsidRPr="007669E4">
        <w:rPr>
          <w:rFonts w:eastAsia="Arial Unicode MS" w:cs="Times New Roman"/>
          <w:color w:val="auto"/>
          <w:sz w:val="20"/>
          <w:szCs w:val="20"/>
          <w:lang w:eastAsia="en-US"/>
        </w:rPr>
        <w:t>unwarranted delays, coupled with the irregularities in the investigation, severely limit its effectiveness</w:t>
      </w:r>
      <w:r w:rsidRPr="007669E4">
        <w:rPr>
          <w:sz w:val="20"/>
          <w:szCs w:val="20"/>
        </w:rPr>
        <w:t xml:space="preserve"> of the system of justice. Therefore, they allege that in cases such as the instant one, it is the duty of the State to promote and advance the investigation On the other hand, t</w:t>
      </w:r>
      <w:r w:rsidR="005A728F" w:rsidRPr="007669E4">
        <w:rPr>
          <w:sz w:val="20"/>
          <w:szCs w:val="20"/>
        </w:rPr>
        <w:t xml:space="preserve">he State rejects the petition as inadmissible primarily </w:t>
      </w:r>
      <w:r w:rsidR="00A942D4" w:rsidRPr="007669E4">
        <w:rPr>
          <w:sz w:val="20"/>
          <w:szCs w:val="20"/>
        </w:rPr>
        <w:t>because</w:t>
      </w:r>
      <w:r w:rsidR="009B5FCC" w:rsidRPr="007669E4">
        <w:rPr>
          <w:sz w:val="20"/>
          <w:szCs w:val="20"/>
        </w:rPr>
        <w:t>, the State assets that</w:t>
      </w:r>
      <w:r w:rsidR="000E77F1" w:rsidRPr="007669E4">
        <w:rPr>
          <w:sz w:val="20"/>
          <w:szCs w:val="20"/>
        </w:rPr>
        <w:t xml:space="preserve"> it </w:t>
      </w:r>
      <w:r w:rsidR="00207E12" w:rsidRPr="007669E4">
        <w:rPr>
          <w:sz w:val="20"/>
          <w:szCs w:val="20"/>
        </w:rPr>
        <w:t>did undertake a criminal investigation and prosecution into Mr. Evans’s death</w:t>
      </w:r>
      <w:r w:rsidR="000E77F1" w:rsidRPr="007669E4">
        <w:rPr>
          <w:sz w:val="20"/>
          <w:szCs w:val="20"/>
        </w:rPr>
        <w:t>.</w:t>
      </w:r>
      <w:r w:rsidR="005A728F" w:rsidRPr="007669E4">
        <w:rPr>
          <w:sz w:val="20"/>
          <w:szCs w:val="20"/>
        </w:rPr>
        <w:t xml:space="preserve"> </w:t>
      </w:r>
      <w:r w:rsidR="000E77F1" w:rsidRPr="007669E4">
        <w:rPr>
          <w:sz w:val="20"/>
          <w:szCs w:val="20"/>
        </w:rPr>
        <w:t xml:space="preserve">In the second place, it asserts </w:t>
      </w:r>
      <w:r w:rsidR="00207E12" w:rsidRPr="007669E4">
        <w:rPr>
          <w:sz w:val="20"/>
          <w:szCs w:val="20"/>
        </w:rPr>
        <w:t xml:space="preserve">that the petitioners have failed to exhaust domestic remedies because </w:t>
      </w:r>
      <w:r w:rsidR="000E77F1" w:rsidRPr="007669E4">
        <w:rPr>
          <w:sz w:val="20"/>
          <w:szCs w:val="20"/>
        </w:rPr>
        <w:t>they</w:t>
      </w:r>
      <w:r w:rsidR="00207E12" w:rsidRPr="007669E4">
        <w:rPr>
          <w:sz w:val="20"/>
          <w:szCs w:val="20"/>
        </w:rPr>
        <w:t xml:space="preserve"> </w:t>
      </w:r>
      <w:r w:rsidR="000E77F1" w:rsidRPr="007669E4">
        <w:rPr>
          <w:sz w:val="20"/>
          <w:szCs w:val="20"/>
        </w:rPr>
        <w:t xml:space="preserve">did not </w:t>
      </w:r>
      <w:r w:rsidR="00207E12" w:rsidRPr="007669E4">
        <w:rPr>
          <w:sz w:val="20"/>
          <w:szCs w:val="20"/>
        </w:rPr>
        <w:t xml:space="preserve">initiate civil proceedings for compensation, which </w:t>
      </w:r>
      <w:r w:rsidR="000E77F1" w:rsidRPr="007669E4">
        <w:rPr>
          <w:sz w:val="20"/>
          <w:szCs w:val="20"/>
        </w:rPr>
        <w:t>were at their disposal</w:t>
      </w:r>
      <w:r w:rsidR="00207E12" w:rsidRPr="007669E4">
        <w:rPr>
          <w:sz w:val="20"/>
          <w:szCs w:val="20"/>
        </w:rPr>
        <w:t xml:space="preserve">. </w:t>
      </w:r>
      <w:r w:rsidR="000E77F1" w:rsidRPr="007669E4">
        <w:rPr>
          <w:sz w:val="20"/>
          <w:szCs w:val="20"/>
        </w:rPr>
        <w:t>The</w:t>
      </w:r>
      <w:r w:rsidR="00207E12" w:rsidRPr="007669E4">
        <w:rPr>
          <w:sz w:val="20"/>
          <w:szCs w:val="20"/>
        </w:rPr>
        <w:t xml:space="preserve"> State </w:t>
      </w:r>
      <w:r w:rsidR="000E77F1" w:rsidRPr="007669E4">
        <w:rPr>
          <w:sz w:val="20"/>
          <w:szCs w:val="20"/>
        </w:rPr>
        <w:t xml:space="preserve">submits that </w:t>
      </w:r>
      <w:r w:rsidR="005A728F" w:rsidRPr="007669E4">
        <w:rPr>
          <w:sz w:val="20"/>
          <w:szCs w:val="20"/>
        </w:rPr>
        <w:t xml:space="preserve">this remedy is effective for redressing the complaints raised in the petition. </w:t>
      </w:r>
    </w:p>
    <w:p w14:paraId="37D2B235" w14:textId="0DADC78A" w:rsidR="00506491" w:rsidRPr="007669E4" w:rsidRDefault="00506491" w:rsidP="006B4DD5">
      <w:pPr>
        <w:pStyle w:val="ListParagraph"/>
        <w:numPr>
          <w:ilvl w:val="0"/>
          <w:numId w:val="103"/>
        </w:numPr>
        <w:spacing w:before="120" w:after="120"/>
        <w:jc w:val="both"/>
        <w:rPr>
          <w:rFonts w:asciiTheme="majorHAnsi" w:hAnsiTheme="majorHAnsi"/>
          <w:sz w:val="20"/>
          <w:szCs w:val="20"/>
        </w:rPr>
      </w:pPr>
      <w:r w:rsidRPr="007669E4">
        <w:rPr>
          <w:rFonts w:asciiTheme="majorHAnsi" w:hAnsiTheme="majorHAnsi"/>
          <w:sz w:val="20"/>
          <w:szCs w:val="20"/>
        </w:rPr>
        <w:t xml:space="preserve">With respect to the lack of exhaustion argument, the IACHR recalls that whenever an alleged crime prosecutable </w:t>
      </w:r>
      <w:r w:rsidRPr="007669E4">
        <w:rPr>
          <w:rFonts w:asciiTheme="majorHAnsi" w:hAnsiTheme="majorHAnsi"/>
          <w:i/>
          <w:sz w:val="20"/>
          <w:szCs w:val="20"/>
        </w:rPr>
        <w:t>ex officio</w:t>
      </w:r>
      <w:r w:rsidRPr="007669E4">
        <w:rPr>
          <w:rFonts w:asciiTheme="majorHAnsi" w:hAnsiTheme="majorHAnsi"/>
          <w:sz w:val="20"/>
          <w:szCs w:val="20"/>
        </w:rPr>
        <w:t xml:space="preserve"> is committed, the State has the obligation to promote criminal proceedings and that, in these cases, this is the adequate avenue to clarify the facts, prosecute those responsible and establish appropriate criminal punishment</w:t>
      </w:r>
      <w:r w:rsidRPr="007669E4">
        <w:rPr>
          <w:rStyle w:val="FootnoteReference"/>
          <w:bCs/>
          <w:sz w:val="20"/>
          <w:szCs w:val="20"/>
        </w:rPr>
        <w:footnoteReference w:id="8"/>
      </w:r>
      <w:r w:rsidRPr="007669E4">
        <w:rPr>
          <w:rFonts w:asciiTheme="majorHAnsi" w:hAnsiTheme="majorHAnsi"/>
          <w:sz w:val="20"/>
          <w:szCs w:val="20"/>
        </w:rPr>
        <w:t xml:space="preserve">. Under international standards, where serious human rights violations such as extrajudicial killings are alleged, the appropriate and effective remedy is precisely the filing and the undertaking of an effective criminal investigation aimed at the clarification of the facts and, if necessary, the individualization and prosecution of those responsible. </w:t>
      </w:r>
      <w:r w:rsidR="00C73385" w:rsidRPr="007669E4">
        <w:rPr>
          <w:bCs/>
          <w:sz w:val="20"/>
          <w:szCs w:val="20"/>
        </w:rPr>
        <w:t xml:space="preserve">The Commission notes that </w:t>
      </w:r>
      <w:r w:rsidR="00B166A8" w:rsidRPr="007669E4">
        <w:rPr>
          <w:bCs/>
          <w:sz w:val="20"/>
          <w:szCs w:val="20"/>
        </w:rPr>
        <w:t>in this case there has been unwarranted delay in rendering</w:t>
      </w:r>
      <w:r w:rsidR="00E224E5" w:rsidRPr="007669E4">
        <w:rPr>
          <w:bCs/>
          <w:sz w:val="20"/>
          <w:szCs w:val="20"/>
        </w:rPr>
        <w:t xml:space="preserve"> a final judgment</w:t>
      </w:r>
      <w:r w:rsidR="00B166A8" w:rsidRPr="007669E4">
        <w:rPr>
          <w:bCs/>
          <w:sz w:val="20"/>
          <w:szCs w:val="20"/>
        </w:rPr>
        <w:t xml:space="preserve">. Omar Evans was killed more than 19 years ago, </w:t>
      </w:r>
      <w:r w:rsidR="009F7B39" w:rsidRPr="007669E4">
        <w:rPr>
          <w:bCs/>
          <w:sz w:val="20"/>
          <w:szCs w:val="20"/>
        </w:rPr>
        <w:t xml:space="preserve">and </w:t>
      </w:r>
      <w:r w:rsidR="000E77F1" w:rsidRPr="007669E4">
        <w:rPr>
          <w:bCs/>
          <w:sz w:val="20"/>
          <w:szCs w:val="20"/>
        </w:rPr>
        <w:t>the p</w:t>
      </w:r>
      <w:r w:rsidR="009F7B39" w:rsidRPr="007669E4">
        <w:rPr>
          <w:bCs/>
          <w:sz w:val="20"/>
          <w:szCs w:val="20"/>
        </w:rPr>
        <w:t xml:space="preserve">etitioners </w:t>
      </w:r>
      <w:r w:rsidR="003F26A2" w:rsidRPr="007669E4">
        <w:rPr>
          <w:bCs/>
          <w:sz w:val="20"/>
          <w:szCs w:val="20"/>
        </w:rPr>
        <w:t xml:space="preserve">allege that the investigation into the crime was highly deficient and marred by mishandling of evidence and ambiguities; this was </w:t>
      </w:r>
      <w:r w:rsidR="009F7B39" w:rsidRPr="007669E4">
        <w:rPr>
          <w:bCs/>
          <w:sz w:val="20"/>
          <w:szCs w:val="20"/>
        </w:rPr>
        <w:t>not substantially controverted by the State</w:t>
      </w:r>
      <w:r w:rsidR="00B166A8" w:rsidRPr="007669E4">
        <w:rPr>
          <w:bCs/>
          <w:sz w:val="20"/>
          <w:szCs w:val="20"/>
        </w:rPr>
        <w:t xml:space="preserve">. The case moved </w:t>
      </w:r>
      <w:r w:rsidR="003F26A2" w:rsidRPr="007669E4">
        <w:rPr>
          <w:bCs/>
          <w:sz w:val="20"/>
          <w:szCs w:val="20"/>
        </w:rPr>
        <w:t>very slowly</w:t>
      </w:r>
      <w:r w:rsidR="00B166A8" w:rsidRPr="007669E4">
        <w:rPr>
          <w:bCs/>
          <w:sz w:val="20"/>
          <w:szCs w:val="20"/>
        </w:rPr>
        <w:t xml:space="preserve"> in the judicial system for over 14 years, until 28 August 2015 when the Special </w:t>
      </w:r>
      <w:r w:rsidR="009F7B39" w:rsidRPr="007669E4">
        <w:rPr>
          <w:bCs/>
          <w:sz w:val="20"/>
          <w:szCs w:val="20"/>
        </w:rPr>
        <w:t xml:space="preserve">Coroners Court concluded that </w:t>
      </w:r>
      <w:r w:rsidR="00B166A8" w:rsidRPr="007669E4">
        <w:rPr>
          <w:bCs/>
          <w:sz w:val="20"/>
          <w:szCs w:val="20"/>
        </w:rPr>
        <w:t>no one was criminally responsible</w:t>
      </w:r>
      <w:r w:rsidR="00E224E5" w:rsidRPr="007669E4">
        <w:rPr>
          <w:bCs/>
          <w:sz w:val="20"/>
          <w:szCs w:val="20"/>
        </w:rPr>
        <w:t xml:space="preserve"> for the death of Omar E</w:t>
      </w:r>
      <w:r w:rsidR="009F7B39" w:rsidRPr="007669E4">
        <w:rPr>
          <w:bCs/>
          <w:sz w:val="20"/>
          <w:szCs w:val="20"/>
        </w:rPr>
        <w:t>vans</w:t>
      </w:r>
      <w:r w:rsidR="007016F5" w:rsidRPr="007669E4">
        <w:rPr>
          <w:bCs/>
          <w:sz w:val="20"/>
          <w:szCs w:val="20"/>
        </w:rPr>
        <w:t xml:space="preserve">.  </w:t>
      </w:r>
    </w:p>
    <w:p w14:paraId="290B77CB" w14:textId="1F874B96" w:rsidR="00506491" w:rsidRPr="007669E4" w:rsidRDefault="00506491" w:rsidP="005064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669E4">
        <w:rPr>
          <w:rFonts w:asciiTheme="majorHAnsi" w:hAnsiTheme="majorHAnsi"/>
          <w:sz w:val="20"/>
          <w:szCs w:val="20"/>
        </w:rPr>
        <w:t>The Commission</w:t>
      </w:r>
      <w:r w:rsidR="005C469F" w:rsidRPr="007669E4">
        <w:rPr>
          <w:rFonts w:asciiTheme="majorHAnsi" w:hAnsiTheme="majorHAnsi"/>
          <w:sz w:val="20"/>
          <w:szCs w:val="20"/>
        </w:rPr>
        <w:t>, also,</w:t>
      </w:r>
      <w:r w:rsidRPr="007669E4">
        <w:rPr>
          <w:rFonts w:asciiTheme="majorHAnsi" w:hAnsiTheme="majorHAnsi"/>
          <w:sz w:val="20"/>
          <w:szCs w:val="20"/>
        </w:rPr>
        <w:t xml:space="preserve"> has consistently held that it is not necessary in such cases as this to exhaust civil actions before resorting to the inter-American system, since those remedies would not redress the main claim. </w:t>
      </w:r>
      <w:r w:rsidRPr="007669E4">
        <w:rPr>
          <w:rFonts w:ascii="Cambria" w:hAnsi="Cambria"/>
          <w:sz w:val="20"/>
          <w:szCs w:val="20"/>
        </w:rPr>
        <w:t>The Commission also understands that the Director of Public Prosecutions has exclusive authority under Sections 94</w:t>
      </w:r>
      <w:r w:rsidR="006B4DD5" w:rsidRPr="007669E4">
        <w:rPr>
          <w:rFonts w:ascii="Cambria" w:hAnsi="Cambria"/>
          <w:sz w:val="20"/>
          <w:szCs w:val="20"/>
        </w:rPr>
        <w:t xml:space="preserve"> </w:t>
      </w:r>
      <w:r w:rsidRPr="007669E4">
        <w:rPr>
          <w:rFonts w:ascii="Cambria" w:hAnsi="Cambria"/>
          <w:sz w:val="20"/>
          <w:szCs w:val="20"/>
        </w:rPr>
        <w:t>of the Constitution of Jamaica for making all decisions concerning criminal prosecutions instituted by it or any other organ, including the power to take over and continue, or to discontinue them at any stage before judgment is delivered.  Accordingly, the State retains exclusive authority for pursuing criminal proceedings in respect of the circumstances relating to the alleged victim’s death. While the record indicates that there is a provision under Jamaican law for “private prosecutions”</w:t>
      </w:r>
      <w:r w:rsidRPr="007669E4">
        <w:rPr>
          <w:rFonts w:ascii="Cambria" w:hAnsi="Cambria" w:cs="Arial"/>
          <w:color w:val="333333"/>
          <w:sz w:val="20"/>
          <w:szCs w:val="20"/>
        </w:rPr>
        <w:t xml:space="preserve"> which must get the consent of the Director of Public Prosecutions</w:t>
      </w:r>
      <w:r w:rsidRPr="007669E4">
        <w:rPr>
          <w:rFonts w:ascii="Cambria" w:hAnsi="Cambria"/>
          <w:sz w:val="20"/>
          <w:szCs w:val="20"/>
        </w:rPr>
        <w:t xml:space="preserve">, the Commission considers that proceedings of this nature do not constitute remedies that the petitioners are required to exhaust.  It is clear from the instruments and decisions of the inter-American system, as noted above, that the obligation to investigate, prosecute and punish serious violations of human rights rests with Member States, as the entities with the international legal commitment and resources to carry out these functions. To expect the petitioners to assume these responsibilities would not only be inconsistent with the system’s jurisprudence, it would also place an inequitable burden on those who generally lack the required means and expertise.  </w:t>
      </w:r>
    </w:p>
    <w:p w14:paraId="66851391" w14:textId="76C14A3A" w:rsidR="005A728F" w:rsidRPr="007669E4" w:rsidRDefault="00507143" w:rsidP="006B4D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669E4">
        <w:rPr>
          <w:bCs/>
          <w:sz w:val="20"/>
          <w:szCs w:val="20"/>
        </w:rPr>
        <w:t xml:space="preserve">In view of the foregoing, and in light of the information presented, the Commission concludes that the State has denied the petitioners access to, or has prevented them from exhausting domestic remedies. Therefore, </w:t>
      </w:r>
      <w:r w:rsidRPr="007669E4">
        <w:rPr>
          <w:bCs/>
          <w:sz w:val="20"/>
          <w:szCs w:val="20"/>
        </w:rPr>
        <w:lastRenderedPageBreak/>
        <w:t xml:space="preserve">the IACHR must apply the exception to the rule of exhaustion of domestic remedies, as provided for in Article </w:t>
      </w:r>
      <w:r w:rsidRPr="007669E4">
        <w:rPr>
          <w:sz w:val="20"/>
          <w:szCs w:val="20"/>
        </w:rPr>
        <w:t>46(2)(c)</w:t>
      </w:r>
      <w:r w:rsidRPr="007669E4">
        <w:rPr>
          <w:bCs/>
          <w:sz w:val="20"/>
          <w:szCs w:val="20"/>
        </w:rPr>
        <w:t xml:space="preserve"> of the American Convention.</w:t>
      </w:r>
      <w:r w:rsidRPr="007669E4">
        <w:rPr>
          <w:rStyle w:val="FootnoteReference"/>
          <w:bCs/>
          <w:sz w:val="20"/>
          <w:szCs w:val="20"/>
        </w:rPr>
        <w:footnoteReference w:id="9"/>
      </w:r>
    </w:p>
    <w:p w14:paraId="47B50AD2" w14:textId="66AC8A6D" w:rsidR="005475AC" w:rsidRPr="007669E4" w:rsidRDefault="00C73385" w:rsidP="005475AC">
      <w:pPr>
        <w:pStyle w:val="ListParagraph"/>
        <w:numPr>
          <w:ilvl w:val="0"/>
          <w:numId w:val="103"/>
        </w:numPr>
        <w:jc w:val="both"/>
        <w:rPr>
          <w:rFonts w:eastAsia="Arial Unicode MS" w:cs="Times New Roman"/>
          <w:color w:val="auto"/>
          <w:sz w:val="20"/>
          <w:szCs w:val="20"/>
          <w:lang w:eastAsia="en-US"/>
        </w:rPr>
      </w:pPr>
      <w:r w:rsidRPr="007669E4">
        <w:rPr>
          <w:rFonts w:eastAsia="Arial Unicode MS" w:cs="Times New Roman"/>
          <w:color w:val="auto"/>
          <w:sz w:val="20"/>
          <w:szCs w:val="20"/>
          <w:lang w:eastAsia="en-US"/>
        </w:rPr>
        <w:t xml:space="preserve">With respect to the </w:t>
      </w:r>
      <w:r w:rsidR="00C15089" w:rsidRPr="007669E4">
        <w:rPr>
          <w:rFonts w:eastAsia="Arial Unicode MS" w:cs="Times New Roman"/>
          <w:color w:val="auto"/>
          <w:sz w:val="20"/>
          <w:szCs w:val="20"/>
          <w:lang w:eastAsia="en-US"/>
        </w:rPr>
        <w:t>requisite of timeliness</w:t>
      </w:r>
      <w:r w:rsidRPr="007669E4">
        <w:rPr>
          <w:rFonts w:eastAsia="Arial Unicode MS" w:cs="Times New Roman"/>
          <w:color w:val="auto"/>
          <w:sz w:val="20"/>
          <w:szCs w:val="20"/>
          <w:lang w:eastAsia="en-US"/>
        </w:rPr>
        <w:t xml:space="preserve">, the </w:t>
      </w:r>
      <w:r w:rsidR="00C15089" w:rsidRPr="007669E4">
        <w:rPr>
          <w:rFonts w:eastAsia="Arial Unicode MS" w:cs="Times New Roman"/>
          <w:color w:val="auto"/>
          <w:sz w:val="20"/>
          <w:szCs w:val="20"/>
          <w:lang w:eastAsia="en-US"/>
        </w:rPr>
        <w:t xml:space="preserve">Commission notes that the </w:t>
      </w:r>
      <w:r w:rsidRPr="007669E4">
        <w:rPr>
          <w:rFonts w:eastAsia="Arial Unicode MS" w:cs="Times New Roman"/>
          <w:color w:val="auto"/>
          <w:sz w:val="20"/>
          <w:szCs w:val="20"/>
          <w:lang w:eastAsia="en-US"/>
        </w:rPr>
        <w:t xml:space="preserve">petition was received on </w:t>
      </w:r>
      <w:r w:rsidR="0030029C" w:rsidRPr="007669E4">
        <w:rPr>
          <w:rFonts w:eastAsia="Arial Unicode MS" w:cs="Times New Roman"/>
          <w:color w:val="auto"/>
          <w:sz w:val="20"/>
          <w:szCs w:val="20"/>
          <w:lang w:eastAsia="en-US"/>
        </w:rPr>
        <w:t>July 29, 2014</w:t>
      </w:r>
      <w:r w:rsidR="00C15089" w:rsidRPr="007669E4">
        <w:rPr>
          <w:rFonts w:eastAsia="Arial Unicode MS" w:cs="Times New Roman"/>
          <w:color w:val="auto"/>
          <w:sz w:val="20"/>
          <w:szCs w:val="20"/>
          <w:lang w:eastAsia="en-US"/>
        </w:rPr>
        <w:t xml:space="preserve"> and that</w:t>
      </w:r>
      <w:r w:rsidRPr="007669E4">
        <w:rPr>
          <w:rFonts w:eastAsia="Arial Unicode MS" w:cs="Times New Roman"/>
          <w:color w:val="auto"/>
          <w:sz w:val="20"/>
          <w:szCs w:val="20"/>
          <w:lang w:eastAsia="en-US"/>
        </w:rPr>
        <w:t xml:space="preserve"> the facts of the claim </w:t>
      </w:r>
      <w:r w:rsidR="00C15089" w:rsidRPr="007669E4">
        <w:rPr>
          <w:rFonts w:eastAsia="Arial Unicode MS" w:cs="Times New Roman"/>
          <w:color w:val="auto"/>
          <w:sz w:val="20"/>
          <w:szCs w:val="20"/>
          <w:lang w:eastAsia="en-US"/>
        </w:rPr>
        <w:t>began</w:t>
      </w:r>
      <w:r w:rsidRPr="007669E4">
        <w:rPr>
          <w:rFonts w:eastAsia="Arial Unicode MS" w:cs="Times New Roman"/>
          <w:color w:val="auto"/>
          <w:sz w:val="20"/>
          <w:szCs w:val="20"/>
          <w:lang w:eastAsia="en-US"/>
        </w:rPr>
        <w:t xml:space="preserve"> on September 19, 2001, and its effects would extend to </w:t>
      </w:r>
      <w:r w:rsidR="00C15089" w:rsidRPr="007669E4">
        <w:rPr>
          <w:rFonts w:eastAsia="Arial Unicode MS" w:cs="Times New Roman"/>
          <w:color w:val="auto"/>
          <w:sz w:val="20"/>
          <w:szCs w:val="20"/>
          <w:lang w:eastAsia="en-US"/>
        </w:rPr>
        <w:t>date.</w:t>
      </w:r>
      <w:r w:rsidRPr="007669E4">
        <w:rPr>
          <w:rFonts w:eastAsia="Arial Unicode MS" w:cs="Times New Roman"/>
          <w:color w:val="auto"/>
          <w:sz w:val="20"/>
          <w:szCs w:val="20"/>
          <w:lang w:eastAsia="en-US"/>
        </w:rPr>
        <w:t xml:space="preserve"> </w:t>
      </w:r>
      <w:r w:rsidR="00C15089" w:rsidRPr="007669E4">
        <w:rPr>
          <w:rFonts w:eastAsia="Arial Unicode MS" w:cs="Times New Roman"/>
          <w:color w:val="auto"/>
          <w:sz w:val="20"/>
          <w:szCs w:val="20"/>
          <w:lang w:eastAsia="en-US"/>
        </w:rPr>
        <w:t xml:space="preserve">Accordingly, the IACHR finds that </w:t>
      </w:r>
      <w:r w:rsidRPr="007669E4">
        <w:rPr>
          <w:rFonts w:eastAsia="Arial Unicode MS" w:cs="Times New Roman"/>
          <w:color w:val="auto"/>
          <w:sz w:val="20"/>
          <w:szCs w:val="20"/>
          <w:lang w:eastAsia="en-US"/>
        </w:rPr>
        <w:t xml:space="preserve">the petition was filed within a reasonable time and that the </w:t>
      </w:r>
      <w:r w:rsidR="00C15089" w:rsidRPr="007669E4">
        <w:rPr>
          <w:rFonts w:eastAsia="Arial Unicode MS" w:cs="Times New Roman"/>
          <w:color w:val="auto"/>
          <w:sz w:val="20"/>
          <w:szCs w:val="20"/>
          <w:lang w:eastAsia="en-US"/>
        </w:rPr>
        <w:t xml:space="preserve">timeliness </w:t>
      </w:r>
      <w:r w:rsidR="00A942D4" w:rsidRPr="007669E4">
        <w:rPr>
          <w:rFonts w:eastAsia="Arial Unicode MS" w:cs="Times New Roman"/>
          <w:color w:val="auto"/>
          <w:sz w:val="20"/>
          <w:szCs w:val="20"/>
          <w:lang w:eastAsia="en-US"/>
        </w:rPr>
        <w:t>requisite is</w:t>
      </w:r>
      <w:r w:rsidR="00C15089" w:rsidRPr="007669E4">
        <w:rPr>
          <w:rFonts w:eastAsia="Arial Unicode MS" w:cs="Times New Roman"/>
          <w:color w:val="auto"/>
          <w:sz w:val="20"/>
          <w:szCs w:val="20"/>
          <w:lang w:eastAsia="en-US"/>
        </w:rPr>
        <w:t xml:space="preserve"> </w:t>
      </w:r>
      <w:r w:rsidRPr="007669E4">
        <w:rPr>
          <w:rFonts w:eastAsia="Arial Unicode MS" w:cs="Times New Roman"/>
          <w:color w:val="auto"/>
          <w:sz w:val="20"/>
          <w:szCs w:val="20"/>
          <w:lang w:eastAsia="en-US"/>
        </w:rPr>
        <w:t>satisfied.</w:t>
      </w:r>
    </w:p>
    <w:p w14:paraId="378478A0" w14:textId="50B01E58" w:rsidR="00F621C3" w:rsidRPr="007669E4" w:rsidRDefault="00F621C3" w:rsidP="00F621C3">
      <w:pPr>
        <w:pStyle w:val="ListParagraph"/>
        <w:spacing w:before="240" w:after="240"/>
        <w:jc w:val="both"/>
        <w:rPr>
          <w:rFonts w:asciiTheme="majorHAnsi" w:hAnsiTheme="majorHAnsi"/>
          <w:b/>
          <w:sz w:val="20"/>
          <w:szCs w:val="20"/>
        </w:rPr>
      </w:pPr>
      <w:r w:rsidRPr="007669E4">
        <w:rPr>
          <w:rFonts w:asciiTheme="majorHAnsi" w:hAnsiTheme="majorHAnsi"/>
          <w:b/>
          <w:bCs/>
          <w:sz w:val="20"/>
          <w:szCs w:val="20"/>
        </w:rPr>
        <w:t>VII.</w:t>
      </w:r>
      <w:r w:rsidRPr="007669E4">
        <w:rPr>
          <w:rFonts w:asciiTheme="majorHAnsi" w:hAnsiTheme="majorHAnsi"/>
          <w:b/>
          <w:bCs/>
          <w:sz w:val="20"/>
          <w:szCs w:val="20"/>
        </w:rPr>
        <w:tab/>
      </w:r>
      <w:r w:rsidR="001F1902" w:rsidRPr="007669E4">
        <w:rPr>
          <w:rFonts w:asciiTheme="majorHAnsi" w:hAnsiTheme="majorHAnsi"/>
          <w:b/>
          <w:bCs/>
          <w:sz w:val="20"/>
          <w:szCs w:val="20"/>
        </w:rPr>
        <w:t xml:space="preserve">ANALYSIS OF </w:t>
      </w:r>
      <w:r w:rsidRPr="007669E4">
        <w:rPr>
          <w:rFonts w:asciiTheme="majorHAnsi" w:hAnsiTheme="majorHAnsi"/>
          <w:b/>
          <w:bCs/>
          <w:sz w:val="20"/>
          <w:szCs w:val="20"/>
        </w:rPr>
        <w:t>COLORABLE CLAIM</w:t>
      </w:r>
    </w:p>
    <w:p w14:paraId="0A48C540" w14:textId="6FBCA46C" w:rsidR="005A728F" w:rsidRPr="007669E4" w:rsidRDefault="005A728F" w:rsidP="005A72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
        </w:rPr>
      </w:pPr>
      <w:r w:rsidRPr="007669E4">
        <w:rPr>
          <w:rFonts w:ascii="Cambria" w:hAnsi="Cambria"/>
          <w:sz w:val="20"/>
          <w:szCs w:val="20"/>
          <w:lang w:val="en"/>
        </w:rPr>
        <w:t xml:space="preserve">The Commission notes that the petition </w:t>
      </w:r>
      <w:r w:rsidR="00456BFF" w:rsidRPr="007669E4">
        <w:rPr>
          <w:rFonts w:ascii="Cambria" w:hAnsi="Cambria"/>
          <w:sz w:val="20"/>
          <w:szCs w:val="20"/>
          <w:lang w:val="en"/>
        </w:rPr>
        <w:t xml:space="preserve">includes </w:t>
      </w:r>
      <w:r w:rsidRPr="007669E4">
        <w:rPr>
          <w:rFonts w:ascii="Cambria" w:hAnsi="Cambria"/>
          <w:sz w:val="20"/>
          <w:szCs w:val="20"/>
          <w:lang w:val="en"/>
        </w:rPr>
        <w:t xml:space="preserve">allegations regarding the extrajudicial killing of Mr. Evans; long delays lasting up to 15 years as well as </w:t>
      </w:r>
      <w:r w:rsidR="00C15089" w:rsidRPr="007669E4">
        <w:rPr>
          <w:rFonts w:ascii="Cambria" w:hAnsi="Cambria"/>
          <w:sz w:val="20"/>
          <w:szCs w:val="20"/>
          <w:lang w:val="en"/>
        </w:rPr>
        <w:t xml:space="preserve">other </w:t>
      </w:r>
      <w:r w:rsidRPr="007669E4">
        <w:rPr>
          <w:rFonts w:ascii="Cambria" w:hAnsi="Cambria"/>
          <w:sz w:val="20"/>
          <w:szCs w:val="20"/>
          <w:lang w:val="en"/>
        </w:rPr>
        <w:t>critical deficiencies in the investigative</w:t>
      </w:r>
      <w:r w:rsidR="00C15089" w:rsidRPr="007669E4">
        <w:rPr>
          <w:rFonts w:ascii="Cambria" w:hAnsi="Cambria"/>
          <w:sz w:val="20"/>
          <w:szCs w:val="20"/>
          <w:lang w:val="en"/>
        </w:rPr>
        <w:t xml:space="preserve"> and </w:t>
      </w:r>
      <w:r w:rsidRPr="007669E4">
        <w:rPr>
          <w:rFonts w:ascii="Cambria" w:hAnsi="Cambria"/>
          <w:sz w:val="20"/>
          <w:szCs w:val="20"/>
          <w:lang w:val="en"/>
        </w:rPr>
        <w:t>judicial processes that ensued following the death of Mr. Evans</w:t>
      </w:r>
      <w:r w:rsidR="00C15089" w:rsidRPr="007669E4">
        <w:rPr>
          <w:rFonts w:ascii="Cambria" w:hAnsi="Cambria"/>
          <w:sz w:val="20"/>
          <w:szCs w:val="20"/>
          <w:lang w:val="en"/>
        </w:rPr>
        <w:t>,</w:t>
      </w:r>
      <w:r w:rsidR="00F34D38" w:rsidRPr="007669E4">
        <w:rPr>
          <w:rFonts w:ascii="Cambria" w:hAnsi="Cambria"/>
          <w:sz w:val="20"/>
          <w:szCs w:val="20"/>
          <w:lang w:val="en"/>
        </w:rPr>
        <w:t xml:space="preserve"> within a context of impunity related to excessive use of forced by security forces in Jamaica.</w:t>
      </w:r>
    </w:p>
    <w:p w14:paraId="24C3ED43" w14:textId="7D23C763" w:rsidR="005A728F" w:rsidRPr="007669E4" w:rsidRDefault="005A728F" w:rsidP="005A72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
        </w:rPr>
      </w:pPr>
      <w:r w:rsidRPr="007669E4">
        <w:rPr>
          <w:rFonts w:ascii="Cambria" w:hAnsi="Cambria"/>
          <w:sz w:val="20"/>
          <w:szCs w:val="20"/>
          <w:lang w:val="en"/>
        </w:rPr>
        <w:t>In view of the elements of fact and law presented by the parties and the nature of the matter brought to its attention, the IACHR believes that the allegations concerning the extrajudicial execution</w:t>
      </w:r>
      <w:r w:rsidR="00C15089" w:rsidRPr="007669E4">
        <w:rPr>
          <w:rFonts w:ascii="Cambria" w:hAnsi="Cambria"/>
          <w:sz w:val="20"/>
          <w:szCs w:val="20"/>
          <w:lang w:val="en"/>
        </w:rPr>
        <w:t>;</w:t>
      </w:r>
      <w:r w:rsidRPr="007669E4">
        <w:rPr>
          <w:rFonts w:ascii="Cambria" w:hAnsi="Cambria"/>
          <w:sz w:val="20"/>
          <w:szCs w:val="20"/>
          <w:lang w:val="en"/>
        </w:rPr>
        <w:t xml:space="preserve"> the delays in </w:t>
      </w:r>
      <w:r w:rsidR="00C15089" w:rsidRPr="007669E4">
        <w:rPr>
          <w:rFonts w:ascii="Cambria" w:hAnsi="Cambria"/>
          <w:sz w:val="20"/>
          <w:szCs w:val="20"/>
          <w:lang w:val="en"/>
        </w:rPr>
        <w:t xml:space="preserve">the </w:t>
      </w:r>
      <w:r w:rsidRPr="007669E4">
        <w:rPr>
          <w:rFonts w:ascii="Cambria" w:hAnsi="Cambria"/>
          <w:sz w:val="20"/>
          <w:szCs w:val="20"/>
          <w:lang w:val="en"/>
        </w:rPr>
        <w:t xml:space="preserve">investigation; the exclusion of relevant evidence in the criminal trial; and the alleged failure of the State to take measures to protect Mr. </w:t>
      </w:r>
      <w:r w:rsidR="00422F77" w:rsidRPr="007669E4">
        <w:rPr>
          <w:rFonts w:ascii="Cambria" w:hAnsi="Cambria"/>
          <w:sz w:val="20"/>
          <w:szCs w:val="20"/>
          <w:lang w:val="en"/>
        </w:rPr>
        <w:t>Evans’ rights</w:t>
      </w:r>
      <w:r w:rsidRPr="007669E4">
        <w:rPr>
          <w:rFonts w:ascii="Cambria" w:hAnsi="Cambria"/>
          <w:sz w:val="20"/>
          <w:szCs w:val="20"/>
          <w:lang w:val="en"/>
        </w:rPr>
        <w:t xml:space="preserve"> are </w:t>
      </w:r>
      <w:r w:rsidR="00422F77" w:rsidRPr="007669E4">
        <w:rPr>
          <w:rFonts w:ascii="Cambria" w:hAnsi="Cambria"/>
          <w:sz w:val="20"/>
          <w:szCs w:val="20"/>
          <w:lang w:val="en"/>
        </w:rPr>
        <w:t>not manifestly</w:t>
      </w:r>
      <w:r w:rsidRPr="007669E4">
        <w:rPr>
          <w:rFonts w:ascii="Cambria" w:hAnsi="Cambria"/>
          <w:sz w:val="20"/>
          <w:szCs w:val="20"/>
          <w:lang w:val="en"/>
        </w:rPr>
        <w:t xml:space="preserve"> unfounded and require a further study at the merit stage</w:t>
      </w:r>
      <w:r w:rsidR="00C15089" w:rsidRPr="007669E4">
        <w:rPr>
          <w:rFonts w:ascii="Cambria" w:hAnsi="Cambria"/>
          <w:sz w:val="20"/>
          <w:szCs w:val="20"/>
          <w:lang w:val="en"/>
        </w:rPr>
        <w:t>.</w:t>
      </w:r>
      <w:r w:rsidRPr="007669E4">
        <w:rPr>
          <w:rFonts w:ascii="Cambria" w:hAnsi="Cambria"/>
          <w:sz w:val="20"/>
          <w:szCs w:val="20"/>
          <w:lang w:val="en"/>
        </w:rPr>
        <w:t xml:space="preserve"> </w:t>
      </w:r>
      <w:r w:rsidR="00C15089" w:rsidRPr="007669E4">
        <w:rPr>
          <w:rFonts w:ascii="Cambria" w:hAnsi="Cambria"/>
          <w:sz w:val="20"/>
          <w:szCs w:val="20"/>
          <w:lang w:val="en"/>
        </w:rPr>
        <w:t>The</w:t>
      </w:r>
      <w:r w:rsidRPr="007669E4">
        <w:rPr>
          <w:rFonts w:ascii="Cambria" w:hAnsi="Cambria"/>
          <w:sz w:val="20"/>
          <w:szCs w:val="20"/>
          <w:lang w:val="en"/>
        </w:rPr>
        <w:t xml:space="preserve"> alleged facts, if proved, could establish violations of the rights </w:t>
      </w:r>
      <w:r w:rsidR="00C15089" w:rsidRPr="007669E4">
        <w:rPr>
          <w:rFonts w:ascii="Cambria" w:hAnsi="Cambria"/>
          <w:sz w:val="20"/>
          <w:szCs w:val="20"/>
          <w:lang w:val="en"/>
        </w:rPr>
        <w:t>recognized</w:t>
      </w:r>
      <w:r w:rsidRPr="007669E4">
        <w:rPr>
          <w:rFonts w:ascii="Cambria" w:hAnsi="Cambria"/>
          <w:sz w:val="20"/>
          <w:szCs w:val="20"/>
          <w:lang w:val="en"/>
        </w:rPr>
        <w:t xml:space="preserve"> in Articles 4 (life), 5 (humane treatment), 8 (fair trial), and 25 (judicial protection) of the American Convention in relation to Articles 1(1) (obligation to respect rights) and 2 (domestic legal effects)</w:t>
      </w:r>
      <w:r w:rsidR="00C15089" w:rsidRPr="007669E4">
        <w:rPr>
          <w:rFonts w:ascii="Cambria" w:hAnsi="Cambria"/>
          <w:sz w:val="20"/>
          <w:szCs w:val="20"/>
          <w:lang w:val="en"/>
        </w:rPr>
        <w:t xml:space="preserve"> thereof</w:t>
      </w:r>
      <w:r w:rsidRPr="007669E4">
        <w:rPr>
          <w:rFonts w:ascii="Cambria" w:hAnsi="Cambria"/>
          <w:sz w:val="20"/>
          <w:szCs w:val="20"/>
          <w:lang w:val="en"/>
        </w:rPr>
        <w:t>, to the detriment of Mr. Evans and his surviving family.</w:t>
      </w:r>
    </w:p>
    <w:p w14:paraId="5A70550C" w14:textId="77777777" w:rsidR="00F621C3" w:rsidRPr="007669E4" w:rsidRDefault="00F621C3" w:rsidP="00F621C3">
      <w:pPr>
        <w:pStyle w:val="ListParagraph"/>
        <w:spacing w:before="240" w:after="240"/>
        <w:jc w:val="both"/>
        <w:rPr>
          <w:rFonts w:asciiTheme="majorHAnsi" w:hAnsiTheme="majorHAnsi"/>
          <w:b/>
          <w:bCs/>
          <w:sz w:val="20"/>
          <w:szCs w:val="20"/>
        </w:rPr>
      </w:pPr>
      <w:r w:rsidRPr="007669E4">
        <w:rPr>
          <w:rFonts w:asciiTheme="majorHAnsi" w:hAnsiTheme="majorHAnsi"/>
          <w:b/>
          <w:bCs/>
          <w:sz w:val="20"/>
          <w:szCs w:val="20"/>
        </w:rPr>
        <w:t xml:space="preserve">VIII. </w:t>
      </w:r>
      <w:r w:rsidRPr="007669E4">
        <w:rPr>
          <w:rFonts w:asciiTheme="majorHAnsi" w:hAnsiTheme="majorHAnsi"/>
          <w:b/>
          <w:bCs/>
          <w:sz w:val="20"/>
          <w:szCs w:val="20"/>
        </w:rPr>
        <w:tab/>
        <w:t>DECISION</w:t>
      </w:r>
    </w:p>
    <w:p w14:paraId="47F30965" w14:textId="60A519D3" w:rsidR="00F621C3" w:rsidRPr="007669E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669E4">
        <w:rPr>
          <w:rFonts w:asciiTheme="majorHAnsi" w:hAnsiTheme="majorHAnsi"/>
          <w:sz w:val="20"/>
          <w:szCs w:val="20"/>
        </w:rPr>
        <w:t xml:space="preserve">To find the instant petition admissible in relation to Articles </w:t>
      </w:r>
      <w:r w:rsidR="005A728F" w:rsidRPr="007669E4">
        <w:rPr>
          <w:rFonts w:asciiTheme="majorHAnsi" w:hAnsiTheme="majorHAnsi"/>
          <w:sz w:val="20"/>
          <w:szCs w:val="20"/>
        </w:rPr>
        <w:t>4, 5, 8, and 25 of the American Convention</w:t>
      </w:r>
      <w:r w:rsidR="00C15089" w:rsidRPr="007669E4">
        <w:rPr>
          <w:rFonts w:asciiTheme="majorHAnsi" w:hAnsiTheme="majorHAnsi"/>
          <w:sz w:val="20"/>
          <w:szCs w:val="20"/>
        </w:rPr>
        <w:t>,</w:t>
      </w:r>
      <w:r w:rsidR="005A728F" w:rsidRPr="007669E4">
        <w:rPr>
          <w:rFonts w:asciiTheme="majorHAnsi" w:hAnsiTheme="majorHAnsi"/>
          <w:sz w:val="20"/>
          <w:szCs w:val="20"/>
        </w:rPr>
        <w:t xml:space="preserve"> in relation to Articles 1(1) and 2</w:t>
      </w:r>
      <w:r w:rsidR="00C15089" w:rsidRPr="007669E4">
        <w:rPr>
          <w:rFonts w:asciiTheme="majorHAnsi" w:hAnsiTheme="majorHAnsi"/>
          <w:sz w:val="20"/>
          <w:szCs w:val="20"/>
        </w:rPr>
        <w:t xml:space="preserve"> thereof</w:t>
      </w:r>
      <w:r w:rsidRPr="007669E4">
        <w:rPr>
          <w:rFonts w:asciiTheme="majorHAnsi" w:hAnsiTheme="majorHAnsi"/>
          <w:sz w:val="20"/>
          <w:szCs w:val="20"/>
        </w:rPr>
        <w:t>;</w:t>
      </w:r>
      <w:r w:rsidR="00391D96" w:rsidRPr="007669E4">
        <w:rPr>
          <w:rFonts w:asciiTheme="majorHAnsi" w:hAnsiTheme="majorHAnsi"/>
          <w:sz w:val="20"/>
          <w:szCs w:val="20"/>
        </w:rPr>
        <w:t xml:space="preserve"> and</w:t>
      </w:r>
    </w:p>
    <w:p w14:paraId="2122B46A" w14:textId="29D3DED7" w:rsidR="00C55560" w:rsidRPr="007669E4" w:rsidRDefault="00F621C3" w:rsidP="00A942D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669E4">
        <w:rPr>
          <w:rFonts w:asciiTheme="majorHAnsi" w:hAnsiTheme="majorHAnsi"/>
          <w:sz w:val="20"/>
          <w:szCs w:val="20"/>
        </w:rPr>
        <w:t>To notify the parties of this decision;</w:t>
      </w:r>
      <w:r w:rsidR="001F1902" w:rsidRPr="007669E4">
        <w:rPr>
          <w:rFonts w:asciiTheme="majorHAnsi" w:hAnsiTheme="majorHAnsi"/>
          <w:sz w:val="20"/>
          <w:szCs w:val="20"/>
        </w:rPr>
        <w:t xml:space="preserve"> t</w:t>
      </w:r>
      <w:r w:rsidRPr="007669E4">
        <w:rPr>
          <w:rFonts w:asciiTheme="majorHAnsi" w:hAnsiTheme="majorHAnsi"/>
          <w:sz w:val="20"/>
          <w:szCs w:val="20"/>
        </w:rPr>
        <w:t xml:space="preserve">o continue with the analysis on the merits; and </w:t>
      </w:r>
      <w:r w:rsidR="001F1902" w:rsidRPr="007669E4">
        <w:rPr>
          <w:rFonts w:asciiTheme="majorHAnsi" w:hAnsiTheme="majorHAnsi"/>
          <w:sz w:val="20"/>
          <w:szCs w:val="20"/>
        </w:rPr>
        <w:t>t</w:t>
      </w:r>
      <w:r w:rsidRPr="007669E4">
        <w:rPr>
          <w:rFonts w:asciiTheme="majorHAnsi" w:hAnsiTheme="majorHAnsi"/>
          <w:sz w:val="20"/>
          <w:szCs w:val="20"/>
        </w:rPr>
        <w:t>o publish this decision and include it in its Annual Report to the General Assembly of the Organization of American States.</w:t>
      </w:r>
    </w:p>
    <w:p w14:paraId="557AF6D7" w14:textId="6548B2EC" w:rsidR="00954611" w:rsidRPr="007669E4" w:rsidRDefault="00954611" w:rsidP="00954611">
      <w:pPr>
        <w:suppressAutoHyphens/>
        <w:ind w:firstLine="720"/>
        <w:jc w:val="both"/>
        <w:rPr>
          <w:rFonts w:ascii="Cambria" w:hAnsi="Cambria"/>
          <w:spacing w:val="-2"/>
          <w:sz w:val="20"/>
        </w:rPr>
      </w:pPr>
      <w:r w:rsidRPr="007669E4">
        <w:rPr>
          <w:rFonts w:ascii="Cambria" w:hAnsi="Cambria"/>
          <w:spacing w:val="-2"/>
          <w:sz w:val="20"/>
        </w:rPr>
        <w:t>Approved by the Inter-American Commission on Human Rights on the 9</w:t>
      </w:r>
      <w:r w:rsidRPr="007669E4">
        <w:rPr>
          <w:rFonts w:ascii="Cambria" w:hAnsi="Cambria"/>
          <w:spacing w:val="-2"/>
          <w:sz w:val="20"/>
          <w:vertAlign w:val="superscript"/>
        </w:rPr>
        <w:t>th</w:t>
      </w:r>
      <w:r w:rsidRPr="007669E4">
        <w:rPr>
          <w:rFonts w:ascii="Cambria" w:hAnsi="Cambria"/>
          <w:spacing w:val="-2"/>
          <w:sz w:val="20"/>
        </w:rPr>
        <w:t xml:space="preserve"> day of the month of March, 2021. (Signed):  </w:t>
      </w:r>
      <w:r w:rsidRPr="007669E4">
        <w:rPr>
          <w:rFonts w:asciiTheme="majorHAnsi" w:hAnsiTheme="majorHAnsi" w:cs="Arial"/>
          <w:noProof/>
          <w:spacing w:val="-2"/>
          <w:sz w:val="20"/>
          <w:szCs w:val="20"/>
        </w:rPr>
        <w:t>Joel Hernández, Presiden</w:t>
      </w:r>
      <w:r w:rsidR="00F00363">
        <w:rPr>
          <w:rFonts w:asciiTheme="majorHAnsi" w:hAnsiTheme="majorHAnsi" w:cs="Arial"/>
          <w:noProof/>
          <w:spacing w:val="-2"/>
          <w:sz w:val="20"/>
          <w:szCs w:val="20"/>
        </w:rPr>
        <w:t>t; Antonia Urrejola, First Vice-</w:t>
      </w:r>
      <w:r w:rsidRPr="007669E4">
        <w:rPr>
          <w:rFonts w:asciiTheme="majorHAnsi" w:hAnsiTheme="majorHAnsi" w:cs="Arial"/>
          <w:noProof/>
          <w:spacing w:val="-2"/>
          <w:sz w:val="20"/>
          <w:szCs w:val="20"/>
        </w:rPr>
        <w:t>Presiden</w:t>
      </w:r>
      <w:r w:rsidR="00F00363">
        <w:rPr>
          <w:rFonts w:asciiTheme="majorHAnsi" w:hAnsiTheme="majorHAnsi" w:cs="Arial"/>
          <w:noProof/>
          <w:spacing w:val="-2"/>
          <w:sz w:val="20"/>
          <w:szCs w:val="20"/>
        </w:rPr>
        <w:t>t; Flávia Piovesan, Second Vice-</w:t>
      </w:r>
      <w:r w:rsidRPr="007669E4">
        <w:rPr>
          <w:rFonts w:asciiTheme="majorHAnsi" w:hAnsiTheme="majorHAnsi" w:cs="Arial"/>
          <w:noProof/>
          <w:spacing w:val="-2"/>
          <w:sz w:val="20"/>
          <w:szCs w:val="20"/>
        </w:rPr>
        <w:t xml:space="preserve">President; Esmeralda E. Arosemena Bernal de Troitiño, Julissa Mantilla Falcón, and Stuardo Ralón Orellana, </w:t>
      </w:r>
      <w:r w:rsidRPr="007669E4">
        <w:rPr>
          <w:rFonts w:ascii="Cambria" w:hAnsi="Cambria"/>
          <w:spacing w:val="-2"/>
          <w:sz w:val="20"/>
        </w:rPr>
        <w:t>Commissioners.</w:t>
      </w:r>
    </w:p>
    <w:p w14:paraId="695C6A19" w14:textId="77777777" w:rsidR="00954611" w:rsidRPr="007669E4" w:rsidRDefault="00954611" w:rsidP="00F00363">
      <w:pPr>
        <w:jc w:val="both"/>
        <w:rPr>
          <w:rFonts w:ascii="Cambria" w:hAnsi="Cambria"/>
          <w:sz w:val="20"/>
        </w:rPr>
      </w:pPr>
    </w:p>
    <w:sectPr w:rsidR="00954611" w:rsidRPr="007669E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1D777" w14:textId="77777777" w:rsidR="00623864" w:rsidRDefault="00623864" w:rsidP="00036A8A">
      <w:r>
        <w:separator/>
      </w:r>
    </w:p>
  </w:endnote>
  <w:endnote w:type="continuationSeparator" w:id="0">
    <w:p w14:paraId="51C931D9" w14:textId="77777777" w:rsidR="00623864" w:rsidRDefault="0062386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EA9A" w14:textId="77777777" w:rsidR="00D33D98" w:rsidRDefault="00D3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563A78BA"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33D98">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1AD80" w14:textId="77777777" w:rsidR="00623864" w:rsidRPr="00036A8A" w:rsidRDefault="0062386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898858B" w14:textId="77777777" w:rsidR="00623864" w:rsidRPr="00036A8A" w:rsidRDefault="00623864" w:rsidP="00036A8A">
      <w:pPr>
        <w:rPr>
          <w:rFonts w:asciiTheme="majorHAnsi" w:hAnsiTheme="majorHAnsi"/>
          <w:sz w:val="16"/>
          <w:szCs w:val="16"/>
        </w:rPr>
      </w:pPr>
      <w:r w:rsidRPr="00036A8A">
        <w:rPr>
          <w:rFonts w:asciiTheme="majorHAnsi" w:hAnsiTheme="majorHAnsi"/>
          <w:sz w:val="16"/>
          <w:szCs w:val="16"/>
        </w:rPr>
        <w:separator/>
      </w:r>
    </w:p>
    <w:p w14:paraId="7E47EF72" w14:textId="77777777" w:rsidR="00623864" w:rsidRPr="00036A8A" w:rsidRDefault="0062386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0B8D4BB" w14:textId="77777777" w:rsidR="00623864" w:rsidRPr="0093441A" w:rsidRDefault="0062386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1564A0A" w14:textId="7278ED72" w:rsidR="0027666E" w:rsidRPr="00A54E03" w:rsidRDefault="0027666E" w:rsidP="00A54E03">
      <w:pPr>
        <w:pStyle w:val="FootnoteText"/>
        <w:ind w:firstLine="720"/>
        <w:jc w:val="both"/>
        <w:rPr>
          <w:rFonts w:ascii="Cambria" w:hAnsi="Cambria"/>
          <w:sz w:val="16"/>
          <w:szCs w:val="16"/>
        </w:rPr>
      </w:pPr>
      <w:r w:rsidRPr="00A54E03">
        <w:rPr>
          <w:rStyle w:val="FootnoteReference"/>
          <w:rFonts w:ascii="Cambria" w:hAnsi="Cambria"/>
          <w:sz w:val="16"/>
          <w:szCs w:val="16"/>
        </w:rPr>
        <w:footnoteRef/>
      </w:r>
      <w:r w:rsidRPr="00A54E03">
        <w:rPr>
          <w:rFonts w:ascii="Cambria" w:hAnsi="Cambria"/>
          <w:sz w:val="16"/>
          <w:szCs w:val="16"/>
        </w:rPr>
        <w:t xml:space="preserve"> In keeping with Article 17(2)(a) of the Commission’s Rules of Procedure Commissioner Margarette May Macaulay, a Jamaican national, did not participate in the deliberations or decision in this matter.</w:t>
      </w:r>
    </w:p>
  </w:footnote>
  <w:footnote w:id="3">
    <w:p w14:paraId="263E44AD" w14:textId="77777777" w:rsidR="00140D49" w:rsidRPr="00A54E03" w:rsidRDefault="00140D49" w:rsidP="00A54E03">
      <w:pPr>
        <w:pStyle w:val="FootnoteText"/>
        <w:ind w:firstLine="720"/>
        <w:jc w:val="both"/>
        <w:rPr>
          <w:rFonts w:ascii="Cambria" w:hAnsi="Cambria"/>
          <w:sz w:val="16"/>
          <w:szCs w:val="16"/>
        </w:rPr>
      </w:pPr>
      <w:r w:rsidRPr="00A54E03">
        <w:rPr>
          <w:rStyle w:val="FootnoteReference"/>
          <w:rFonts w:ascii="Cambria" w:hAnsi="Cambria"/>
          <w:sz w:val="16"/>
          <w:szCs w:val="16"/>
        </w:rPr>
        <w:footnoteRef/>
      </w:r>
      <w:r w:rsidRPr="00A54E03">
        <w:rPr>
          <w:rFonts w:ascii="Cambria" w:hAnsi="Cambria"/>
          <w:sz w:val="16"/>
          <w:szCs w:val="16"/>
        </w:rPr>
        <w:t xml:space="preserve"> Hereinafter “the American Convention” or “the Convention”.</w:t>
      </w:r>
    </w:p>
  </w:footnote>
  <w:footnote w:id="4">
    <w:p w14:paraId="6F51BDAF" w14:textId="5F4755E7" w:rsidR="00653EA6" w:rsidRPr="00A54E03" w:rsidRDefault="00653EA6" w:rsidP="00A54E03">
      <w:pPr>
        <w:pStyle w:val="FootnoteText"/>
        <w:ind w:firstLine="720"/>
        <w:jc w:val="both"/>
        <w:rPr>
          <w:rFonts w:ascii="Cambria" w:hAnsi="Cambria"/>
          <w:sz w:val="16"/>
          <w:szCs w:val="16"/>
        </w:rPr>
      </w:pPr>
      <w:r w:rsidRPr="00A54E03">
        <w:rPr>
          <w:rStyle w:val="FootnoteReference"/>
          <w:rFonts w:ascii="Cambria" w:hAnsi="Cambria"/>
          <w:sz w:val="16"/>
          <w:szCs w:val="16"/>
        </w:rPr>
        <w:footnoteRef/>
      </w:r>
      <w:r w:rsidRPr="00A54E03">
        <w:rPr>
          <w:rFonts w:ascii="Cambria" w:hAnsi="Cambria"/>
          <w:sz w:val="16"/>
          <w:szCs w:val="16"/>
        </w:rPr>
        <w:t xml:space="preserve"> The observations </w:t>
      </w:r>
      <w:r w:rsidR="00321AFD" w:rsidRPr="00A54E03">
        <w:rPr>
          <w:rFonts w:ascii="Cambria" w:hAnsi="Cambria"/>
          <w:sz w:val="16"/>
          <w:szCs w:val="16"/>
        </w:rPr>
        <w:t>submitted</w:t>
      </w:r>
      <w:r w:rsidRPr="00A54E03">
        <w:rPr>
          <w:rFonts w:ascii="Cambria" w:hAnsi="Cambria"/>
          <w:sz w:val="16"/>
          <w:szCs w:val="16"/>
        </w:rPr>
        <w:t xml:space="preserve"> by each party were duly transmitted to the opposing party.</w:t>
      </w:r>
    </w:p>
  </w:footnote>
  <w:footnote w:id="5">
    <w:p w14:paraId="61C44418" w14:textId="77777777" w:rsidR="00CC5DC1" w:rsidRPr="00A54E03" w:rsidRDefault="00CC5DC1" w:rsidP="00A54E03">
      <w:pPr>
        <w:pStyle w:val="FootnoteText"/>
        <w:ind w:firstLine="720"/>
        <w:jc w:val="both"/>
        <w:rPr>
          <w:rFonts w:ascii="Cambria" w:hAnsi="Cambria"/>
          <w:sz w:val="16"/>
          <w:szCs w:val="16"/>
        </w:rPr>
      </w:pPr>
      <w:r w:rsidRPr="00A54E03">
        <w:rPr>
          <w:rStyle w:val="FootnoteReference"/>
          <w:rFonts w:ascii="Cambria" w:hAnsi="Cambria"/>
          <w:sz w:val="16"/>
          <w:szCs w:val="16"/>
        </w:rPr>
        <w:footnoteRef/>
      </w:r>
      <w:r w:rsidRPr="00A54E03">
        <w:rPr>
          <w:rFonts w:ascii="Cambria" w:hAnsi="Cambria"/>
          <w:sz w:val="16"/>
          <w:szCs w:val="16"/>
        </w:rPr>
        <w:t xml:space="preserve"> Hereinafter “the American Convention” or “the Convention”.</w:t>
      </w:r>
    </w:p>
  </w:footnote>
  <w:footnote w:id="6">
    <w:p w14:paraId="60161FB4" w14:textId="05401091" w:rsidR="00F02AB5" w:rsidRDefault="00F02AB5" w:rsidP="006B4DD5">
      <w:pPr>
        <w:pStyle w:val="FootnoteText"/>
        <w:ind w:firstLine="720"/>
        <w:jc w:val="both"/>
        <w:rPr>
          <w:rFonts w:ascii="Cambria" w:hAnsi="Cambria"/>
          <w:sz w:val="16"/>
          <w:szCs w:val="16"/>
        </w:rPr>
      </w:pPr>
      <w:r w:rsidRPr="00A54E03">
        <w:rPr>
          <w:rStyle w:val="FootnoteReference"/>
          <w:rFonts w:ascii="Cambria" w:hAnsi="Cambria"/>
          <w:sz w:val="16"/>
          <w:szCs w:val="16"/>
        </w:rPr>
        <w:footnoteRef/>
      </w:r>
      <w:r w:rsidRPr="00A54E03">
        <w:rPr>
          <w:rFonts w:ascii="Cambria" w:hAnsi="Cambria"/>
          <w:sz w:val="16"/>
          <w:szCs w:val="16"/>
        </w:rPr>
        <w:t xml:space="preserve"> </w:t>
      </w:r>
      <w:r w:rsidR="00DD0FE6" w:rsidRPr="00A54E03">
        <w:rPr>
          <w:rFonts w:ascii="Cambria" w:hAnsi="Cambria"/>
          <w:sz w:val="16"/>
          <w:szCs w:val="16"/>
        </w:rPr>
        <w:t>IACHR, Report on the Situation of Human Rights in Jamaica, OEA/</w:t>
      </w:r>
      <w:proofErr w:type="spellStart"/>
      <w:r w:rsidR="00DD0FE6" w:rsidRPr="00A54E03">
        <w:rPr>
          <w:rFonts w:ascii="Cambria" w:hAnsi="Cambria"/>
          <w:sz w:val="16"/>
          <w:szCs w:val="16"/>
        </w:rPr>
        <w:t>Ser.L</w:t>
      </w:r>
      <w:proofErr w:type="spellEnd"/>
      <w:r w:rsidR="00DD0FE6" w:rsidRPr="00A54E03">
        <w:rPr>
          <w:rFonts w:ascii="Cambria" w:hAnsi="Cambria"/>
          <w:sz w:val="16"/>
          <w:szCs w:val="16"/>
        </w:rPr>
        <w:t>/V/II.144 Doc. 12, U42 (Aug. 10</w:t>
      </w:r>
      <w:r w:rsidR="002008F9" w:rsidRPr="00A54E03">
        <w:rPr>
          <w:rFonts w:ascii="Cambria" w:hAnsi="Cambria"/>
          <w:sz w:val="16"/>
          <w:szCs w:val="16"/>
        </w:rPr>
        <w:t>, 2012</w:t>
      </w:r>
      <w:r w:rsidR="00DD0FE6" w:rsidRPr="00A54E03">
        <w:rPr>
          <w:rFonts w:ascii="Cambria" w:hAnsi="Cambria"/>
          <w:sz w:val="16"/>
          <w:szCs w:val="16"/>
        </w:rPr>
        <w:t>)</w:t>
      </w:r>
      <w:r w:rsidR="00F416B1">
        <w:rPr>
          <w:rFonts w:ascii="Cambria" w:hAnsi="Cambria"/>
          <w:sz w:val="16"/>
          <w:szCs w:val="16"/>
        </w:rPr>
        <w:t>, par. 94-95</w:t>
      </w:r>
      <w:r w:rsidR="00DD0FE6" w:rsidRPr="00A54E03">
        <w:rPr>
          <w:rFonts w:ascii="Cambria" w:hAnsi="Cambria"/>
          <w:sz w:val="16"/>
          <w:szCs w:val="16"/>
        </w:rPr>
        <w:t>.</w:t>
      </w:r>
      <w:r w:rsidR="001F7690" w:rsidRPr="00A54E03">
        <w:rPr>
          <w:rFonts w:ascii="Cambria" w:hAnsi="Cambria"/>
          <w:sz w:val="16"/>
          <w:szCs w:val="16"/>
        </w:rPr>
        <w:t xml:space="preserve"> Amnesty Int'l, Jamaica: A Long Road </w:t>
      </w:r>
      <w:r w:rsidR="00296D46" w:rsidRPr="00A54E03">
        <w:rPr>
          <w:rFonts w:ascii="Cambria" w:hAnsi="Cambria"/>
          <w:sz w:val="16"/>
          <w:szCs w:val="16"/>
        </w:rPr>
        <w:t>to</w:t>
      </w:r>
      <w:r w:rsidR="001F7690" w:rsidRPr="00A54E03">
        <w:rPr>
          <w:rFonts w:ascii="Cambria" w:hAnsi="Cambria"/>
          <w:sz w:val="16"/>
          <w:szCs w:val="16"/>
        </w:rPr>
        <w:t xml:space="preserve"> Justice? Human Rights Violations Under </w:t>
      </w:r>
      <w:r w:rsidR="00296D46" w:rsidRPr="00A54E03">
        <w:rPr>
          <w:rFonts w:ascii="Cambria" w:hAnsi="Cambria"/>
          <w:sz w:val="16"/>
          <w:szCs w:val="16"/>
        </w:rPr>
        <w:t>the</w:t>
      </w:r>
      <w:r w:rsidR="001F7690" w:rsidRPr="00A54E03">
        <w:rPr>
          <w:rFonts w:ascii="Cambria" w:hAnsi="Cambria"/>
          <w:sz w:val="16"/>
          <w:szCs w:val="16"/>
        </w:rPr>
        <w:t xml:space="preserve"> State </w:t>
      </w:r>
      <w:r w:rsidR="006D44BA" w:rsidRPr="00A54E03">
        <w:rPr>
          <w:rFonts w:ascii="Cambria" w:hAnsi="Cambria"/>
          <w:sz w:val="16"/>
          <w:szCs w:val="16"/>
        </w:rPr>
        <w:t>of</w:t>
      </w:r>
      <w:r w:rsidR="00296D46" w:rsidRPr="00A54E03">
        <w:rPr>
          <w:rFonts w:ascii="Cambria" w:hAnsi="Cambria"/>
          <w:sz w:val="16"/>
          <w:szCs w:val="16"/>
        </w:rPr>
        <w:t xml:space="preserve"> </w:t>
      </w:r>
      <w:r w:rsidR="001F7690" w:rsidRPr="00A54E03">
        <w:rPr>
          <w:rFonts w:ascii="Cambria" w:hAnsi="Cambria"/>
          <w:sz w:val="16"/>
          <w:szCs w:val="16"/>
        </w:rPr>
        <w:t>Emer</w:t>
      </w:r>
      <w:r w:rsidR="00207E12" w:rsidRPr="00A54E03">
        <w:rPr>
          <w:rFonts w:ascii="Cambria" w:hAnsi="Cambria"/>
          <w:sz w:val="16"/>
          <w:szCs w:val="16"/>
        </w:rPr>
        <w:t>gency, AMR38/002/2011, 9 (2011).</w:t>
      </w:r>
    </w:p>
    <w:p w14:paraId="05C83C6F" w14:textId="77777777" w:rsidR="009C6DB0" w:rsidRPr="00954611" w:rsidRDefault="009C6DB0" w:rsidP="00A54E03">
      <w:pPr>
        <w:pStyle w:val="FootnoteText"/>
        <w:jc w:val="both"/>
        <w:rPr>
          <w:rFonts w:ascii="Cambria" w:hAnsi="Cambria"/>
          <w:sz w:val="2"/>
          <w:szCs w:val="2"/>
        </w:rPr>
      </w:pPr>
    </w:p>
  </w:footnote>
  <w:footnote w:id="7">
    <w:p w14:paraId="4D2DC9CA" w14:textId="77777777" w:rsidR="00D13677" w:rsidRPr="00C17F60" w:rsidRDefault="00D13677" w:rsidP="00D13677">
      <w:pPr>
        <w:pStyle w:val="FootnoteText"/>
        <w:ind w:firstLine="720"/>
        <w:jc w:val="both"/>
        <w:rPr>
          <w:rFonts w:ascii="Cambria" w:hAnsi="Cambria"/>
          <w:sz w:val="16"/>
          <w:szCs w:val="16"/>
        </w:rPr>
      </w:pPr>
      <w:r w:rsidRPr="00C17F60">
        <w:rPr>
          <w:rStyle w:val="FootnoteReference"/>
          <w:rFonts w:ascii="Cambria" w:hAnsi="Cambria"/>
          <w:sz w:val="16"/>
          <w:szCs w:val="16"/>
        </w:rPr>
        <w:footnoteRef/>
      </w:r>
      <w:r w:rsidRPr="00C17F60">
        <w:rPr>
          <w:rFonts w:ascii="Cambria" w:hAnsi="Cambria"/>
          <w:sz w:val="16"/>
          <w:szCs w:val="16"/>
        </w:rPr>
        <w:t xml:space="preserve"> The States refers to the following report: IACHR, </w:t>
      </w:r>
      <w:r w:rsidRPr="00C17F60">
        <w:rPr>
          <w:rFonts w:ascii="Cambria" w:hAnsi="Cambria"/>
          <w:i/>
          <w:sz w:val="16"/>
          <w:szCs w:val="16"/>
        </w:rPr>
        <w:t>Michael Gayle v. Jamaica</w:t>
      </w:r>
      <w:r w:rsidRPr="00C17F60">
        <w:rPr>
          <w:rFonts w:ascii="Cambria" w:hAnsi="Cambria"/>
          <w:sz w:val="16"/>
          <w:szCs w:val="16"/>
        </w:rPr>
        <w:t>, Admissibility Report No. 8/03, Inter-Am. Comm’n H.R., Petition 191/02, (Feb. 20, 2003).</w:t>
      </w:r>
    </w:p>
    <w:p w14:paraId="70A33228" w14:textId="77777777" w:rsidR="00D13677" w:rsidRPr="006538C1" w:rsidRDefault="00D13677" w:rsidP="00D13677">
      <w:pPr>
        <w:pStyle w:val="FootnoteText"/>
      </w:pPr>
    </w:p>
  </w:footnote>
  <w:footnote w:id="8">
    <w:p w14:paraId="7E061E84" w14:textId="0BC54424" w:rsidR="00506491" w:rsidRPr="00122073" w:rsidRDefault="00954611" w:rsidP="00506491">
      <w:pPr>
        <w:pStyle w:val="FootnoteText"/>
        <w:jc w:val="both"/>
        <w:rPr>
          <w:rFonts w:ascii="Cambria" w:hAnsi="Cambria"/>
          <w:sz w:val="16"/>
          <w:szCs w:val="16"/>
        </w:rPr>
      </w:pPr>
      <w:r>
        <w:rPr>
          <w:rFonts w:ascii="Cambria" w:hAnsi="Cambria"/>
          <w:sz w:val="16"/>
          <w:szCs w:val="16"/>
        </w:rPr>
        <w:tab/>
      </w:r>
      <w:r w:rsidR="00506491" w:rsidRPr="00A54E03">
        <w:rPr>
          <w:rFonts w:ascii="Cambria" w:hAnsi="Cambria"/>
          <w:sz w:val="16"/>
          <w:szCs w:val="16"/>
          <w:vertAlign w:val="superscript"/>
        </w:rPr>
        <w:footnoteRef/>
      </w:r>
      <w:r w:rsidR="00506491" w:rsidRPr="00A54E03">
        <w:rPr>
          <w:rFonts w:ascii="Cambria" w:hAnsi="Cambria"/>
          <w:sz w:val="16"/>
          <w:szCs w:val="16"/>
        </w:rPr>
        <w:t xml:space="preserve"> IACHR, Report No. 87/08, Petition 558-05. Admissibility. </w:t>
      </w:r>
      <w:r w:rsidR="00506491" w:rsidRPr="00122073">
        <w:rPr>
          <w:rFonts w:ascii="Cambria" w:hAnsi="Cambria"/>
          <w:sz w:val="16"/>
          <w:szCs w:val="16"/>
        </w:rPr>
        <w:t>Jeremy Smith. Jamaica. October 30, 2008, par. 36.</w:t>
      </w:r>
    </w:p>
  </w:footnote>
  <w:footnote w:id="9">
    <w:p w14:paraId="6A73DB6C" w14:textId="0E1A55CC" w:rsidR="00507143" w:rsidRPr="00A54E03" w:rsidRDefault="00954611" w:rsidP="00507143">
      <w:pPr>
        <w:pStyle w:val="FootnoteText"/>
        <w:jc w:val="both"/>
        <w:rPr>
          <w:rFonts w:ascii="Cambria" w:hAnsi="Cambria"/>
          <w:sz w:val="16"/>
          <w:szCs w:val="16"/>
        </w:rPr>
      </w:pPr>
      <w:r>
        <w:rPr>
          <w:rFonts w:ascii="Cambria" w:hAnsi="Cambria"/>
          <w:sz w:val="16"/>
          <w:szCs w:val="16"/>
        </w:rPr>
        <w:tab/>
      </w:r>
      <w:r w:rsidR="00507143" w:rsidRPr="00A54E03">
        <w:rPr>
          <w:rStyle w:val="FootnoteReference"/>
          <w:rFonts w:ascii="Cambria" w:hAnsi="Cambria"/>
          <w:sz w:val="16"/>
          <w:szCs w:val="16"/>
        </w:rPr>
        <w:footnoteRef/>
      </w:r>
      <w:r w:rsidR="00507143" w:rsidRPr="00A54E03">
        <w:rPr>
          <w:rFonts w:ascii="Cambria" w:hAnsi="Cambria"/>
          <w:sz w:val="16"/>
          <w:szCs w:val="16"/>
        </w:rPr>
        <w:t xml:space="preserve"> IACHR, </w:t>
      </w:r>
      <w:r w:rsidR="00507143" w:rsidRPr="00A54E03">
        <w:rPr>
          <w:rFonts w:ascii="Cambria" w:hAnsi="Cambria"/>
          <w:bCs/>
          <w:sz w:val="16"/>
          <w:szCs w:val="16"/>
        </w:rPr>
        <w:t>Report Nº 8/03 Petition</w:t>
      </w:r>
      <w:r w:rsidR="00507143" w:rsidRPr="00A54E03">
        <w:rPr>
          <w:rFonts w:ascii="Cambria" w:hAnsi="Cambria"/>
          <w:b/>
          <w:bCs/>
          <w:sz w:val="16"/>
          <w:szCs w:val="16"/>
        </w:rPr>
        <w:t xml:space="preserve"> </w:t>
      </w:r>
      <w:r w:rsidR="00507143" w:rsidRPr="00A54E03">
        <w:rPr>
          <w:rFonts w:ascii="Cambria" w:hAnsi="Cambria"/>
          <w:sz w:val="16"/>
          <w:szCs w:val="16"/>
        </w:rPr>
        <w:t xml:space="preserve">191/02 ADMISSIBILITY MICHAEL GAYLE, Jamaica February 20, 2003 </w:t>
      </w:r>
      <w:hyperlink r:id="rId1" w:history="1">
        <w:r w:rsidR="00507143" w:rsidRPr="00A54E03">
          <w:rPr>
            <w:rStyle w:val="Hyperlink"/>
            <w:rFonts w:ascii="Cambria" w:hAnsi="Cambria"/>
            <w:sz w:val="16"/>
            <w:szCs w:val="16"/>
          </w:rPr>
          <w:t>Http://Cidh.Org/Annualrep/2003eng/Jamaica.191.02.Htm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62386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2D557" w14:textId="77777777" w:rsidR="00D33D98" w:rsidRDefault="00D33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8E8648C"/>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6B1350"/>
    <w:multiLevelType w:val="hybridMultilevel"/>
    <w:tmpl w:val="4F443FDC"/>
    <w:lvl w:ilvl="0" w:tplc="6DF49560">
      <w:start w:val="1"/>
      <w:numFmt w:val="decimal"/>
      <w:lvlText w:val="%1."/>
      <w:lvlJc w:val="left"/>
      <w:pPr>
        <w:ind w:left="1440" w:hanging="360"/>
      </w:pPr>
      <w:rPr>
        <w:b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FA4"/>
    <w:rsid w:val="000070D7"/>
    <w:rsid w:val="000111A8"/>
    <w:rsid w:val="00017111"/>
    <w:rsid w:val="0001788C"/>
    <w:rsid w:val="00022CF5"/>
    <w:rsid w:val="00036A8A"/>
    <w:rsid w:val="00040C3A"/>
    <w:rsid w:val="000639C0"/>
    <w:rsid w:val="00070F3A"/>
    <w:rsid w:val="000716C5"/>
    <w:rsid w:val="000744B8"/>
    <w:rsid w:val="00075E23"/>
    <w:rsid w:val="000817E8"/>
    <w:rsid w:val="00092F32"/>
    <w:rsid w:val="0009344A"/>
    <w:rsid w:val="000941B2"/>
    <w:rsid w:val="00094468"/>
    <w:rsid w:val="000A384B"/>
    <w:rsid w:val="000A575F"/>
    <w:rsid w:val="000B2F51"/>
    <w:rsid w:val="000C4365"/>
    <w:rsid w:val="000C55F5"/>
    <w:rsid w:val="000D10DB"/>
    <w:rsid w:val="000D17B2"/>
    <w:rsid w:val="000E77F1"/>
    <w:rsid w:val="0010135D"/>
    <w:rsid w:val="001037FC"/>
    <w:rsid w:val="00122073"/>
    <w:rsid w:val="00124116"/>
    <w:rsid w:val="00125EA8"/>
    <w:rsid w:val="00126A31"/>
    <w:rsid w:val="0013104F"/>
    <w:rsid w:val="00137EBA"/>
    <w:rsid w:val="00140D49"/>
    <w:rsid w:val="00141A30"/>
    <w:rsid w:val="00145EDC"/>
    <w:rsid w:val="00150526"/>
    <w:rsid w:val="00153084"/>
    <w:rsid w:val="00167A34"/>
    <w:rsid w:val="001714B4"/>
    <w:rsid w:val="0018037F"/>
    <w:rsid w:val="00194448"/>
    <w:rsid w:val="00196681"/>
    <w:rsid w:val="001A5F27"/>
    <w:rsid w:val="001A619F"/>
    <w:rsid w:val="001A65E4"/>
    <w:rsid w:val="001A7870"/>
    <w:rsid w:val="001B27CC"/>
    <w:rsid w:val="001B4306"/>
    <w:rsid w:val="001C1B41"/>
    <w:rsid w:val="001D53BC"/>
    <w:rsid w:val="001D719C"/>
    <w:rsid w:val="001E366B"/>
    <w:rsid w:val="001F1902"/>
    <w:rsid w:val="001F7690"/>
    <w:rsid w:val="002008F9"/>
    <w:rsid w:val="00200CAB"/>
    <w:rsid w:val="00207E12"/>
    <w:rsid w:val="00210E0E"/>
    <w:rsid w:val="00210F4B"/>
    <w:rsid w:val="00226D97"/>
    <w:rsid w:val="00230163"/>
    <w:rsid w:val="0023351C"/>
    <w:rsid w:val="00247403"/>
    <w:rsid w:val="00247542"/>
    <w:rsid w:val="00247649"/>
    <w:rsid w:val="00257893"/>
    <w:rsid w:val="00261387"/>
    <w:rsid w:val="00266092"/>
    <w:rsid w:val="00266B61"/>
    <w:rsid w:val="0026712A"/>
    <w:rsid w:val="002704DB"/>
    <w:rsid w:val="002760CE"/>
    <w:rsid w:val="0027666E"/>
    <w:rsid w:val="00296D46"/>
    <w:rsid w:val="002B7A85"/>
    <w:rsid w:val="002C1641"/>
    <w:rsid w:val="002C280C"/>
    <w:rsid w:val="002D7EA2"/>
    <w:rsid w:val="002E15DF"/>
    <w:rsid w:val="002E187C"/>
    <w:rsid w:val="002E30AD"/>
    <w:rsid w:val="002E6E57"/>
    <w:rsid w:val="0030029C"/>
    <w:rsid w:val="00301075"/>
    <w:rsid w:val="00301E1A"/>
    <w:rsid w:val="00302733"/>
    <w:rsid w:val="00311A4F"/>
    <w:rsid w:val="00311ABE"/>
    <w:rsid w:val="00314078"/>
    <w:rsid w:val="00317B29"/>
    <w:rsid w:val="00321AFD"/>
    <w:rsid w:val="00322450"/>
    <w:rsid w:val="003246B5"/>
    <w:rsid w:val="00330822"/>
    <w:rsid w:val="0033169F"/>
    <w:rsid w:val="003414AC"/>
    <w:rsid w:val="00356185"/>
    <w:rsid w:val="00360380"/>
    <w:rsid w:val="00363344"/>
    <w:rsid w:val="003771A3"/>
    <w:rsid w:val="00386CF0"/>
    <w:rsid w:val="00390D42"/>
    <w:rsid w:val="00391D96"/>
    <w:rsid w:val="003A4348"/>
    <w:rsid w:val="003B2502"/>
    <w:rsid w:val="003C32BC"/>
    <w:rsid w:val="003C348B"/>
    <w:rsid w:val="003C62FF"/>
    <w:rsid w:val="003D102A"/>
    <w:rsid w:val="003D22DB"/>
    <w:rsid w:val="003E3E03"/>
    <w:rsid w:val="003F0DDD"/>
    <w:rsid w:val="003F1BBF"/>
    <w:rsid w:val="003F26A2"/>
    <w:rsid w:val="004162B1"/>
    <w:rsid w:val="004165C2"/>
    <w:rsid w:val="00422F77"/>
    <w:rsid w:val="00434CA2"/>
    <w:rsid w:val="00450A4A"/>
    <w:rsid w:val="00456BFF"/>
    <w:rsid w:val="004666FB"/>
    <w:rsid w:val="00466D0B"/>
    <w:rsid w:val="0046711C"/>
    <w:rsid w:val="00467B7E"/>
    <w:rsid w:val="0049419D"/>
    <w:rsid w:val="00497778"/>
    <w:rsid w:val="004B2762"/>
    <w:rsid w:val="004B7EB6"/>
    <w:rsid w:val="004C41DE"/>
    <w:rsid w:val="004C4B62"/>
    <w:rsid w:val="004D0405"/>
    <w:rsid w:val="004D6025"/>
    <w:rsid w:val="004D72BC"/>
    <w:rsid w:val="004F6B67"/>
    <w:rsid w:val="004F7F3E"/>
    <w:rsid w:val="00501399"/>
    <w:rsid w:val="00505123"/>
    <w:rsid w:val="00506491"/>
    <w:rsid w:val="00507143"/>
    <w:rsid w:val="00507BC4"/>
    <w:rsid w:val="005128E4"/>
    <w:rsid w:val="00517CD9"/>
    <w:rsid w:val="00520468"/>
    <w:rsid w:val="00525560"/>
    <w:rsid w:val="005357A6"/>
    <w:rsid w:val="00544C49"/>
    <w:rsid w:val="005475AC"/>
    <w:rsid w:val="0055392C"/>
    <w:rsid w:val="0057402A"/>
    <w:rsid w:val="005771D0"/>
    <w:rsid w:val="00580FD1"/>
    <w:rsid w:val="005816E5"/>
    <w:rsid w:val="005844EE"/>
    <w:rsid w:val="0059191A"/>
    <w:rsid w:val="005921FF"/>
    <w:rsid w:val="00592718"/>
    <w:rsid w:val="00594549"/>
    <w:rsid w:val="005A6D0E"/>
    <w:rsid w:val="005A728F"/>
    <w:rsid w:val="005B222D"/>
    <w:rsid w:val="005B52B0"/>
    <w:rsid w:val="005B5412"/>
    <w:rsid w:val="005B6806"/>
    <w:rsid w:val="005C00F9"/>
    <w:rsid w:val="005C4225"/>
    <w:rsid w:val="005C469F"/>
    <w:rsid w:val="005F0F33"/>
    <w:rsid w:val="00600DEB"/>
    <w:rsid w:val="00604608"/>
    <w:rsid w:val="00613027"/>
    <w:rsid w:val="00623864"/>
    <w:rsid w:val="00627C9F"/>
    <w:rsid w:val="00630D8B"/>
    <w:rsid w:val="006311DA"/>
    <w:rsid w:val="006311E9"/>
    <w:rsid w:val="006318B2"/>
    <w:rsid w:val="00632354"/>
    <w:rsid w:val="00642810"/>
    <w:rsid w:val="00652333"/>
    <w:rsid w:val="00653EA6"/>
    <w:rsid w:val="0068009E"/>
    <w:rsid w:val="006A17D2"/>
    <w:rsid w:val="006A73E6"/>
    <w:rsid w:val="006B2D5C"/>
    <w:rsid w:val="006B4DD5"/>
    <w:rsid w:val="006B672F"/>
    <w:rsid w:val="006C2469"/>
    <w:rsid w:val="006C4EB1"/>
    <w:rsid w:val="006D2398"/>
    <w:rsid w:val="006D44BA"/>
    <w:rsid w:val="006D4707"/>
    <w:rsid w:val="006E0166"/>
    <w:rsid w:val="006E0A50"/>
    <w:rsid w:val="006E7B34"/>
    <w:rsid w:val="006F1022"/>
    <w:rsid w:val="006F4458"/>
    <w:rsid w:val="006F7E33"/>
    <w:rsid w:val="007016F5"/>
    <w:rsid w:val="00701B24"/>
    <w:rsid w:val="00706858"/>
    <w:rsid w:val="0071495F"/>
    <w:rsid w:val="00731170"/>
    <w:rsid w:val="00734153"/>
    <w:rsid w:val="0073798E"/>
    <w:rsid w:val="00743197"/>
    <w:rsid w:val="00745899"/>
    <w:rsid w:val="007607C4"/>
    <w:rsid w:val="0076643F"/>
    <w:rsid w:val="007669E4"/>
    <w:rsid w:val="0077400F"/>
    <w:rsid w:val="00781653"/>
    <w:rsid w:val="00784AF5"/>
    <w:rsid w:val="00786A52"/>
    <w:rsid w:val="00792CC2"/>
    <w:rsid w:val="0079379D"/>
    <w:rsid w:val="007A2F70"/>
    <w:rsid w:val="007A4E36"/>
    <w:rsid w:val="007C0EB7"/>
    <w:rsid w:val="007C289F"/>
    <w:rsid w:val="007C3334"/>
    <w:rsid w:val="007C52BB"/>
    <w:rsid w:val="007D2048"/>
    <w:rsid w:val="007D2B98"/>
    <w:rsid w:val="007D7456"/>
    <w:rsid w:val="007F414A"/>
    <w:rsid w:val="007F4853"/>
    <w:rsid w:val="00803F1C"/>
    <w:rsid w:val="0080600E"/>
    <w:rsid w:val="00811DA7"/>
    <w:rsid w:val="00814711"/>
    <w:rsid w:val="00817612"/>
    <w:rsid w:val="00837C45"/>
    <w:rsid w:val="00842E2B"/>
    <w:rsid w:val="00844D98"/>
    <w:rsid w:val="00853419"/>
    <w:rsid w:val="00853451"/>
    <w:rsid w:val="0089628C"/>
    <w:rsid w:val="00897E12"/>
    <w:rsid w:val="008A7E3A"/>
    <w:rsid w:val="008C7E40"/>
    <w:rsid w:val="008D43BA"/>
    <w:rsid w:val="008E0A1C"/>
    <w:rsid w:val="008E3759"/>
    <w:rsid w:val="008E40F5"/>
    <w:rsid w:val="009041DC"/>
    <w:rsid w:val="00906A55"/>
    <w:rsid w:val="009104B4"/>
    <w:rsid w:val="009228DA"/>
    <w:rsid w:val="00925FCD"/>
    <w:rsid w:val="00930735"/>
    <w:rsid w:val="0093441A"/>
    <w:rsid w:val="00936892"/>
    <w:rsid w:val="00946ACE"/>
    <w:rsid w:val="00954611"/>
    <w:rsid w:val="00954BF7"/>
    <w:rsid w:val="0096706E"/>
    <w:rsid w:val="00973C5D"/>
    <w:rsid w:val="00981FBA"/>
    <w:rsid w:val="0098783D"/>
    <w:rsid w:val="009A2089"/>
    <w:rsid w:val="009B381B"/>
    <w:rsid w:val="009B58F0"/>
    <w:rsid w:val="009B5FCC"/>
    <w:rsid w:val="009C6DB0"/>
    <w:rsid w:val="009D7611"/>
    <w:rsid w:val="009E304E"/>
    <w:rsid w:val="009E53DE"/>
    <w:rsid w:val="009E566A"/>
    <w:rsid w:val="009F7B39"/>
    <w:rsid w:val="00A12DBC"/>
    <w:rsid w:val="00A315B4"/>
    <w:rsid w:val="00A43458"/>
    <w:rsid w:val="00A528D1"/>
    <w:rsid w:val="00A54E03"/>
    <w:rsid w:val="00A5614D"/>
    <w:rsid w:val="00A66BE5"/>
    <w:rsid w:val="00A9428A"/>
    <w:rsid w:val="00A942D4"/>
    <w:rsid w:val="00AA2F34"/>
    <w:rsid w:val="00AC18C0"/>
    <w:rsid w:val="00AD37C1"/>
    <w:rsid w:val="00AE66EC"/>
    <w:rsid w:val="00AE6F91"/>
    <w:rsid w:val="00AF5571"/>
    <w:rsid w:val="00B06BB7"/>
    <w:rsid w:val="00B166A8"/>
    <w:rsid w:val="00B167E9"/>
    <w:rsid w:val="00B179ED"/>
    <w:rsid w:val="00B314DB"/>
    <w:rsid w:val="00B31EBE"/>
    <w:rsid w:val="00B3718B"/>
    <w:rsid w:val="00B44B23"/>
    <w:rsid w:val="00B4632A"/>
    <w:rsid w:val="00B513C8"/>
    <w:rsid w:val="00B76A52"/>
    <w:rsid w:val="00B92E49"/>
    <w:rsid w:val="00BA276C"/>
    <w:rsid w:val="00BB306F"/>
    <w:rsid w:val="00BD232B"/>
    <w:rsid w:val="00BD2E42"/>
    <w:rsid w:val="00BD4B89"/>
    <w:rsid w:val="00C15089"/>
    <w:rsid w:val="00C21762"/>
    <w:rsid w:val="00C24543"/>
    <w:rsid w:val="00C256A2"/>
    <w:rsid w:val="00C3492D"/>
    <w:rsid w:val="00C35865"/>
    <w:rsid w:val="00C42F14"/>
    <w:rsid w:val="00C55560"/>
    <w:rsid w:val="00C663C4"/>
    <w:rsid w:val="00C66B72"/>
    <w:rsid w:val="00C73385"/>
    <w:rsid w:val="00C84D0A"/>
    <w:rsid w:val="00C930A8"/>
    <w:rsid w:val="00C9567A"/>
    <w:rsid w:val="00C960E9"/>
    <w:rsid w:val="00CA6577"/>
    <w:rsid w:val="00CB2660"/>
    <w:rsid w:val="00CB7D06"/>
    <w:rsid w:val="00CC5DC1"/>
    <w:rsid w:val="00CC5E90"/>
    <w:rsid w:val="00CD046C"/>
    <w:rsid w:val="00CE5199"/>
    <w:rsid w:val="00CE66D5"/>
    <w:rsid w:val="00CF092B"/>
    <w:rsid w:val="00D12917"/>
    <w:rsid w:val="00D13677"/>
    <w:rsid w:val="00D27027"/>
    <w:rsid w:val="00D30D55"/>
    <w:rsid w:val="00D33D98"/>
    <w:rsid w:val="00D34786"/>
    <w:rsid w:val="00D40A1E"/>
    <w:rsid w:val="00D40B0C"/>
    <w:rsid w:val="00D533C0"/>
    <w:rsid w:val="00D56A54"/>
    <w:rsid w:val="00D712D3"/>
    <w:rsid w:val="00D71422"/>
    <w:rsid w:val="00D7145E"/>
    <w:rsid w:val="00D75084"/>
    <w:rsid w:val="00D7558D"/>
    <w:rsid w:val="00D81D92"/>
    <w:rsid w:val="00D841E8"/>
    <w:rsid w:val="00D93446"/>
    <w:rsid w:val="00DA7B5F"/>
    <w:rsid w:val="00DB5E31"/>
    <w:rsid w:val="00DB62A2"/>
    <w:rsid w:val="00DD0FE6"/>
    <w:rsid w:val="00DD6537"/>
    <w:rsid w:val="00DE6EA4"/>
    <w:rsid w:val="00DF078B"/>
    <w:rsid w:val="00DF350D"/>
    <w:rsid w:val="00E224E5"/>
    <w:rsid w:val="00E227C1"/>
    <w:rsid w:val="00E2299A"/>
    <w:rsid w:val="00E43157"/>
    <w:rsid w:val="00E47F3D"/>
    <w:rsid w:val="00E519CE"/>
    <w:rsid w:val="00E533FF"/>
    <w:rsid w:val="00E5599E"/>
    <w:rsid w:val="00E709B3"/>
    <w:rsid w:val="00E75597"/>
    <w:rsid w:val="00E7588C"/>
    <w:rsid w:val="00E763AC"/>
    <w:rsid w:val="00E7797F"/>
    <w:rsid w:val="00E8386C"/>
    <w:rsid w:val="00E850B6"/>
    <w:rsid w:val="00E8789F"/>
    <w:rsid w:val="00E97B71"/>
    <w:rsid w:val="00EB454D"/>
    <w:rsid w:val="00EB553A"/>
    <w:rsid w:val="00EB786F"/>
    <w:rsid w:val="00EC59FB"/>
    <w:rsid w:val="00ED0D1B"/>
    <w:rsid w:val="00EE3522"/>
    <w:rsid w:val="00EF619B"/>
    <w:rsid w:val="00F00363"/>
    <w:rsid w:val="00F00B55"/>
    <w:rsid w:val="00F02AB5"/>
    <w:rsid w:val="00F1380F"/>
    <w:rsid w:val="00F14F0E"/>
    <w:rsid w:val="00F15A3B"/>
    <w:rsid w:val="00F24C29"/>
    <w:rsid w:val="00F253CC"/>
    <w:rsid w:val="00F2733C"/>
    <w:rsid w:val="00F30A25"/>
    <w:rsid w:val="00F34D38"/>
    <w:rsid w:val="00F416B1"/>
    <w:rsid w:val="00F42B71"/>
    <w:rsid w:val="00F52328"/>
    <w:rsid w:val="00F5563F"/>
    <w:rsid w:val="00F56BA5"/>
    <w:rsid w:val="00F621C3"/>
    <w:rsid w:val="00F644E6"/>
    <w:rsid w:val="00F9653B"/>
    <w:rsid w:val="00FA0016"/>
    <w:rsid w:val="00FB62CF"/>
    <w:rsid w:val="00FC3EB4"/>
    <w:rsid w:val="00FC6C58"/>
    <w:rsid w:val="00FE6B45"/>
    <w:rsid w:val="00FF3102"/>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Default">
    <w:name w:val="Default"/>
    <w:rsid w:val="002766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 w:type="character" w:styleId="CommentReference">
    <w:name w:val="annotation reference"/>
    <w:basedOn w:val="DefaultParagraphFont"/>
    <w:uiPriority w:val="99"/>
    <w:semiHidden/>
    <w:unhideWhenUsed/>
    <w:rsid w:val="005B5412"/>
    <w:rPr>
      <w:sz w:val="16"/>
      <w:szCs w:val="16"/>
    </w:rPr>
  </w:style>
  <w:style w:type="paragraph" w:styleId="CommentText">
    <w:name w:val="annotation text"/>
    <w:basedOn w:val="Normal"/>
    <w:link w:val="CommentTextChar"/>
    <w:uiPriority w:val="99"/>
    <w:semiHidden/>
    <w:unhideWhenUsed/>
    <w:rsid w:val="005B5412"/>
    <w:rPr>
      <w:sz w:val="20"/>
      <w:szCs w:val="20"/>
    </w:rPr>
  </w:style>
  <w:style w:type="character" w:customStyle="1" w:styleId="CommentTextChar">
    <w:name w:val="Comment Text Char"/>
    <w:basedOn w:val="DefaultParagraphFont"/>
    <w:link w:val="CommentText"/>
    <w:uiPriority w:val="99"/>
    <w:semiHidden/>
    <w:rsid w:val="005B5412"/>
    <w:rPr>
      <w:lang w:val="en-US" w:eastAsia="en-US"/>
    </w:rPr>
  </w:style>
  <w:style w:type="paragraph" w:styleId="CommentSubject">
    <w:name w:val="annotation subject"/>
    <w:basedOn w:val="CommentText"/>
    <w:next w:val="CommentText"/>
    <w:link w:val="CommentSubjectChar"/>
    <w:uiPriority w:val="99"/>
    <w:semiHidden/>
    <w:unhideWhenUsed/>
    <w:rsid w:val="005B5412"/>
    <w:rPr>
      <w:b/>
      <w:bCs/>
    </w:rPr>
  </w:style>
  <w:style w:type="character" w:customStyle="1" w:styleId="CommentSubjectChar">
    <w:name w:val="Comment Subject Char"/>
    <w:basedOn w:val="CommentTextChar"/>
    <w:link w:val="CommentSubject"/>
    <w:uiPriority w:val="99"/>
    <w:semiHidden/>
    <w:rsid w:val="005B541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2928">
      <w:bodyDiv w:val="1"/>
      <w:marLeft w:val="0"/>
      <w:marRight w:val="0"/>
      <w:marTop w:val="0"/>
      <w:marBottom w:val="0"/>
      <w:divBdr>
        <w:top w:val="none" w:sz="0" w:space="0" w:color="auto"/>
        <w:left w:val="none" w:sz="0" w:space="0" w:color="auto"/>
        <w:bottom w:val="none" w:sz="0" w:space="0" w:color="auto"/>
        <w:right w:val="none" w:sz="0" w:space="0" w:color="auto"/>
      </w:divBdr>
    </w:div>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idh.org/annualrep/2003eng/Jamaica.191.02.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B3C1F"/>
    <w:rsid w:val="001D16AF"/>
    <w:rsid w:val="0020286C"/>
    <w:rsid w:val="002F1DDB"/>
    <w:rsid w:val="003748EB"/>
    <w:rsid w:val="0037569C"/>
    <w:rsid w:val="004108B1"/>
    <w:rsid w:val="004D13EB"/>
    <w:rsid w:val="0053719A"/>
    <w:rsid w:val="005B6E05"/>
    <w:rsid w:val="006019D4"/>
    <w:rsid w:val="006715D6"/>
    <w:rsid w:val="006A3012"/>
    <w:rsid w:val="0071176E"/>
    <w:rsid w:val="00726F4B"/>
    <w:rsid w:val="00770770"/>
    <w:rsid w:val="008E7A04"/>
    <w:rsid w:val="00905218"/>
    <w:rsid w:val="00974A31"/>
    <w:rsid w:val="00A45BA3"/>
    <w:rsid w:val="00AB2E25"/>
    <w:rsid w:val="00AB44F1"/>
    <w:rsid w:val="00AD5487"/>
    <w:rsid w:val="00AE54E1"/>
    <w:rsid w:val="00BC0906"/>
    <w:rsid w:val="00C25D33"/>
    <w:rsid w:val="00C74229"/>
    <w:rsid w:val="00CF0D6E"/>
    <w:rsid w:val="00DC2357"/>
    <w:rsid w:val="00E715BD"/>
    <w:rsid w:val="00EA0868"/>
    <w:rsid w:val="00EF50B5"/>
    <w:rsid w:val="00FE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1B47-8B40-4958-AD89-BBBC83E0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3039</Words>
  <Characters>15897</Characters>
  <Application>Microsoft Office Word</Application>
  <DocSecurity>0</DocSecurity>
  <Lines>283</Lines>
  <Paragraphs>78</Paragraphs>
  <ScaleCrop>false</ScaleCrop>
  <Company/>
  <LinksUpToDate>false</LinksUpToDate>
  <CharactersWithSpaces>18858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68/21</dc:title>
  <dc:creator/>
  <cp:lastModifiedBy/>
  <cp:revision>1</cp:revision>
  <dcterms:created xsi:type="dcterms:W3CDTF">2021-05-10T17:13:00Z</dcterms:created>
  <dcterms:modified xsi:type="dcterms:W3CDTF">2021-05-10T17:14:00Z</dcterms:modified>
</cp:coreProperties>
</file>