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6F1C9"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F95188B" wp14:editId="05DB5CF9">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55881"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B8A7314" wp14:editId="196DB011">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5DCAA6" w14:textId="77777777" w:rsidR="00CB2660" w:rsidRDefault="002C1641">
                            <w:r>
                              <w:rPr>
                                <w:noProof/>
                              </w:rPr>
                              <w:drawing>
                                <wp:inline distT="0" distB="0" distL="0" distR="0" wp14:anchorId="0C4E6310" wp14:editId="363B1B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A7314"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4C5DCAA6" w14:textId="77777777" w:rsidR="00CB2660" w:rsidRDefault="002C1641">
                      <w:r>
                        <w:rPr>
                          <w:noProof/>
                        </w:rPr>
                        <w:drawing>
                          <wp:inline distT="0" distB="0" distL="0" distR="0" wp14:anchorId="0C4E6310" wp14:editId="363B1B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507670CE"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D25EE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2390D75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6A1AFEC"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3E6B4A0" w14:textId="77777777" w:rsidR="005128E4" w:rsidRPr="003C32BC" w:rsidRDefault="005128E4" w:rsidP="00040C3A">
      <w:pPr>
        <w:tabs>
          <w:tab w:val="center" w:pos="5400"/>
        </w:tabs>
        <w:suppressAutoHyphens/>
        <w:rPr>
          <w:rFonts w:asciiTheme="majorHAnsi" w:hAnsiTheme="majorHAnsi"/>
          <w:sz w:val="22"/>
          <w:szCs w:val="22"/>
          <w:lang w:val="es-ES_tradnl"/>
        </w:rPr>
      </w:pPr>
    </w:p>
    <w:p w14:paraId="44AC00F7"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15ADEF55"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4CC33D0F"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790A5697"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CA8DF8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593536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FF41DD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32A9A0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62CF5C"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00841F0" wp14:editId="77D64BC8">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EF0BB2" w14:textId="03A96C0F"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814AC3">
                              <w:rPr>
                                <w:rFonts w:asciiTheme="majorHAnsi" w:hAnsiTheme="majorHAnsi" w:cs="Arial"/>
                                <w:b/>
                                <w:bCs/>
                                <w:color w:val="0D0D0D" w:themeColor="text1" w:themeTint="F2"/>
                                <w:sz w:val="36"/>
                                <w:szCs w:val="40"/>
                              </w:rPr>
                              <w:t>168</w:t>
                            </w:r>
                            <w:r w:rsidRPr="004B7EB6">
                              <w:rPr>
                                <w:rFonts w:asciiTheme="majorHAnsi" w:hAnsiTheme="majorHAnsi" w:cs="Arial"/>
                                <w:b/>
                                <w:bCs/>
                                <w:color w:val="0D0D0D" w:themeColor="text1" w:themeTint="F2"/>
                                <w:sz w:val="36"/>
                                <w:szCs w:val="40"/>
                              </w:rPr>
                              <w:t>/</w:t>
                            </w:r>
                            <w:r w:rsidR="002E3E88">
                              <w:rPr>
                                <w:rFonts w:asciiTheme="majorHAnsi" w:hAnsiTheme="majorHAnsi" w:cs="Arial"/>
                                <w:b/>
                                <w:bCs/>
                                <w:color w:val="0D0D0D" w:themeColor="text1" w:themeTint="F2"/>
                                <w:sz w:val="36"/>
                                <w:szCs w:val="40"/>
                              </w:rPr>
                              <w:t>22</w:t>
                            </w:r>
                          </w:p>
                          <w:p w14:paraId="21C43866" w14:textId="5BC1EF0E" w:rsidR="002C1641" w:rsidRPr="002E3E88"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2E3E88">
                              <w:rPr>
                                <w:rFonts w:asciiTheme="majorHAnsi" w:hAnsiTheme="majorHAnsi" w:cs="Arial"/>
                                <w:b/>
                                <w:bCs/>
                                <w:color w:val="0D0D0D" w:themeColor="text1" w:themeTint="F2"/>
                                <w:sz w:val="36"/>
                                <w:szCs w:val="40"/>
                              </w:rPr>
                              <w:t>12.289</w:t>
                            </w:r>
                          </w:p>
                          <w:p w14:paraId="7FB45F04" w14:textId="0742F6B7"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00450A4A" w:rsidRPr="004B7EB6">
                              <w:rPr>
                                <w:rFonts w:asciiTheme="majorHAnsi" w:hAnsiTheme="majorHAnsi" w:cs="Arial"/>
                                <w:color w:val="0D0D0D" w:themeColor="text1" w:themeTint="F2"/>
                                <w:szCs w:val="22"/>
                              </w:rPr>
                              <w:t xml:space="preserve"> </w:t>
                            </w:r>
                          </w:p>
                          <w:p w14:paraId="45AE24F9" w14:textId="77777777" w:rsidR="00450A4A" w:rsidRPr="004B7EB6" w:rsidRDefault="00450A4A" w:rsidP="004B7EB6">
                            <w:pPr>
                              <w:spacing w:line="276" w:lineRule="auto"/>
                              <w:rPr>
                                <w:rFonts w:asciiTheme="majorHAnsi" w:hAnsiTheme="majorHAnsi" w:cs="Arial"/>
                                <w:color w:val="0D0D0D" w:themeColor="text1" w:themeTint="F2"/>
                                <w:szCs w:val="22"/>
                              </w:rPr>
                            </w:pPr>
                          </w:p>
                          <w:p w14:paraId="44CD3C7F" w14:textId="40AD26BB" w:rsidR="00322450" w:rsidRPr="002E3E88" w:rsidRDefault="002E3E88" w:rsidP="004B7EB6">
                            <w:pPr>
                              <w:spacing w:line="276" w:lineRule="auto"/>
                              <w:rPr>
                                <w:rFonts w:asciiTheme="majorHAnsi" w:hAnsiTheme="majorHAnsi" w:cs="Arial"/>
                                <w:color w:val="0D0D0D" w:themeColor="text1" w:themeTint="F2"/>
                                <w:szCs w:val="22"/>
                              </w:rPr>
                            </w:pPr>
                            <w:r w:rsidRPr="002E3E88">
                              <w:rPr>
                                <w:rFonts w:asciiTheme="majorHAnsi" w:hAnsiTheme="majorHAnsi" w:cs="Arial"/>
                                <w:color w:val="0D0D0D" w:themeColor="text1" w:themeTint="F2"/>
                                <w:szCs w:val="22"/>
                              </w:rPr>
                              <w:t>GUILLERMO SANTIAGO ZALDI</w:t>
                            </w:r>
                            <w:r>
                              <w:rPr>
                                <w:rFonts w:asciiTheme="majorHAnsi" w:hAnsiTheme="majorHAnsi" w:cs="Arial"/>
                                <w:color w:val="0D0D0D" w:themeColor="text1" w:themeTint="F2"/>
                                <w:szCs w:val="22"/>
                              </w:rPr>
                              <w:t>VAR</w:t>
                            </w:r>
                          </w:p>
                          <w:p w14:paraId="1096BE63" w14:textId="6C3E0EBE" w:rsidR="005B52B0" w:rsidRPr="002E3E88" w:rsidRDefault="002E3E88"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841F0"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7AEF0BB2" w14:textId="03A96C0F"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814AC3">
                        <w:rPr>
                          <w:rFonts w:asciiTheme="majorHAnsi" w:hAnsiTheme="majorHAnsi" w:cs="Arial"/>
                          <w:b/>
                          <w:bCs/>
                          <w:color w:val="0D0D0D" w:themeColor="text1" w:themeTint="F2"/>
                          <w:sz w:val="36"/>
                          <w:szCs w:val="40"/>
                        </w:rPr>
                        <w:t>168</w:t>
                      </w:r>
                      <w:r w:rsidRPr="004B7EB6">
                        <w:rPr>
                          <w:rFonts w:asciiTheme="majorHAnsi" w:hAnsiTheme="majorHAnsi" w:cs="Arial"/>
                          <w:b/>
                          <w:bCs/>
                          <w:color w:val="0D0D0D" w:themeColor="text1" w:themeTint="F2"/>
                          <w:sz w:val="36"/>
                          <w:szCs w:val="40"/>
                        </w:rPr>
                        <w:t>/</w:t>
                      </w:r>
                      <w:r w:rsidR="002E3E88">
                        <w:rPr>
                          <w:rFonts w:asciiTheme="majorHAnsi" w:hAnsiTheme="majorHAnsi" w:cs="Arial"/>
                          <w:b/>
                          <w:bCs/>
                          <w:color w:val="0D0D0D" w:themeColor="text1" w:themeTint="F2"/>
                          <w:sz w:val="36"/>
                          <w:szCs w:val="40"/>
                        </w:rPr>
                        <w:t>22</w:t>
                      </w:r>
                    </w:p>
                    <w:p w14:paraId="21C43866" w14:textId="5BC1EF0E" w:rsidR="002C1641" w:rsidRPr="002E3E88"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2E3E88">
                        <w:rPr>
                          <w:rFonts w:asciiTheme="majorHAnsi" w:hAnsiTheme="majorHAnsi" w:cs="Arial"/>
                          <w:b/>
                          <w:bCs/>
                          <w:color w:val="0D0D0D" w:themeColor="text1" w:themeTint="F2"/>
                          <w:sz w:val="36"/>
                          <w:szCs w:val="40"/>
                        </w:rPr>
                        <w:t>12.289</w:t>
                      </w:r>
                    </w:p>
                    <w:p w14:paraId="7FB45F04" w14:textId="0742F6B7"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00450A4A" w:rsidRPr="004B7EB6">
                        <w:rPr>
                          <w:rFonts w:asciiTheme="majorHAnsi" w:hAnsiTheme="majorHAnsi" w:cs="Arial"/>
                          <w:color w:val="0D0D0D" w:themeColor="text1" w:themeTint="F2"/>
                          <w:szCs w:val="22"/>
                        </w:rPr>
                        <w:t xml:space="preserve"> </w:t>
                      </w:r>
                    </w:p>
                    <w:p w14:paraId="45AE24F9" w14:textId="77777777" w:rsidR="00450A4A" w:rsidRPr="004B7EB6" w:rsidRDefault="00450A4A" w:rsidP="004B7EB6">
                      <w:pPr>
                        <w:spacing w:line="276" w:lineRule="auto"/>
                        <w:rPr>
                          <w:rFonts w:asciiTheme="majorHAnsi" w:hAnsiTheme="majorHAnsi" w:cs="Arial"/>
                          <w:color w:val="0D0D0D" w:themeColor="text1" w:themeTint="F2"/>
                          <w:szCs w:val="22"/>
                        </w:rPr>
                      </w:pPr>
                    </w:p>
                    <w:p w14:paraId="44CD3C7F" w14:textId="40AD26BB" w:rsidR="00322450" w:rsidRPr="002E3E88" w:rsidRDefault="002E3E88" w:rsidP="004B7EB6">
                      <w:pPr>
                        <w:spacing w:line="276" w:lineRule="auto"/>
                        <w:rPr>
                          <w:rFonts w:asciiTheme="majorHAnsi" w:hAnsiTheme="majorHAnsi" w:cs="Arial"/>
                          <w:color w:val="0D0D0D" w:themeColor="text1" w:themeTint="F2"/>
                          <w:szCs w:val="22"/>
                        </w:rPr>
                      </w:pPr>
                      <w:r w:rsidRPr="002E3E88">
                        <w:rPr>
                          <w:rFonts w:asciiTheme="majorHAnsi" w:hAnsiTheme="majorHAnsi" w:cs="Arial"/>
                          <w:color w:val="0D0D0D" w:themeColor="text1" w:themeTint="F2"/>
                          <w:szCs w:val="22"/>
                        </w:rPr>
                        <w:t>GUILLERMO SANTIAGO ZALDI</w:t>
                      </w:r>
                      <w:r>
                        <w:rPr>
                          <w:rFonts w:asciiTheme="majorHAnsi" w:hAnsiTheme="majorHAnsi" w:cs="Arial"/>
                          <w:color w:val="0D0D0D" w:themeColor="text1" w:themeTint="F2"/>
                          <w:szCs w:val="22"/>
                        </w:rPr>
                        <w:t>VAR</w:t>
                      </w:r>
                    </w:p>
                    <w:p w14:paraId="1096BE63" w14:textId="6C3E0EBE" w:rsidR="005B52B0" w:rsidRPr="002E3E88" w:rsidRDefault="002E3E88"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ARGENTINA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262F50" wp14:editId="1AF2136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574E38" w14:textId="77777777"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OEA/Ser.L/V/II.150</w:t>
                            </w:r>
                          </w:p>
                          <w:p w14:paraId="50608DE4" w14:textId="498821B7"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814AC3">
                              <w:rPr>
                                <w:rFonts w:asciiTheme="minorHAnsi" w:hAnsiTheme="minorHAnsi"/>
                                <w:color w:val="FFFFFF" w:themeColor="background1"/>
                                <w:sz w:val="22"/>
                                <w:lang w:val="pt-BR"/>
                              </w:rPr>
                              <w:t>171</w:t>
                            </w:r>
                          </w:p>
                          <w:p w14:paraId="2330429D" w14:textId="749CE527" w:rsidR="00627C9F" w:rsidRPr="004B7EB6" w:rsidRDefault="00814AC3" w:rsidP="002C1641">
                            <w:pPr>
                              <w:jc w:val="right"/>
                              <w:rPr>
                                <w:rFonts w:asciiTheme="minorHAnsi" w:hAnsiTheme="minorHAnsi"/>
                                <w:color w:val="FFFFFF" w:themeColor="background1"/>
                                <w:sz w:val="22"/>
                              </w:rPr>
                            </w:pPr>
                            <w:r>
                              <w:rPr>
                                <w:rFonts w:asciiTheme="minorHAnsi" w:hAnsiTheme="minorHAnsi"/>
                                <w:color w:val="FFFFFF" w:themeColor="background1"/>
                                <w:sz w:val="22"/>
                              </w:rPr>
                              <w:t>25</w:t>
                            </w:r>
                            <w:r w:rsidR="00F75E9F">
                              <w:rPr>
                                <w:rFonts w:asciiTheme="minorHAnsi" w:hAnsiTheme="minorHAnsi"/>
                                <w:color w:val="FFFFFF" w:themeColor="background1"/>
                                <w:sz w:val="22"/>
                              </w:rPr>
                              <w:t xml:space="preserve"> J</w:t>
                            </w:r>
                            <w:r>
                              <w:rPr>
                                <w:rFonts w:asciiTheme="minorHAnsi" w:hAnsiTheme="minorHAnsi"/>
                                <w:color w:val="FFFFFF" w:themeColor="background1"/>
                                <w:sz w:val="22"/>
                              </w:rPr>
                              <w:t>uly</w:t>
                            </w:r>
                            <w:r w:rsidR="00627C9F" w:rsidRPr="00814AC3">
                              <w:rPr>
                                <w:rFonts w:asciiTheme="minorHAnsi" w:hAnsiTheme="minorHAnsi"/>
                                <w:color w:val="FFFFFF" w:themeColor="background1"/>
                                <w:sz w:val="22"/>
                              </w:rPr>
                              <w:t xml:space="preserve"> 20</w:t>
                            </w:r>
                            <w:r w:rsidR="002E3E88" w:rsidRPr="00814AC3">
                              <w:rPr>
                                <w:rFonts w:asciiTheme="minorHAnsi" w:hAnsiTheme="minorHAnsi"/>
                                <w:color w:val="FFFFFF" w:themeColor="background1"/>
                                <w:sz w:val="22"/>
                              </w:rPr>
                              <w:t>22</w:t>
                            </w:r>
                          </w:p>
                          <w:p w14:paraId="0D785243" w14:textId="1A5F5338"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2E3E88">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62F50"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20574E38" w14:textId="77777777"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OEA/Ser.L/V/II.150</w:t>
                      </w:r>
                    </w:p>
                    <w:p w14:paraId="50608DE4" w14:textId="498821B7"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814AC3">
                        <w:rPr>
                          <w:rFonts w:asciiTheme="minorHAnsi" w:hAnsiTheme="minorHAnsi"/>
                          <w:color w:val="FFFFFF" w:themeColor="background1"/>
                          <w:sz w:val="22"/>
                          <w:lang w:val="pt-BR"/>
                        </w:rPr>
                        <w:t>171</w:t>
                      </w:r>
                    </w:p>
                    <w:p w14:paraId="2330429D" w14:textId="749CE527" w:rsidR="00627C9F" w:rsidRPr="004B7EB6" w:rsidRDefault="00814AC3" w:rsidP="002C1641">
                      <w:pPr>
                        <w:jc w:val="right"/>
                        <w:rPr>
                          <w:rFonts w:asciiTheme="minorHAnsi" w:hAnsiTheme="minorHAnsi"/>
                          <w:color w:val="FFFFFF" w:themeColor="background1"/>
                          <w:sz w:val="22"/>
                        </w:rPr>
                      </w:pPr>
                      <w:r>
                        <w:rPr>
                          <w:rFonts w:asciiTheme="minorHAnsi" w:hAnsiTheme="minorHAnsi"/>
                          <w:color w:val="FFFFFF" w:themeColor="background1"/>
                          <w:sz w:val="22"/>
                        </w:rPr>
                        <w:t>25</w:t>
                      </w:r>
                      <w:r w:rsidR="00F75E9F">
                        <w:rPr>
                          <w:rFonts w:asciiTheme="minorHAnsi" w:hAnsiTheme="minorHAnsi"/>
                          <w:color w:val="FFFFFF" w:themeColor="background1"/>
                          <w:sz w:val="22"/>
                        </w:rPr>
                        <w:t xml:space="preserve"> J</w:t>
                      </w:r>
                      <w:r>
                        <w:rPr>
                          <w:rFonts w:asciiTheme="minorHAnsi" w:hAnsiTheme="minorHAnsi"/>
                          <w:color w:val="FFFFFF" w:themeColor="background1"/>
                          <w:sz w:val="22"/>
                        </w:rPr>
                        <w:t>uly</w:t>
                      </w:r>
                      <w:r w:rsidR="00627C9F" w:rsidRPr="00814AC3">
                        <w:rPr>
                          <w:rFonts w:asciiTheme="minorHAnsi" w:hAnsiTheme="minorHAnsi"/>
                          <w:color w:val="FFFFFF" w:themeColor="background1"/>
                          <w:sz w:val="22"/>
                        </w:rPr>
                        <w:t xml:space="preserve"> 20</w:t>
                      </w:r>
                      <w:r w:rsidR="002E3E88" w:rsidRPr="00814AC3">
                        <w:rPr>
                          <w:rFonts w:asciiTheme="minorHAnsi" w:hAnsiTheme="minorHAnsi"/>
                          <w:color w:val="FFFFFF" w:themeColor="background1"/>
                          <w:sz w:val="22"/>
                        </w:rPr>
                        <w:t>22</w:t>
                      </w:r>
                    </w:p>
                    <w:p w14:paraId="0D785243" w14:textId="1A5F5338"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2E3E88">
                        <w:rPr>
                          <w:rFonts w:asciiTheme="minorHAnsi" w:hAnsiTheme="minorHAnsi"/>
                          <w:color w:val="FFFFFF" w:themeColor="background1"/>
                          <w:sz w:val="22"/>
                        </w:rPr>
                        <w:t>Spanish</w:t>
                      </w:r>
                    </w:p>
                  </w:txbxContent>
                </v:textbox>
              </v:shape>
            </w:pict>
          </mc:Fallback>
        </mc:AlternateContent>
      </w:r>
    </w:p>
    <w:p w14:paraId="0DB9E2B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F3AC49F"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7C95C83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92E2E7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BB927E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93D9EB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BFFAB3A"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A589F7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4EB934C"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2C7E7B04"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B4208F8"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7F5ED4A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1009B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6519A9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3A5002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C03BBD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649577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6ACFA1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504503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185A5A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F3175C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77F1E6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2BEB64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9639F9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EEC0A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B624547"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3DF8D04" wp14:editId="4231C58B">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DDFAA9" w14:textId="13DDB921"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814AC3" w:rsidRPr="00814AC3">
                              <w:rPr>
                                <w:rFonts w:asciiTheme="majorHAnsi" w:hAnsiTheme="majorHAnsi"/>
                                <w:color w:val="0D0D0D" w:themeColor="text1" w:themeTint="F2"/>
                                <w:sz w:val="18"/>
                                <w:szCs w:val="22"/>
                              </w:rPr>
                              <w:t>July 25</w:t>
                            </w:r>
                            <w:r w:rsidRPr="00814AC3">
                              <w:rPr>
                                <w:rFonts w:asciiTheme="majorHAnsi" w:hAnsiTheme="majorHAnsi"/>
                                <w:color w:val="0D0D0D" w:themeColor="text1" w:themeTint="F2"/>
                                <w:sz w:val="18"/>
                                <w:szCs w:val="22"/>
                              </w:rPr>
                              <w:t>, 2</w:t>
                            </w:r>
                            <w:r w:rsidRPr="003C32BC">
                              <w:rPr>
                                <w:rFonts w:asciiTheme="majorHAnsi" w:hAnsiTheme="majorHAnsi"/>
                                <w:color w:val="0D0D0D" w:themeColor="text1" w:themeTint="F2"/>
                                <w:sz w:val="18"/>
                                <w:szCs w:val="22"/>
                              </w:rPr>
                              <w:t>0</w:t>
                            </w:r>
                            <w:r w:rsidR="002E3E88">
                              <w:rPr>
                                <w:rFonts w:asciiTheme="majorHAnsi" w:hAnsiTheme="majorHAnsi"/>
                                <w:color w:val="0D0D0D" w:themeColor="text1" w:themeTint="F2"/>
                                <w:sz w:val="18"/>
                                <w:szCs w:val="22"/>
                              </w:rPr>
                              <w:t>22</w:t>
                            </w:r>
                            <w:r w:rsidR="00F9158D">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F8D04"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0BDDFAA9" w14:textId="13DDB921"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814AC3" w:rsidRPr="00814AC3">
                        <w:rPr>
                          <w:rFonts w:asciiTheme="majorHAnsi" w:hAnsiTheme="majorHAnsi"/>
                          <w:color w:val="0D0D0D" w:themeColor="text1" w:themeTint="F2"/>
                          <w:sz w:val="18"/>
                          <w:szCs w:val="22"/>
                        </w:rPr>
                        <w:t>July 25</w:t>
                      </w:r>
                      <w:r w:rsidRPr="00814AC3">
                        <w:rPr>
                          <w:rFonts w:asciiTheme="majorHAnsi" w:hAnsiTheme="majorHAnsi"/>
                          <w:color w:val="0D0D0D" w:themeColor="text1" w:themeTint="F2"/>
                          <w:sz w:val="18"/>
                          <w:szCs w:val="22"/>
                        </w:rPr>
                        <w:t>, 2</w:t>
                      </w:r>
                      <w:r w:rsidRPr="003C32BC">
                        <w:rPr>
                          <w:rFonts w:asciiTheme="majorHAnsi" w:hAnsiTheme="majorHAnsi"/>
                          <w:color w:val="0D0D0D" w:themeColor="text1" w:themeTint="F2"/>
                          <w:sz w:val="18"/>
                          <w:szCs w:val="22"/>
                        </w:rPr>
                        <w:t>0</w:t>
                      </w:r>
                      <w:r w:rsidR="002E3E88">
                        <w:rPr>
                          <w:rFonts w:asciiTheme="majorHAnsi" w:hAnsiTheme="majorHAnsi"/>
                          <w:color w:val="0D0D0D" w:themeColor="text1" w:themeTint="F2"/>
                          <w:sz w:val="18"/>
                          <w:szCs w:val="22"/>
                        </w:rPr>
                        <w:t>22</w:t>
                      </w:r>
                      <w:r w:rsidR="00F9158D">
                        <w:rPr>
                          <w:rFonts w:asciiTheme="majorHAnsi" w:hAnsiTheme="majorHAnsi"/>
                          <w:color w:val="0D0D0D" w:themeColor="text1" w:themeTint="F2"/>
                          <w:sz w:val="18"/>
                          <w:szCs w:val="22"/>
                        </w:rPr>
                        <w:t>.</w:t>
                      </w:r>
                    </w:p>
                  </w:txbxContent>
                </v:textbox>
              </v:shape>
            </w:pict>
          </mc:Fallback>
        </mc:AlternateContent>
      </w:r>
    </w:p>
    <w:p w14:paraId="5408708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2D1228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C25DC0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376A34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961BC9F"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0A743F57" wp14:editId="28AE97EA">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D48823" w14:textId="11C10E37"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2E3E88">
                              <w:rPr>
                                <w:rFonts w:asciiTheme="majorHAnsi" w:hAnsiTheme="majorHAnsi"/>
                                <w:color w:val="595959" w:themeColor="text1" w:themeTint="A6"/>
                                <w:sz w:val="18"/>
                              </w:rPr>
                              <w:t xml:space="preserve"> </w:t>
                            </w:r>
                            <w:r w:rsidR="00814AC3">
                              <w:rPr>
                                <w:rFonts w:asciiTheme="majorHAnsi" w:hAnsiTheme="majorHAnsi"/>
                                <w:color w:val="595959" w:themeColor="text1" w:themeTint="A6"/>
                                <w:sz w:val="18"/>
                              </w:rPr>
                              <w:t>168</w:t>
                            </w:r>
                            <w:r w:rsidRPr="003C32BC">
                              <w:rPr>
                                <w:rFonts w:asciiTheme="majorHAnsi" w:hAnsiTheme="majorHAnsi"/>
                                <w:color w:val="595959" w:themeColor="text1" w:themeTint="A6"/>
                                <w:sz w:val="18"/>
                              </w:rPr>
                              <w:t>/</w:t>
                            </w:r>
                            <w:r w:rsidR="002E3E88">
                              <w:rPr>
                                <w:rFonts w:asciiTheme="majorHAnsi" w:hAnsiTheme="majorHAnsi"/>
                                <w:color w:val="595959" w:themeColor="text1" w:themeTint="A6"/>
                                <w:sz w:val="18"/>
                              </w:rPr>
                              <w:t>22</w:t>
                            </w:r>
                            <w:r w:rsidR="00F75E9F">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Case </w:t>
                            </w:r>
                            <w:r w:rsidR="002E3E88">
                              <w:rPr>
                                <w:rFonts w:asciiTheme="majorHAnsi" w:hAnsiTheme="majorHAnsi"/>
                                <w:color w:val="595959" w:themeColor="text1" w:themeTint="A6"/>
                                <w:sz w:val="18"/>
                              </w:rPr>
                              <w:t>12.289.</w:t>
                            </w:r>
                            <w:r w:rsidR="002E3E88" w:rsidRPr="003C32BC">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 xml:space="preserve">Friendly Settlement. </w:t>
                            </w:r>
                            <w:r w:rsidR="002E3E88">
                              <w:rPr>
                                <w:rFonts w:asciiTheme="majorHAnsi" w:hAnsiTheme="majorHAnsi"/>
                                <w:color w:val="595959" w:themeColor="text1" w:themeTint="A6"/>
                                <w:sz w:val="18"/>
                              </w:rPr>
                              <w:t>Guillermo Santiago Zaldívar</w:t>
                            </w:r>
                            <w:r w:rsidRPr="003C32BC">
                              <w:rPr>
                                <w:rFonts w:asciiTheme="majorHAnsi" w:hAnsiTheme="majorHAnsi"/>
                                <w:color w:val="595959" w:themeColor="text1" w:themeTint="A6"/>
                                <w:sz w:val="18"/>
                              </w:rPr>
                              <w:t xml:space="preserve">. </w:t>
                            </w:r>
                            <w:r w:rsidR="002E3E88">
                              <w:rPr>
                                <w:rFonts w:asciiTheme="majorHAnsi" w:hAnsiTheme="majorHAnsi"/>
                                <w:color w:val="595959" w:themeColor="text1" w:themeTint="A6"/>
                                <w:sz w:val="18"/>
                              </w:rPr>
                              <w:t>Argentina</w:t>
                            </w:r>
                            <w:r w:rsidRPr="007607C4">
                              <w:rPr>
                                <w:rFonts w:asciiTheme="majorHAnsi" w:hAnsiTheme="majorHAnsi"/>
                                <w:color w:val="595959" w:themeColor="text1" w:themeTint="A6"/>
                                <w:sz w:val="18"/>
                              </w:rPr>
                              <w:t>.</w:t>
                            </w:r>
                            <w:r w:rsidR="00F9158D">
                              <w:rPr>
                                <w:rFonts w:asciiTheme="majorHAnsi" w:hAnsiTheme="majorHAnsi"/>
                                <w:color w:val="595959" w:themeColor="text1" w:themeTint="A6"/>
                                <w:sz w:val="18"/>
                              </w:rPr>
                              <w:t xml:space="preserve"> </w:t>
                            </w:r>
                            <w:r w:rsidR="00814AC3">
                              <w:rPr>
                                <w:rFonts w:asciiTheme="majorHAnsi" w:hAnsiTheme="majorHAnsi"/>
                                <w:color w:val="595959" w:themeColor="text1" w:themeTint="A6"/>
                                <w:sz w:val="18"/>
                              </w:rPr>
                              <w:t>Jul</w:t>
                            </w:r>
                            <w:r w:rsidR="00814AC3" w:rsidRPr="00814AC3">
                              <w:rPr>
                                <w:rFonts w:asciiTheme="majorHAnsi" w:hAnsiTheme="majorHAnsi"/>
                                <w:color w:val="595959" w:themeColor="text1" w:themeTint="A6"/>
                                <w:sz w:val="18"/>
                              </w:rPr>
                              <w:t>y 25</w:t>
                            </w:r>
                            <w:r w:rsidR="00F9158D" w:rsidRPr="00814AC3">
                              <w:rPr>
                                <w:rFonts w:asciiTheme="majorHAnsi" w:hAnsiTheme="majorHAnsi"/>
                                <w:color w:val="595959" w:themeColor="text1" w:themeTint="A6"/>
                                <w:sz w:val="18"/>
                              </w:rPr>
                              <w:t>,</w:t>
                            </w:r>
                            <w:r w:rsidR="002E3E88" w:rsidRPr="00814AC3">
                              <w:rPr>
                                <w:rFonts w:asciiTheme="majorHAnsi" w:hAnsiTheme="majorHAnsi"/>
                                <w:color w:val="595959" w:themeColor="text1" w:themeTint="A6"/>
                                <w:sz w:val="18"/>
                              </w:rPr>
                              <w:t xml:space="preserve"> 2022</w:t>
                            </w:r>
                            <w:r w:rsidRPr="00814AC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43F57"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56D48823" w14:textId="11C10E37"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2E3E88">
                        <w:rPr>
                          <w:rFonts w:asciiTheme="majorHAnsi" w:hAnsiTheme="majorHAnsi"/>
                          <w:color w:val="595959" w:themeColor="text1" w:themeTint="A6"/>
                          <w:sz w:val="18"/>
                        </w:rPr>
                        <w:t xml:space="preserve"> </w:t>
                      </w:r>
                      <w:r w:rsidR="00814AC3">
                        <w:rPr>
                          <w:rFonts w:asciiTheme="majorHAnsi" w:hAnsiTheme="majorHAnsi"/>
                          <w:color w:val="595959" w:themeColor="text1" w:themeTint="A6"/>
                          <w:sz w:val="18"/>
                        </w:rPr>
                        <w:t>168</w:t>
                      </w:r>
                      <w:r w:rsidRPr="003C32BC">
                        <w:rPr>
                          <w:rFonts w:asciiTheme="majorHAnsi" w:hAnsiTheme="majorHAnsi"/>
                          <w:color w:val="595959" w:themeColor="text1" w:themeTint="A6"/>
                          <w:sz w:val="18"/>
                        </w:rPr>
                        <w:t>/</w:t>
                      </w:r>
                      <w:r w:rsidR="002E3E88">
                        <w:rPr>
                          <w:rFonts w:asciiTheme="majorHAnsi" w:hAnsiTheme="majorHAnsi"/>
                          <w:color w:val="595959" w:themeColor="text1" w:themeTint="A6"/>
                          <w:sz w:val="18"/>
                        </w:rPr>
                        <w:t>22</w:t>
                      </w:r>
                      <w:r w:rsidR="00F75E9F">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Case </w:t>
                      </w:r>
                      <w:r w:rsidR="002E3E88">
                        <w:rPr>
                          <w:rFonts w:asciiTheme="majorHAnsi" w:hAnsiTheme="majorHAnsi"/>
                          <w:color w:val="595959" w:themeColor="text1" w:themeTint="A6"/>
                          <w:sz w:val="18"/>
                        </w:rPr>
                        <w:t>12.289.</w:t>
                      </w:r>
                      <w:r w:rsidR="002E3E88" w:rsidRPr="003C32BC">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 xml:space="preserve">Friendly Settlement. </w:t>
                      </w:r>
                      <w:r w:rsidR="002E3E88">
                        <w:rPr>
                          <w:rFonts w:asciiTheme="majorHAnsi" w:hAnsiTheme="majorHAnsi"/>
                          <w:color w:val="595959" w:themeColor="text1" w:themeTint="A6"/>
                          <w:sz w:val="18"/>
                        </w:rPr>
                        <w:t>Guillermo Santiago Zaldívar</w:t>
                      </w:r>
                      <w:r w:rsidRPr="003C32BC">
                        <w:rPr>
                          <w:rFonts w:asciiTheme="majorHAnsi" w:hAnsiTheme="majorHAnsi"/>
                          <w:color w:val="595959" w:themeColor="text1" w:themeTint="A6"/>
                          <w:sz w:val="18"/>
                        </w:rPr>
                        <w:t xml:space="preserve">. </w:t>
                      </w:r>
                      <w:r w:rsidR="002E3E88">
                        <w:rPr>
                          <w:rFonts w:asciiTheme="majorHAnsi" w:hAnsiTheme="majorHAnsi"/>
                          <w:color w:val="595959" w:themeColor="text1" w:themeTint="A6"/>
                          <w:sz w:val="18"/>
                        </w:rPr>
                        <w:t>Argentina</w:t>
                      </w:r>
                      <w:r w:rsidRPr="007607C4">
                        <w:rPr>
                          <w:rFonts w:asciiTheme="majorHAnsi" w:hAnsiTheme="majorHAnsi"/>
                          <w:color w:val="595959" w:themeColor="text1" w:themeTint="A6"/>
                          <w:sz w:val="18"/>
                        </w:rPr>
                        <w:t>.</w:t>
                      </w:r>
                      <w:r w:rsidR="00F9158D">
                        <w:rPr>
                          <w:rFonts w:asciiTheme="majorHAnsi" w:hAnsiTheme="majorHAnsi"/>
                          <w:color w:val="595959" w:themeColor="text1" w:themeTint="A6"/>
                          <w:sz w:val="18"/>
                        </w:rPr>
                        <w:t xml:space="preserve"> </w:t>
                      </w:r>
                      <w:r w:rsidR="00814AC3">
                        <w:rPr>
                          <w:rFonts w:asciiTheme="majorHAnsi" w:hAnsiTheme="majorHAnsi"/>
                          <w:color w:val="595959" w:themeColor="text1" w:themeTint="A6"/>
                          <w:sz w:val="18"/>
                        </w:rPr>
                        <w:t>Jul</w:t>
                      </w:r>
                      <w:r w:rsidR="00814AC3" w:rsidRPr="00814AC3">
                        <w:rPr>
                          <w:rFonts w:asciiTheme="majorHAnsi" w:hAnsiTheme="majorHAnsi"/>
                          <w:color w:val="595959" w:themeColor="text1" w:themeTint="A6"/>
                          <w:sz w:val="18"/>
                        </w:rPr>
                        <w:t>y 25</w:t>
                      </w:r>
                      <w:r w:rsidR="00F9158D" w:rsidRPr="00814AC3">
                        <w:rPr>
                          <w:rFonts w:asciiTheme="majorHAnsi" w:hAnsiTheme="majorHAnsi"/>
                          <w:color w:val="595959" w:themeColor="text1" w:themeTint="A6"/>
                          <w:sz w:val="18"/>
                        </w:rPr>
                        <w:t>,</w:t>
                      </w:r>
                      <w:r w:rsidR="002E3E88" w:rsidRPr="00814AC3">
                        <w:rPr>
                          <w:rFonts w:asciiTheme="majorHAnsi" w:hAnsiTheme="majorHAnsi"/>
                          <w:color w:val="595959" w:themeColor="text1" w:themeTint="A6"/>
                          <w:sz w:val="18"/>
                        </w:rPr>
                        <w:t xml:space="preserve"> 2022</w:t>
                      </w:r>
                      <w:r w:rsidRPr="00814AC3">
                        <w:rPr>
                          <w:rFonts w:asciiTheme="majorHAnsi" w:hAnsiTheme="majorHAnsi"/>
                          <w:color w:val="595959" w:themeColor="text1" w:themeTint="A6"/>
                          <w:sz w:val="18"/>
                        </w:rPr>
                        <w:t>.</w:t>
                      </w:r>
                    </w:p>
                  </w:txbxContent>
                </v:textbox>
              </v:shape>
            </w:pict>
          </mc:Fallback>
        </mc:AlternateContent>
      </w:r>
    </w:p>
    <w:p w14:paraId="558DE89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020D7F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70A539B" w14:textId="77777777" w:rsidR="003C32BC" w:rsidRPr="003C32BC" w:rsidRDefault="003C32BC" w:rsidP="003C32BC">
      <w:pPr>
        <w:tabs>
          <w:tab w:val="center" w:pos="5400"/>
        </w:tabs>
        <w:suppressAutoHyphens/>
        <w:jc w:val="center"/>
        <w:rPr>
          <w:rFonts w:asciiTheme="majorHAnsi" w:hAnsiTheme="majorHAnsi"/>
          <w:sz w:val="18"/>
          <w:szCs w:val="22"/>
        </w:rPr>
      </w:pPr>
    </w:p>
    <w:p w14:paraId="284B12AA" w14:textId="7DCF328B" w:rsidR="007607C4" w:rsidRDefault="006311DA" w:rsidP="0005619B">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4D06C566" wp14:editId="17CFA848">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D013A0"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6C566"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30D013A0"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14779DE9" wp14:editId="4BF1BF9F">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BAD962" w14:textId="77777777" w:rsidR="003C32BC" w:rsidRDefault="003815A8">
                            <w:r>
                              <w:rPr>
                                <w:noProof/>
                              </w:rPr>
                              <w:drawing>
                                <wp:inline distT="0" distB="0" distL="0" distR="0" wp14:anchorId="14A1A4E6" wp14:editId="183FD85C">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79DE9"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0BBAD962" w14:textId="77777777" w:rsidR="003C32BC" w:rsidRDefault="003815A8">
                      <w:r>
                        <w:rPr>
                          <w:noProof/>
                        </w:rPr>
                        <w:drawing>
                          <wp:inline distT="0" distB="0" distL="0" distR="0" wp14:anchorId="14A1A4E6" wp14:editId="183FD85C">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6317CCD0" w14:textId="29B5DD99" w:rsidR="006311DA" w:rsidRPr="00FC3EB4" w:rsidRDefault="006311DA" w:rsidP="0005619B">
      <w:pPr>
        <w:tabs>
          <w:tab w:val="center" w:pos="5400"/>
        </w:tabs>
        <w:suppressAutoHyphens/>
        <w:spacing w:line="276" w:lineRule="auto"/>
        <w:jc w:val="center"/>
        <w:rPr>
          <w:rFonts w:asciiTheme="majorHAnsi" w:hAnsiTheme="majorHAnsi"/>
          <w:b/>
          <w:sz w:val="18"/>
          <w:szCs w:val="20"/>
        </w:rPr>
      </w:pPr>
      <w:r w:rsidRPr="00FC3EB4">
        <w:rPr>
          <w:rFonts w:asciiTheme="majorHAnsi" w:hAnsiTheme="majorHAnsi"/>
          <w:b/>
          <w:sz w:val="18"/>
          <w:szCs w:val="20"/>
        </w:rPr>
        <w:lastRenderedPageBreak/>
        <w:t xml:space="preserve">REPORT No. </w:t>
      </w:r>
      <w:r w:rsidR="00814AC3">
        <w:rPr>
          <w:rFonts w:asciiTheme="majorHAnsi" w:hAnsiTheme="majorHAnsi"/>
          <w:b/>
          <w:sz w:val="18"/>
          <w:szCs w:val="20"/>
        </w:rPr>
        <w:t>168</w:t>
      </w:r>
      <w:r w:rsidRPr="00FC3EB4">
        <w:rPr>
          <w:rFonts w:asciiTheme="majorHAnsi" w:hAnsiTheme="majorHAnsi"/>
          <w:b/>
          <w:sz w:val="18"/>
          <w:szCs w:val="20"/>
        </w:rPr>
        <w:t>/</w:t>
      </w:r>
      <w:r w:rsidR="002E3E88">
        <w:rPr>
          <w:rFonts w:asciiTheme="majorHAnsi" w:hAnsiTheme="majorHAnsi"/>
          <w:b/>
          <w:sz w:val="18"/>
          <w:szCs w:val="20"/>
        </w:rPr>
        <w:t>22</w:t>
      </w:r>
    </w:p>
    <w:p w14:paraId="2319253A" w14:textId="33F87C00" w:rsidR="006311DA" w:rsidRPr="00FC3EB4" w:rsidRDefault="006311DA" w:rsidP="00145EDC">
      <w:pPr>
        <w:tabs>
          <w:tab w:val="center" w:pos="5400"/>
        </w:tabs>
        <w:suppressAutoHyphens/>
        <w:spacing w:line="276" w:lineRule="auto"/>
        <w:jc w:val="center"/>
        <w:rPr>
          <w:rFonts w:asciiTheme="majorHAnsi" w:hAnsiTheme="majorHAnsi"/>
          <w:b/>
          <w:sz w:val="18"/>
          <w:szCs w:val="20"/>
        </w:rPr>
      </w:pPr>
      <w:r w:rsidRPr="00FC3EB4">
        <w:rPr>
          <w:rFonts w:asciiTheme="majorHAnsi" w:hAnsiTheme="majorHAnsi"/>
          <w:b/>
          <w:sz w:val="18"/>
          <w:szCs w:val="20"/>
        </w:rPr>
        <w:t xml:space="preserve">CASE </w:t>
      </w:r>
      <w:r w:rsidR="002E3E88">
        <w:rPr>
          <w:rFonts w:asciiTheme="majorHAnsi" w:hAnsiTheme="majorHAnsi"/>
          <w:b/>
          <w:sz w:val="18"/>
          <w:szCs w:val="20"/>
        </w:rPr>
        <w:t>12.289</w:t>
      </w:r>
    </w:p>
    <w:p w14:paraId="2BDC54F4" w14:textId="44FB063D" w:rsidR="006311DA" w:rsidRPr="00FC3EB4" w:rsidRDefault="006311DA" w:rsidP="00145EDC">
      <w:pPr>
        <w:tabs>
          <w:tab w:val="center" w:pos="5400"/>
        </w:tabs>
        <w:suppressAutoHyphens/>
        <w:spacing w:line="276" w:lineRule="auto"/>
        <w:jc w:val="center"/>
        <w:rPr>
          <w:rFonts w:asciiTheme="majorHAnsi" w:hAnsiTheme="majorHAnsi"/>
          <w:sz w:val="18"/>
          <w:szCs w:val="20"/>
        </w:rPr>
      </w:pPr>
      <w:r w:rsidRPr="00FC3EB4">
        <w:rPr>
          <w:rFonts w:asciiTheme="majorHAnsi" w:hAnsiTheme="majorHAnsi"/>
          <w:sz w:val="18"/>
          <w:szCs w:val="20"/>
        </w:rPr>
        <w:t>FRIENDLY SETTLEMENT</w:t>
      </w:r>
      <w:r w:rsidR="00E709B3" w:rsidRPr="00FC3EB4">
        <w:rPr>
          <w:rFonts w:asciiTheme="majorHAnsi" w:hAnsiTheme="majorHAnsi"/>
          <w:sz w:val="18"/>
          <w:szCs w:val="20"/>
        </w:rPr>
        <w:t xml:space="preserve"> </w:t>
      </w:r>
    </w:p>
    <w:p w14:paraId="3EB3EC9B" w14:textId="5B7BDFF8" w:rsidR="006311DA" w:rsidRPr="00DC40B4" w:rsidRDefault="002E3E88" w:rsidP="00145EDC">
      <w:pPr>
        <w:tabs>
          <w:tab w:val="center" w:pos="5400"/>
        </w:tabs>
        <w:suppressAutoHyphens/>
        <w:spacing w:line="276" w:lineRule="auto"/>
        <w:jc w:val="center"/>
        <w:rPr>
          <w:rFonts w:asciiTheme="majorHAnsi" w:hAnsiTheme="majorHAnsi"/>
          <w:sz w:val="18"/>
          <w:szCs w:val="20"/>
        </w:rPr>
      </w:pPr>
      <w:r w:rsidRPr="00DC40B4">
        <w:rPr>
          <w:rFonts w:asciiTheme="majorHAnsi" w:hAnsiTheme="majorHAnsi"/>
          <w:sz w:val="18"/>
          <w:szCs w:val="20"/>
        </w:rPr>
        <w:t>GUILLERMO SANTIAGO ZALDIVAR</w:t>
      </w:r>
    </w:p>
    <w:p w14:paraId="1788D997" w14:textId="57964FED" w:rsidR="003C32BC" w:rsidRPr="002E3E88" w:rsidRDefault="002E3E88" w:rsidP="00145EDC">
      <w:pPr>
        <w:tabs>
          <w:tab w:val="center" w:pos="5400"/>
        </w:tabs>
        <w:suppressAutoHyphens/>
        <w:spacing w:line="276" w:lineRule="auto"/>
        <w:jc w:val="center"/>
        <w:rPr>
          <w:rFonts w:asciiTheme="majorHAnsi" w:hAnsiTheme="majorHAnsi"/>
          <w:sz w:val="18"/>
          <w:szCs w:val="20"/>
          <w:lang w:val="es-ES"/>
        </w:rPr>
      </w:pPr>
      <w:r w:rsidRPr="002E3E88">
        <w:rPr>
          <w:rFonts w:asciiTheme="majorHAnsi" w:hAnsiTheme="majorHAnsi"/>
          <w:sz w:val="18"/>
          <w:szCs w:val="20"/>
          <w:lang w:val="es-ES"/>
        </w:rPr>
        <w:t>ARGENTINA</w:t>
      </w:r>
      <w:r w:rsidR="003414AC" w:rsidRPr="002E3E88">
        <w:rPr>
          <w:rFonts w:asciiTheme="majorHAnsi" w:hAnsiTheme="majorHAnsi"/>
          <w:sz w:val="18"/>
          <w:szCs w:val="20"/>
          <w:lang w:val="es-ES"/>
        </w:rPr>
        <w:br/>
      </w:r>
      <w:r w:rsidR="00814AC3" w:rsidRPr="00814AC3">
        <w:rPr>
          <w:rFonts w:asciiTheme="majorHAnsi" w:hAnsiTheme="majorHAnsi"/>
          <w:sz w:val="18"/>
          <w:szCs w:val="20"/>
          <w:lang w:val="es-ES"/>
        </w:rPr>
        <w:t>JULY</w:t>
      </w:r>
      <w:r w:rsidR="00F9158D" w:rsidRPr="00814AC3">
        <w:rPr>
          <w:rFonts w:asciiTheme="majorHAnsi" w:hAnsiTheme="majorHAnsi"/>
          <w:sz w:val="18"/>
          <w:szCs w:val="20"/>
          <w:lang w:val="es-ES"/>
        </w:rPr>
        <w:t xml:space="preserve"> </w:t>
      </w:r>
      <w:r w:rsidR="00814AC3" w:rsidRPr="00814AC3">
        <w:rPr>
          <w:rFonts w:asciiTheme="majorHAnsi" w:hAnsiTheme="majorHAnsi"/>
          <w:sz w:val="18"/>
          <w:szCs w:val="20"/>
          <w:lang w:val="es-ES"/>
        </w:rPr>
        <w:t>25</w:t>
      </w:r>
      <w:r w:rsidR="00F9158D" w:rsidRPr="00814AC3">
        <w:rPr>
          <w:rFonts w:asciiTheme="majorHAnsi" w:hAnsiTheme="majorHAnsi"/>
          <w:sz w:val="18"/>
          <w:szCs w:val="20"/>
          <w:lang w:val="es-ES"/>
        </w:rPr>
        <w:t>,</w:t>
      </w:r>
      <w:r>
        <w:rPr>
          <w:rFonts w:asciiTheme="majorHAnsi" w:hAnsiTheme="majorHAnsi"/>
          <w:sz w:val="18"/>
          <w:szCs w:val="20"/>
          <w:lang w:val="es-ES"/>
        </w:rPr>
        <w:t xml:space="preserve"> 2022</w:t>
      </w:r>
    </w:p>
    <w:p w14:paraId="7810432E" w14:textId="77777777" w:rsidR="007607C4" w:rsidRDefault="007607C4" w:rsidP="00145EDC">
      <w:pPr>
        <w:tabs>
          <w:tab w:val="center" w:pos="5400"/>
        </w:tabs>
        <w:suppressAutoHyphens/>
        <w:spacing w:line="276" w:lineRule="auto"/>
        <w:rPr>
          <w:rFonts w:asciiTheme="majorHAnsi" w:hAnsiTheme="majorHAnsi"/>
          <w:sz w:val="20"/>
          <w:szCs w:val="20"/>
          <w:lang w:val="es-ES"/>
        </w:rPr>
      </w:pPr>
    </w:p>
    <w:p w14:paraId="49564535" w14:textId="77777777" w:rsidR="003D3D27" w:rsidRPr="002E3E88" w:rsidRDefault="003D3D27" w:rsidP="00145EDC">
      <w:pPr>
        <w:tabs>
          <w:tab w:val="center" w:pos="5400"/>
        </w:tabs>
        <w:suppressAutoHyphens/>
        <w:spacing w:line="276" w:lineRule="auto"/>
        <w:rPr>
          <w:rFonts w:asciiTheme="majorHAnsi" w:hAnsiTheme="majorHAnsi"/>
          <w:sz w:val="20"/>
          <w:szCs w:val="20"/>
          <w:lang w:val="es-ES"/>
        </w:rPr>
      </w:pPr>
    </w:p>
    <w:p w14:paraId="22EE26EF" w14:textId="6E93D4B5" w:rsidR="00FC3EB4" w:rsidRPr="0005619B" w:rsidRDefault="00566A16" w:rsidP="0005619B">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FA675D">
        <w:rPr>
          <w:rFonts w:eastAsia="Times New Roman"/>
          <w:b/>
          <w:bCs/>
          <w:kern w:val="36"/>
          <w:sz w:val="20"/>
          <w:szCs w:val="20"/>
          <w:lang w:eastAsia="es-BO"/>
        </w:rPr>
        <w:t xml:space="preserve">SUMMARY </w:t>
      </w:r>
      <w:r w:rsidRPr="00FA675D">
        <w:rPr>
          <w:b/>
          <w:bCs/>
          <w:sz w:val="20"/>
          <w:szCs w:val="20"/>
        </w:rPr>
        <w:t>AND RELEVANT PROCEEDINGS OF THE FRIENDLY SETTLEMENT PROCESS</w:t>
      </w:r>
      <w:r w:rsidRPr="00FA675D">
        <w:rPr>
          <w:rFonts w:eastAsia="MS Mincho" w:cstheme="minorHAnsi"/>
          <w:b/>
          <w:color w:val="000000" w:themeColor="text1"/>
          <w:sz w:val="20"/>
          <w:szCs w:val="20"/>
        </w:rPr>
        <w:t xml:space="preserve"> </w:t>
      </w:r>
    </w:p>
    <w:p w14:paraId="255875F8" w14:textId="77777777" w:rsidR="007607C4" w:rsidRPr="00FC3EB4" w:rsidRDefault="007607C4" w:rsidP="00145EDC">
      <w:pPr>
        <w:tabs>
          <w:tab w:val="center" w:pos="5400"/>
        </w:tabs>
        <w:suppressAutoHyphens/>
        <w:spacing w:line="276" w:lineRule="auto"/>
        <w:rPr>
          <w:rFonts w:asciiTheme="majorHAnsi" w:hAnsiTheme="majorHAnsi"/>
          <w:sz w:val="20"/>
          <w:szCs w:val="20"/>
        </w:rPr>
      </w:pPr>
    </w:p>
    <w:p w14:paraId="4DB26816" w14:textId="1D46B497" w:rsidR="007607C4" w:rsidRPr="00C33E68" w:rsidRDefault="0005619B" w:rsidP="00CD79A2">
      <w:pPr>
        <w:pStyle w:val="Heading2"/>
        <w:keepNext w:val="0"/>
        <w:numPr>
          <w:ilvl w:val="0"/>
          <w:numId w:val="105"/>
        </w:numPr>
        <w:tabs>
          <w:tab w:val="left" w:pos="90"/>
          <w:tab w:val="left" w:pos="1440"/>
        </w:tabs>
        <w:spacing w:before="0" w:after="0"/>
        <w:ind w:left="0" w:firstLine="720"/>
        <w:jc w:val="both"/>
        <w:rPr>
          <w:rFonts w:ascii="Cambria" w:hAnsi="Cambria" w:cs="Cambria"/>
          <w:b w:val="0"/>
          <w:bCs w:val="0"/>
          <w:i w:val="0"/>
          <w:iCs w:val="0"/>
          <w:color w:val="000000"/>
          <w:sz w:val="20"/>
          <w:szCs w:val="20"/>
          <w:u w:color="000000"/>
          <w:bdr w:val="none" w:sz="0" w:space="0" w:color="auto" w:frame="1"/>
          <w:lang w:eastAsia="es-ES"/>
        </w:rPr>
      </w:pPr>
      <w:r w:rsidRPr="00C33E68">
        <w:rPr>
          <w:rFonts w:ascii="Cambria" w:hAnsi="Cambria" w:cs="Cambria"/>
          <w:b w:val="0"/>
          <w:bCs w:val="0"/>
          <w:i w:val="0"/>
          <w:iCs w:val="0"/>
          <w:color w:val="000000"/>
          <w:sz w:val="20"/>
          <w:szCs w:val="20"/>
          <w:u w:color="000000"/>
          <w:bdr w:val="none" w:sz="0" w:space="0" w:color="auto" w:frame="1"/>
          <w:lang w:eastAsia="es-ES"/>
        </w:rPr>
        <w:t xml:space="preserve">On October 28, 1999, the Inter-American Commission on Human Rights (hereinafter “the Commission” or “IACHR”), received a petition presented by Guillermo Santiago Zaldívar, represented by Ricardo Néstor Wortman Varela (hereinafter “the petitioners”) in which the international responsibility of the Argentinian State (hereinafter “Argentina” or “the State”) was alleged for the violation of the rights enshrined in Article 8 (fair trial) of the American Convention on Human Rights (hereinafter “the Convention” or the “American Convention”) to the detriment of Guillermo Santiago Zaldívar (hereinafter “the alleged victim”) derived from the rejection of the appeal against the judgement that convicted him for manslaughter as well as the unjustified delays in the criminal proceeding. </w:t>
      </w:r>
    </w:p>
    <w:p w14:paraId="3C8ABFC0" w14:textId="77777777" w:rsidR="0005619B" w:rsidRPr="00C33E68" w:rsidRDefault="0005619B" w:rsidP="00CD79A2">
      <w:pPr>
        <w:pStyle w:val="Heading2"/>
        <w:keepNext w:val="0"/>
        <w:tabs>
          <w:tab w:val="left" w:pos="90"/>
          <w:tab w:val="left" w:pos="1440"/>
        </w:tabs>
        <w:spacing w:before="0" w:after="0"/>
        <w:ind w:left="720"/>
        <w:jc w:val="both"/>
        <w:rPr>
          <w:rFonts w:ascii="Cambria" w:hAnsi="Cambria" w:cs="Cambria"/>
          <w:b w:val="0"/>
          <w:bCs w:val="0"/>
          <w:i w:val="0"/>
          <w:iCs w:val="0"/>
          <w:color w:val="000000"/>
          <w:sz w:val="20"/>
          <w:szCs w:val="20"/>
          <w:u w:color="000000"/>
          <w:bdr w:val="none" w:sz="0" w:space="0" w:color="auto" w:frame="1"/>
          <w:lang w:eastAsia="es-ES"/>
        </w:rPr>
      </w:pPr>
    </w:p>
    <w:p w14:paraId="7F7ED58A" w14:textId="31350BEA" w:rsidR="0005619B" w:rsidRPr="00C33E68" w:rsidRDefault="0005619B" w:rsidP="00CD79A2">
      <w:pPr>
        <w:pStyle w:val="Heading2"/>
        <w:keepNext w:val="0"/>
        <w:numPr>
          <w:ilvl w:val="0"/>
          <w:numId w:val="105"/>
        </w:numPr>
        <w:tabs>
          <w:tab w:val="left" w:pos="90"/>
          <w:tab w:val="left" w:pos="1440"/>
        </w:tabs>
        <w:spacing w:before="0" w:after="0"/>
        <w:ind w:left="0" w:firstLine="720"/>
        <w:jc w:val="both"/>
        <w:rPr>
          <w:rFonts w:ascii="Cambria" w:hAnsi="Cambria" w:cs="Cambria"/>
          <w:b w:val="0"/>
          <w:bCs w:val="0"/>
          <w:i w:val="0"/>
          <w:iCs w:val="0"/>
          <w:color w:val="000000"/>
          <w:sz w:val="20"/>
          <w:szCs w:val="20"/>
          <w:u w:color="000000"/>
          <w:bdr w:val="none" w:sz="0" w:space="0" w:color="auto" w:frame="1"/>
          <w:lang w:eastAsia="es-ES"/>
        </w:rPr>
      </w:pPr>
      <w:r w:rsidRPr="00C33E68">
        <w:rPr>
          <w:rFonts w:ascii="Cambria" w:hAnsi="Cambria" w:cs="Cambria"/>
          <w:b w:val="0"/>
          <w:bCs w:val="0"/>
          <w:i w:val="0"/>
          <w:iCs w:val="0"/>
          <w:color w:val="000000"/>
          <w:sz w:val="20"/>
          <w:szCs w:val="20"/>
          <w:u w:color="000000"/>
          <w:bdr w:val="none" w:sz="0" w:space="0" w:color="auto" w:frame="1"/>
          <w:lang w:eastAsia="es-ES"/>
        </w:rPr>
        <w:t>On February 22, 2005, the Commission issued Admissibility Report No. 03/05, in which it declared the petition admissible and</w:t>
      </w:r>
      <w:r w:rsidR="004F11A1">
        <w:rPr>
          <w:rFonts w:ascii="Cambria" w:hAnsi="Cambria" w:cs="Cambria"/>
          <w:b w:val="0"/>
          <w:bCs w:val="0"/>
          <w:i w:val="0"/>
          <w:iCs w:val="0"/>
          <w:color w:val="000000"/>
          <w:sz w:val="20"/>
          <w:szCs w:val="20"/>
          <w:u w:color="000000"/>
          <w:bdr w:val="none" w:sz="0" w:space="0" w:color="auto" w:frame="1"/>
          <w:lang w:eastAsia="es-ES"/>
        </w:rPr>
        <w:t xml:space="preserve"> concluded it was competent</w:t>
      </w:r>
      <w:r w:rsidRPr="00C33E68">
        <w:rPr>
          <w:rFonts w:ascii="Cambria" w:hAnsi="Cambria" w:cs="Cambria"/>
          <w:b w:val="0"/>
          <w:bCs w:val="0"/>
          <w:i w:val="0"/>
          <w:iCs w:val="0"/>
          <w:color w:val="000000"/>
          <w:sz w:val="20"/>
          <w:szCs w:val="20"/>
          <w:u w:color="000000"/>
          <w:bdr w:val="none" w:sz="0" w:space="0" w:color="auto" w:frame="1"/>
          <w:lang w:eastAsia="es-ES"/>
        </w:rPr>
        <w:t xml:space="preserve"> to hear the claim filed by the petitioners regarding the alleged violation of the rights enshrined in Articles 8 (fair trial) and 25 (judicial guarantees) of the ACHR, in relation to the obligation established in articles 1.1 and 2 of the same instrument, to the detriment of Guillermo Santiago Zaldívar.</w:t>
      </w:r>
    </w:p>
    <w:p w14:paraId="1BEBCDD8" w14:textId="77777777" w:rsidR="0005619B" w:rsidRPr="00C33E68" w:rsidRDefault="0005619B" w:rsidP="00CD79A2">
      <w:pPr>
        <w:pStyle w:val="Heading2"/>
        <w:keepNext w:val="0"/>
        <w:tabs>
          <w:tab w:val="left" w:pos="90"/>
          <w:tab w:val="left" w:pos="1440"/>
        </w:tabs>
        <w:spacing w:before="0" w:after="0"/>
        <w:ind w:left="720"/>
        <w:jc w:val="both"/>
        <w:rPr>
          <w:rFonts w:ascii="Cambria" w:hAnsi="Cambria" w:cs="Cambria"/>
          <w:b w:val="0"/>
          <w:bCs w:val="0"/>
          <w:i w:val="0"/>
          <w:iCs w:val="0"/>
          <w:color w:val="000000"/>
          <w:sz w:val="20"/>
          <w:szCs w:val="20"/>
          <w:u w:color="000000"/>
          <w:bdr w:val="none" w:sz="0" w:space="0" w:color="auto" w:frame="1"/>
          <w:lang w:eastAsia="es-ES"/>
        </w:rPr>
      </w:pPr>
    </w:p>
    <w:p w14:paraId="2301ECF2" w14:textId="5B16CAE6" w:rsidR="0005619B" w:rsidRPr="00C33E68" w:rsidRDefault="0005619B" w:rsidP="00CD79A2">
      <w:pPr>
        <w:pStyle w:val="Heading2"/>
        <w:keepNext w:val="0"/>
        <w:numPr>
          <w:ilvl w:val="0"/>
          <w:numId w:val="105"/>
        </w:numPr>
        <w:tabs>
          <w:tab w:val="left" w:pos="90"/>
          <w:tab w:val="left" w:pos="1440"/>
        </w:tabs>
        <w:spacing w:before="0" w:after="0"/>
        <w:ind w:left="0" w:firstLine="720"/>
        <w:jc w:val="both"/>
        <w:rPr>
          <w:rFonts w:ascii="Cambria" w:hAnsi="Cambria" w:cs="Cambria"/>
          <w:b w:val="0"/>
          <w:bCs w:val="0"/>
          <w:i w:val="0"/>
          <w:iCs w:val="0"/>
          <w:color w:val="000000"/>
          <w:sz w:val="20"/>
          <w:szCs w:val="20"/>
          <w:u w:color="000000"/>
          <w:bdr w:val="none" w:sz="0" w:space="0" w:color="auto" w:frame="1"/>
          <w:lang w:eastAsia="es-ES"/>
        </w:rPr>
      </w:pPr>
      <w:r w:rsidRPr="00C33E68">
        <w:rPr>
          <w:rFonts w:ascii="Cambria" w:hAnsi="Cambria" w:cs="Cambria"/>
          <w:b w:val="0"/>
          <w:bCs w:val="0"/>
          <w:i w:val="0"/>
          <w:iCs w:val="0"/>
          <w:color w:val="000000"/>
          <w:sz w:val="20"/>
          <w:szCs w:val="20"/>
          <w:u w:color="000000"/>
          <w:bdr w:val="none" w:sz="0" w:space="0" w:color="auto" w:frame="1"/>
          <w:lang w:eastAsia="es-ES"/>
        </w:rPr>
        <w:t xml:space="preserve">On October 15, 2018, the parties began a friendly settlement process facilitated by the Commission, which materialized in the signing of a friendly settlement agreement on March 18, 2021. On April 27, 2022, the State informed of the issuance of a Cabinet Decree approving the respective agreement and requested the corresponding approval from the Commission, as established in the </w:t>
      </w:r>
      <w:r w:rsidR="00010D60">
        <w:rPr>
          <w:rFonts w:ascii="Cambria" w:hAnsi="Cambria" w:cs="Cambria"/>
          <w:b w:val="0"/>
          <w:bCs w:val="0"/>
          <w:i w:val="0"/>
          <w:iCs w:val="0"/>
          <w:color w:val="000000"/>
          <w:sz w:val="20"/>
          <w:szCs w:val="20"/>
          <w:u w:color="000000"/>
          <w:bdr w:val="none" w:sz="0" w:space="0" w:color="auto" w:frame="1"/>
          <w:lang w:eastAsia="es-ES"/>
        </w:rPr>
        <w:t>F</w:t>
      </w:r>
      <w:r w:rsidRPr="00C33E68">
        <w:rPr>
          <w:rFonts w:ascii="Cambria" w:hAnsi="Cambria" w:cs="Cambria"/>
          <w:b w:val="0"/>
          <w:bCs w:val="0"/>
          <w:i w:val="0"/>
          <w:iCs w:val="0"/>
          <w:color w:val="000000"/>
          <w:sz w:val="20"/>
          <w:szCs w:val="20"/>
          <w:u w:color="000000"/>
          <w:bdr w:val="none" w:sz="0" w:space="0" w:color="auto" w:frame="1"/>
          <w:lang w:eastAsia="es-ES"/>
        </w:rPr>
        <w:t>SA.</w:t>
      </w:r>
    </w:p>
    <w:p w14:paraId="3198F927" w14:textId="77777777" w:rsidR="0005619B" w:rsidRPr="00C33E68" w:rsidRDefault="0005619B" w:rsidP="00CD79A2">
      <w:pPr>
        <w:pStyle w:val="Heading2"/>
        <w:keepNext w:val="0"/>
        <w:tabs>
          <w:tab w:val="left" w:pos="90"/>
          <w:tab w:val="left" w:pos="1440"/>
        </w:tabs>
        <w:spacing w:before="0" w:after="0"/>
        <w:ind w:left="720"/>
        <w:jc w:val="both"/>
        <w:rPr>
          <w:rFonts w:ascii="Cambria" w:hAnsi="Cambria" w:cs="Cambria"/>
          <w:b w:val="0"/>
          <w:bCs w:val="0"/>
          <w:i w:val="0"/>
          <w:iCs w:val="0"/>
          <w:color w:val="000000"/>
          <w:sz w:val="20"/>
          <w:szCs w:val="20"/>
          <w:u w:color="000000"/>
          <w:bdr w:val="none" w:sz="0" w:space="0" w:color="auto" w:frame="1"/>
          <w:lang w:eastAsia="es-ES"/>
        </w:rPr>
      </w:pPr>
    </w:p>
    <w:p w14:paraId="549B2AE7" w14:textId="4D828557" w:rsidR="0005619B" w:rsidRPr="00C33E68" w:rsidRDefault="0005619B" w:rsidP="00CD79A2">
      <w:pPr>
        <w:pStyle w:val="Heading2"/>
        <w:keepNext w:val="0"/>
        <w:numPr>
          <w:ilvl w:val="0"/>
          <w:numId w:val="105"/>
        </w:numPr>
        <w:tabs>
          <w:tab w:val="left" w:pos="90"/>
          <w:tab w:val="left" w:pos="1440"/>
        </w:tabs>
        <w:spacing w:before="0" w:after="0"/>
        <w:ind w:left="0" w:firstLine="720"/>
        <w:jc w:val="both"/>
        <w:rPr>
          <w:rFonts w:ascii="Cambria" w:hAnsi="Cambria" w:cs="Cambria"/>
          <w:b w:val="0"/>
          <w:bCs w:val="0"/>
          <w:i w:val="0"/>
          <w:iCs w:val="0"/>
          <w:color w:val="000000"/>
          <w:sz w:val="20"/>
          <w:szCs w:val="20"/>
          <w:u w:color="000000"/>
          <w:bdr w:val="none" w:sz="0" w:space="0" w:color="auto" w:frame="1"/>
          <w:lang w:eastAsia="es-ES"/>
        </w:rPr>
      </w:pPr>
      <w:r w:rsidRPr="00C33E68">
        <w:rPr>
          <w:rFonts w:ascii="Cambria" w:hAnsi="Cambria" w:cs="Cambria"/>
          <w:b w:val="0"/>
          <w:bCs w:val="0"/>
          <w:i w:val="0"/>
          <w:iCs w:val="0"/>
          <w:color w:val="000000"/>
          <w:sz w:val="20"/>
          <w:szCs w:val="20"/>
          <w:u w:color="000000"/>
          <w:bdr w:val="none" w:sz="0" w:space="0" w:color="auto" w:frame="1"/>
          <w:lang w:eastAsia="es-ES"/>
        </w:rPr>
        <w:t xml:space="preserve">In this friendly settlement report, as established in Article 49 of the Convention and in Article 40.5 of the Commission’s Rules of Procedure, a review of the facts alleged by the petitioner is made and the friendly settlement agreement, signed on </w:t>
      </w:r>
      <w:r w:rsidR="00010D60">
        <w:rPr>
          <w:rFonts w:ascii="Cambria" w:hAnsi="Cambria" w:cs="Cambria"/>
          <w:b w:val="0"/>
          <w:bCs w:val="0"/>
          <w:i w:val="0"/>
          <w:iCs w:val="0"/>
          <w:color w:val="000000"/>
          <w:sz w:val="20"/>
          <w:szCs w:val="20"/>
          <w:u w:color="000000"/>
          <w:bdr w:val="none" w:sz="0" w:space="0" w:color="auto" w:frame="1"/>
          <w:lang w:eastAsia="es-ES"/>
        </w:rPr>
        <w:t>March</w:t>
      </w:r>
      <w:r w:rsidR="00010D60" w:rsidRPr="00C33E68">
        <w:rPr>
          <w:rFonts w:ascii="Cambria" w:hAnsi="Cambria" w:cs="Cambria"/>
          <w:b w:val="0"/>
          <w:bCs w:val="0"/>
          <w:i w:val="0"/>
          <w:iCs w:val="0"/>
          <w:color w:val="000000"/>
          <w:sz w:val="20"/>
          <w:szCs w:val="20"/>
          <w:u w:color="000000"/>
          <w:bdr w:val="none" w:sz="0" w:space="0" w:color="auto" w:frame="1"/>
          <w:lang w:eastAsia="es-ES"/>
        </w:rPr>
        <w:t xml:space="preserve"> </w:t>
      </w:r>
      <w:r w:rsidR="00010D60">
        <w:rPr>
          <w:rFonts w:ascii="Cambria" w:hAnsi="Cambria" w:cs="Cambria"/>
          <w:b w:val="0"/>
          <w:bCs w:val="0"/>
          <w:i w:val="0"/>
          <w:iCs w:val="0"/>
          <w:color w:val="000000"/>
          <w:sz w:val="20"/>
          <w:szCs w:val="20"/>
          <w:u w:color="000000"/>
          <w:bdr w:val="none" w:sz="0" w:space="0" w:color="auto" w:frame="1"/>
          <w:lang w:eastAsia="es-ES"/>
        </w:rPr>
        <w:t>18</w:t>
      </w:r>
      <w:r w:rsidRPr="00C33E68">
        <w:rPr>
          <w:rFonts w:ascii="Cambria" w:hAnsi="Cambria" w:cs="Cambria"/>
          <w:b w:val="0"/>
          <w:bCs w:val="0"/>
          <w:i w:val="0"/>
          <w:iCs w:val="0"/>
          <w:color w:val="000000"/>
          <w:sz w:val="20"/>
          <w:szCs w:val="20"/>
          <w:u w:color="000000"/>
          <w:bdr w:val="none" w:sz="0" w:space="0" w:color="auto" w:frame="1"/>
          <w:lang w:eastAsia="es-ES"/>
        </w:rPr>
        <w:t xml:space="preserve">, </w:t>
      </w:r>
      <w:r w:rsidR="00C33E68" w:rsidRPr="00C33E68">
        <w:rPr>
          <w:rFonts w:ascii="Cambria" w:hAnsi="Cambria" w:cs="Cambria"/>
          <w:b w:val="0"/>
          <w:bCs w:val="0"/>
          <w:i w:val="0"/>
          <w:iCs w:val="0"/>
          <w:color w:val="000000"/>
          <w:sz w:val="20"/>
          <w:szCs w:val="20"/>
          <w:u w:color="000000"/>
          <w:bdr w:val="none" w:sz="0" w:space="0" w:color="auto" w:frame="1"/>
          <w:lang w:eastAsia="es-ES"/>
        </w:rPr>
        <w:t>2021,</w:t>
      </w:r>
      <w:r w:rsidRPr="00C33E68">
        <w:rPr>
          <w:rFonts w:ascii="Cambria" w:hAnsi="Cambria" w:cs="Cambria"/>
          <w:b w:val="0"/>
          <w:bCs w:val="0"/>
          <w:i w:val="0"/>
          <w:iCs w:val="0"/>
          <w:color w:val="000000"/>
          <w:sz w:val="20"/>
          <w:szCs w:val="20"/>
          <w:u w:color="000000"/>
          <w:bdr w:val="none" w:sz="0" w:space="0" w:color="auto" w:frame="1"/>
          <w:lang w:eastAsia="es-ES"/>
        </w:rPr>
        <w:t xml:space="preserve"> by the petitioner and representatives of the Argentinian State is transcribed. Likewise, the agreement signed between the parties is approved and the publication of this report in the Annual Report of the IACHR to the General Assembly of the Organization of American States is agreed upon.</w:t>
      </w:r>
    </w:p>
    <w:p w14:paraId="7AA89CEC" w14:textId="70597380" w:rsidR="0005619B" w:rsidRDefault="0005619B" w:rsidP="0005619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line="276" w:lineRule="auto"/>
        <w:ind w:left="720"/>
        <w:jc w:val="both"/>
        <w:rPr>
          <w:rFonts w:asciiTheme="majorHAnsi" w:hAnsiTheme="majorHAnsi"/>
          <w:sz w:val="20"/>
          <w:szCs w:val="20"/>
        </w:rPr>
      </w:pPr>
    </w:p>
    <w:p w14:paraId="32B0EB4A" w14:textId="6ECAA2AF" w:rsidR="0005619B" w:rsidRDefault="0005619B" w:rsidP="0005619B">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Times New Roman"/>
          <w:b/>
          <w:bCs/>
          <w:kern w:val="36"/>
          <w:sz w:val="20"/>
          <w:szCs w:val="20"/>
          <w:lang w:eastAsia="es-BO"/>
        </w:rPr>
      </w:pPr>
      <w:r w:rsidRPr="0005619B">
        <w:rPr>
          <w:rFonts w:eastAsia="Times New Roman"/>
          <w:b/>
          <w:bCs/>
          <w:kern w:val="36"/>
          <w:sz w:val="20"/>
          <w:szCs w:val="20"/>
          <w:lang w:eastAsia="es-BO"/>
        </w:rPr>
        <w:t>ALLEGED FACTS</w:t>
      </w:r>
    </w:p>
    <w:p w14:paraId="6ED0059D" w14:textId="77777777" w:rsidR="00CD79A2" w:rsidRDefault="00CD79A2" w:rsidP="00CD79A2">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kern w:val="36"/>
          <w:sz w:val="20"/>
          <w:szCs w:val="20"/>
          <w:lang w:eastAsia="es-BO"/>
        </w:rPr>
      </w:pPr>
    </w:p>
    <w:p w14:paraId="71E04042" w14:textId="04441477" w:rsidR="0005619B" w:rsidRDefault="0005619B" w:rsidP="0005619B">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cstheme="minorBidi"/>
          <w:color w:val="000000" w:themeColor="text1"/>
          <w:sz w:val="20"/>
          <w:szCs w:val="20"/>
        </w:rPr>
      </w:pPr>
      <w:r w:rsidRPr="0005619B">
        <w:rPr>
          <w:rFonts w:ascii="Cambria" w:eastAsia="Times New Roman" w:hAnsi="Cambria" w:cstheme="minorBidi"/>
          <w:color w:val="000000" w:themeColor="text1"/>
          <w:sz w:val="20"/>
          <w:szCs w:val="20"/>
        </w:rPr>
        <w:t xml:space="preserve">According to the petitioner’s allegations on December 11, 1988, Mr. Guillermo Zaldívar was sitting in his parked car with his friend Daniel Eduardo Ravarini, when the latter opened the glove compartment and removed a pistol from there. The petitioners indicated that Mr. Guillermo Zaldívar was authorized to carry this weapon, which he had obtained because he had been the target of threats. The petitioners added that Mr. Guillermo Zaldívar had a blood alcohol level </w:t>
      </w:r>
      <w:r>
        <w:rPr>
          <w:rFonts w:ascii="Cambria" w:eastAsia="Times New Roman" w:hAnsi="Cambria" w:cstheme="minorBidi"/>
          <w:color w:val="000000" w:themeColor="text1"/>
          <w:sz w:val="20"/>
          <w:szCs w:val="20"/>
        </w:rPr>
        <w:t xml:space="preserve">of </w:t>
      </w:r>
      <w:r w:rsidRPr="0005619B">
        <w:rPr>
          <w:rFonts w:ascii="Cambria" w:eastAsia="Times New Roman" w:hAnsi="Cambria" w:cstheme="minorBidi"/>
          <w:color w:val="000000" w:themeColor="text1"/>
          <w:sz w:val="20"/>
          <w:szCs w:val="20"/>
        </w:rPr>
        <w:t xml:space="preserve">between 2.21 and 2.50 mg/l at the time of the events and that, presumably, both men tried to take the weapon, after which they would have fired a shot that wounded Mr. Ravarini in the abdomen. According to the petitioners' account, Mr. Guillermo Zaldívar would have taken </w:t>
      </w:r>
      <w:r w:rsidR="00CD79A2">
        <w:rPr>
          <w:rFonts w:ascii="Cambria" w:eastAsia="Times New Roman" w:hAnsi="Cambria" w:cstheme="minorBidi"/>
          <w:color w:val="000000" w:themeColor="text1"/>
          <w:sz w:val="20"/>
          <w:szCs w:val="20"/>
        </w:rPr>
        <w:t>Daniel Eduardo Ravarini</w:t>
      </w:r>
      <w:r w:rsidRPr="0005619B">
        <w:rPr>
          <w:rFonts w:ascii="Cambria" w:eastAsia="Times New Roman" w:hAnsi="Cambria" w:cstheme="minorBidi"/>
          <w:color w:val="000000" w:themeColor="text1"/>
          <w:sz w:val="20"/>
          <w:szCs w:val="20"/>
        </w:rPr>
        <w:t xml:space="preserve"> to a hospital, a few blocks from </w:t>
      </w:r>
      <w:r>
        <w:rPr>
          <w:rFonts w:ascii="Cambria" w:eastAsia="Times New Roman" w:hAnsi="Cambria" w:cstheme="minorBidi"/>
          <w:color w:val="000000" w:themeColor="text1"/>
          <w:sz w:val="20"/>
          <w:szCs w:val="20"/>
        </w:rPr>
        <w:t>where they were</w:t>
      </w:r>
      <w:r w:rsidRPr="0005619B">
        <w:rPr>
          <w:rFonts w:ascii="Cambria" w:eastAsia="Times New Roman" w:hAnsi="Cambria" w:cstheme="minorBidi"/>
          <w:color w:val="000000" w:themeColor="text1"/>
          <w:sz w:val="20"/>
          <w:szCs w:val="20"/>
        </w:rPr>
        <w:t xml:space="preserve"> p</w:t>
      </w:r>
      <w:r>
        <w:rPr>
          <w:rFonts w:ascii="Cambria" w:eastAsia="Times New Roman" w:hAnsi="Cambria" w:cstheme="minorBidi"/>
          <w:color w:val="000000" w:themeColor="text1"/>
          <w:sz w:val="20"/>
          <w:szCs w:val="20"/>
        </w:rPr>
        <w:t>arked</w:t>
      </w:r>
      <w:r w:rsidRPr="0005619B">
        <w:rPr>
          <w:rFonts w:ascii="Cambria" w:eastAsia="Times New Roman" w:hAnsi="Cambria" w:cstheme="minorBidi"/>
          <w:color w:val="000000" w:themeColor="text1"/>
          <w:sz w:val="20"/>
          <w:szCs w:val="20"/>
        </w:rPr>
        <w:t xml:space="preserve">, where </w:t>
      </w:r>
      <w:r w:rsidR="00CD79A2">
        <w:rPr>
          <w:rFonts w:ascii="Cambria" w:eastAsia="Times New Roman" w:hAnsi="Cambria" w:cstheme="minorBidi"/>
          <w:color w:val="000000" w:themeColor="text1"/>
          <w:sz w:val="20"/>
          <w:szCs w:val="20"/>
        </w:rPr>
        <w:t>he</w:t>
      </w:r>
      <w:r w:rsidRPr="0005619B">
        <w:rPr>
          <w:rFonts w:ascii="Cambria" w:eastAsia="Times New Roman" w:hAnsi="Cambria" w:cstheme="minorBidi"/>
          <w:color w:val="000000" w:themeColor="text1"/>
          <w:sz w:val="20"/>
          <w:szCs w:val="20"/>
        </w:rPr>
        <w:t xml:space="preserve"> died as a result of </w:t>
      </w:r>
      <w:r w:rsidR="00010D60">
        <w:rPr>
          <w:rFonts w:ascii="Cambria" w:eastAsia="Times New Roman" w:hAnsi="Cambria" w:cstheme="minorBidi"/>
          <w:color w:val="000000" w:themeColor="text1"/>
          <w:sz w:val="20"/>
          <w:szCs w:val="20"/>
        </w:rPr>
        <w:t>the</w:t>
      </w:r>
      <w:r w:rsidRPr="0005619B">
        <w:rPr>
          <w:rFonts w:ascii="Cambria" w:eastAsia="Times New Roman" w:hAnsi="Cambria" w:cstheme="minorBidi"/>
          <w:color w:val="000000" w:themeColor="text1"/>
          <w:sz w:val="20"/>
          <w:szCs w:val="20"/>
        </w:rPr>
        <w:t xml:space="preserve"> wound.</w:t>
      </w:r>
    </w:p>
    <w:p w14:paraId="2DF6DAFC" w14:textId="77777777" w:rsidR="0005619B" w:rsidRDefault="0005619B" w:rsidP="0005619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Times New Roman" w:hAnsi="Cambria" w:cstheme="minorBidi"/>
          <w:color w:val="000000" w:themeColor="text1"/>
          <w:sz w:val="20"/>
          <w:szCs w:val="20"/>
        </w:rPr>
      </w:pPr>
    </w:p>
    <w:p w14:paraId="0E68E9FB" w14:textId="42D1DE8A" w:rsidR="0005619B" w:rsidRDefault="0005619B" w:rsidP="0005619B">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cstheme="minorBidi"/>
          <w:color w:val="000000" w:themeColor="text1"/>
          <w:sz w:val="20"/>
          <w:szCs w:val="20"/>
        </w:rPr>
      </w:pPr>
      <w:r w:rsidRPr="0005619B">
        <w:rPr>
          <w:rFonts w:ascii="Cambria" w:eastAsia="Times New Roman" w:hAnsi="Cambria" w:cstheme="minorBidi"/>
          <w:color w:val="000000" w:themeColor="text1"/>
          <w:sz w:val="20"/>
          <w:szCs w:val="20"/>
        </w:rPr>
        <w:t xml:space="preserve">The petitioners indicated that the authorities involved in the initial process had carried out the investigation under the criminal category of manslaughter, in accordance with Article 84 of the </w:t>
      </w:r>
      <w:r>
        <w:rPr>
          <w:rFonts w:ascii="Cambria" w:eastAsia="Times New Roman" w:hAnsi="Cambria" w:cstheme="minorBidi"/>
          <w:color w:val="000000" w:themeColor="text1"/>
          <w:sz w:val="20"/>
          <w:szCs w:val="20"/>
        </w:rPr>
        <w:t>Crimi</w:t>
      </w:r>
      <w:r w:rsidRPr="0005619B">
        <w:rPr>
          <w:rFonts w:ascii="Cambria" w:eastAsia="Times New Roman" w:hAnsi="Cambria" w:cstheme="minorBidi"/>
          <w:color w:val="000000" w:themeColor="text1"/>
          <w:sz w:val="20"/>
          <w:szCs w:val="20"/>
        </w:rPr>
        <w:t xml:space="preserve">nal Code, which establishes a sentence of six months to three years in prison and that, in 1993, the prosecutor in charge requested that Mr. Guillermo Zaldívar be sentenced to three years' imprisonment. According to the petitioners, the first instance </w:t>
      </w:r>
      <w:r w:rsidR="00010D60">
        <w:rPr>
          <w:rFonts w:ascii="Cambria" w:eastAsia="Times New Roman" w:hAnsi="Cambria" w:cstheme="minorBidi"/>
          <w:color w:val="000000" w:themeColor="text1"/>
          <w:sz w:val="20"/>
          <w:szCs w:val="20"/>
        </w:rPr>
        <w:t xml:space="preserve">judge </w:t>
      </w:r>
      <w:r w:rsidRPr="0005619B">
        <w:rPr>
          <w:rFonts w:ascii="Cambria" w:eastAsia="Times New Roman" w:hAnsi="Cambria" w:cstheme="minorBidi"/>
          <w:color w:val="000000" w:themeColor="text1"/>
          <w:sz w:val="20"/>
          <w:szCs w:val="20"/>
        </w:rPr>
        <w:t xml:space="preserve">dismissed the accusation of manslaughter in a sentence dated April 30, </w:t>
      </w:r>
      <w:r w:rsidRPr="0005619B">
        <w:rPr>
          <w:rFonts w:ascii="Cambria" w:eastAsia="Times New Roman" w:hAnsi="Cambria" w:cstheme="minorBidi"/>
          <w:color w:val="000000" w:themeColor="text1"/>
          <w:sz w:val="20"/>
          <w:szCs w:val="20"/>
        </w:rPr>
        <w:lastRenderedPageBreak/>
        <w:t xml:space="preserve">1997, on the grounds that the crime had </w:t>
      </w:r>
      <w:r>
        <w:rPr>
          <w:rFonts w:ascii="Cambria" w:eastAsia="Times New Roman" w:hAnsi="Cambria" w:cstheme="minorBidi"/>
          <w:color w:val="000000" w:themeColor="text1"/>
          <w:sz w:val="20"/>
          <w:szCs w:val="20"/>
        </w:rPr>
        <w:t>reached the statute of limitations</w:t>
      </w:r>
      <w:r w:rsidRPr="0005619B">
        <w:rPr>
          <w:rFonts w:ascii="Cambria" w:eastAsia="Times New Roman" w:hAnsi="Cambria" w:cstheme="minorBidi"/>
          <w:color w:val="000000" w:themeColor="text1"/>
          <w:sz w:val="20"/>
          <w:szCs w:val="20"/>
        </w:rPr>
        <w:t>. Subsequently, according to the petitioners, the plaintiff appealed the decision, which would have been dismissed by the Prosecutor in charge.</w:t>
      </w:r>
    </w:p>
    <w:p w14:paraId="69E5065E" w14:textId="77777777" w:rsidR="0005619B" w:rsidRDefault="0005619B" w:rsidP="0005619B">
      <w:pPr>
        <w:pStyle w:val="ListParagraph"/>
        <w:rPr>
          <w:rFonts w:eastAsia="Times New Roman" w:cstheme="minorBidi"/>
          <w:color w:val="000000" w:themeColor="text1"/>
          <w:sz w:val="20"/>
          <w:szCs w:val="20"/>
        </w:rPr>
      </w:pPr>
    </w:p>
    <w:p w14:paraId="2D1A64EC" w14:textId="08532EA6" w:rsidR="0005619B" w:rsidRDefault="0005619B" w:rsidP="0005619B">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cstheme="minorBidi"/>
          <w:color w:val="000000" w:themeColor="text1"/>
          <w:sz w:val="20"/>
          <w:szCs w:val="20"/>
        </w:rPr>
      </w:pPr>
      <w:r w:rsidRPr="0005619B">
        <w:rPr>
          <w:rFonts w:ascii="Cambria" w:eastAsia="Times New Roman" w:hAnsi="Cambria" w:cstheme="minorBidi"/>
          <w:color w:val="000000" w:themeColor="text1"/>
          <w:sz w:val="20"/>
          <w:szCs w:val="20"/>
        </w:rPr>
        <w:t>According to the petitioners, the second instance</w:t>
      </w:r>
      <w:r w:rsidR="00010D60">
        <w:rPr>
          <w:rFonts w:ascii="Cambria" w:eastAsia="Times New Roman" w:hAnsi="Cambria" w:cstheme="minorBidi"/>
          <w:color w:val="000000" w:themeColor="text1"/>
          <w:sz w:val="20"/>
          <w:szCs w:val="20"/>
        </w:rPr>
        <w:t xml:space="preserve"> tribunal</w:t>
      </w:r>
      <w:r w:rsidRPr="0005619B">
        <w:rPr>
          <w:rFonts w:ascii="Cambria" w:eastAsia="Times New Roman" w:hAnsi="Cambria" w:cstheme="minorBidi"/>
          <w:color w:val="000000" w:themeColor="text1"/>
          <w:sz w:val="20"/>
          <w:szCs w:val="20"/>
        </w:rPr>
        <w:t xml:space="preserve">, the Fifth Chamber of the National Court of Appeals, revoked the dismissal by decision of February 23, 1998, and found Mr. Guillermo Zaldívar guilty of simple murder in accordance with article 79 of the Criminal Code and sentenced him to eight years in prison and also sanctioned </w:t>
      </w:r>
      <w:r>
        <w:rPr>
          <w:rFonts w:ascii="Cambria" w:eastAsia="Times New Roman" w:hAnsi="Cambria" w:cstheme="minorBidi"/>
          <w:color w:val="000000" w:themeColor="text1"/>
          <w:sz w:val="20"/>
          <w:szCs w:val="20"/>
        </w:rPr>
        <w:t xml:space="preserve">him </w:t>
      </w:r>
      <w:r w:rsidRPr="0005619B">
        <w:rPr>
          <w:rFonts w:ascii="Cambria" w:eastAsia="Times New Roman" w:hAnsi="Cambria" w:cstheme="minorBidi"/>
          <w:color w:val="000000" w:themeColor="text1"/>
          <w:sz w:val="20"/>
          <w:szCs w:val="20"/>
        </w:rPr>
        <w:t xml:space="preserve">with a lifetime ban </w:t>
      </w:r>
      <w:r w:rsidR="00D34778">
        <w:rPr>
          <w:rFonts w:ascii="Cambria" w:eastAsia="Times New Roman" w:hAnsi="Cambria" w:cstheme="minorBidi"/>
          <w:color w:val="000000" w:themeColor="text1"/>
          <w:sz w:val="20"/>
          <w:szCs w:val="20"/>
        </w:rPr>
        <w:t>to</w:t>
      </w:r>
      <w:r w:rsidRPr="0005619B">
        <w:rPr>
          <w:rFonts w:ascii="Cambria" w:eastAsia="Times New Roman" w:hAnsi="Cambria" w:cstheme="minorBidi"/>
          <w:color w:val="000000" w:themeColor="text1"/>
          <w:sz w:val="20"/>
          <w:szCs w:val="20"/>
        </w:rPr>
        <w:t xml:space="preserve"> carry weapons.</w:t>
      </w:r>
    </w:p>
    <w:p w14:paraId="689E6BCD" w14:textId="77777777" w:rsidR="0005619B" w:rsidRDefault="0005619B" w:rsidP="0005619B">
      <w:pPr>
        <w:pStyle w:val="ListParagraph"/>
        <w:rPr>
          <w:rFonts w:eastAsia="Times New Roman" w:cstheme="minorBidi"/>
          <w:color w:val="000000" w:themeColor="text1"/>
          <w:sz w:val="20"/>
          <w:szCs w:val="20"/>
        </w:rPr>
      </w:pPr>
    </w:p>
    <w:p w14:paraId="1F52002A" w14:textId="40573CD2" w:rsidR="0005619B" w:rsidRDefault="0005619B" w:rsidP="0005619B">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cstheme="minorBidi"/>
          <w:color w:val="000000" w:themeColor="text1"/>
          <w:sz w:val="20"/>
          <w:szCs w:val="20"/>
        </w:rPr>
      </w:pPr>
      <w:r w:rsidRPr="0005619B">
        <w:rPr>
          <w:rFonts w:ascii="Cambria" w:eastAsia="Times New Roman" w:hAnsi="Cambria" w:cstheme="minorBidi"/>
          <w:color w:val="000000" w:themeColor="text1"/>
          <w:sz w:val="20"/>
          <w:szCs w:val="20"/>
        </w:rPr>
        <w:t xml:space="preserve">The petitioners alleged that, during said process, there were two changes in the legal regime in force to date, which they considered particularly relevant. In this regard, they indicated that, in 1994, constitutional reforms were approved that gave the American Convention constitutional status above national laws. The second reform in the current legal regime </w:t>
      </w:r>
      <w:r>
        <w:rPr>
          <w:rFonts w:ascii="Cambria" w:eastAsia="Times New Roman" w:hAnsi="Cambria" w:cstheme="minorBidi"/>
          <w:color w:val="000000" w:themeColor="text1"/>
          <w:sz w:val="20"/>
          <w:szCs w:val="20"/>
        </w:rPr>
        <w:t>occurred</w:t>
      </w:r>
      <w:r w:rsidRPr="0005619B">
        <w:rPr>
          <w:rFonts w:ascii="Cambria" w:eastAsia="Times New Roman" w:hAnsi="Cambria" w:cstheme="minorBidi"/>
          <w:color w:val="000000" w:themeColor="text1"/>
          <w:sz w:val="20"/>
          <w:szCs w:val="20"/>
        </w:rPr>
        <w:t xml:space="preserve"> in the criminal procedure system, </w:t>
      </w:r>
      <w:r w:rsidR="00A160A0" w:rsidRPr="0005619B">
        <w:rPr>
          <w:rFonts w:ascii="Cambria" w:eastAsia="Times New Roman" w:hAnsi="Cambria" w:cstheme="minorBidi"/>
          <w:color w:val="000000" w:themeColor="text1"/>
          <w:sz w:val="20"/>
          <w:szCs w:val="20"/>
        </w:rPr>
        <w:t>since</w:t>
      </w:r>
      <w:r w:rsidRPr="0005619B">
        <w:rPr>
          <w:rFonts w:ascii="Cambria" w:eastAsia="Times New Roman" w:hAnsi="Cambria" w:cstheme="minorBidi"/>
          <w:color w:val="000000" w:themeColor="text1"/>
          <w:sz w:val="20"/>
          <w:szCs w:val="20"/>
        </w:rPr>
        <w:t xml:space="preserve"> the oral trial and the appeal</w:t>
      </w:r>
      <w:r>
        <w:rPr>
          <w:rFonts w:ascii="Cambria" w:eastAsia="Times New Roman" w:hAnsi="Cambria" w:cstheme="minorBidi"/>
          <w:color w:val="000000" w:themeColor="text1"/>
          <w:sz w:val="20"/>
          <w:szCs w:val="20"/>
        </w:rPr>
        <w:t xml:space="preserve"> of cassation</w:t>
      </w:r>
      <w:r w:rsidRPr="0005619B">
        <w:rPr>
          <w:rFonts w:ascii="Cambria" w:eastAsia="Times New Roman" w:hAnsi="Cambria" w:cstheme="minorBidi"/>
          <w:color w:val="000000" w:themeColor="text1"/>
          <w:sz w:val="20"/>
          <w:szCs w:val="20"/>
        </w:rPr>
        <w:t xml:space="preserve"> were included. Within the framework of said legislative updates, Mr. Guillermo Zaldívar would have been given the option of continuing his criminal proceedings under Law 2</w:t>
      </w:r>
      <w:r>
        <w:rPr>
          <w:rFonts w:ascii="Cambria" w:eastAsia="Times New Roman" w:hAnsi="Cambria" w:cstheme="minorBidi"/>
          <w:color w:val="000000" w:themeColor="text1"/>
          <w:sz w:val="20"/>
          <w:szCs w:val="20"/>
        </w:rPr>
        <w:t>.</w:t>
      </w:r>
      <w:r w:rsidRPr="0005619B">
        <w:rPr>
          <w:rFonts w:ascii="Cambria" w:eastAsia="Times New Roman" w:hAnsi="Cambria" w:cstheme="minorBidi"/>
          <w:color w:val="000000" w:themeColor="text1"/>
          <w:sz w:val="20"/>
          <w:szCs w:val="20"/>
        </w:rPr>
        <w:t>372 Code of Procedures in Criminal Matters or availing himself of the new criminal regulations under Law 23</w:t>
      </w:r>
      <w:r>
        <w:rPr>
          <w:rFonts w:ascii="Cambria" w:eastAsia="Times New Roman" w:hAnsi="Cambria" w:cstheme="minorBidi"/>
          <w:color w:val="000000" w:themeColor="text1"/>
          <w:sz w:val="20"/>
          <w:szCs w:val="20"/>
        </w:rPr>
        <w:t>.</w:t>
      </w:r>
      <w:r w:rsidRPr="0005619B">
        <w:rPr>
          <w:rFonts w:ascii="Cambria" w:eastAsia="Times New Roman" w:hAnsi="Cambria" w:cstheme="minorBidi"/>
          <w:color w:val="000000" w:themeColor="text1"/>
          <w:sz w:val="20"/>
          <w:szCs w:val="20"/>
        </w:rPr>
        <w:t xml:space="preserve">984, through which </w:t>
      </w:r>
      <w:r>
        <w:rPr>
          <w:rFonts w:ascii="Cambria" w:eastAsia="Times New Roman" w:hAnsi="Cambria" w:cstheme="minorBidi"/>
          <w:color w:val="000000" w:themeColor="text1"/>
          <w:sz w:val="20"/>
          <w:szCs w:val="20"/>
        </w:rPr>
        <w:t>t</w:t>
      </w:r>
      <w:r w:rsidRPr="0005619B">
        <w:rPr>
          <w:rFonts w:ascii="Cambria" w:eastAsia="Times New Roman" w:hAnsi="Cambria" w:cstheme="minorBidi"/>
          <w:color w:val="000000" w:themeColor="text1"/>
          <w:sz w:val="20"/>
          <w:szCs w:val="20"/>
        </w:rPr>
        <w:t>he new Federal Criminal Procedure Code was approved in Argentina, to continue the process of investigation and trial in the new accusatory criminal system. The petitioners reported that Mr. Zaldívar had chosen to remain protected by the old system under Law 2</w:t>
      </w:r>
      <w:r>
        <w:rPr>
          <w:rFonts w:ascii="Cambria" w:eastAsia="Times New Roman" w:hAnsi="Cambria" w:cstheme="minorBidi"/>
          <w:color w:val="000000" w:themeColor="text1"/>
          <w:sz w:val="20"/>
          <w:szCs w:val="20"/>
        </w:rPr>
        <w:t>.</w:t>
      </w:r>
      <w:r w:rsidRPr="0005619B">
        <w:rPr>
          <w:rFonts w:ascii="Cambria" w:eastAsia="Times New Roman" w:hAnsi="Cambria" w:cstheme="minorBidi"/>
          <w:color w:val="000000" w:themeColor="text1"/>
          <w:sz w:val="20"/>
          <w:szCs w:val="20"/>
        </w:rPr>
        <w:t>372.</w:t>
      </w:r>
    </w:p>
    <w:p w14:paraId="27DCFF1C" w14:textId="77777777" w:rsidR="0005619B" w:rsidRDefault="0005619B" w:rsidP="0005619B">
      <w:pPr>
        <w:pStyle w:val="ListParagraph"/>
        <w:rPr>
          <w:rFonts w:eastAsia="Times New Roman" w:cstheme="minorBidi"/>
          <w:color w:val="000000" w:themeColor="text1"/>
          <w:sz w:val="20"/>
          <w:szCs w:val="20"/>
        </w:rPr>
      </w:pPr>
    </w:p>
    <w:p w14:paraId="72E23FB3" w14:textId="2614F584" w:rsidR="0005619B" w:rsidRDefault="0005619B" w:rsidP="0005619B">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cstheme="minorBidi"/>
          <w:color w:val="000000" w:themeColor="text1"/>
          <w:sz w:val="20"/>
          <w:szCs w:val="20"/>
        </w:rPr>
      </w:pPr>
      <w:r w:rsidRPr="0005619B">
        <w:rPr>
          <w:rFonts w:ascii="Cambria" w:eastAsia="Times New Roman" w:hAnsi="Cambria" w:cstheme="minorBidi"/>
          <w:color w:val="000000" w:themeColor="text1"/>
          <w:sz w:val="20"/>
          <w:szCs w:val="20"/>
        </w:rPr>
        <w:t>The petitioners indicated that, in accordance with Law 2</w:t>
      </w:r>
      <w:r w:rsidR="004D542D">
        <w:rPr>
          <w:rFonts w:ascii="Cambria" w:eastAsia="Times New Roman" w:hAnsi="Cambria" w:cstheme="minorBidi"/>
          <w:color w:val="000000" w:themeColor="text1"/>
          <w:sz w:val="20"/>
          <w:szCs w:val="20"/>
        </w:rPr>
        <w:t>.</w:t>
      </w:r>
      <w:r w:rsidRPr="0005619B">
        <w:rPr>
          <w:rFonts w:ascii="Cambria" w:eastAsia="Times New Roman" w:hAnsi="Cambria" w:cstheme="minorBidi"/>
          <w:color w:val="000000" w:themeColor="text1"/>
          <w:sz w:val="20"/>
          <w:szCs w:val="20"/>
        </w:rPr>
        <w:t>372, the only recourse, in cases of second instance conviction, was the filing of an “extraordinary appeal”. In the case of Mr. Zaldívar, although he would have chosen to remain in the old system under Law 2</w:t>
      </w:r>
      <w:r w:rsidR="002225CD">
        <w:rPr>
          <w:rFonts w:ascii="Cambria" w:eastAsia="Times New Roman" w:hAnsi="Cambria" w:cstheme="minorBidi"/>
          <w:color w:val="000000" w:themeColor="text1"/>
          <w:sz w:val="20"/>
          <w:szCs w:val="20"/>
        </w:rPr>
        <w:t>.</w:t>
      </w:r>
      <w:r w:rsidRPr="0005619B">
        <w:rPr>
          <w:rFonts w:ascii="Cambria" w:eastAsia="Times New Roman" w:hAnsi="Cambria" w:cstheme="minorBidi"/>
          <w:color w:val="000000" w:themeColor="text1"/>
          <w:sz w:val="20"/>
          <w:szCs w:val="20"/>
        </w:rPr>
        <w:t xml:space="preserve">372, the defense filed two appeals, including the </w:t>
      </w:r>
      <w:r w:rsidR="002225CD">
        <w:rPr>
          <w:rFonts w:ascii="Cambria" w:eastAsia="Times New Roman" w:hAnsi="Cambria" w:cstheme="minorBidi"/>
          <w:color w:val="000000" w:themeColor="text1"/>
          <w:sz w:val="20"/>
          <w:szCs w:val="20"/>
        </w:rPr>
        <w:t>“</w:t>
      </w:r>
      <w:r w:rsidRPr="0005619B">
        <w:rPr>
          <w:rFonts w:ascii="Cambria" w:eastAsia="Times New Roman" w:hAnsi="Cambria" w:cstheme="minorBidi"/>
          <w:color w:val="000000" w:themeColor="text1"/>
          <w:sz w:val="20"/>
          <w:szCs w:val="20"/>
        </w:rPr>
        <w:t>extraordinary appeal</w:t>
      </w:r>
      <w:r w:rsidR="002225CD">
        <w:rPr>
          <w:rFonts w:ascii="Cambria" w:eastAsia="Times New Roman" w:hAnsi="Cambria" w:cstheme="minorBidi"/>
          <w:color w:val="000000" w:themeColor="text1"/>
          <w:sz w:val="20"/>
          <w:szCs w:val="20"/>
        </w:rPr>
        <w:t>”</w:t>
      </w:r>
      <w:r w:rsidRPr="0005619B">
        <w:rPr>
          <w:rFonts w:ascii="Cambria" w:eastAsia="Times New Roman" w:hAnsi="Cambria" w:cstheme="minorBidi"/>
          <w:color w:val="000000" w:themeColor="text1"/>
          <w:sz w:val="20"/>
          <w:szCs w:val="20"/>
        </w:rPr>
        <w:t xml:space="preserve"> provided for in Law 2</w:t>
      </w:r>
      <w:r w:rsidR="002225CD">
        <w:rPr>
          <w:rFonts w:ascii="Cambria" w:eastAsia="Times New Roman" w:hAnsi="Cambria" w:cstheme="minorBidi"/>
          <w:color w:val="000000" w:themeColor="text1"/>
          <w:sz w:val="20"/>
          <w:szCs w:val="20"/>
        </w:rPr>
        <w:t>.</w:t>
      </w:r>
      <w:r w:rsidRPr="0005619B">
        <w:rPr>
          <w:rFonts w:ascii="Cambria" w:eastAsia="Times New Roman" w:hAnsi="Cambria" w:cstheme="minorBidi"/>
          <w:color w:val="000000" w:themeColor="text1"/>
          <w:sz w:val="20"/>
          <w:szCs w:val="20"/>
        </w:rPr>
        <w:t xml:space="preserve">372 and an appeal </w:t>
      </w:r>
      <w:r w:rsidR="002225CD">
        <w:rPr>
          <w:rFonts w:ascii="Cambria" w:eastAsia="Times New Roman" w:hAnsi="Cambria" w:cstheme="minorBidi"/>
          <w:color w:val="000000" w:themeColor="text1"/>
          <w:sz w:val="20"/>
          <w:szCs w:val="20"/>
        </w:rPr>
        <w:t>of</w:t>
      </w:r>
      <w:r w:rsidRPr="0005619B">
        <w:rPr>
          <w:rFonts w:ascii="Cambria" w:eastAsia="Times New Roman" w:hAnsi="Cambria" w:cstheme="minorBidi"/>
          <w:color w:val="000000" w:themeColor="text1"/>
          <w:sz w:val="20"/>
          <w:szCs w:val="20"/>
        </w:rPr>
        <w:t xml:space="preserve"> cassation only provided for in the new Law 23</w:t>
      </w:r>
      <w:r w:rsidR="002225CD">
        <w:rPr>
          <w:rFonts w:ascii="Cambria" w:eastAsia="Times New Roman" w:hAnsi="Cambria" w:cstheme="minorBidi"/>
          <w:color w:val="000000" w:themeColor="text1"/>
          <w:sz w:val="20"/>
          <w:szCs w:val="20"/>
        </w:rPr>
        <w:t>.</w:t>
      </w:r>
      <w:r w:rsidRPr="0005619B">
        <w:rPr>
          <w:rFonts w:ascii="Cambria" w:eastAsia="Times New Roman" w:hAnsi="Cambria" w:cstheme="minorBidi"/>
          <w:color w:val="000000" w:themeColor="text1"/>
          <w:sz w:val="20"/>
          <w:szCs w:val="20"/>
        </w:rPr>
        <w:t>984, based on the fact that the constitutional reforms that gave priority to the provisions of the American Convention necessarily incorporated the possibility of appealing the sentence that had been imposed. On the one hand, the “extraordinary appeal” would have been accepted by the Fifth Chamber</w:t>
      </w:r>
      <w:r w:rsidR="00D34778">
        <w:rPr>
          <w:rFonts w:ascii="Cambria" w:eastAsia="Times New Roman" w:hAnsi="Cambria" w:cstheme="minorBidi"/>
          <w:color w:val="000000" w:themeColor="text1"/>
          <w:sz w:val="20"/>
          <w:szCs w:val="20"/>
        </w:rPr>
        <w:t xml:space="preserve"> </w:t>
      </w:r>
      <w:r w:rsidRPr="0005619B">
        <w:rPr>
          <w:rFonts w:ascii="Cambria" w:eastAsia="Times New Roman" w:hAnsi="Cambria" w:cstheme="minorBidi"/>
          <w:color w:val="000000" w:themeColor="text1"/>
          <w:sz w:val="20"/>
          <w:szCs w:val="20"/>
        </w:rPr>
        <w:t xml:space="preserve">but considered inadmissible by the </w:t>
      </w:r>
      <w:r w:rsidR="002225CD">
        <w:rPr>
          <w:rFonts w:ascii="Cambria" w:eastAsia="Times New Roman" w:hAnsi="Cambria" w:cstheme="minorBidi"/>
          <w:color w:val="000000" w:themeColor="text1"/>
          <w:sz w:val="20"/>
          <w:szCs w:val="20"/>
        </w:rPr>
        <w:t xml:space="preserve">National </w:t>
      </w:r>
      <w:r w:rsidRPr="0005619B">
        <w:rPr>
          <w:rFonts w:ascii="Cambria" w:eastAsia="Times New Roman" w:hAnsi="Cambria" w:cstheme="minorBidi"/>
          <w:color w:val="000000" w:themeColor="text1"/>
          <w:sz w:val="20"/>
          <w:szCs w:val="20"/>
        </w:rPr>
        <w:t>Supreme Court of Justice. On the other hand, his appeal</w:t>
      </w:r>
      <w:r w:rsidR="002225CD">
        <w:rPr>
          <w:rFonts w:ascii="Cambria" w:eastAsia="Times New Roman" w:hAnsi="Cambria" w:cstheme="minorBidi"/>
          <w:color w:val="000000" w:themeColor="text1"/>
          <w:sz w:val="20"/>
          <w:szCs w:val="20"/>
        </w:rPr>
        <w:t xml:space="preserve"> of cassation</w:t>
      </w:r>
      <w:r w:rsidRPr="0005619B">
        <w:rPr>
          <w:rFonts w:ascii="Cambria" w:eastAsia="Times New Roman" w:hAnsi="Cambria" w:cstheme="minorBidi"/>
          <w:color w:val="000000" w:themeColor="text1"/>
          <w:sz w:val="20"/>
          <w:szCs w:val="20"/>
        </w:rPr>
        <w:t xml:space="preserve"> would have been dismissed </w:t>
      </w:r>
      <w:r w:rsidRPr="00C33E68">
        <w:rPr>
          <w:rFonts w:ascii="Cambria" w:eastAsia="Times New Roman" w:hAnsi="Cambria" w:cstheme="minorBidi"/>
          <w:i/>
          <w:iCs/>
          <w:color w:val="000000" w:themeColor="text1"/>
          <w:sz w:val="20"/>
          <w:szCs w:val="20"/>
        </w:rPr>
        <w:t>in limine</w:t>
      </w:r>
      <w:r w:rsidRPr="0005619B">
        <w:rPr>
          <w:rFonts w:ascii="Cambria" w:eastAsia="Times New Roman" w:hAnsi="Cambria" w:cstheme="minorBidi"/>
          <w:color w:val="000000" w:themeColor="text1"/>
          <w:sz w:val="20"/>
          <w:szCs w:val="20"/>
        </w:rPr>
        <w:t xml:space="preserve"> by the Fifth Chamber of the National Court of Appeals, the National Court of Criminal Cassation, and the </w:t>
      </w:r>
      <w:r w:rsidR="004F1172">
        <w:rPr>
          <w:rFonts w:ascii="Cambria" w:eastAsia="Times New Roman" w:hAnsi="Cambria" w:cstheme="minorBidi"/>
          <w:color w:val="000000" w:themeColor="text1"/>
          <w:sz w:val="20"/>
          <w:szCs w:val="20"/>
        </w:rPr>
        <w:t xml:space="preserve">National </w:t>
      </w:r>
      <w:r w:rsidRPr="0005619B">
        <w:rPr>
          <w:rFonts w:ascii="Cambria" w:eastAsia="Times New Roman" w:hAnsi="Cambria" w:cstheme="minorBidi"/>
          <w:color w:val="000000" w:themeColor="text1"/>
          <w:sz w:val="20"/>
          <w:szCs w:val="20"/>
        </w:rPr>
        <w:t>Supreme Court of Justice. The petitioners argued that in all instances it would have been understood that said remedy was not provided for in the procedural rules applicable to the case.</w:t>
      </w:r>
    </w:p>
    <w:p w14:paraId="1C98E31E" w14:textId="77777777" w:rsidR="0005619B" w:rsidRDefault="0005619B" w:rsidP="0005619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Times New Roman" w:hAnsi="Cambria" w:cstheme="minorBidi"/>
          <w:color w:val="000000" w:themeColor="text1"/>
          <w:sz w:val="20"/>
          <w:szCs w:val="20"/>
        </w:rPr>
      </w:pPr>
    </w:p>
    <w:p w14:paraId="35432B41" w14:textId="7A3159F6" w:rsidR="00D632F0" w:rsidRDefault="0005619B" w:rsidP="00D632F0">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cstheme="minorBidi"/>
          <w:color w:val="000000" w:themeColor="text1"/>
          <w:sz w:val="20"/>
          <w:szCs w:val="20"/>
        </w:rPr>
      </w:pPr>
      <w:r w:rsidRPr="0005619B">
        <w:rPr>
          <w:rFonts w:ascii="Cambria" w:eastAsia="Times New Roman" w:hAnsi="Cambria" w:cstheme="minorBidi"/>
          <w:color w:val="000000" w:themeColor="text1"/>
          <w:sz w:val="20"/>
          <w:szCs w:val="20"/>
        </w:rPr>
        <w:t xml:space="preserve">According to the petitioners, there would be a series of evaluations of facts and testimonies in the </w:t>
      </w:r>
      <w:r w:rsidR="004F1172">
        <w:rPr>
          <w:rFonts w:ascii="Cambria" w:eastAsia="Times New Roman" w:hAnsi="Cambria" w:cstheme="minorBidi"/>
          <w:color w:val="000000" w:themeColor="text1"/>
          <w:sz w:val="20"/>
          <w:szCs w:val="20"/>
        </w:rPr>
        <w:t>conviction</w:t>
      </w:r>
      <w:r w:rsidRPr="0005619B">
        <w:rPr>
          <w:rFonts w:ascii="Cambria" w:eastAsia="Times New Roman" w:hAnsi="Cambria" w:cstheme="minorBidi"/>
          <w:color w:val="000000" w:themeColor="text1"/>
          <w:sz w:val="20"/>
          <w:szCs w:val="20"/>
        </w:rPr>
        <w:t xml:space="preserve"> sentence, which they characterized as arbitrary and indicated that these should have been reviewed in appeal instances. The petitioners also added that the </w:t>
      </w:r>
      <w:r w:rsidR="004F1172">
        <w:rPr>
          <w:rFonts w:ascii="Cambria" w:eastAsia="Times New Roman" w:hAnsi="Cambria" w:cstheme="minorBidi"/>
          <w:color w:val="000000" w:themeColor="text1"/>
          <w:sz w:val="20"/>
          <w:szCs w:val="20"/>
        </w:rPr>
        <w:t>conviction sentence</w:t>
      </w:r>
      <w:r w:rsidRPr="0005619B">
        <w:rPr>
          <w:rFonts w:ascii="Cambria" w:eastAsia="Times New Roman" w:hAnsi="Cambria" w:cstheme="minorBidi"/>
          <w:color w:val="000000" w:themeColor="text1"/>
          <w:sz w:val="20"/>
          <w:szCs w:val="20"/>
        </w:rPr>
        <w:t xml:space="preserve"> of </w:t>
      </w:r>
      <w:r w:rsidR="00D34778">
        <w:rPr>
          <w:rFonts w:ascii="Cambria" w:eastAsia="Times New Roman" w:hAnsi="Cambria" w:cstheme="minorBidi"/>
          <w:color w:val="000000" w:themeColor="text1"/>
          <w:sz w:val="20"/>
          <w:szCs w:val="20"/>
        </w:rPr>
        <w:t>simple homicide</w:t>
      </w:r>
      <w:r w:rsidRPr="0005619B">
        <w:rPr>
          <w:rFonts w:ascii="Cambria" w:eastAsia="Times New Roman" w:hAnsi="Cambria" w:cstheme="minorBidi"/>
          <w:color w:val="000000" w:themeColor="text1"/>
          <w:sz w:val="20"/>
          <w:szCs w:val="20"/>
        </w:rPr>
        <w:t xml:space="preserve"> would have been pronounced without a proper evaluation of the nature of the intention of the conduct and indicated that the sentence establishes that the death occurred “with the intention of killing or without </w:t>
      </w:r>
      <w:r w:rsidR="00F86C06">
        <w:rPr>
          <w:rFonts w:ascii="Cambria" w:eastAsia="Times New Roman" w:hAnsi="Cambria" w:cstheme="minorBidi"/>
          <w:color w:val="000000" w:themeColor="text1"/>
          <w:sz w:val="20"/>
          <w:szCs w:val="20"/>
        </w:rPr>
        <w:t>it</w:t>
      </w:r>
      <w:r w:rsidRPr="0005619B">
        <w:rPr>
          <w:rFonts w:ascii="Cambria" w:eastAsia="Times New Roman" w:hAnsi="Cambria" w:cstheme="minorBidi"/>
          <w:color w:val="000000" w:themeColor="text1"/>
          <w:sz w:val="20"/>
          <w:szCs w:val="20"/>
        </w:rPr>
        <w:t>”, with which the necessary intentional element is ruled out, which constitutes, according to them, a judicial error.</w:t>
      </w:r>
    </w:p>
    <w:p w14:paraId="6CDF3673" w14:textId="77777777" w:rsidR="00D632F0" w:rsidRDefault="00D632F0" w:rsidP="00D632F0">
      <w:pPr>
        <w:pStyle w:val="ListParagraph"/>
        <w:rPr>
          <w:rFonts w:eastAsia="Times New Roman" w:cstheme="minorBidi"/>
          <w:color w:val="000000" w:themeColor="text1"/>
          <w:sz w:val="20"/>
          <w:szCs w:val="20"/>
        </w:rPr>
      </w:pPr>
    </w:p>
    <w:p w14:paraId="4E6BA199" w14:textId="4BE919A5" w:rsidR="00D632F0" w:rsidRDefault="00D632F0" w:rsidP="00D632F0">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cstheme="minorBidi"/>
          <w:color w:val="000000" w:themeColor="text1"/>
          <w:sz w:val="20"/>
          <w:szCs w:val="20"/>
        </w:rPr>
      </w:pPr>
      <w:r w:rsidRPr="00D632F0">
        <w:rPr>
          <w:rFonts w:ascii="Cambria" w:eastAsia="Times New Roman" w:hAnsi="Cambria" w:cstheme="minorBidi"/>
          <w:color w:val="000000" w:themeColor="text1"/>
          <w:sz w:val="20"/>
          <w:szCs w:val="20"/>
        </w:rPr>
        <w:t xml:space="preserve">The petitioners indicated that the procedural rules under which Mr. Guillermo Zaldívar would have been tried were applied in such a way that he was denied any review of his sentence. The petitioners cited domestic case law alleging that the Supreme Court itself recognized that the old </w:t>
      </w:r>
      <w:r>
        <w:rPr>
          <w:rFonts w:ascii="Cambria" w:eastAsia="Times New Roman" w:hAnsi="Cambria" w:cstheme="minorBidi"/>
          <w:color w:val="000000" w:themeColor="text1"/>
          <w:sz w:val="20"/>
          <w:szCs w:val="20"/>
        </w:rPr>
        <w:t>criminal</w:t>
      </w:r>
      <w:r w:rsidRPr="00D632F0">
        <w:rPr>
          <w:rFonts w:ascii="Cambria" w:eastAsia="Times New Roman" w:hAnsi="Cambria" w:cstheme="minorBidi"/>
          <w:color w:val="000000" w:themeColor="text1"/>
          <w:sz w:val="20"/>
          <w:szCs w:val="20"/>
        </w:rPr>
        <w:t xml:space="preserve"> system under Law 2</w:t>
      </w:r>
      <w:r>
        <w:rPr>
          <w:rFonts w:ascii="Cambria" w:eastAsia="Times New Roman" w:hAnsi="Cambria" w:cstheme="minorBidi"/>
          <w:color w:val="000000" w:themeColor="text1"/>
          <w:sz w:val="20"/>
          <w:szCs w:val="20"/>
        </w:rPr>
        <w:t>.</w:t>
      </w:r>
      <w:r w:rsidRPr="00D632F0">
        <w:rPr>
          <w:rFonts w:ascii="Cambria" w:eastAsia="Times New Roman" w:hAnsi="Cambria" w:cstheme="minorBidi"/>
          <w:color w:val="000000" w:themeColor="text1"/>
          <w:sz w:val="20"/>
          <w:szCs w:val="20"/>
        </w:rPr>
        <w:t>372, which provided for limited possibilities for an extraordinary appeal, was unconstitutional because it did not guarantee the right of review established in Article 8(2)(h) of the American Convention. The petitioners also indicated that the foregoing demonstrates that the appeal</w:t>
      </w:r>
      <w:r>
        <w:rPr>
          <w:rFonts w:ascii="Cambria" w:eastAsia="Times New Roman" w:hAnsi="Cambria" w:cstheme="minorBidi"/>
          <w:color w:val="000000" w:themeColor="text1"/>
          <w:sz w:val="20"/>
          <w:szCs w:val="20"/>
        </w:rPr>
        <w:t xml:space="preserve"> of cassation</w:t>
      </w:r>
      <w:r w:rsidRPr="00D632F0">
        <w:rPr>
          <w:rFonts w:ascii="Cambria" w:eastAsia="Times New Roman" w:hAnsi="Cambria" w:cstheme="minorBidi"/>
          <w:color w:val="000000" w:themeColor="text1"/>
          <w:sz w:val="20"/>
          <w:szCs w:val="20"/>
        </w:rPr>
        <w:t xml:space="preserve"> could have been allowed.</w:t>
      </w:r>
    </w:p>
    <w:p w14:paraId="12234001" w14:textId="77777777" w:rsidR="00D632F0" w:rsidRDefault="00D632F0" w:rsidP="00D632F0">
      <w:pPr>
        <w:pStyle w:val="ListParagraph"/>
        <w:rPr>
          <w:rFonts w:eastAsia="Times New Roman" w:cstheme="minorBidi"/>
          <w:color w:val="000000" w:themeColor="text1"/>
          <w:sz w:val="20"/>
          <w:szCs w:val="20"/>
        </w:rPr>
      </w:pPr>
    </w:p>
    <w:p w14:paraId="079FA893" w14:textId="52553365" w:rsidR="00D632F0" w:rsidRPr="00D632F0" w:rsidRDefault="00D632F0" w:rsidP="00D632F0">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cstheme="minorBidi"/>
          <w:color w:val="000000" w:themeColor="text1"/>
          <w:sz w:val="20"/>
          <w:szCs w:val="20"/>
        </w:rPr>
      </w:pPr>
      <w:r w:rsidRPr="00D632F0">
        <w:rPr>
          <w:rFonts w:ascii="Cambria" w:eastAsia="Times New Roman" w:hAnsi="Cambria" w:cstheme="minorBidi"/>
          <w:color w:val="000000" w:themeColor="text1"/>
          <w:sz w:val="20"/>
          <w:szCs w:val="20"/>
        </w:rPr>
        <w:t xml:space="preserve">The petitioners also alleged the undue delay in the process, given that the criminal investigation would have begun immediately after the events that occurred on December 11, 1988, and the first instance ruling, by which the charges were dismissed, would have been issued on April 30, 1997, while the judgment of second instance, by which Mr. Zaldívar was convicted, would have been issued on February 23, 1998 and the last judgment pronounced by the Supreme Court in relation to the case </w:t>
      </w:r>
      <w:r>
        <w:rPr>
          <w:rFonts w:ascii="Cambria" w:eastAsia="Times New Roman" w:hAnsi="Cambria" w:cstheme="minorBidi"/>
          <w:color w:val="000000" w:themeColor="text1"/>
          <w:sz w:val="20"/>
          <w:szCs w:val="20"/>
        </w:rPr>
        <w:t xml:space="preserve">was notified to </w:t>
      </w:r>
      <w:r w:rsidRPr="00D632F0">
        <w:rPr>
          <w:rFonts w:ascii="Cambria" w:eastAsia="Times New Roman" w:hAnsi="Cambria" w:cstheme="minorBidi"/>
          <w:color w:val="000000" w:themeColor="text1"/>
          <w:sz w:val="20"/>
          <w:szCs w:val="20"/>
        </w:rPr>
        <w:t xml:space="preserve">the petitioners on May 27, 1999, which means that the process would have lasted more than ten years. In this regard, the petitioners considered that the delay was not attributable to the defense, but to the violations of due process attributable to the State. Lastly, the petitioners affirmed that the impossibility of obtaining a judicial review and the undue delay established harmed Mr. Zaldívar, for which they </w:t>
      </w:r>
      <w:r w:rsidR="00F86C06">
        <w:rPr>
          <w:rFonts w:ascii="Cambria" w:eastAsia="Times New Roman" w:hAnsi="Cambria" w:cstheme="minorBidi"/>
          <w:color w:val="000000" w:themeColor="text1"/>
          <w:sz w:val="20"/>
          <w:szCs w:val="20"/>
        </w:rPr>
        <w:t xml:space="preserve">requested </w:t>
      </w:r>
      <w:r w:rsidRPr="00D632F0">
        <w:rPr>
          <w:rFonts w:ascii="Cambria" w:eastAsia="Times New Roman" w:hAnsi="Cambria" w:cstheme="minorBidi"/>
          <w:color w:val="000000" w:themeColor="text1"/>
          <w:sz w:val="20"/>
          <w:szCs w:val="20"/>
        </w:rPr>
        <w:t>compensation measures.</w:t>
      </w:r>
    </w:p>
    <w:p w14:paraId="504FE849" w14:textId="6A011841" w:rsidR="007607C4" w:rsidRPr="0005619B" w:rsidRDefault="007607C4" w:rsidP="0005619B">
      <w:pPr>
        <w:tabs>
          <w:tab w:val="center" w:pos="5400"/>
        </w:tabs>
        <w:suppressAutoHyphens/>
        <w:spacing w:line="276" w:lineRule="auto"/>
        <w:rPr>
          <w:rFonts w:asciiTheme="majorHAnsi" w:hAnsiTheme="majorHAnsi"/>
          <w:sz w:val="20"/>
          <w:szCs w:val="20"/>
        </w:rPr>
      </w:pPr>
    </w:p>
    <w:p w14:paraId="248F1F9F" w14:textId="5359179F" w:rsidR="007607C4" w:rsidRPr="00783CE1" w:rsidRDefault="00783CE1" w:rsidP="00783CE1">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Times New Roman"/>
          <w:b/>
          <w:bCs/>
          <w:kern w:val="36"/>
          <w:sz w:val="20"/>
          <w:szCs w:val="20"/>
          <w:lang w:eastAsia="es-BO"/>
        </w:rPr>
      </w:pPr>
      <w:r w:rsidRPr="00783CE1">
        <w:rPr>
          <w:rFonts w:asciiTheme="majorHAnsi" w:hAnsiTheme="majorHAnsi"/>
          <w:b/>
          <w:bCs/>
          <w:sz w:val="20"/>
          <w:szCs w:val="20"/>
        </w:rPr>
        <w:t>FRIENDLY SETTLEMENT</w:t>
      </w:r>
    </w:p>
    <w:p w14:paraId="680B19C1" w14:textId="2C37FD1D" w:rsidR="007607C4" w:rsidRDefault="007607C4" w:rsidP="00783CE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kern w:val="36"/>
          <w:sz w:val="20"/>
          <w:szCs w:val="20"/>
          <w:lang w:eastAsia="es-BO"/>
        </w:rPr>
      </w:pPr>
    </w:p>
    <w:p w14:paraId="7AF601D2" w14:textId="29A17B71" w:rsidR="00783CE1" w:rsidRDefault="00783CE1" w:rsidP="00C33E68">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kern w:val="36"/>
          <w:sz w:val="20"/>
          <w:szCs w:val="20"/>
          <w:lang w:eastAsia="es-BO"/>
        </w:rPr>
      </w:pPr>
      <w:r w:rsidRPr="00ED40D5">
        <w:rPr>
          <w:rFonts w:eastAsia="Times New Roman"/>
          <w:kern w:val="36"/>
          <w:sz w:val="20"/>
          <w:szCs w:val="20"/>
          <w:lang w:eastAsia="es-BO"/>
        </w:rPr>
        <w:t xml:space="preserve">On March 18, 2022, the parties signed a friendly </w:t>
      </w:r>
      <w:r w:rsidR="00F86C06">
        <w:rPr>
          <w:rFonts w:eastAsia="Times New Roman"/>
          <w:kern w:val="36"/>
          <w:sz w:val="20"/>
          <w:szCs w:val="20"/>
          <w:lang w:eastAsia="es-BO"/>
        </w:rPr>
        <w:t>settlement</w:t>
      </w:r>
      <w:r w:rsidR="00F86C06" w:rsidRPr="00ED40D5">
        <w:rPr>
          <w:rFonts w:eastAsia="Times New Roman"/>
          <w:kern w:val="36"/>
          <w:sz w:val="20"/>
          <w:szCs w:val="20"/>
          <w:lang w:eastAsia="es-BO"/>
        </w:rPr>
        <w:t xml:space="preserve"> </w:t>
      </w:r>
      <w:r w:rsidRPr="00ED40D5">
        <w:rPr>
          <w:rFonts w:eastAsia="Times New Roman"/>
          <w:kern w:val="36"/>
          <w:sz w:val="20"/>
          <w:szCs w:val="20"/>
          <w:lang w:eastAsia="es-BO"/>
        </w:rPr>
        <w:t>agreement t</w:t>
      </w:r>
      <w:r w:rsidR="00ED40D5" w:rsidRPr="00ED40D5">
        <w:rPr>
          <w:rFonts w:eastAsia="Times New Roman"/>
          <w:kern w:val="36"/>
          <w:sz w:val="20"/>
          <w:szCs w:val="20"/>
          <w:lang w:eastAsia="es-BO"/>
        </w:rPr>
        <w:t>he text of which establishes the following:</w:t>
      </w:r>
    </w:p>
    <w:p w14:paraId="4CE36835" w14:textId="1E203B4D" w:rsidR="00ED40D5" w:rsidRDefault="00ED40D5" w:rsidP="00D87395">
      <w:pPr>
        <w:pBdr>
          <w:top w:val="none" w:sz="0" w:space="0" w:color="auto"/>
          <w:left w:val="none" w:sz="0" w:space="0" w:color="auto"/>
          <w:bottom w:val="none" w:sz="0" w:space="0" w:color="auto"/>
          <w:right w:val="none" w:sz="0" w:space="0" w:color="auto"/>
          <w:between w:val="none" w:sz="0" w:space="0" w:color="auto"/>
          <w:bar w:val="none" w:sz="0" w:color="auto"/>
        </w:pBdr>
        <w:ind w:left="720"/>
        <w:jc w:val="center"/>
        <w:rPr>
          <w:rFonts w:eastAsia="Times New Roman"/>
          <w:kern w:val="36"/>
          <w:sz w:val="20"/>
          <w:szCs w:val="20"/>
          <w:lang w:eastAsia="es-BO"/>
        </w:rPr>
      </w:pPr>
    </w:p>
    <w:p w14:paraId="078C1EC7" w14:textId="77777777" w:rsidR="00ED40D5" w:rsidRPr="006C32C4" w:rsidRDefault="00ED40D5" w:rsidP="00D8739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Times New Roman" w:hAnsi="Cambria" w:cstheme="minorBidi"/>
          <w:b/>
          <w:bCs/>
          <w:color w:val="000000" w:themeColor="text1"/>
          <w:sz w:val="20"/>
          <w:szCs w:val="20"/>
        </w:rPr>
      </w:pPr>
      <w:r w:rsidRPr="006C32C4">
        <w:rPr>
          <w:rFonts w:ascii="Cambria" w:eastAsia="Times New Roman" w:hAnsi="Cambria" w:cstheme="minorBidi"/>
          <w:b/>
          <w:bCs/>
          <w:color w:val="000000" w:themeColor="text1"/>
          <w:sz w:val="20"/>
          <w:szCs w:val="20"/>
        </w:rPr>
        <w:t>FRIENDLY SETTLEMENT AGREEMENT</w:t>
      </w:r>
    </w:p>
    <w:p w14:paraId="25855A16" w14:textId="3309580C" w:rsidR="00ED40D5" w:rsidRPr="00ED40D5" w:rsidRDefault="00ED40D5" w:rsidP="00D8739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center"/>
        <w:rPr>
          <w:rFonts w:ascii="Cambria" w:eastAsia="Times New Roman" w:hAnsi="Cambria" w:cstheme="minorBidi"/>
          <w:b/>
          <w:bCs/>
          <w:color w:val="000000" w:themeColor="text1"/>
          <w:sz w:val="20"/>
          <w:szCs w:val="20"/>
        </w:rPr>
      </w:pPr>
      <w:r>
        <w:rPr>
          <w:rFonts w:ascii="Cambria" w:eastAsia="Times New Roman" w:hAnsi="Cambria" w:cstheme="minorBidi"/>
          <w:b/>
          <w:bCs/>
          <w:color w:val="000000" w:themeColor="text1"/>
          <w:sz w:val="20"/>
          <w:szCs w:val="20"/>
        </w:rPr>
        <w:t>CASE</w:t>
      </w:r>
      <w:r w:rsidRPr="00ED40D5">
        <w:rPr>
          <w:rFonts w:ascii="Cambria" w:eastAsia="Times New Roman" w:hAnsi="Cambria" w:cstheme="minorBidi"/>
          <w:b/>
          <w:bCs/>
          <w:color w:val="000000" w:themeColor="text1"/>
          <w:sz w:val="20"/>
          <w:szCs w:val="20"/>
        </w:rPr>
        <w:t xml:space="preserve"> N. 1</w:t>
      </w:r>
      <w:r>
        <w:rPr>
          <w:rFonts w:ascii="Cambria" w:eastAsia="Times New Roman" w:hAnsi="Cambria" w:cstheme="minorBidi"/>
          <w:b/>
          <w:bCs/>
          <w:color w:val="000000" w:themeColor="text1"/>
          <w:sz w:val="20"/>
          <w:szCs w:val="20"/>
        </w:rPr>
        <w:t>2.289 -</w:t>
      </w:r>
      <w:r w:rsidRPr="00ED40D5">
        <w:rPr>
          <w:rFonts w:ascii="Cambria" w:eastAsia="Times New Roman" w:hAnsi="Cambria" w:cstheme="minorBidi"/>
          <w:b/>
          <w:bCs/>
          <w:color w:val="000000" w:themeColor="text1"/>
          <w:sz w:val="20"/>
          <w:szCs w:val="20"/>
        </w:rPr>
        <w:t xml:space="preserve"> </w:t>
      </w:r>
      <w:r>
        <w:rPr>
          <w:rFonts w:ascii="Cambria" w:eastAsia="Times New Roman" w:hAnsi="Cambria" w:cstheme="minorBidi"/>
          <w:b/>
          <w:bCs/>
          <w:color w:val="000000" w:themeColor="text1"/>
          <w:sz w:val="20"/>
          <w:szCs w:val="20"/>
        </w:rPr>
        <w:t>GUILLERMO SANTIAGO ZALDIVAR -</w:t>
      </w:r>
    </w:p>
    <w:p w14:paraId="558FC52C" w14:textId="77777777" w:rsidR="00ED40D5" w:rsidRPr="00ED40D5" w:rsidRDefault="00ED40D5" w:rsidP="00ED40D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kern w:val="36"/>
          <w:sz w:val="20"/>
          <w:szCs w:val="20"/>
          <w:lang w:eastAsia="es-BO"/>
        </w:rPr>
      </w:pPr>
    </w:p>
    <w:p w14:paraId="0CE7EB4A" w14:textId="08838E78" w:rsidR="007607C4" w:rsidRPr="00C33E68" w:rsidRDefault="00ED40D5" w:rsidP="00D34778">
      <w:pPr>
        <w:ind w:left="720" w:right="720"/>
        <w:jc w:val="both"/>
        <w:rPr>
          <w:rFonts w:ascii="Cambria" w:hAnsi="Cambria" w:cs="Garamond"/>
          <w:sz w:val="20"/>
          <w:szCs w:val="20"/>
        </w:rPr>
      </w:pPr>
      <w:r w:rsidRPr="00C33E68">
        <w:rPr>
          <w:rFonts w:ascii="Cambria" w:hAnsi="Cambria" w:cs="Garamond"/>
          <w:sz w:val="20"/>
          <w:szCs w:val="20"/>
        </w:rPr>
        <w:t>In the city of Buenos Aires, on March 18, 2021, the parties in Case No. 12</w:t>
      </w:r>
      <w:r w:rsidR="00D83727" w:rsidRPr="00C33E68">
        <w:rPr>
          <w:rFonts w:ascii="Cambria" w:hAnsi="Cambria" w:cs="Garamond"/>
          <w:sz w:val="20"/>
          <w:szCs w:val="20"/>
        </w:rPr>
        <w:t>.</w:t>
      </w:r>
      <w:r w:rsidRPr="00C33E68">
        <w:rPr>
          <w:rFonts w:ascii="Cambria" w:hAnsi="Cambria" w:cs="Garamond"/>
          <w:sz w:val="20"/>
          <w:szCs w:val="20"/>
        </w:rPr>
        <w:t xml:space="preserve">289 of the registry of the Illustrious Inter-American Commission on Human Rights (hereinafter </w:t>
      </w:r>
      <w:r w:rsidR="00D83727" w:rsidRPr="00C33E68">
        <w:rPr>
          <w:rFonts w:ascii="Cambria" w:hAnsi="Cambria" w:cs="Garamond"/>
          <w:sz w:val="20"/>
          <w:szCs w:val="20"/>
        </w:rPr>
        <w:t>“</w:t>
      </w:r>
      <w:r w:rsidRPr="00C33E68">
        <w:rPr>
          <w:rFonts w:ascii="Cambria" w:hAnsi="Cambria" w:cs="Garamond"/>
          <w:sz w:val="20"/>
          <w:szCs w:val="20"/>
        </w:rPr>
        <w:t>IACHR</w:t>
      </w:r>
      <w:r w:rsidR="00D83727" w:rsidRPr="00C33E68">
        <w:rPr>
          <w:rFonts w:ascii="Cambria" w:hAnsi="Cambria" w:cs="Garamond"/>
          <w:sz w:val="20"/>
          <w:szCs w:val="20"/>
        </w:rPr>
        <w:t>”</w:t>
      </w:r>
      <w:r w:rsidRPr="00C33E68">
        <w:rPr>
          <w:rFonts w:ascii="Cambria" w:hAnsi="Cambria" w:cs="Garamond"/>
          <w:sz w:val="20"/>
          <w:szCs w:val="20"/>
        </w:rPr>
        <w:t xml:space="preserve"> or the </w:t>
      </w:r>
      <w:r w:rsidR="00D83727" w:rsidRPr="00C33E68">
        <w:rPr>
          <w:rFonts w:ascii="Cambria" w:hAnsi="Cambria" w:cs="Garamond"/>
          <w:sz w:val="20"/>
          <w:szCs w:val="20"/>
        </w:rPr>
        <w:t>“</w:t>
      </w:r>
      <w:r w:rsidRPr="00C33E68">
        <w:rPr>
          <w:rFonts w:ascii="Cambria" w:hAnsi="Cambria" w:cs="Garamond"/>
          <w:sz w:val="20"/>
          <w:szCs w:val="20"/>
        </w:rPr>
        <w:t>Commission</w:t>
      </w:r>
      <w:r w:rsidR="00D83727" w:rsidRPr="00C33E68">
        <w:rPr>
          <w:rFonts w:ascii="Cambria" w:hAnsi="Cambria" w:cs="Garamond"/>
          <w:sz w:val="20"/>
          <w:szCs w:val="20"/>
        </w:rPr>
        <w:t>”</w:t>
      </w:r>
      <w:r w:rsidRPr="00C33E68">
        <w:rPr>
          <w:rFonts w:ascii="Cambria" w:hAnsi="Cambria" w:cs="Garamond"/>
          <w:sz w:val="20"/>
          <w:szCs w:val="20"/>
        </w:rPr>
        <w:t xml:space="preserve">): petitioner Guillermo Santiago Zaldívar, deceased and represented by his widow Alicia Delia Milanese, his daughters María Alejandra Zaldívar, Natalia Florencia Zaldívar and Alicia Valeria Zaldívar in their capacity as heirs, the latter being </w:t>
      </w:r>
      <w:r w:rsidR="00D83727" w:rsidRPr="00C33E68">
        <w:rPr>
          <w:rFonts w:ascii="Cambria" w:hAnsi="Cambria" w:cs="Garamond"/>
          <w:sz w:val="20"/>
          <w:szCs w:val="20"/>
        </w:rPr>
        <w:t xml:space="preserve">the </w:t>
      </w:r>
      <w:r w:rsidRPr="00C33E68">
        <w:rPr>
          <w:rFonts w:ascii="Cambria" w:hAnsi="Cambria" w:cs="Garamond"/>
          <w:sz w:val="20"/>
          <w:szCs w:val="20"/>
        </w:rPr>
        <w:t xml:space="preserve">legal </w:t>
      </w:r>
      <w:r w:rsidR="001A508F">
        <w:rPr>
          <w:rFonts w:ascii="Cambria" w:hAnsi="Cambria" w:cs="Garamond"/>
          <w:sz w:val="20"/>
          <w:szCs w:val="20"/>
        </w:rPr>
        <w:t>counsel</w:t>
      </w:r>
      <w:r w:rsidRPr="00C33E68">
        <w:rPr>
          <w:rFonts w:ascii="Cambria" w:hAnsi="Cambria" w:cs="Garamond"/>
          <w:sz w:val="20"/>
          <w:szCs w:val="20"/>
        </w:rPr>
        <w:t xml:space="preserve"> </w:t>
      </w:r>
      <w:r w:rsidR="00D83727" w:rsidRPr="00C33E68">
        <w:rPr>
          <w:rFonts w:ascii="Cambria" w:hAnsi="Cambria" w:cs="Garamond"/>
          <w:sz w:val="20"/>
          <w:szCs w:val="20"/>
        </w:rPr>
        <w:t>together</w:t>
      </w:r>
      <w:r w:rsidRPr="00C33E68">
        <w:rPr>
          <w:rFonts w:ascii="Cambria" w:hAnsi="Cambria" w:cs="Garamond"/>
          <w:sz w:val="20"/>
          <w:szCs w:val="20"/>
        </w:rPr>
        <w:t xml:space="preserve"> with Dr. Ricardo Néstor Wortman Varela, and the Republic of Argentina , in its capacity as a State party to the American Convention on Human Rights (hereinafter the </w:t>
      </w:r>
      <w:r w:rsidR="00D83727" w:rsidRPr="00C33E68">
        <w:rPr>
          <w:rFonts w:ascii="Cambria" w:hAnsi="Cambria" w:cs="Garamond"/>
          <w:sz w:val="20"/>
          <w:szCs w:val="20"/>
        </w:rPr>
        <w:t>“</w:t>
      </w:r>
      <w:r w:rsidRPr="00C33E68">
        <w:rPr>
          <w:rFonts w:ascii="Cambria" w:hAnsi="Cambria" w:cs="Garamond"/>
          <w:sz w:val="20"/>
          <w:szCs w:val="20"/>
        </w:rPr>
        <w:t>Convention</w:t>
      </w:r>
      <w:r w:rsidR="00D83727" w:rsidRPr="00C33E68">
        <w:rPr>
          <w:rFonts w:ascii="Cambria" w:hAnsi="Cambria" w:cs="Garamond"/>
          <w:sz w:val="20"/>
          <w:szCs w:val="20"/>
        </w:rPr>
        <w:t>”</w:t>
      </w:r>
      <w:r w:rsidRPr="00C33E68">
        <w:rPr>
          <w:rFonts w:ascii="Cambria" w:hAnsi="Cambria" w:cs="Garamond"/>
          <w:sz w:val="20"/>
          <w:szCs w:val="20"/>
        </w:rPr>
        <w:t xml:space="preserve">), acting by express mandate of article 99 paragraph 11 of the National Constitution, represented by Ms. Undersecretary of Protection and International Liaison on Human Rights, Dr. Andrea Pochak, Ms. National Director of International Legal Affairs in Human Rights Matters, Dr. Gabriela Kletzel, both for the Secretariat Human Rights of the </w:t>
      </w:r>
      <w:r w:rsidR="00D83727" w:rsidRPr="00C33E68">
        <w:rPr>
          <w:rFonts w:ascii="Cambria" w:hAnsi="Cambria" w:cs="Garamond"/>
          <w:sz w:val="20"/>
          <w:szCs w:val="20"/>
        </w:rPr>
        <w:t xml:space="preserve">National </w:t>
      </w:r>
      <w:r w:rsidRPr="00C33E68">
        <w:rPr>
          <w:rFonts w:ascii="Cambria" w:hAnsi="Cambria" w:cs="Garamond"/>
          <w:sz w:val="20"/>
          <w:szCs w:val="20"/>
        </w:rPr>
        <w:t>Ministry of Justice and Human Rights, and Mr. Director of International Litigation in Human Rights of the Ministry of Foreign Affairs, International Trade and Worship, Dr. Alberto Javier Salgado, have the honor to inform to the Illustrious IACHR that they have reached an agreement for a friendly settlement o</w:t>
      </w:r>
      <w:r w:rsidR="00D83727" w:rsidRPr="00C33E68">
        <w:rPr>
          <w:rFonts w:ascii="Cambria" w:hAnsi="Cambria" w:cs="Garamond"/>
          <w:sz w:val="20"/>
          <w:szCs w:val="20"/>
        </w:rPr>
        <w:t>n</w:t>
      </w:r>
      <w:r w:rsidRPr="00C33E68">
        <w:rPr>
          <w:rFonts w:ascii="Cambria" w:hAnsi="Cambria" w:cs="Garamond"/>
          <w:sz w:val="20"/>
          <w:szCs w:val="20"/>
        </w:rPr>
        <w:t xml:space="preserve"> the matter, the content of which is set out below, requesting that, in accordance with the consensus reached, it be accepted and once the Decree of the National Executive Branch approving this agreement is issued, proceed to adopt the report provided for in Article 49 of the Convention.</w:t>
      </w:r>
    </w:p>
    <w:p w14:paraId="6AC1AF7A" w14:textId="2375C665" w:rsidR="00D83727" w:rsidRDefault="00D83727" w:rsidP="00D83727">
      <w:pPr>
        <w:tabs>
          <w:tab w:val="center" w:pos="5400"/>
        </w:tabs>
        <w:suppressAutoHyphens/>
        <w:spacing w:line="276" w:lineRule="auto"/>
        <w:ind w:left="720"/>
        <w:jc w:val="both"/>
        <w:rPr>
          <w:rFonts w:asciiTheme="majorHAnsi" w:hAnsiTheme="majorHAnsi"/>
          <w:sz w:val="20"/>
          <w:szCs w:val="20"/>
        </w:rPr>
      </w:pPr>
    </w:p>
    <w:p w14:paraId="7848D9D1" w14:textId="525C5202" w:rsidR="00D83727" w:rsidRPr="00D83727" w:rsidRDefault="00D83727" w:rsidP="00D83727">
      <w:pPr>
        <w:pStyle w:val="ListParagraph"/>
        <w:numPr>
          <w:ilvl w:val="0"/>
          <w:numId w:val="106"/>
        </w:numPr>
        <w:tabs>
          <w:tab w:val="center" w:pos="5400"/>
        </w:tabs>
        <w:suppressAutoHyphens/>
        <w:spacing w:line="276" w:lineRule="auto"/>
        <w:jc w:val="both"/>
        <w:rPr>
          <w:rFonts w:asciiTheme="majorHAnsi" w:hAnsiTheme="majorHAnsi"/>
          <w:b/>
          <w:bCs/>
          <w:sz w:val="20"/>
          <w:szCs w:val="20"/>
        </w:rPr>
      </w:pPr>
      <w:r w:rsidRPr="00D83727">
        <w:rPr>
          <w:rFonts w:asciiTheme="majorHAnsi" w:hAnsiTheme="majorHAnsi"/>
          <w:b/>
          <w:bCs/>
          <w:sz w:val="20"/>
          <w:szCs w:val="20"/>
        </w:rPr>
        <w:t>Background</w:t>
      </w:r>
    </w:p>
    <w:p w14:paraId="383A381F" w14:textId="77777777" w:rsidR="007607C4" w:rsidRPr="0005619B" w:rsidRDefault="007607C4" w:rsidP="0005619B">
      <w:pPr>
        <w:tabs>
          <w:tab w:val="center" w:pos="5400"/>
        </w:tabs>
        <w:suppressAutoHyphens/>
        <w:spacing w:line="276" w:lineRule="auto"/>
        <w:rPr>
          <w:rFonts w:asciiTheme="majorHAnsi" w:hAnsiTheme="majorHAnsi"/>
          <w:sz w:val="20"/>
          <w:szCs w:val="20"/>
        </w:rPr>
      </w:pPr>
    </w:p>
    <w:p w14:paraId="2C87C69E" w14:textId="39FD375C" w:rsidR="007607C4" w:rsidRPr="00F9158D" w:rsidRDefault="00D83727" w:rsidP="00D34778">
      <w:pPr>
        <w:ind w:left="720" w:right="720"/>
        <w:jc w:val="both"/>
        <w:rPr>
          <w:rFonts w:ascii="Cambria" w:hAnsi="Cambria" w:cs="Garamond"/>
          <w:sz w:val="20"/>
          <w:szCs w:val="20"/>
        </w:rPr>
      </w:pPr>
      <w:r w:rsidRPr="00F9158D">
        <w:rPr>
          <w:rFonts w:ascii="Cambria" w:hAnsi="Cambria" w:cs="Garamond"/>
          <w:sz w:val="20"/>
          <w:szCs w:val="20"/>
        </w:rPr>
        <w:t xml:space="preserve">On February 22, 2005, the Inter-American Commission on Human Rights (hereinafter “Commission” or “IACHR”), pursuant to Article 36 of its Rules of Procedure, adopted Admissibility Report No. 03/05 on the Petition, and then Case No. 12.289 </w:t>
      </w:r>
      <w:r w:rsidR="001F2BB9" w:rsidRPr="00F9158D">
        <w:rPr>
          <w:rFonts w:ascii="Cambria" w:hAnsi="Cambria" w:cs="Garamond"/>
          <w:sz w:val="20"/>
          <w:szCs w:val="20"/>
        </w:rPr>
        <w:t>— “</w:t>
      </w:r>
      <w:r w:rsidRPr="00F9158D">
        <w:rPr>
          <w:rFonts w:ascii="Cambria" w:hAnsi="Cambria" w:cs="Garamond"/>
          <w:sz w:val="20"/>
          <w:szCs w:val="20"/>
        </w:rPr>
        <w:t>Guillermo Santiago Zaldívar”—.</w:t>
      </w:r>
    </w:p>
    <w:p w14:paraId="00D77BC4" w14:textId="65B3B743" w:rsidR="007146E2" w:rsidRPr="00F9158D" w:rsidRDefault="007146E2" w:rsidP="00D34778">
      <w:pPr>
        <w:ind w:left="720" w:right="720"/>
        <w:jc w:val="both"/>
        <w:rPr>
          <w:rFonts w:ascii="Cambria" w:hAnsi="Cambria" w:cs="Garamond"/>
          <w:sz w:val="20"/>
          <w:szCs w:val="20"/>
        </w:rPr>
      </w:pPr>
    </w:p>
    <w:p w14:paraId="0088F559" w14:textId="77777777" w:rsidR="007146E2" w:rsidRPr="00C33E68" w:rsidRDefault="007146E2" w:rsidP="00D34778">
      <w:pPr>
        <w:ind w:left="720" w:right="720"/>
        <w:jc w:val="both"/>
        <w:rPr>
          <w:rFonts w:ascii="Cambria" w:hAnsi="Cambria" w:cs="Garamond"/>
          <w:sz w:val="20"/>
          <w:szCs w:val="20"/>
        </w:rPr>
      </w:pPr>
      <w:r w:rsidRPr="00F9158D">
        <w:rPr>
          <w:rFonts w:ascii="Cambria" w:hAnsi="Cambria" w:cs="Garamond"/>
          <w:sz w:val="20"/>
          <w:szCs w:val="20"/>
        </w:rPr>
        <w:t xml:space="preserve">In the aforementioned report, the IACHR declared the case admissible regarding the alleged violation of the right enshrined in Article 8 of the ACHR, in relation to the obligation established in Article 1.1 of the same instrument, to the detriment of Guillermo Santiago Zaldívar. </w:t>
      </w:r>
      <w:r w:rsidRPr="00C33E68">
        <w:rPr>
          <w:rFonts w:ascii="Cambria" w:hAnsi="Cambria" w:cs="Garamond"/>
          <w:sz w:val="20"/>
          <w:szCs w:val="20"/>
        </w:rPr>
        <w:t>This violation of the Convention would have taken place within the framework of the judicial process followed against Mr. Guillermo Santiago Zaldívar, in which he would not have had the possibility of accessing a review of the sentence handed down against him by a higher instance.</w:t>
      </w:r>
    </w:p>
    <w:p w14:paraId="21390437" w14:textId="77777777" w:rsidR="007146E2" w:rsidRPr="00C33E68" w:rsidRDefault="007146E2" w:rsidP="00D34778">
      <w:pPr>
        <w:ind w:left="720" w:right="720"/>
        <w:jc w:val="both"/>
        <w:rPr>
          <w:rFonts w:ascii="Cambria" w:hAnsi="Cambria" w:cs="Garamond"/>
          <w:sz w:val="20"/>
          <w:szCs w:val="20"/>
        </w:rPr>
      </w:pPr>
    </w:p>
    <w:p w14:paraId="3A8A73DC" w14:textId="7CD06A6E" w:rsidR="007146E2" w:rsidRPr="00C33E68" w:rsidRDefault="007146E2" w:rsidP="00D34778">
      <w:pPr>
        <w:ind w:left="720" w:right="720"/>
        <w:jc w:val="both"/>
        <w:rPr>
          <w:rFonts w:ascii="Cambria" w:hAnsi="Cambria" w:cs="Garamond"/>
          <w:sz w:val="20"/>
          <w:szCs w:val="20"/>
        </w:rPr>
      </w:pPr>
      <w:r w:rsidRPr="00C33E68">
        <w:rPr>
          <w:rFonts w:ascii="Cambria" w:hAnsi="Cambria" w:cs="Garamond"/>
          <w:sz w:val="20"/>
          <w:szCs w:val="20"/>
        </w:rPr>
        <w:t>Likewise, the Commission warned that in its eventual decision on the merits, by applying the principle of iura novit curia and —to the extent that it corresponds— it would also examine the possible application of Article 25 of the American Convention, regarding the right to judicial protection, and article 2, linked to the obligation to adopt normative measures or of another nature, in order to adapt the internal legal system to the international standards derived from the Convention.</w:t>
      </w:r>
    </w:p>
    <w:p w14:paraId="6FDB6E91" w14:textId="77777777" w:rsidR="007607C4" w:rsidRPr="0005619B" w:rsidRDefault="007607C4" w:rsidP="0005619B">
      <w:pPr>
        <w:tabs>
          <w:tab w:val="center" w:pos="5400"/>
        </w:tabs>
        <w:suppressAutoHyphens/>
        <w:spacing w:line="276" w:lineRule="auto"/>
        <w:rPr>
          <w:rFonts w:asciiTheme="majorHAnsi" w:hAnsiTheme="majorHAnsi"/>
          <w:sz w:val="20"/>
          <w:szCs w:val="20"/>
        </w:rPr>
      </w:pPr>
    </w:p>
    <w:p w14:paraId="502DA257" w14:textId="77777777" w:rsidR="007607C4" w:rsidRPr="0005619B" w:rsidRDefault="007607C4" w:rsidP="0005619B">
      <w:pPr>
        <w:tabs>
          <w:tab w:val="center" w:pos="5400"/>
        </w:tabs>
        <w:suppressAutoHyphens/>
        <w:spacing w:line="276" w:lineRule="auto"/>
        <w:rPr>
          <w:rFonts w:asciiTheme="majorHAnsi" w:hAnsiTheme="majorHAnsi"/>
          <w:sz w:val="20"/>
          <w:szCs w:val="20"/>
        </w:rPr>
      </w:pPr>
    </w:p>
    <w:p w14:paraId="01B9D294" w14:textId="77777777" w:rsidR="007607C4" w:rsidRPr="0005619B" w:rsidRDefault="007607C4" w:rsidP="0005619B">
      <w:pPr>
        <w:tabs>
          <w:tab w:val="center" w:pos="5400"/>
        </w:tabs>
        <w:suppressAutoHyphens/>
        <w:spacing w:line="276" w:lineRule="auto"/>
        <w:rPr>
          <w:rFonts w:asciiTheme="majorHAnsi" w:hAnsiTheme="majorHAnsi"/>
          <w:sz w:val="20"/>
          <w:szCs w:val="20"/>
        </w:rPr>
      </w:pPr>
    </w:p>
    <w:p w14:paraId="50D02B9E" w14:textId="77777777" w:rsidR="007607C4" w:rsidRPr="0005619B" w:rsidRDefault="007607C4" w:rsidP="0005619B">
      <w:pPr>
        <w:tabs>
          <w:tab w:val="center" w:pos="5400"/>
        </w:tabs>
        <w:suppressAutoHyphens/>
        <w:spacing w:line="276" w:lineRule="auto"/>
        <w:rPr>
          <w:rFonts w:asciiTheme="majorHAnsi" w:hAnsiTheme="majorHAnsi"/>
          <w:sz w:val="20"/>
          <w:szCs w:val="20"/>
        </w:rPr>
      </w:pPr>
    </w:p>
    <w:p w14:paraId="5D261A8D" w14:textId="77777777" w:rsidR="007607C4" w:rsidRPr="0005619B" w:rsidRDefault="007607C4" w:rsidP="0005619B">
      <w:pPr>
        <w:tabs>
          <w:tab w:val="center" w:pos="5400"/>
        </w:tabs>
        <w:suppressAutoHyphens/>
        <w:spacing w:line="276" w:lineRule="auto"/>
        <w:rPr>
          <w:rFonts w:asciiTheme="majorHAnsi" w:hAnsiTheme="majorHAnsi"/>
          <w:sz w:val="20"/>
          <w:szCs w:val="20"/>
        </w:rPr>
      </w:pPr>
    </w:p>
    <w:p w14:paraId="19D56F03" w14:textId="77777777" w:rsidR="007607C4" w:rsidRPr="0005619B" w:rsidRDefault="007607C4" w:rsidP="0005619B">
      <w:pPr>
        <w:tabs>
          <w:tab w:val="center" w:pos="5400"/>
        </w:tabs>
        <w:suppressAutoHyphens/>
        <w:spacing w:line="276" w:lineRule="auto"/>
        <w:rPr>
          <w:rFonts w:asciiTheme="majorHAnsi" w:hAnsiTheme="majorHAnsi"/>
          <w:sz w:val="20"/>
          <w:szCs w:val="20"/>
        </w:rPr>
      </w:pPr>
    </w:p>
    <w:p w14:paraId="2C108D20" w14:textId="4B605A14" w:rsidR="007607C4" w:rsidRPr="00C33E68" w:rsidRDefault="007146E2" w:rsidP="00D34778">
      <w:pPr>
        <w:pStyle w:val="ListParagraph"/>
        <w:numPr>
          <w:ilvl w:val="0"/>
          <w:numId w:val="106"/>
        </w:numPr>
        <w:ind w:left="720" w:right="720" w:firstLine="0"/>
        <w:jc w:val="both"/>
        <w:rPr>
          <w:rFonts w:cs="Garamond"/>
          <w:b/>
          <w:bCs/>
          <w:sz w:val="20"/>
          <w:szCs w:val="20"/>
        </w:rPr>
      </w:pPr>
      <w:r w:rsidRPr="00C33E68">
        <w:rPr>
          <w:rFonts w:cs="Garamond"/>
          <w:b/>
          <w:bCs/>
          <w:sz w:val="20"/>
          <w:szCs w:val="20"/>
        </w:rPr>
        <w:t>Failure to comply with the right to appeal a conviction (art. 8.2.h of the American Convention o</w:t>
      </w:r>
      <w:r w:rsidR="005C7BA9" w:rsidRPr="00C33E68">
        <w:rPr>
          <w:rFonts w:cs="Garamond"/>
          <w:b/>
          <w:bCs/>
          <w:sz w:val="20"/>
          <w:szCs w:val="20"/>
        </w:rPr>
        <w:t>n</w:t>
      </w:r>
      <w:r w:rsidRPr="00C33E68">
        <w:rPr>
          <w:rFonts w:cs="Garamond"/>
          <w:b/>
          <w:bCs/>
          <w:sz w:val="20"/>
          <w:szCs w:val="20"/>
        </w:rPr>
        <w:t xml:space="preserve"> Human Rights)</w:t>
      </w:r>
    </w:p>
    <w:p w14:paraId="3E762B0A" w14:textId="77777777" w:rsidR="007A0240" w:rsidRDefault="007A0240" w:rsidP="007A0240">
      <w:pPr>
        <w:tabs>
          <w:tab w:val="center" w:pos="5400"/>
        </w:tabs>
        <w:suppressAutoHyphens/>
        <w:spacing w:line="276" w:lineRule="auto"/>
        <w:ind w:left="720"/>
        <w:rPr>
          <w:rFonts w:asciiTheme="majorHAnsi" w:hAnsiTheme="majorHAnsi"/>
          <w:sz w:val="20"/>
          <w:szCs w:val="20"/>
        </w:rPr>
      </w:pPr>
    </w:p>
    <w:p w14:paraId="1202BF99" w14:textId="42418CE1" w:rsidR="007607C4" w:rsidRPr="00C33E68" w:rsidRDefault="007A0240" w:rsidP="00D34778">
      <w:pPr>
        <w:ind w:left="720" w:right="720"/>
        <w:jc w:val="both"/>
        <w:rPr>
          <w:rFonts w:ascii="Cambria" w:hAnsi="Cambria" w:cs="Garamond"/>
          <w:sz w:val="20"/>
          <w:szCs w:val="20"/>
        </w:rPr>
      </w:pPr>
      <w:r w:rsidRPr="00D34778">
        <w:rPr>
          <w:rFonts w:ascii="Cambria" w:hAnsi="Cambria" w:cs="Garamond"/>
          <w:sz w:val="20"/>
          <w:szCs w:val="20"/>
        </w:rPr>
        <w:t xml:space="preserve">Having analyzed the legal merits of the petition in light of the admissibility report adopted by the Commission, the </w:t>
      </w:r>
      <w:r w:rsidR="00D34778" w:rsidRPr="00D34778">
        <w:rPr>
          <w:rFonts w:ascii="Cambria" w:hAnsi="Cambria" w:cs="Garamond"/>
          <w:sz w:val="20"/>
          <w:szCs w:val="20"/>
        </w:rPr>
        <w:t>I</w:t>
      </w:r>
      <w:r w:rsidRPr="00D34778">
        <w:rPr>
          <w:rFonts w:ascii="Cambria" w:hAnsi="Cambria" w:cs="Garamond"/>
          <w:sz w:val="20"/>
          <w:szCs w:val="20"/>
        </w:rPr>
        <w:t>nter-American standards in matters of due process, and the judicial records of the case that was carried out in the domestic jurisdiction, through Opinion SDH-DAI No. 51 /06 the National Directorate of International Legal Affairs in the Matter of Human Rights of the National Human Rights Secretariat concluded, in 2006, that the petitioner was correct in that, within the framework of the aforementioned judicial process, the right of Mr. Zaldívar to have his conviction reviewed by a higher court</w:t>
      </w:r>
      <w:r w:rsidR="001F2BB9">
        <w:rPr>
          <w:rFonts w:ascii="Cambria" w:hAnsi="Cambria" w:cs="Garamond"/>
          <w:sz w:val="20"/>
          <w:szCs w:val="20"/>
        </w:rPr>
        <w:t xml:space="preserve"> </w:t>
      </w:r>
      <w:r w:rsidR="001F2BB9" w:rsidRPr="00D34778">
        <w:rPr>
          <w:rFonts w:ascii="Cambria" w:hAnsi="Cambria" w:cs="Garamond"/>
          <w:sz w:val="20"/>
          <w:szCs w:val="20"/>
        </w:rPr>
        <w:t>was not respected</w:t>
      </w:r>
      <w:r w:rsidRPr="00D34778">
        <w:rPr>
          <w:rFonts w:ascii="Cambria" w:hAnsi="Cambria" w:cs="Garamond"/>
          <w:sz w:val="20"/>
          <w:szCs w:val="20"/>
        </w:rPr>
        <w:t xml:space="preserve">, a circumstance that allowed for the violation of Article 8.2.h of the Convention to be considered in relation to Article 1.1 of said international instrument. </w:t>
      </w:r>
      <w:r w:rsidRPr="00C33E68">
        <w:rPr>
          <w:rFonts w:ascii="Cambria" w:hAnsi="Cambria" w:cs="Garamond"/>
          <w:sz w:val="20"/>
          <w:szCs w:val="20"/>
        </w:rPr>
        <w:t>In view of this, the Argentine State undertakes to adopt the measures detailed below:</w:t>
      </w:r>
    </w:p>
    <w:p w14:paraId="439C14FF" w14:textId="55DE43FE" w:rsidR="007A0240" w:rsidRDefault="007A0240" w:rsidP="007A0240">
      <w:pPr>
        <w:tabs>
          <w:tab w:val="center" w:pos="5400"/>
        </w:tabs>
        <w:suppressAutoHyphens/>
        <w:spacing w:line="276" w:lineRule="auto"/>
        <w:ind w:left="720"/>
        <w:rPr>
          <w:rFonts w:asciiTheme="majorHAnsi" w:hAnsiTheme="majorHAnsi"/>
          <w:sz w:val="20"/>
          <w:szCs w:val="20"/>
        </w:rPr>
      </w:pPr>
    </w:p>
    <w:p w14:paraId="21165B21" w14:textId="77777777" w:rsidR="007A0240" w:rsidRPr="00C33E68" w:rsidRDefault="007A0240" w:rsidP="00D34778">
      <w:pPr>
        <w:pStyle w:val="ListParagraph"/>
        <w:tabs>
          <w:tab w:val="left" w:pos="284"/>
        </w:tabs>
        <w:ind w:right="720"/>
        <w:jc w:val="both"/>
        <w:rPr>
          <w:sz w:val="20"/>
          <w:szCs w:val="20"/>
          <w:u w:val="single"/>
        </w:rPr>
      </w:pPr>
      <w:r w:rsidRPr="00C33E68">
        <w:rPr>
          <w:sz w:val="20"/>
          <w:szCs w:val="20"/>
          <w:u w:val="single"/>
        </w:rPr>
        <w:t>A. Non-pecuniary reparation measures.</w:t>
      </w:r>
    </w:p>
    <w:p w14:paraId="71B2B1FD" w14:textId="77777777" w:rsidR="007A0240" w:rsidRPr="00C33E68" w:rsidRDefault="007A0240" w:rsidP="00D34778">
      <w:pPr>
        <w:pStyle w:val="ListParagraph"/>
        <w:tabs>
          <w:tab w:val="left" w:pos="284"/>
        </w:tabs>
        <w:ind w:right="720"/>
        <w:jc w:val="both"/>
        <w:rPr>
          <w:sz w:val="20"/>
          <w:szCs w:val="20"/>
        </w:rPr>
      </w:pPr>
    </w:p>
    <w:p w14:paraId="6F632F2B" w14:textId="71C623B9" w:rsidR="007A0240" w:rsidRPr="00C33E68" w:rsidRDefault="007A0240" w:rsidP="00D34778">
      <w:pPr>
        <w:pStyle w:val="ListParagraph"/>
        <w:tabs>
          <w:tab w:val="left" w:pos="284"/>
        </w:tabs>
        <w:ind w:right="720"/>
        <w:jc w:val="both"/>
        <w:rPr>
          <w:sz w:val="20"/>
          <w:szCs w:val="20"/>
        </w:rPr>
      </w:pPr>
      <w:r w:rsidRPr="00C33E68">
        <w:rPr>
          <w:sz w:val="20"/>
          <w:szCs w:val="20"/>
        </w:rPr>
        <w:t>The Argentine State undertakes to make this agreement public in the “Official Gazette of the Argentine Republic”, and in two national newspapers through a press release, the text of which will be previously agreed upon with the petition</w:t>
      </w:r>
      <w:r w:rsidR="00A038FA" w:rsidRPr="00C33E68">
        <w:rPr>
          <w:sz w:val="20"/>
          <w:szCs w:val="20"/>
        </w:rPr>
        <w:t>er</w:t>
      </w:r>
      <w:r w:rsidRPr="00C33E68">
        <w:rPr>
          <w:sz w:val="20"/>
          <w:szCs w:val="20"/>
        </w:rPr>
        <w:t xml:space="preserve"> party.</w:t>
      </w:r>
    </w:p>
    <w:p w14:paraId="4B1572FD" w14:textId="77777777" w:rsidR="007A0240" w:rsidRPr="00C33E68" w:rsidRDefault="007A0240" w:rsidP="00D34778">
      <w:pPr>
        <w:pStyle w:val="ListParagraph"/>
        <w:tabs>
          <w:tab w:val="left" w:pos="284"/>
        </w:tabs>
        <w:ind w:right="720"/>
        <w:jc w:val="both"/>
        <w:rPr>
          <w:sz w:val="20"/>
          <w:szCs w:val="20"/>
        </w:rPr>
      </w:pPr>
    </w:p>
    <w:p w14:paraId="10E9432F" w14:textId="0D43CAEB" w:rsidR="007A0240" w:rsidRPr="00A23175" w:rsidRDefault="007A0240" w:rsidP="00D34778">
      <w:pPr>
        <w:pStyle w:val="ListParagraph"/>
        <w:tabs>
          <w:tab w:val="left" w:pos="284"/>
        </w:tabs>
        <w:ind w:right="720"/>
        <w:jc w:val="both"/>
        <w:rPr>
          <w:sz w:val="20"/>
          <w:szCs w:val="20"/>
          <w:u w:val="single"/>
          <w:lang w:val="es-CO"/>
        </w:rPr>
      </w:pPr>
      <w:r w:rsidRPr="00A23175">
        <w:rPr>
          <w:sz w:val="20"/>
          <w:szCs w:val="20"/>
          <w:u w:val="single"/>
          <w:lang w:val="es-CO"/>
        </w:rPr>
        <w:t xml:space="preserve">B. </w:t>
      </w:r>
      <w:r w:rsidR="00A23175">
        <w:rPr>
          <w:sz w:val="20"/>
          <w:szCs w:val="20"/>
          <w:u w:val="single"/>
          <w:lang w:val="es-CO"/>
        </w:rPr>
        <w:t>P</w:t>
      </w:r>
      <w:r w:rsidRPr="00A23175">
        <w:rPr>
          <w:sz w:val="20"/>
          <w:szCs w:val="20"/>
          <w:u w:val="single"/>
          <w:lang w:val="es-CO"/>
        </w:rPr>
        <w:t>ecuniary reparation</w:t>
      </w:r>
      <w:r w:rsidR="00A23175">
        <w:rPr>
          <w:sz w:val="20"/>
          <w:szCs w:val="20"/>
          <w:u w:val="single"/>
          <w:lang w:val="es-CO"/>
        </w:rPr>
        <w:t xml:space="preserve"> measures</w:t>
      </w:r>
      <w:r w:rsidRPr="00A23175">
        <w:rPr>
          <w:sz w:val="20"/>
          <w:szCs w:val="20"/>
          <w:u w:val="single"/>
          <w:lang w:val="es-CO"/>
        </w:rPr>
        <w:t>.</w:t>
      </w:r>
    </w:p>
    <w:p w14:paraId="5FC30B6F" w14:textId="77777777" w:rsidR="007A0240" w:rsidRPr="00D34778" w:rsidRDefault="007A0240" w:rsidP="00D34778">
      <w:pPr>
        <w:pStyle w:val="ListParagraph"/>
        <w:tabs>
          <w:tab w:val="left" w:pos="284"/>
        </w:tabs>
        <w:ind w:right="720"/>
        <w:jc w:val="both"/>
        <w:rPr>
          <w:sz w:val="20"/>
          <w:szCs w:val="20"/>
          <w:lang w:val="es-CO"/>
        </w:rPr>
      </w:pPr>
    </w:p>
    <w:p w14:paraId="589A855A" w14:textId="483F914E" w:rsidR="007A0240" w:rsidRPr="00F9158D" w:rsidRDefault="007A0240" w:rsidP="00D34778">
      <w:pPr>
        <w:pStyle w:val="ListParagraph"/>
        <w:tabs>
          <w:tab w:val="left" w:pos="284"/>
        </w:tabs>
        <w:ind w:right="720"/>
        <w:jc w:val="both"/>
        <w:rPr>
          <w:sz w:val="20"/>
          <w:szCs w:val="20"/>
        </w:rPr>
      </w:pPr>
      <w:r w:rsidRPr="00F9158D">
        <w:rPr>
          <w:sz w:val="20"/>
          <w:szCs w:val="20"/>
        </w:rPr>
        <w:t>1. The parties agree to set up an ad-hoc Arbitral Tribunal, in order to determine the amount of the pecuniary reparations owed to Mr. Zaldívar, derived from the violation of article 8.2.h of the American Convention in relation to article 1.1 of said instrument</w:t>
      </w:r>
      <w:r w:rsidR="00A038FA" w:rsidRPr="00F9158D">
        <w:rPr>
          <w:sz w:val="20"/>
          <w:szCs w:val="20"/>
        </w:rPr>
        <w:t xml:space="preserve"> </w:t>
      </w:r>
      <w:r w:rsidRPr="00F9158D">
        <w:rPr>
          <w:sz w:val="20"/>
          <w:szCs w:val="20"/>
        </w:rPr>
        <w:t>in the present case, which will be defined based on the criterion of equity.'</w:t>
      </w:r>
    </w:p>
    <w:p w14:paraId="3AFABA58" w14:textId="77777777" w:rsidR="007A0240" w:rsidRPr="00F9158D" w:rsidRDefault="007A0240" w:rsidP="00D34778">
      <w:pPr>
        <w:pStyle w:val="ListParagraph"/>
        <w:tabs>
          <w:tab w:val="left" w:pos="284"/>
        </w:tabs>
        <w:ind w:right="720"/>
        <w:jc w:val="both"/>
        <w:rPr>
          <w:sz w:val="20"/>
          <w:szCs w:val="20"/>
        </w:rPr>
      </w:pPr>
    </w:p>
    <w:p w14:paraId="3FCB83FB" w14:textId="147920A1" w:rsidR="007A0240" w:rsidRPr="00C33E68" w:rsidRDefault="007A0240" w:rsidP="00D34778">
      <w:pPr>
        <w:pStyle w:val="ListParagraph"/>
        <w:tabs>
          <w:tab w:val="left" w:pos="284"/>
        </w:tabs>
        <w:ind w:right="720"/>
        <w:jc w:val="both"/>
        <w:rPr>
          <w:sz w:val="20"/>
          <w:szCs w:val="20"/>
        </w:rPr>
      </w:pPr>
      <w:r w:rsidRPr="00C33E68">
        <w:rPr>
          <w:sz w:val="20"/>
          <w:szCs w:val="20"/>
        </w:rPr>
        <w:t>2. The Court will be made up of three independent experts</w:t>
      </w:r>
      <w:r w:rsidR="00A038FA" w:rsidRPr="00C33E68">
        <w:rPr>
          <w:sz w:val="20"/>
          <w:szCs w:val="20"/>
        </w:rPr>
        <w:t xml:space="preserve"> </w:t>
      </w:r>
      <w:r w:rsidRPr="00C33E68">
        <w:rPr>
          <w:sz w:val="20"/>
          <w:szCs w:val="20"/>
        </w:rPr>
        <w:t>of recognized expertise in human rights and high moral quality, one appointed at the proposal of the petition</w:t>
      </w:r>
      <w:r w:rsidR="00A038FA" w:rsidRPr="00C33E68">
        <w:rPr>
          <w:sz w:val="20"/>
          <w:szCs w:val="20"/>
        </w:rPr>
        <w:t>er</w:t>
      </w:r>
      <w:r w:rsidRPr="00C33E68">
        <w:rPr>
          <w:sz w:val="20"/>
          <w:szCs w:val="20"/>
        </w:rPr>
        <w:t xml:space="preserve"> party, the second at the proposal of the State and the third at the proposal of the two experts appointed by the parties. The experts will act </w:t>
      </w:r>
      <w:r w:rsidRPr="00C33E68">
        <w:rPr>
          <w:i/>
          <w:iCs/>
          <w:sz w:val="20"/>
          <w:szCs w:val="20"/>
        </w:rPr>
        <w:t>ad honorem</w:t>
      </w:r>
      <w:r w:rsidRPr="00C33E68">
        <w:rPr>
          <w:sz w:val="20"/>
          <w:szCs w:val="20"/>
        </w:rPr>
        <w:t xml:space="preserve"> in their functions.</w:t>
      </w:r>
    </w:p>
    <w:p w14:paraId="7D930EFE" w14:textId="77777777" w:rsidR="007A0240" w:rsidRPr="00C33E68" w:rsidRDefault="007A0240" w:rsidP="00D34778">
      <w:pPr>
        <w:pStyle w:val="ListParagraph"/>
        <w:tabs>
          <w:tab w:val="left" w:pos="284"/>
        </w:tabs>
        <w:ind w:right="720"/>
        <w:jc w:val="both"/>
        <w:rPr>
          <w:sz w:val="20"/>
          <w:szCs w:val="20"/>
        </w:rPr>
      </w:pPr>
    </w:p>
    <w:p w14:paraId="4AE33A72" w14:textId="67C66003" w:rsidR="007A0240" w:rsidRPr="00A23175" w:rsidRDefault="007A0240" w:rsidP="00D34778">
      <w:pPr>
        <w:pStyle w:val="ListParagraph"/>
        <w:tabs>
          <w:tab w:val="left" w:pos="284"/>
        </w:tabs>
        <w:ind w:right="720"/>
        <w:jc w:val="both"/>
        <w:rPr>
          <w:sz w:val="20"/>
          <w:szCs w:val="20"/>
        </w:rPr>
      </w:pPr>
      <w:r w:rsidRPr="00A23175">
        <w:rPr>
          <w:sz w:val="20"/>
          <w:szCs w:val="20"/>
        </w:rPr>
        <w:t xml:space="preserve">3. In order to </w:t>
      </w:r>
      <w:r w:rsidR="00A23175" w:rsidRPr="00A23175">
        <w:rPr>
          <w:sz w:val="20"/>
          <w:szCs w:val="20"/>
        </w:rPr>
        <w:t>form</w:t>
      </w:r>
      <w:r w:rsidRPr="00A23175">
        <w:rPr>
          <w:sz w:val="20"/>
          <w:szCs w:val="20"/>
        </w:rPr>
        <w:t xml:space="preserve"> the Arbitral Tribunal, the parties will send </w:t>
      </w:r>
      <w:r w:rsidR="00A038FA" w:rsidRPr="00A23175">
        <w:rPr>
          <w:sz w:val="20"/>
          <w:szCs w:val="20"/>
        </w:rPr>
        <w:t>the resumés</w:t>
      </w:r>
      <w:r w:rsidRPr="00A23175">
        <w:rPr>
          <w:sz w:val="20"/>
          <w:szCs w:val="20"/>
        </w:rPr>
        <w:t xml:space="preserve"> of the proposed person </w:t>
      </w:r>
      <w:r w:rsidR="00A038FA" w:rsidRPr="00A23175">
        <w:rPr>
          <w:sz w:val="20"/>
          <w:szCs w:val="20"/>
        </w:rPr>
        <w:t xml:space="preserve">to the counterpart </w:t>
      </w:r>
      <w:r w:rsidRPr="00A23175">
        <w:rPr>
          <w:sz w:val="20"/>
          <w:szCs w:val="20"/>
        </w:rPr>
        <w:t>so that the latter can formulate the objections that it considers appropriate, in accordance with the requirements of paragraph 2 above.</w:t>
      </w:r>
    </w:p>
    <w:p w14:paraId="40D36C6E" w14:textId="09F38D15" w:rsidR="00A038FA" w:rsidRPr="00A23175" w:rsidRDefault="00A038FA" w:rsidP="00D34778">
      <w:pPr>
        <w:pStyle w:val="ListParagraph"/>
        <w:tabs>
          <w:tab w:val="left" w:pos="284"/>
        </w:tabs>
        <w:ind w:right="720"/>
        <w:jc w:val="both"/>
        <w:rPr>
          <w:sz w:val="20"/>
          <w:szCs w:val="20"/>
        </w:rPr>
      </w:pPr>
    </w:p>
    <w:p w14:paraId="1EDE14E6" w14:textId="5A4620E8" w:rsidR="00A038FA" w:rsidRPr="00C33E68" w:rsidRDefault="00A038FA" w:rsidP="00D34778">
      <w:pPr>
        <w:pStyle w:val="ListParagraph"/>
        <w:tabs>
          <w:tab w:val="left" w:pos="284"/>
        </w:tabs>
        <w:ind w:right="720"/>
        <w:jc w:val="both"/>
        <w:rPr>
          <w:sz w:val="20"/>
          <w:szCs w:val="20"/>
        </w:rPr>
      </w:pPr>
      <w:r w:rsidRPr="00C33E68">
        <w:rPr>
          <w:sz w:val="20"/>
          <w:szCs w:val="20"/>
        </w:rPr>
        <w:t>4. The Arbitral Tribunal will initiate the process, within a period of one month, from the date the Inter-American Commission on Human Rights adopts the report contemplated in article 49 of the Convention, in accordance with the provisions of clause III of this agreement.</w:t>
      </w:r>
    </w:p>
    <w:p w14:paraId="48D48390" w14:textId="77777777" w:rsidR="00A038FA" w:rsidRPr="00C33E68" w:rsidRDefault="00A038FA" w:rsidP="00D34778">
      <w:pPr>
        <w:pStyle w:val="ListParagraph"/>
        <w:tabs>
          <w:tab w:val="left" w:pos="284"/>
        </w:tabs>
        <w:ind w:right="720"/>
        <w:jc w:val="both"/>
        <w:rPr>
          <w:sz w:val="20"/>
          <w:szCs w:val="20"/>
        </w:rPr>
      </w:pPr>
    </w:p>
    <w:p w14:paraId="1BC7F425" w14:textId="405E4FD9" w:rsidR="00A038FA" w:rsidRPr="00C33E68" w:rsidRDefault="00A038FA" w:rsidP="00D34778">
      <w:pPr>
        <w:pStyle w:val="ListParagraph"/>
        <w:tabs>
          <w:tab w:val="left" w:pos="284"/>
        </w:tabs>
        <w:ind w:right="720"/>
        <w:jc w:val="both"/>
        <w:rPr>
          <w:sz w:val="20"/>
          <w:szCs w:val="20"/>
        </w:rPr>
      </w:pPr>
      <w:r w:rsidRPr="00C33E68">
        <w:rPr>
          <w:sz w:val="20"/>
          <w:szCs w:val="20"/>
        </w:rPr>
        <w:t xml:space="preserve">5. The procedure to be applied by the Arbitral Tribunal will be defined by common agreement between the parties, who will draw up its rules. The costs demanded by the </w:t>
      </w:r>
      <w:r w:rsidR="004613B6">
        <w:rPr>
          <w:sz w:val="20"/>
          <w:szCs w:val="20"/>
        </w:rPr>
        <w:t>Tribunal’s</w:t>
      </w:r>
      <w:r w:rsidR="004613B6" w:rsidRPr="00C33E68">
        <w:rPr>
          <w:sz w:val="20"/>
          <w:szCs w:val="20"/>
        </w:rPr>
        <w:t xml:space="preserve"> </w:t>
      </w:r>
      <w:r w:rsidRPr="00C33E68">
        <w:rPr>
          <w:sz w:val="20"/>
          <w:szCs w:val="20"/>
        </w:rPr>
        <w:t xml:space="preserve">actions will be paid by the State, without prejudice to what has already been indicated in relation to the </w:t>
      </w:r>
      <w:r w:rsidRPr="00C33E68">
        <w:rPr>
          <w:i/>
          <w:iCs/>
          <w:sz w:val="20"/>
          <w:szCs w:val="20"/>
        </w:rPr>
        <w:t>ad honorem</w:t>
      </w:r>
      <w:r w:rsidRPr="00C33E68">
        <w:rPr>
          <w:sz w:val="20"/>
          <w:szCs w:val="20"/>
        </w:rPr>
        <w:t xml:space="preserve"> nature of the work of its members.</w:t>
      </w:r>
    </w:p>
    <w:p w14:paraId="60EDF832" w14:textId="77777777" w:rsidR="00A038FA" w:rsidRPr="00C33E68" w:rsidRDefault="00A038FA" w:rsidP="00D34778">
      <w:pPr>
        <w:pStyle w:val="ListParagraph"/>
        <w:tabs>
          <w:tab w:val="left" w:pos="284"/>
        </w:tabs>
        <w:ind w:right="720"/>
        <w:jc w:val="both"/>
        <w:rPr>
          <w:sz w:val="20"/>
          <w:szCs w:val="20"/>
        </w:rPr>
      </w:pPr>
    </w:p>
    <w:p w14:paraId="24577E51" w14:textId="083E27BA" w:rsidR="00A038FA" w:rsidRPr="00A038FA" w:rsidRDefault="00A038FA" w:rsidP="00D34778">
      <w:pPr>
        <w:pStyle w:val="ListParagraph"/>
        <w:tabs>
          <w:tab w:val="left" w:pos="284"/>
        </w:tabs>
        <w:ind w:right="720"/>
        <w:jc w:val="both"/>
        <w:rPr>
          <w:rFonts w:asciiTheme="majorHAnsi" w:hAnsiTheme="majorHAnsi"/>
          <w:sz w:val="20"/>
          <w:szCs w:val="20"/>
        </w:rPr>
      </w:pPr>
      <w:r w:rsidRPr="00F9158D">
        <w:rPr>
          <w:sz w:val="20"/>
          <w:szCs w:val="20"/>
        </w:rPr>
        <w:t>6. The award of the Arbitral Tribunal shall be final and unappealable, unless one of the cases of nullity contemplated in article 760 of the National Code of Civil and Commercial Procedure occurs. The award must contain the amount and modality of the agreed pecuniary reparations, and once</w:t>
      </w:r>
      <w:r w:rsidRPr="00A038FA">
        <w:rPr>
          <w:rFonts w:asciiTheme="majorHAnsi" w:hAnsiTheme="majorHAnsi"/>
          <w:sz w:val="20"/>
          <w:szCs w:val="20"/>
        </w:rPr>
        <w:t xml:space="preserve"> notified, it will be put to the consideration of the Inter-American Commission on Human Rights, through the Ministry of Foreign Affairs, International Trade and Worship, within the framework of the process for monitoring compliance with the agreement, in order to verify that it </w:t>
      </w:r>
      <w:r w:rsidR="00D837DC">
        <w:rPr>
          <w:rFonts w:asciiTheme="majorHAnsi" w:hAnsiTheme="majorHAnsi"/>
          <w:sz w:val="20"/>
          <w:szCs w:val="20"/>
        </w:rPr>
        <w:t>follows</w:t>
      </w:r>
      <w:r w:rsidRPr="00A038FA">
        <w:rPr>
          <w:rFonts w:asciiTheme="majorHAnsi" w:hAnsiTheme="majorHAnsi"/>
          <w:sz w:val="20"/>
          <w:szCs w:val="20"/>
        </w:rPr>
        <w:t xml:space="preserve"> the applicable international parameters.</w:t>
      </w:r>
    </w:p>
    <w:p w14:paraId="4B95AF55" w14:textId="77777777" w:rsidR="00A038FA" w:rsidRPr="00A038FA" w:rsidRDefault="00A038FA" w:rsidP="00A038FA">
      <w:pPr>
        <w:tabs>
          <w:tab w:val="center" w:pos="5400"/>
        </w:tabs>
        <w:suppressAutoHyphens/>
        <w:spacing w:line="276" w:lineRule="auto"/>
        <w:ind w:left="720"/>
        <w:rPr>
          <w:rFonts w:asciiTheme="majorHAnsi" w:hAnsiTheme="majorHAnsi"/>
          <w:sz w:val="20"/>
          <w:szCs w:val="20"/>
        </w:rPr>
      </w:pPr>
    </w:p>
    <w:p w14:paraId="48743BC7" w14:textId="7D29FBDD" w:rsidR="00A038FA" w:rsidRPr="00C33E68" w:rsidRDefault="00A038FA" w:rsidP="00A23175">
      <w:pPr>
        <w:tabs>
          <w:tab w:val="left" w:pos="284"/>
        </w:tabs>
        <w:ind w:left="720" w:right="720"/>
        <w:jc w:val="both"/>
        <w:rPr>
          <w:rFonts w:ascii="Cambria" w:hAnsi="Cambria"/>
          <w:sz w:val="20"/>
          <w:szCs w:val="20"/>
        </w:rPr>
      </w:pPr>
      <w:r w:rsidRPr="00C33E68">
        <w:rPr>
          <w:rFonts w:ascii="Cambria" w:hAnsi="Cambria"/>
          <w:sz w:val="20"/>
          <w:szCs w:val="20"/>
        </w:rPr>
        <w:lastRenderedPageBreak/>
        <w:t xml:space="preserve">7. The pecuniary reparations established in the arbitration </w:t>
      </w:r>
      <w:r w:rsidR="004613B6">
        <w:rPr>
          <w:rFonts w:ascii="Cambria" w:hAnsi="Cambria"/>
          <w:sz w:val="20"/>
          <w:szCs w:val="20"/>
        </w:rPr>
        <w:t>ruling</w:t>
      </w:r>
      <w:r w:rsidR="004613B6" w:rsidRPr="00C33E68">
        <w:rPr>
          <w:rFonts w:ascii="Cambria" w:hAnsi="Cambria"/>
          <w:sz w:val="20"/>
          <w:szCs w:val="20"/>
        </w:rPr>
        <w:t xml:space="preserve"> </w:t>
      </w:r>
      <w:r w:rsidRPr="00C33E68">
        <w:rPr>
          <w:rFonts w:ascii="Cambria" w:hAnsi="Cambria"/>
          <w:sz w:val="20"/>
          <w:szCs w:val="20"/>
        </w:rPr>
        <w:t>will be paid within the term and in accordance with the modalities that the Arbitral Tribunal determines, in accordance with the criteria established in the jurisprudence of the Inter-American Court of Human Rights.</w:t>
      </w:r>
    </w:p>
    <w:p w14:paraId="2E260A59" w14:textId="77777777" w:rsidR="00A038FA" w:rsidRPr="00C33E68" w:rsidRDefault="00A038FA" w:rsidP="00A23175">
      <w:pPr>
        <w:tabs>
          <w:tab w:val="left" w:pos="284"/>
        </w:tabs>
        <w:ind w:left="720" w:right="720"/>
        <w:jc w:val="both"/>
        <w:rPr>
          <w:rFonts w:ascii="Cambria" w:hAnsi="Cambria"/>
          <w:sz w:val="20"/>
          <w:szCs w:val="20"/>
        </w:rPr>
      </w:pPr>
    </w:p>
    <w:p w14:paraId="5F781F4A" w14:textId="4EB04ACA" w:rsidR="00A038FA" w:rsidRPr="00C33E68" w:rsidRDefault="00A038FA" w:rsidP="00A23175">
      <w:pPr>
        <w:tabs>
          <w:tab w:val="left" w:pos="284"/>
        </w:tabs>
        <w:ind w:left="720" w:right="720"/>
        <w:jc w:val="both"/>
        <w:rPr>
          <w:rFonts w:ascii="Cambria" w:hAnsi="Cambria"/>
          <w:sz w:val="20"/>
          <w:szCs w:val="20"/>
        </w:rPr>
      </w:pPr>
      <w:r w:rsidRPr="00C33E68">
        <w:rPr>
          <w:rFonts w:ascii="Cambria" w:hAnsi="Cambria"/>
          <w:sz w:val="20"/>
          <w:szCs w:val="20"/>
        </w:rPr>
        <w:t>8. Once this agreement has been approved by a Decree of the National Executive Power, the petition</w:t>
      </w:r>
      <w:r w:rsidR="004613B6">
        <w:rPr>
          <w:rFonts w:ascii="Cambria" w:hAnsi="Cambria"/>
          <w:sz w:val="20"/>
          <w:szCs w:val="20"/>
        </w:rPr>
        <w:t>ing</w:t>
      </w:r>
      <w:r w:rsidR="00D837DC" w:rsidRPr="00C33E68">
        <w:rPr>
          <w:rFonts w:ascii="Cambria" w:hAnsi="Cambria"/>
          <w:sz w:val="20"/>
          <w:szCs w:val="20"/>
        </w:rPr>
        <w:t xml:space="preserve"> </w:t>
      </w:r>
      <w:r w:rsidRPr="00C33E68">
        <w:rPr>
          <w:rFonts w:ascii="Cambria" w:hAnsi="Cambria"/>
          <w:sz w:val="20"/>
          <w:szCs w:val="20"/>
        </w:rPr>
        <w:t>party definitively and irrevocably waives any other claim of a pecuniary or non-pecuniary nature against the State in relation to the facts that gave rise to this case.</w:t>
      </w:r>
    </w:p>
    <w:p w14:paraId="3ACAE87C" w14:textId="1545B28B" w:rsidR="00D837DC" w:rsidRDefault="00D837DC" w:rsidP="00A038FA">
      <w:pPr>
        <w:tabs>
          <w:tab w:val="center" w:pos="5400"/>
        </w:tabs>
        <w:suppressAutoHyphens/>
        <w:spacing w:line="276" w:lineRule="auto"/>
        <w:ind w:left="720"/>
        <w:rPr>
          <w:rFonts w:asciiTheme="majorHAnsi" w:hAnsiTheme="majorHAnsi"/>
          <w:sz w:val="20"/>
          <w:szCs w:val="20"/>
        </w:rPr>
      </w:pPr>
    </w:p>
    <w:p w14:paraId="2DDF3BA4" w14:textId="2D649E71" w:rsidR="00D837DC" w:rsidRPr="004005AB" w:rsidRDefault="00D837DC" w:rsidP="00D837DC">
      <w:pPr>
        <w:pStyle w:val="ListParagraph"/>
        <w:numPr>
          <w:ilvl w:val="0"/>
          <w:numId w:val="106"/>
        </w:numPr>
        <w:tabs>
          <w:tab w:val="center" w:pos="5400"/>
        </w:tabs>
        <w:suppressAutoHyphens/>
        <w:spacing w:line="276" w:lineRule="auto"/>
        <w:rPr>
          <w:rFonts w:asciiTheme="majorHAnsi" w:hAnsiTheme="majorHAnsi"/>
          <w:b/>
          <w:bCs/>
          <w:sz w:val="20"/>
          <w:szCs w:val="20"/>
        </w:rPr>
      </w:pPr>
      <w:r w:rsidRPr="004005AB">
        <w:rPr>
          <w:rFonts w:asciiTheme="majorHAnsi" w:hAnsiTheme="majorHAnsi"/>
          <w:b/>
          <w:bCs/>
          <w:sz w:val="20"/>
          <w:szCs w:val="20"/>
        </w:rPr>
        <w:t xml:space="preserve">Signature </w:t>
      </w:r>
      <w:r w:rsidRPr="00A23175">
        <w:rPr>
          <w:rFonts w:asciiTheme="majorHAnsi" w:hAnsiTheme="majorHAnsi"/>
          <w:b/>
          <w:bCs/>
          <w:i/>
          <w:iCs/>
          <w:sz w:val="20"/>
          <w:szCs w:val="20"/>
        </w:rPr>
        <w:t>ad referendum</w:t>
      </w:r>
    </w:p>
    <w:p w14:paraId="0E7D0230" w14:textId="77777777" w:rsidR="007607C4" w:rsidRPr="0005619B" w:rsidRDefault="007607C4" w:rsidP="0005619B">
      <w:pPr>
        <w:tabs>
          <w:tab w:val="center" w:pos="5400"/>
        </w:tabs>
        <w:suppressAutoHyphens/>
        <w:spacing w:line="276" w:lineRule="auto"/>
        <w:rPr>
          <w:rFonts w:asciiTheme="majorHAnsi" w:hAnsiTheme="majorHAnsi"/>
          <w:sz w:val="20"/>
          <w:szCs w:val="20"/>
        </w:rPr>
      </w:pPr>
    </w:p>
    <w:p w14:paraId="03B332D4" w14:textId="2E9D4B8D" w:rsidR="007607C4" w:rsidRPr="00C33E68" w:rsidRDefault="00D837DC" w:rsidP="00A23175">
      <w:pPr>
        <w:ind w:left="720" w:right="720"/>
        <w:jc w:val="both"/>
        <w:rPr>
          <w:rFonts w:ascii="Cambria" w:hAnsi="Cambria" w:cs="Garamond"/>
          <w:sz w:val="20"/>
          <w:szCs w:val="20"/>
        </w:rPr>
      </w:pPr>
      <w:r w:rsidRPr="00C33E68">
        <w:rPr>
          <w:rFonts w:ascii="Cambria" w:hAnsi="Cambria" w:cs="Garamond"/>
          <w:sz w:val="20"/>
          <w:szCs w:val="20"/>
        </w:rPr>
        <w:t>The parties state that this agreement must be approved by a Decree of the National Executive Power. Once the Decree is published in the Official Gazette of the Argentine Republic, the parties agree to request the Inter-American Commission on Human Rights, through the Ministry of Foreign Affairs and Worship, the adoption of the report contemplated in article 49 of the American Convention on Human Rights, opportunity in which the agreement will acquire full legal validity.</w:t>
      </w:r>
    </w:p>
    <w:p w14:paraId="0CB19FB9" w14:textId="77777777" w:rsidR="007607C4" w:rsidRPr="0005619B" w:rsidRDefault="007607C4" w:rsidP="0005619B">
      <w:pPr>
        <w:tabs>
          <w:tab w:val="center" w:pos="5400"/>
        </w:tabs>
        <w:suppressAutoHyphens/>
        <w:spacing w:line="276" w:lineRule="auto"/>
        <w:rPr>
          <w:rFonts w:asciiTheme="majorHAnsi" w:hAnsiTheme="majorHAnsi"/>
          <w:sz w:val="20"/>
          <w:szCs w:val="20"/>
        </w:rPr>
      </w:pPr>
    </w:p>
    <w:p w14:paraId="7590777C" w14:textId="77777777" w:rsidR="004005AB" w:rsidRPr="002A65AC" w:rsidRDefault="004005AB" w:rsidP="004005AB">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lang w:eastAsia="es-ES_tradnl"/>
        </w:rPr>
      </w:pPr>
      <w:r w:rsidRPr="00FA675D">
        <w:rPr>
          <w:rFonts w:eastAsia="MS Mincho" w:cstheme="minorHAnsi"/>
          <w:b/>
          <w:color w:val="000000" w:themeColor="text1"/>
          <w:sz w:val="20"/>
          <w:szCs w:val="20"/>
        </w:rPr>
        <w:t xml:space="preserve">DETERMINATION OF COMPATIBILITY AND COMPLIANCE </w:t>
      </w:r>
    </w:p>
    <w:p w14:paraId="3418D9DA" w14:textId="77777777" w:rsidR="007607C4" w:rsidRPr="0005619B" w:rsidRDefault="007607C4" w:rsidP="0005619B">
      <w:pPr>
        <w:tabs>
          <w:tab w:val="center" w:pos="5400"/>
        </w:tabs>
        <w:suppressAutoHyphens/>
        <w:spacing w:line="276" w:lineRule="auto"/>
        <w:rPr>
          <w:rFonts w:asciiTheme="majorHAnsi" w:hAnsiTheme="majorHAnsi"/>
          <w:sz w:val="20"/>
          <w:szCs w:val="20"/>
        </w:rPr>
      </w:pPr>
    </w:p>
    <w:p w14:paraId="1755D44B" w14:textId="77777777" w:rsidR="004005AB" w:rsidRPr="00EE3AEF" w:rsidRDefault="004005AB" w:rsidP="004005AB">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Bidi"/>
          <w:color w:val="000000" w:themeColor="text1"/>
          <w:sz w:val="20"/>
          <w:szCs w:val="20"/>
          <w:bdr w:val="none" w:sz="0" w:space="0" w:color="auto" w:frame="1"/>
        </w:rPr>
      </w:pPr>
      <w:r w:rsidRPr="00EE3AEF">
        <w:rPr>
          <w:rFonts w:eastAsia="MS Mincho" w:cstheme="minorBidi"/>
          <w:color w:val="000000" w:themeColor="text1"/>
          <w:sz w:val="20"/>
          <w:szCs w:val="20"/>
          <w:bdr w:val="none" w:sz="0" w:space="0" w:color="auto" w:frame="1"/>
        </w:rPr>
        <w:t>The IACHR reiterates that according to Articles 48.1.f and 49 of the American Convention, the purpose of this procedure is “to reach a friendly settlement of the matter based on respect for the human rights recognized in the Convention.</w:t>
      </w:r>
      <w:r>
        <w:rPr>
          <w:rFonts w:eastAsia="MS Mincho" w:cstheme="minorBidi"/>
          <w:color w:val="000000" w:themeColor="text1"/>
          <w:sz w:val="20"/>
          <w:szCs w:val="20"/>
          <w:bdr w:val="none" w:sz="0" w:space="0" w:color="auto" w:frame="1"/>
        </w:rPr>
        <w:t>”</w:t>
      </w:r>
      <w:r w:rsidRPr="00EE3AEF">
        <w:rPr>
          <w:rFonts w:eastAsia="MS Mincho" w:cstheme="minorBidi"/>
          <w:color w:val="000000" w:themeColor="text1"/>
          <w:sz w:val="20"/>
          <w:szCs w:val="20"/>
          <w:bdr w:val="none" w:sz="0" w:space="0" w:color="auto" w:frame="1"/>
        </w:rPr>
        <w:t xml:space="preserve"> The acceptance of carrying out this procedure expresses the good faith of the State to comply with the purposes and objectives of the Convention by virtue of the principle </w:t>
      </w:r>
      <w:r w:rsidRPr="00EE3AEF">
        <w:rPr>
          <w:rFonts w:eastAsia="MS Mincho" w:cstheme="minorBidi"/>
          <w:i/>
          <w:iCs/>
          <w:color w:val="000000" w:themeColor="text1"/>
          <w:sz w:val="20"/>
          <w:szCs w:val="20"/>
          <w:bdr w:val="none" w:sz="0" w:space="0" w:color="auto" w:frame="1"/>
        </w:rPr>
        <w:t>pacta sunt servanda</w:t>
      </w:r>
      <w:r w:rsidRPr="00EE3AEF">
        <w:rPr>
          <w:rFonts w:eastAsia="MS Mincho" w:cstheme="minorBidi"/>
          <w:color w:val="000000" w:themeColor="text1"/>
          <w:sz w:val="20"/>
          <w:szCs w:val="20"/>
          <w:bdr w:val="none" w:sz="0" w:space="0" w:color="auto" w:frame="1"/>
        </w:rPr>
        <w:t>, by which the States must comply in good faith with the obligations assumed in the treaties.</w:t>
      </w:r>
      <w:r>
        <w:rPr>
          <w:rStyle w:val="FootnoteReference"/>
          <w:rFonts w:eastAsia="MS Mincho"/>
          <w:color w:val="000000" w:themeColor="text1"/>
          <w:sz w:val="20"/>
          <w:szCs w:val="20"/>
          <w:bdr w:val="none" w:sz="0" w:space="0" w:color="auto" w:frame="1"/>
        </w:rPr>
        <w:footnoteReference w:id="2"/>
      </w:r>
      <w:r w:rsidRPr="00EE3AEF">
        <w:rPr>
          <w:rFonts w:eastAsia="MS Mincho" w:cstheme="minorBidi"/>
          <w:color w:val="000000" w:themeColor="text1"/>
          <w:sz w:val="20"/>
          <w:szCs w:val="20"/>
          <w:bdr w:val="none" w:sz="0" w:space="0" w:color="auto" w:frame="1"/>
        </w:rPr>
        <w:t xml:space="preserve"> The Commission also wishes to reiterate that the friendly settlement procedure contemplated in the Convention allows the termination of individual cases in a non-contentious manner, and has shown, in cases involving various countries, to offer an important vehicle for settlement, which can be used by both parties.</w:t>
      </w:r>
    </w:p>
    <w:p w14:paraId="52BE0BF3" w14:textId="77777777" w:rsidR="004005AB" w:rsidRPr="00EE3AEF" w:rsidRDefault="004005AB" w:rsidP="004005A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MS Mincho" w:cstheme="minorBidi"/>
          <w:color w:val="000000" w:themeColor="text1"/>
          <w:sz w:val="20"/>
          <w:szCs w:val="20"/>
          <w:bdr w:val="none" w:sz="0" w:space="0" w:color="auto" w:frame="1"/>
        </w:rPr>
      </w:pPr>
    </w:p>
    <w:p w14:paraId="0B666713" w14:textId="3F33AC31" w:rsidR="004005AB" w:rsidRDefault="004005AB" w:rsidP="004005AB">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Bidi"/>
          <w:color w:val="000000" w:themeColor="text1"/>
          <w:sz w:val="20"/>
          <w:szCs w:val="20"/>
          <w:bdr w:val="none" w:sz="0" w:space="0" w:color="auto" w:frame="1"/>
        </w:rPr>
      </w:pPr>
      <w:r w:rsidRPr="00EE3AEF">
        <w:rPr>
          <w:rFonts w:eastAsia="MS Mincho" w:cstheme="minorBidi"/>
          <w:color w:val="000000" w:themeColor="text1"/>
          <w:sz w:val="20"/>
          <w:szCs w:val="20"/>
          <w:bdr w:val="none" w:sz="0" w:space="0" w:color="auto" w:frame="1"/>
        </w:rPr>
        <w:t>The Inter-American Commission has closely followed the development of the friendly settlement reached in the</w:t>
      </w:r>
      <w:r w:rsidR="005D0BFA">
        <w:rPr>
          <w:rFonts w:eastAsia="MS Mincho" w:cstheme="minorBidi"/>
          <w:color w:val="000000" w:themeColor="text1"/>
          <w:sz w:val="20"/>
          <w:szCs w:val="20"/>
          <w:bdr w:val="none" w:sz="0" w:space="0" w:color="auto" w:frame="1"/>
        </w:rPr>
        <w:t xml:space="preserve"> present</w:t>
      </w:r>
      <w:r w:rsidRPr="00EE3AEF">
        <w:rPr>
          <w:rFonts w:eastAsia="MS Mincho" w:cstheme="minorBidi"/>
          <w:color w:val="000000" w:themeColor="text1"/>
          <w:sz w:val="20"/>
          <w:szCs w:val="20"/>
          <w:bdr w:val="none" w:sz="0" w:space="0" w:color="auto" w:frame="1"/>
        </w:rPr>
        <w:t xml:space="preserve"> case and highly values ​​the efforts made by both parties during the negotiation of the agreement to reach this friendly settlement, which is compatible with the object and purpose of the Convention. </w:t>
      </w:r>
    </w:p>
    <w:p w14:paraId="728CECBC" w14:textId="77777777" w:rsidR="004005AB" w:rsidRPr="004005AB" w:rsidRDefault="004005AB" w:rsidP="004005AB">
      <w:pPr>
        <w:pStyle w:val="ListParagraph"/>
        <w:rPr>
          <w:rFonts w:eastAsia="MS Mincho" w:cstheme="minorBidi"/>
          <w:color w:val="000000" w:themeColor="text1"/>
          <w:sz w:val="20"/>
          <w:szCs w:val="20"/>
          <w:bdr w:val="none" w:sz="0" w:space="0" w:color="auto" w:frame="1"/>
        </w:rPr>
      </w:pPr>
    </w:p>
    <w:p w14:paraId="0A55BDCF" w14:textId="070AC3E3" w:rsidR="004005AB" w:rsidRDefault="004005AB" w:rsidP="004005AB">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Bidi"/>
          <w:color w:val="000000" w:themeColor="text1"/>
          <w:sz w:val="20"/>
          <w:szCs w:val="20"/>
          <w:bdr w:val="none" w:sz="0" w:space="0" w:color="auto" w:frame="1"/>
        </w:rPr>
      </w:pPr>
      <w:r w:rsidRPr="004005AB">
        <w:rPr>
          <w:rFonts w:eastAsia="MS Mincho" w:cstheme="minorBidi"/>
          <w:color w:val="000000" w:themeColor="text1"/>
          <w:sz w:val="20"/>
          <w:szCs w:val="20"/>
          <w:bdr w:val="none" w:sz="0" w:space="0" w:color="auto" w:frame="1"/>
        </w:rPr>
        <w:t xml:space="preserve">The Commission observes that, as agreed between the parties, on January 24, 2022, the Decree of the National Executive </w:t>
      </w:r>
      <w:r w:rsidR="00F31D57">
        <w:rPr>
          <w:rFonts w:eastAsia="MS Mincho" w:cstheme="minorBidi"/>
          <w:color w:val="000000" w:themeColor="text1"/>
          <w:sz w:val="20"/>
          <w:szCs w:val="20"/>
          <w:bdr w:val="none" w:sz="0" w:space="0" w:color="auto" w:frame="1"/>
        </w:rPr>
        <w:t>P</w:t>
      </w:r>
      <w:r w:rsidRPr="004005AB">
        <w:rPr>
          <w:rFonts w:eastAsia="MS Mincho" w:cstheme="minorBidi"/>
          <w:color w:val="000000" w:themeColor="text1"/>
          <w:sz w:val="20"/>
          <w:szCs w:val="20"/>
          <w:bdr w:val="none" w:sz="0" w:space="0" w:color="auto" w:frame="1"/>
        </w:rPr>
        <w:t xml:space="preserve">ower approving the friendly settlement agreement was issued and the State requested its approval, as established in clause III of the </w:t>
      </w:r>
      <w:r w:rsidR="005D0BFA">
        <w:rPr>
          <w:rFonts w:eastAsia="MS Mincho" w:cstheme="minorBidi"/>
          <w:color w:val="000000" w:themeColor="text1"/>
          <w:sz w:val="20"/>
          <w:szCs w:val="20"/>
          <w:bdr w:val="none" w:sz="0" w:space="0" w:color="auto" w:frame="1"/>
        </w:rPr>
        <w:t>F</w:t>
      </w:r>
      <w:r w:rsidRPr="004005AB">
        <w:rPr>
          <w:rFonts w:eastAsia="MS Mincho" w:cstheme="minorBidi"/>
          <w:color w:val="000000" w:themeColor="text1"/>
          <w:sz w:val="20"/>
          <w:szCs w:val="20"/>
          <w:bdr w:val="none" w:sz="0" w:space="0" w:color="auto" w:frame="1"/>
        </w:rPr>
        <w:t xml:space="preserve">SA. Given that compliance with the commitments established in the </w:t>
      </w:r>
      <w:r w:rsidR="005D0BFA">
        <w:rPr>
          <w:rFonts w:eastAsia="MS Mincho" w:cstheme="minorBidi"/>
          <w:color w:val="000000" w:themeColor="text1"/>
          <w:sz w:val="20"/>
          <w:szCs w:val="20"/>
          <w:bdr w:val="none" w:sz="0" w:space="0" w:color="auto" w:frame="1"/>
        </w:rPr>
        <w:t>F</w:t>
      </w:r>
      <w:r w:rsidRPr="004005AB">
        <w:rPr>
          <w:rFonts w:eastAsia="MS Mincho" w:cstheme="minorBidi"/>
          <w:color w:val="000000" w:themeColor="text1"/>
          <w:sz w:val="20"/>
          <w:szCs w:val="20"/>
          <w:bdr w:val="none" w:sz="0" w:space="0" w:color="auto" w:frame="1"/>
        </w:rPr>
        <w:t>SA depend on the approval of the agreement by the IACHR, the Commission considers that subparagraphs A and B of clause II of the agreement are pending compliance and so declares. On the other hand, the Commission considers that the rest of the content of the agreement is of a declaratory nature and so declares. Due to the foregoing, the Commission will continue to supervise the process of implementing these measures until they are fully complied with.</w:t>
      </w:r>
    </w:p>
    <w:p w14:paraId="165F5850" w14:textId="77777777" w:rsidR="004005AB" w:rsidRPr="004005AB" w:rsidRDefault="004005AB" w:rsidP="004005AB">
      <w:pPr>
        <w:pStyle w:val="ListParagraph"/>
        <w:rPr>
          <w:rFonts w:eastAsia="MS Mincho" w:cstheme="minorBidi"/>
          <w:color w:val="000000" w:themeColor="text1"/>
          <w:sz w:val="20"/>
          <w:szCs w:val="20"/>
          <w:bdr w:val="none" w:sz="0" w:space="0" w:color="auto" w:frame="1"/>
        </w:rPr>
      </w:pPr>
    </w:p>
    <w:p w14:paraId="3062EB2B" w14:textId="622A94CC" w:rsidR="004005AB" w:rsidRDefault="004005AB" w:rsidP="004005AB">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Bidi"/>
          <w:color w:val="000000" w:themeColor="text1"/>
          <w:sz w:val="20"/>
          <w:szCs w:val="20"/>
          <w:bdr w:val="none" w:sz="0" w:space="0" w:color="auto" w:frame="1"/>
        </w:rPr>
      </w:pPr>
      <w:r w:rsidRPr="004005AB">
        <w:rPr>
          <w:rFonts w:eastAsia="MS Mincho" w:cstheme="minorBidi"/>
          <w:color w:val="000000" w:themeColor="text1"/>
          <w:sz w:val="20"/>
          <w:szCs w:val="20"/>
          <w:bdr w:val="none" w:sz="0" w:space="0" w:color="auto" w:frame="1"/>
        </w:rPr>
        <w:t xml:space="preserve">Finally, in relation to </w:t>
      </w:r>
      <w:r w:rsidR="00A23175">
        <w:rPr>
          <w:rFonts w:eastAsia="MS Mincho" w:cstheme="minorBidi"/>
          <w:color w:val="000000" w:themeColor="text1"/>
          <w:sz w:val="20"/>
          <w:szCs w:val="20"/>
          <w:bdr w:val="none" w:sz="0" w:space="0" w:color="auto" w:frame="1"/>
        </w:rPr>
        <w:t>sub</w:t>
      </w:r>
      <w:r w:rsidRPr="004005AB">
        <w:rPr>
          <w:rFonts w:eastAsia="MS Mincho" w:cstheme="minorBidi"/>
          <w:color w:val="000000" w:themeColor="text1"/>
          <w:sz w:val="20"/>
          <w:szCs w:val="20"/>
          <w:bdr w:val="none" w:sz="0" w:space="0" w:color="auto" w:frame="1"/>
        </w:rPr>
        <w:t xml:space="preserve">clause B of the agreement, on the constitution of an ad-hoc Arbitral Tribunal, on April 14, 2021, the Argentine State sent the commission the roadmap for the </w:t>
      </w:r>
      <w:r w:rsidR="00F31D57">
        <w:rPr>
          <w:rFonts w:eastAsia="MS Mincho" w:cstheme="minorBidi"/>
          <w:color w:val="000000" w:themeColor="text1"/>
          <w:sz w:val="20"/>
          <w:szCs w:val="20"/>
          <w:bdr w:val="none" w:sz="0" w:space="0" w:color="auto" w:frame="1"/>
        </w:rPr>
        <w:t>setting-up</w:t>
      </w:r>
      <w:r w:rsidRPr="004005AB">
        <w:rPr>
          <w:rFonts w:eastAsia="MS Mincho" w:cstheme="minorBidi"/>
          <w:color w:val="000000" w:themeColor="text1"/>
          <w:sz w:val="20"/>
          <w:szCs w:val="20"/>
          <w:bdr w:val="none" w:sz="0" w:space="0" w:color="auto" w:frame="1"/>
        </w:rPr>
        <w:t xml:space="preserve"> and start-up of the arbitral tribunal, together with a </w:t>
      </w:r>
      <w:r w:rsidR="005D0BFA">
        <w:rPr>
          <w:rFonts w:eastAsia="MS Mincho" w:cstheme="minorBidi"/>
          <w:color w:val="000000" w:themeColor="text1"/>
          <w:sz w:val="20"/>
          <w:szCs w:val="20"/>
          <w:bdr w:val="none" w:sz="0" w:space="0" w:color="auto" w:frame="1"/>
        </w:rPr>
        <w:t>proposal of rules of procedure</w:t>
      </w:r>
      <w:r w:rsidRPr="004005AB">
        <w:rPr>
          <w:rFonts w:eastAsia="MS Mincho" w:cstheme="minorBidi"/>
          <w:color w:val="000000" w:themeColor="text1"/>
          <w:sz w:val="20"/>
          <w:szCs w:val="20"/>
          <w:bdr w:val="none" w:sz="0" w:space="0" w:color="auto" w:frame="1"/>
        </w:rPr>
        <w:t xml:space="preserve"> for said tribunal. On September 2, 2021, the petition</w:t>
      </w:r>
      <w:r w:rsidR="00F31D57">
        <w:rPr>
          <w:rFonts w:eastAsia="MS Mincho" w:cstheme="minorBidi"/>
          <w:color w:val="000000" w:themeColor="text1"/>
          <w:sz w:val="20"/>
          <w:szCs w:val="20"/>
          <w:bdr w:val="none" w:sz="0" w:space="0" w:color="auto" w:frame="1"/>
        </w:rPr>
        <w:t>er</w:t>
      </w:r>
      <w:r w:rsidRPr="004005AB">
        <w:rPr>
          <w:rFonts w:eastAsia="MS Mincho" w:cstheme="minorBidi"/>
          <w:color w:val="000000" w:themeColor="text1"/>
          <w:sz w:val="20"/>
          <w:szCs w:val="20"/>
          <w:bdr w:val="none" w:sz="0" w:space="0" w:color="auto" w:frame="1"/>
        </w:rPr>
        <w:t xml:space="preserve"> party expressed its agreement with the roadmap and the </w:t>
      </w:r>
      <w:r w:rsidR="005D0BFA">
        <w:rPr>
          <w:rFonts w:eastAsia="MS Mincho" w:cstheme="minorBidi"/>
          <w:color w:val="000000" w:themeColor="text1"/>
          <w:sz w:val="20"/>
          <w:szCs w:val="20"/>
          <w:bdr w:val="none" w:sz="0" w:space="0" w:color="auto" w:frame="1"/>
        </w:rPr>
        <w:t>rules of procedure</w:t>
      </w:r>
      <w:r w:rsidRPr="004005AB">
        <w:rPr>
          <w:rFonts w:eastAsia="MS Mincho" w:cstheme="minorBidi"/>
          <w:color w:val="000000" w:themeColor="text1"/>
          <w:sz w:val="20"/>
          <w:szCs w:val="20"/>
          <w:bdr w:val="none" w:sz="0" w:space="0" w:color="auto" w:frame="1"/>
        </w:rPr>
        <w:t xml:space="preserve"> proposed by the State. In this regard, the Commission takes note of said roadmap, which will be taken into consideration in monitoring compliance with the agreement.</w:t>
      </w:r>
    </w:p>
    <w:p w14:paraId="20F916EE" w14:textId="77777777" w:rsidR="00F31D57" w:rsidRPr="00F31D57" w:rsidRDefault="00F31D57" w:rsidP="00F31D57">
      <w:pPr>
        <w:pStyle w:val="ListParagraph"/>
        <w:rPr>
          <w:rFonts w:eastAsia="MS Mincho" w:cstheme="minorBidi"/>
          <w:color w:val="000000" w:themeColor="text1"/>
          <w:sz w:val="20"/>
          <w:szCs w:val="20"/>
          <w:bdr w:val="none" w:sz="0" w:space="0" w:color="auto" w:frame="1"/>
        </w:rPr>
      </w:pPr>
    </w:p>
    <w:p w14:paraId="2DC22524" w14:textId="10CF2D1D" w:rsidR="00F31D57" w:rsidRDefault="00F31D57" w:rsidP="00F31D57">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Bidi"/>
          <w:color w:val="000000" w:themeColor="text1"/>
          <w:sz w:val="20"/>
          <w:szCs w:val="20"/>
          <w:bdr w:val="none" w:sz="0" w:space="0" w:color="auto" w:frame="1"/>
        </w:rPr>
      </w:pPr>
      <w:r>
        <w:rPr>
          <w:rFonts w:eastAsia="MS Mincho" w:cstheme="minorBidi"/>
          <w:color w:val="000000" w:themeColor="text1"/>
          <w:sz w:val="20"/>
          <w:szCs w:val="20"/>
          <w:bdr w:val="none" w:sz="0" w:space="0" w:color="auto" w:frame="1"/>
        </w:rPr>
        <w:lastRenderedPageBreak/>
        <w:t>Based on the aforementioned</w:t>
      </w:r>
      <w:r w:rsidRPr="002D716C">
        <w:rPr>
          <w:rFonts w:eastAsia="MS Mincho" w:cstheme="minorBidi"/>
          <w:color w:val="000000" w:themeColor="text1"/>
          <w:sz w:val="20"/>
          <w:szCs w:val="20"/>
          <w:bdr w:val="none" w:sz="0" w:space="0" w:color="auto" w:frame="1"/>
        </w:rPr>
        <w:t xml:space="preserve">, the Commission considers that the rest of the content of the agreement is declarative in nature and therefore </w:t>
      </w:r>
      <w:r>
        <w:rPr>
          <w:rFonts w:eastAsia="MS Mincho" w:cstheme="minorBidi"/>
          <w:color w:val="000000" w:themeColor="text1"/>
          <w:sz w:val="20"/>
          <w:szCs w:val="20"/>
          <w:bdr w:val="none" w:sz="0" w:space="0" w:color="auto" w:frame="1"/>
        </w:rPr>
        <w:t>its monitoring is not appropriate</w:t>
      </w:r>
      <w:r w:rsidRPr="002D716C">
        <w:rPr>
          <w:rFonts w:eastAsia="MS Mincho" w:cstheme="minorBidi"/>
          <w:color w:val="000000" w:themeColor="text1"/>
          <w:sz w:val="20"/>
          <w:szCs w:val="20"/>
          <w:bdr w:val="none" w:sz="0" w:space="0" w:color="auto" w:frame="1"/>
        </w:rPr>
        <w:t>.</w:t>
      </w:r>
    </w:p>
    <w:p w14:paraId="3DDE4D66" w14:textId="77777777" w:rsidR="00F31D57" w:rsidRDefault="00F31D57" w:rsidP="00F31D57">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Cs/>
          <w:color w:val="000000" w:themeColor="text1"/>
          <w:sz w:val="20"/>
          <w:szCs w:val="20"/>
          <w:lang w:eastAsia="es-ES_tradnl"/>
        </w:rPr>
      </w:pPr>
    </w:p>
    <w:p w14:paraId="6D7FAB1F" w14:textId="77777777" w:rsidR="00DC40B4" w:rsidRDefault="00DC40B4" w:rsidP="00DC40B4">
      <w:pPr>
        <w:pStyle w:val="paragraph"/>
        <w:numPr>
          <w:ilvl w:val="0"/>
          <w:numId w:val="109"/>
        </w:numPr>
        <w:spacing w:before="0" w:beforeAutospacing="0" w:after="0" w:afterAutospacing="0"/>
        <w:ind w:firstLine="180"/>
        <w:jc w:val="both"/>
        <w:textAlignment w:val="baseline"/>
        <w:rPr>
          <w:rFonts w:ascii="Cambria" w:hAnsi="Cambria"/>
          <w:color w:val="000000"/>
          <w:sz w:val="20"/>
          <w:szCs w:val="20"/>
        </w:rPr>
      </w:pPr>
      <w:r>
        <w:rPr>
          <w:rStyle w:val="normaltextrun"/>
          <w:rFonts w:ascii="Cambria" w:hAnsi="Cambria"/>
          <w:b/>
          <w:bCs/>
          <w:color w:val="000000"/>
          <w:sz w:val="20"/>
          <w:szCs w:val="20"/>
        </w:rPr>
        <w:t>CONCLUSIONS</w:t>
      </w:r>
      <w:r>
        <w:rPr>
          <w:rStyle w:val="eop"/>
          <w:rFonts w:ascii="Cambria" w:hAnsi="Cambria"/>
          <w:color w:val="000000"/>
          <w:sz w:val="20"/>
          <w:szCs w:val="20"/>
        </w:rPr>
        <w:t> </w:t>
      </w:r>
    </w:p>
    <w:p w14:paraId="55D4AE82" w14:textId="77777777" w:rsidR="00DC40B4" w:rsidRDefault="00DC40B4" w:rsidP="00DC40B4">
      <w:pPr>
        <w:pStyle w:val="paragraph"/>
        <w:spacing w:before="0" w:beforeAutospacing="0" w:after="0" w:afterAutospacing="0"/>
        <w:ind w:firstLine="720"/>
        <w:jc w:val="both"/>
        <w:textAlignment w:val="baseline"/>
        <w:rPr>
          <w:rFonts w:ascii="Cambria" w:hAnsi="Cambria"/>
          <w:color w:val="000000"/>
          <w:sz w:val="20"/>
          <w:szCs w:val="20"/>
        </w:rPr>
      </w:pPr>
      <w:r>
        <w:rPr>
          <w:rStyle w:val="eop"/>
          <w:rFonts w:ascii="Cambria" w:hAnsi="Cambria"/>
          <w:color w:val="000000"/>
          <w:sz w:val="20"/>
          <w:szCs w:val="20"/>
        </w:rPr>
        <w:t> </w:t>
      </w:r>
    </w:p>
    <w:p w14:paraId="5B37A0F1" w14:textId="77777777" w:rsidR="00DC40B4" w:rsidRDefault="00DC40B4" w:rsidP="00DC40B4">
      <w:pPr>
        <w:pStyle w:val="paragraph"/>
        <w:spacing w:before="0" w:beforeAutospacing="0" w:after="0" w:afterAutospacing="0"/>
        <w:ind w:firstLine="720"/>
        <w:jc w:val="both"/>
        <w:textAlignment w:val="baseline"/>
        <w:rPr>
          <w:rFonts w:ascii="Cambria" w:hAnsi="Cambria"/>
          <w:sz w:val="20"/>
          <w:szCs w:val="20"/>
        </w:rPr>
      </w:pPr>
      <w:r>
        <w:rPr>
          <w:rStyle w:val="normaltextrun"/>
          <w:rFonts w:ascii="Cambria" w:hAnsi="Cambria"/>
          <w:color w:val="000000"/>
          <w:sz w:val="20"/>
          <w:szCs w:val="20"/>
        </w:rPr>
        <w:t xml:space="preserve">1. </w:t>
      </w:r>
      <w:r>
        <w:rPr>
          <w:rStyle w:val="tabchar"/>
          <w:rFonts w:ascii="Calibri" w:hAnsi="Calibri" w:cs="Calibri"/>
          <w:color w:val="000000"/>
          <w:sz w:val="20"/>
          <w:szCs w:val="20"/>
        </w:rPr>
        <w:tab/>
      </w:r>
      <w:r>
        <w:rPr>
          <w:rStyle w:val="normaltextrun"/>
          <w:rFonts w:ascii="Cambria" w:hAnsi="Cambria"/>
          <w:color w:val="000000"/>
          <w:sz w:val="20"/>
          <w:szCs w:val="20"/>
        </w:rPr>
        <w:t>Based on the foregoing considerations and pursuant to the procedure provided for in Articles 48.1.f and 49 of the American Convention, the Commission wishes to reiterate its deep appreciation for the efforts made by the parties and its satisfaction with the achievement of a friendly settlement in the present case, based on respect for human rights and compatible with the object and purpose of the American Convention.  </w:t>
      </w:r>
      <w:r>
        <w:rPr>
          <w:rStyle w:val="eop"/>
          <w:rFonts w:ascii="Cambria" w:hAnsi="Cambria"/>
          <w:color w:val="000000"/>
          <w:sz w:val="20"/>
          <w:szCs w:val="20"/>
        </w:rPr>
        <w:t> </w:t>
      </w:r>
    </w:p>
    <w:p w14:paraId="00263717" w14:textId="77777777" w:rsidR="00DC40B4" w:rsidRDefault="00DC40B4" w:rsidP="00DC40B4">
      <w:pPr>
        <w:pStyle w:val="paragraph"/>
        <w:spacing w:before="0" w:beforeAutospacing="0" w:after="0" w:afterAutospacing="0"/>
        <w:ind w:left="270" w:firstLine="720"/>
        <w:jc w:val="both"/>
        <w:textAlignment w:val="baseline"/>
        <w:rPr>
          <w:rFonts w:ascii="Cambria" w:hAnsi="Cambria"/>
          <w:sz w:val="20"/>
          <w:szCs w:val="20"/>
        </w:rPr>
      </w:pPr>
      <w:r>
        <w:rPr>
          <w:rStyle w:val="eop"/>
          <w:rFonts w:ascii="Cambria" w:hAnsi="Cambria"/>
          <w:color w:val="000000"/>
          <w:sz w:val="20"/>
          <w:szCs w:val="20"/>
        </w:rPr>
        <w:t> </w:t>
      </w:r>
    </w:p>
    <w:p w14:paraId="551C124B" w14:textId="77777777" w:rsidR="00DC40B4" w:rsidRDefault="00DC40B4" w:rsidP="00DC40B4">
      <w:pPr>
        <w:pStyle w:val="paragraph"/>
        <w:spacing w:before="0" w:beforeAutospacing="0" w:after="0" w:afterAutospacing="0"/>
        <w:ind w:firstLine="720"/>
        <w:jc w:val="both"/>
        <w:textAlignment w:val="baseline"/>
        <w:rPr>
          <w:rFonts w:ascii="Cambria" w:hAnsi="Cambria"/>
          <w:sz w:val="20"/>
          <w:szCs w:val="20"/>
        </w:rPr>
      </w:pPr>
      <w:r>
        <w:rPr>
          <w:rStyle w:val="normaltextrun"/>
          <w:rFonts w:ascii="Cambria" w:hAnsi="Cambria"/>
          <w:color w:val="000000"/>
          <w:sz w:val="20"/>
          <w:szCs w:val="20"/>
        </w:rPr>
        <w:t xml:space="preserve">2. </w:t>
      </w:r>
      <w:r>
        <w:rPr>
          <w:rStyle w:val="tabchar"/>
          <w:rFonts w:ascii="Calibri" w:hAnsi="Calibri" w:cs="Calibri"/>
          <w:color w:val="000000"/>
          <w:sz w:val="20"/>
          <w:szCs w:val="20"/>
        </w:rPr>
        <w:tab/>
      </w:r>
      <w:r>
        <w:rPr>
          <w:rStyle w:val="normaltextrun"/>
          <w:rFonts w:ascii="Cambria" w:hAnsi="Cambria"/>
          <w:color w:val="000000"/>
          <w:sz w:val="20"/>
          <w:szCs w:val="20"/>
        </w:rPr>
        <w:t>By virtue of the considerations and conclusions set forth in this report, </w:t>
      </w:r>
      <w:r>
        <w:rPr>
          <w:rStyle w:val="eop"/>
          <w:rFonts w:ascii="Cambria" w:hAnsi="Cambria"/>
          <w:color w:val="000000"/>
          <w:sz w:val="20"/>
          <w:szCs w:val="20"/>
        </w:rPr>
        <w:t> </w:t>
      </w:r>
    </w:p>
    <w:p w14:paraId="144C1D52" w14:textId="77777777" w:rsidR="00F31D57" w:rsidRPr="00FA675D" w:rsidRDefault="00F31D57" w:rsidP="00F31D57">
      <w:pPr>
        <w:jc w:val="both"/>
        <w:rPr>
          <w:rFonts w:ascii="Cambria" w:eastAsia="Times New Roman" w:hAnsi="Cambria" w:cstheme="minorHAnsi"/>
          <w:b/>
          <w:bCs/>
          <w:color w:val="000000" w:themeColor="text1"/>
          <w:sz w:val="20"/>
          <w:szCs w:val="20"/>
          <w:lang w:eastAsia="es-ES_tradnl"/>
        </w:rPr>
      </w:pPr>
    </w:p>
    <w:p w14:paraId="470D8F68" w14:textId="77777777" w:rsidR="00F31D57" w:rsidRPr="00FA675D" w:rsidRDefault="00F31D57" w:rsidP="00C33E68">
      <w:pPr>
        <w:pBdr>
          <w:top w:val="none" w:sz="0" w:space="0" w:color="auto"/>
          <w:left w:val="none" w:sz="0" w:space="0" w:color="auto"/>
          <w:bottom w:val="none" w:sz="0" w:space="0" w:color="auto"/>
          <w:right w:val="none" w:sz="0" w:space="0" w:color="auto"/>
          <w:between w:val="none" w:sz="0" w:space="0" w:color="auto"/>
          <w:bar w:val="none" w:sz="0" w:color="auto"/>
        </w:pBdr>
        <w:ind w:firstLine="720"/>
        <w:jc w:val="center"/>
        <w:rPr>
          <w:rFonts w:ascii="Cambria" w:eastAsia="Times New Roman" w:hAnsi="Cambria" w:cstheme="minorHAnsi"/>
          <w:b/>
          <w:bCs/>
          <w:color w:val="000000" w:themeColor="text1"/>
          <w:sz w:val="20"/>
          <w:szCs w:val="20"/>
          <w:bdr w:val="none" w:sz="0" w:space="0" w:color="auto"/>
          <w:lang w:eastAsia="es-ES_tradnl"/>
        </w:rPr>
      </w:pPr>
      <w:r w:rsidRPr="00FA675D">
        <w:rPr>
          <w:rFonts w:ascii="Cambria" w:eastAsia="Times New Roman" w:hAnsi="Cambria" w:cstheme="minorHAnsi"/>
          <w:b/>
          <w:bCs/>
          <w:color w:val="000000" w:themeColor="text1"/>
          <w:sz w:val="20"/>
          <w:szCs w:val="20"/>
          <w:lang w:eastAsia="es-ES_tradnl"/>
        </w:rPr>
        <w:t>THE INTER-AMERICAN COMMISSION ON HUMAN RIGHTS</w:t>
      </w:r>
    </w:p>
    <w:p w14:paraId="6E436098" w14:textId="77777777" w:rsidR="00F31D57" w:rsidRPr="00FA675D" w:rsidRDefault="00F31D57" w:rsidP="00F31D5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29DDA2ED" w14:textId="77777777" w:rsidR="00F31D57" w:rsidRDefault="00F31D57" w:rsidP="00C33E68">
      <w:pPr>
        <w:jc w:val="both"/>
        <w:rPr>
          <w:rFonts w:ascii="Cambria" w:eastAsia="Times New Roman" w:hAnsi="Cambria" w:cstheme="minorHAnsi"/>
          <w:b/>
          <w:bCs/>
          <w:color w:val="000000" w:themeColor="text1"/>
          <w:sz w:val="20"/>
          <w:szCs w:val="20"/>
          <w:bdr w:val="none" w:sz="0" w:space="0" w:color="auto"/>
          <w:lang w:val="es-CO" w:eastAsia="es-ES_tradnl"/>
        </w:rPr>
      </w:pPr>
      <w:r w:rsidRPr="00FA675D">
        <w:rPr>
          <w:rFonts w:ascii="Cambria" w:eastAsia="Times New Roman" w:hAnsi="Cambria" w:cstheme="minorHAnsi"/>
          <w:b/>
          <w:bCs/>
          <w:color w:val="000000" w:themeColor="text1"/>
          <w:sz w:val="20"/>
          <w:szCs w:val="20"/>
          <w:bdr w:val="none" w:sz="0" w:space="0" w:color="auto"/>
          <w:lang w:val="es-CO" w:eastAsia="es-ES_tradnl"/>
        </w:rPr>
        <w:t>DECIDE</w:t>
      </w:r>
      <w:r w:rsidRPr="00FA675D">
        <w:rPr>
          <w:rFonts w:ascii="Cambria" w:eastAsia="Times New Roman" w:hAnsi="Cambria" w:cstheme="minorHAnsi"/>
          <w:b/>
          <w:bCs/>
          <w:color w:val="000000" w:themeColor="text1"/>
          <w:sz w:val="20"/>
          <w:szCs w:val="20"/>
          <w:lang w:val="es-CO" w:eastAsia="es-ES_tradnl"/>
        </w:rPr>
        <w:t>S</w:t>
      </w:r>
      <w:r w:rsidRPr="00FA675D">
        <w:rPr>
          <w:rFonts w:ascii="Cambria" w:eastAsia="Times New Roman" w:hAnsi="Cambria" w:cstheme="minorHAnsi"/>
          <w:b/>
          <w:bCs/>
          <w:color w:val="000000" w:themeColor="text1"/>
          <w:sz w:val="20"/>
          <w:szCs w:val="20"/>
          <w:bdr w:val="none" w:sz="0" w:space="0" w:color="auto"/>
          <w:lang w:val="es-CO" w:eastAsia="es-ES_tradnl"/>
        </w:rPr>
        <w:t xml:space="preserve">: </w:t>
      </w:r>
    </w:p>
    <w:p w14:paraId="36C033BE" w14:textId="77777777" w:rsidR="00F31D57" w:rsidRDefault="00F31D57" w:rsidP="00F31D57">
      <w:pPr>
        <w:ind w:firstLine="720"/>
        <w:jc w:val="both"/>
        <w:rPr>
          <w:rFonts w:ascii="Cambria" w:eastAsia="Times New Roman" w:hAnsi="Cambria" w:cstheme="minorHAnsi"/>
          <w:b/>
          <w:bCs/>
          <w:color w:val="000000" w:themeColor="text1"/>
          <w:sz w:val="20"/>
          <w:szCs w:val="20"/>
          <w:bdr w:val="none" w:sz="0" w:space="0" w:color="auto"/>
          <w:lang w:val="es-CO" w:eastAsia="es-ES_tradnl"/>
        </w:rPr>
      </w:pPr>
    </w:p>
    <w:p w14:paraId="068DCB1B" w14:textId="6946688C" w:rsidR="00F31D57" w:rsidRPr="00F31D57" w:rsidRDefault="00F31D57" w:rsidP="00C33E68">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rFonts w:eastAsia="Times New Roman" w:cstheme="minorHAnsi"/>
          <w:color w:val="000000" w:themeColor="text1"/>
          <w:sz w:val="20"/>
          <w:szCs w:val="20"/>
          <w:bdr w:val="none" w:sz="0" w:space="0" w:color="auto"/>
          <w:lang w:eastAsia="es-ES_tradnl"/>
        </w:rPr>
      </w:pPr>
      <w:r w:rsidRPr="00F31D57">
        <w:rPr>
          <w:rFonts w:eastAsia="Times New Roman" w:cstheme="minorHAnsi"/>
          <w:color w:val="000000" w:themeColor="text1"/>
          <w:sz w:val="20"/>
          <w:szCs w:val="20"/>
          <w:bdr w:val="none" w:sz="0" w:space="0" w:color="auto"/>
          <w:lang w:eastAsia="es-ES_tradnl"/>
        </w:rPr>
        <w:t xml:space="preserve">To approve the terms of the friendly settlement agreement signed by the parties on </w:t>
      </w:r>
      <w:r>
        <w:rPr>
          <w:rFonts w:eastAsia="Times New Roman" w:cstheme="minorHAnsi"/>
          <w:color w:val="000000" w:themeColor="text1"/>
          <w:sz w:val="20"/>
          <w:szCs w:val="20"/>
          <w:bdr w:val="none" w:sz="0" w:space="0" w:color="auto"/>
          <w:lang w:eastAsia="es-ES_tradnl"/>
        </w:rPr>
        <w:t>March 18, 2021.</w:t>
      </w:r>
    </w:p>
    <w:p w14:paraId="08B57E70" w14:textId="77777777" w:rsidR="00F31D57" w:rsidRPr="00F31D57" w:rsidRDefault="00F31D57" w:rsidP="00C33E6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rFonts w:eastAsia="Times New Roman" w:cstheme="minorHAnsi"/>
          <w:color w:val="000000" w:themeColor="text1"/>
          <w:sz w:val="20"/>
          <w:szCs w:val="20"/>
          <w:bdr w:val="none" w:sz="0" w:space="0" w:color="auto"/>
          <w:lang w:eastAsia="es-ES_tradnl"/>
        </w:rPr>
      </w:pPr>
    </w:p>
    <w:p w14:paraId="35C047EF" w14:textId="0EBA8B62" w:rsidR="00F31D57" w:rsidRPr="00F31D57" w:rsidRDefault="00F31D57" w:rsidP="00C33E68">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rFonts w:eastAsia="Times New Roman" w:cstheme="minorHAnsi"/>
          <w:color w:val="000000" w:themeColor="text1"/>
          <w:sz w:val="20"/>
          <w:szCs w:val="20"/>
          <w:bdr w:val="none" w:sz="0" w:space="0" w:color="auto"/>
          <w:lang w:eastAsia="es-ES_tradnl"/>
        </w:rPr>
      </w:pPr>
      <w:r w:rsidRPr="00F31D57">
        <w:rPr>
          <w:rFonts w:eastAsia="Times New Roman" w:cstheme="minorHAnsi"/>
          <w:color w:val="000000" w:themeColor="text1"/>
          <w:sz w:val="20"/>
          <w:szCs w:val="20"/>
          <w:bdr w:val="none" w:sz="0" w:space="0" w:color="auto"/>
          <w:lang w:eastAsia="es-ES_tradnl"/>
        </w:rPr>
        <w:t xml:space="preserve">To declare subclauses </w:t>
      </w:r>
      <w:r w:rsidR="00FB4779">
        <w:rPr>
          <w:rFonts w:eastAsia="Times New Roman" w:cstheme="minorHAnsi"/>
          <w:color w:val="000000" w:themeColor="text1"/>
          <w:sz w:val="20"/>
          <w:szCs w:val="20"/>
          <w:bdr w:val="none" w:sz="0" w:space="0" w:color="auto"/>
          <w:lang w:eastAsia="es-ES_tradnl"/>
        </w:rPr>
        <w:t>A</w:t>
      </w:r>
      <w:r w:rsidRPr="00F31D57">
        <w:rPr>
          <w:rFonts w:eastAsia="Times New Roman" w:cstheme="minorHAnsi"/>
          <w:color w:val="000000" w:themeColor="text1"/>
          <w:sz w:val="20"/>
          <w:szCs w:val="20"/>
          <w:bdr w:val="none" w:sz="0" w:space="0" w:color="auto"/>
          <w:lang w:eastAsia="es-ES_tradnl"/>
        </w:rPr>
        <w:t xml:space="preserve"> </w:t>
      </w:r>
      <w:r w:rsidR="00FB4779">
        <w:rPr>
          <w:rFonts w:eastAsia="Times New Roman" w:cstheme="minorHAnsi"/>
          <w:color w:val="000000" w:themeColor="text1"/>
          <w:sz w:val="20"/>
          <w:szCs w:val="20"/>
          <w:bdr w:val="none" w:sz="0" w:space="0" w:color="auto"/>
          <w:lang w:eastAsia="es-ES_tradnl"/>
        </w:rPr>
        <w:t xml:space="preserve">(non-pecuniary reparation measures) </w:t>
      </w:r>
      <w:r w:rsidRPr="00F31D57">
        <w:rPr>
          <w:rFonts w:eastAsia="Times New Roman" w:cstheme="minorHAnsi"/>
          <w:color w:val="000000" w:themeColor="text1"/>
          <w:sz w:val="20"/>
          <w:szCs w:val="20"/>
          <w:bdr w:val="none" w:sz="0" w:space="0" w:color="auto"/>
          <w:lang w:eastAsia="es-ES_tradnl"/>
        </w:rPr>
        <w:t xml:space="preserve">and </w:t>
      </w:r>
      <w:r w:rsidR="00FB4779">
        <w:rPr>
          <w:rFonts w:eastAsia="Times New Roman" w:cstheme="minorHAnsi"/>
          <w:color w:val="000000" w:themeColor="text1"/>
          <w:sz w:val="20"/>
          <w:szCs w:val="20"/>
          <w:bdr w:val="none" w:sz="0" w:space="0" w:color="auto"/>
          <w:lang w:eastAsia="es-ES_tradnl"/>
        </w:rPr>
        <w:t>B</w:t>
      </w:r>
      <w:r w:rsidRPr="00F31D57">
        <w:rPr>
          <w:rFonts w:eastAsia="Times New Roman" w:cstheme="minorHAnsi"/>
          <w:color w:val="000000" w:themeColor="text1"/>
          <w:sz w:val="20"/>
          <w:szCs w:val="20"/>
          <w:bdr w:val="none" w:sz="0" w:space="0" w:color="auto"/>
          <w:lang w:eastAsia="es-ES_tradnl"/>
        </w:rPr>
        <w:t xml:space="preserve"> (</w:t>
      </w:r>
      <w:r w:rsidR="00FB4779">
        <w:rPr>
          <w:rFonts w:eastAsia="Times New Roman" w:cstheme="minorHAnsi"/>
          <w:color w:val="000000" w:themeColor="text1"/>
          <w:sz w:val="20"/>
          <w:szCs w:val="20"/>
          <w:bdr w:val="none" w:sz="0" w:space="0" w:color="auto"/>
          <w:lang w:eastAsia="es-ES_tradnl"/>
        </w:rPr>
        <w:t>pecuniary reparation</w:t>
      </w:r>
      <w:r w:rsidR="00A23175">
        <w:rPr>
          <w:rFonts w:eastAsia="Times New Roman" w:cstheme="minorHAnsi"/>
          <w:color w:val="000000" w:themeColor="text1"/>
          <w:sz w:val="20"/>
          <w:szCs w:val="20"/>
          <w:bdr w:val="none" w:sz="0" w:space="0" w:color="auto"/>
          <w:lang w:eastAsia="es-ES_tradnl"/>
        </w:rPr>
        <w:t xml:space="preserve"> measures</w:t>
      </w:r>
      <w:r w:rsidRPr="00F31D57">
        <w:rPr>
          <w:rFonts w:eastAsia="Times New Roman" w:cstheme="minorHAnsi"/>
          <w:color w:val="000000" w:themeColor="text1"/>
          <w:sz w:val="20"/>
          <w:szCs w:val="20"/>
          <w:bdr w:val="none" w:sz="0" w:space="0" w:color="auto"/>
          <w:lang w:eastAsia="es-ES_tradnl"/>
        </w:rPr>
        <w:t>) pending fulfilment based on the analysis included in this report.</w:t>
      </w:r>
    </w:p>
    <w:p w14:paraId="2C946CF9" w14:textId="77777777" w:rsidR="00F31D57" w:rsidRPr="00F31D57" w:rsidRDefault="00F31D57" w:rsidP="00C33E6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rFonts w:eastAsia="Times New Roman" w:cstheme="minorHAnsi"/>
          <w:color w:val="000000" w:themeColor="text1"/>
          <w:sz w:val="20"/>
          <w:szCs w:val="20"/>
          <w:bdr w:val="none" w:sz="0" w:space="0" w:color="auto"/>
          <w:lang w:eastAsia="es-ES_tradnl"/>
        </w:rPr>
      </w:pPr>
    </w:p>
    <w:p w14:paraId="55255B6E" w14:textId="0B3225C6" w:rsidR="00F31D57" w:rsidRDefault="00F31D57" w:rsidP="00C33E68">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rFonts w:eastAsia="Times New Roman" w:cstheme="minorHAnsi"/>
          <w:color w:val="000000" w:themeColor="text1"/>
          <w:sz w:val="20"/>
          <w:szCs w:val="20"/>
          <w:bdr w:val="none" w:sz="0" w:space="0" w:color="auto"/>
          <w:lang w:eastAsia="es-ES_tradnl"/>
        </w:rPr>
      </w:pPr>
      <w:r w:rsidRPr="00F31D57">
        <w:rPr>
          <w:rFonts w:eastAsia="Times New Roman" w:cstheme="minorHAnsi"/>
          <w:color w:val="000000" w:themeColor="text1"/>
          <w:sz w:val="20"/>
          <w:szCs w:val="20"/>
          <w:bdr w:val="none" w:sz="0" w:space="0" w:color="auto"/>
          <w:lang w:eastAsia="es-ES_tradnl"/>
        </w:rPr>
        <w:t xml:space="preserve">To continue with the supervision of the commitments established in </w:t>
      </w:r>
      <w:r w:rsidR="00FB4779" w:rsidRPr="00F31D57">
        <w:rPr>
          <w:rFonts w:eastAsia="Times New Roman" w:cstheme="minorHAnsi"/>
          <w:color w:val="000000" w:themeColor="text1"/>
          <w:sz w:val="20"/>
          <w:szCs w:val="20"/>
          <w:bdr w:val="none" w:sz="0" w:space="0" w:color="auto"/>
          <w:lang w:eastAsia="es-ES_tradnl"/>
        </w:rPr>
        <w:t xml:space="preserve">subclauses </w:t>
      </w:r>
      <w:r w:rsidR="00FB4779">
        <w:rPr>
          <w:rFonts w:eastAsia="Times New Roman" w:cstheme="minorHAnsi"/>
          <w:color w:val="000000" w:themeColor="text1"/>
          <w:sz w:val="20"/>
          <w:szCs w:val="20"/>
          <w:bdr w:val="none" w:sz="0" w:space="0" w:color="auto"/>
          <w:lang w:eastAsia="es-ES_tradnl"/>
        </w:rPr>
        <w:t>A</w:t>
      </w:r>
      <w:r w:rsidR="00FB4779" w:rsidRPr="00F31D57">
        <w:rPr>
          <w:rFonts w:eastAsia="Times New Roman" w:cstheme="minorHAnsi"/>
          <w:color w:val="000000" w:themeColor="text1"/>
          <w:sz w:val="20"/>
          <w:szCs w:val="20"/>
          <w:bdr w:val="none" w:sz="0" w:space="0" w:color="auto"/>
          <w:lang w:eastAsia="es-ES_tradnl"/>
        </w:rPr>
        <w:t xml:space="preserve"> </w:t>
      </w:r>
      <w:r w:rsidR="00FB4779">
        <w:rPr>
          <w:rFonts w:eastAsia="Times New Roman" w:cstheme="minorHAnsi"/>
          <w:color w:val="000000" w:themeColor="text1"/>
          <w:sz w:val="20"/>
          <w:szCs w:val="20"/>
          <w:bdr w:val="none" w:sz="0" w:space="0" w:color="auto"/>
          <w:lang w:eastAsia="es-ES_tradnl"/>
        </w:rPr>
        <w:t xml:space="preserve">(non-pecuniary reparation measures) </w:t>
      </w:r>
      <w:r w:rsidR="00FB4779" w:rsidRPr="00F31D57">
        <w:rPr>
          <w:rFonts w:eastAsia="Times New Roman" w:cstheme="minorHAnsi"/>
          <w:color w:val="000000" w:themeColor="text1"/>
          <w:sz w:val="20"/>
          <w:szCs w:val="20"/>
          <w:bdr w:val="none" w:sz="0" w:space="0" w:color="auto"/>
          <w:lang w:eastAsia="es-ES_tradnl"/>
        </w:rPr>
        <w:t xml:space="preserve">and </w:t>
      </w:r>
      <w:r w:rsidR="00FB4779">
        <w:rPr>
          <w:rFonts w:eastAsia="Times New Roman" w:cstheme="minorHAnsi"/>
          <w:color w:val="000000" w:themeColor="text1"/>
          <w:sz w:val="20"/>
          <w:szCs w:val="20"/>
          <w:bdr w:val="none" w:sz="0" w:space="0" w:color="auto"/>
          <w:lang w:eastAsia="es-ES_tradnl"/>
        </w:rPr>
        <w:t>B</w:t>
      </w:r>
      <w:r w:rsidR="00FB4779" w:rsidRPr="00F31D57">
        <w:rPr>
          <w:rFonts w:eastAsia="Times New Roman" w:cstheme="minorHAnsi"/>
          <w:color w:val="000000" w:themeColor="text1"/>
          <w:sz w:val="20"/>
          <w:szCs w:val="20"/>
          <w:bdr w:val="none" w:sz="0" w:space="0" w:color="auto"/>
          <w:lang w:eastAsia="es-ES_tradnl"/>
        </w:rPr>
        <w:t xml:space="preserve"> (</w:t>
      </w:r>
      <w:r w:rsidR="00FB4779">
        <w:rPr>
          <w:rFonts w:eastAsia="Times New Roman" w:cstheme="minorHAnsi"/>
          <w:color w:val="000000" w:themeColor="text1"/>
          <w:sz w:val="20"/>
          <w:szCs w:val="20"/>
          <w:bdr w:val="none" w:sz="0" w:space="0" w:color="auto"/>
          <w:lang w:eastAsia="es-ES_tradnl"/>
        </w:rPr>
        <w:t>measures of pecuniary reparation) of clause II of the</w:t>
      </w:r>
      <w:r w:rsidRPr="00F31D57">
        <w:rPr>
          <w:rFonts w:eastAsia="Times New Roman" w:cstheme="minorHAnsi"/>
          <w:color w:val="000000" w:themeColor="text1"/>
          <w:sz w:val="20"/>
          <w:szCs w:val="20"/>
          <w:bdr w:val="none" w:sz="0" w:space="0" w:color="auto"/>
          <w:lang w:eastAsia="es-ES_tradnl"/>
        </w:rPr>
        <w:t xml:space="preserve"> friendly s</w:t>
      </w:r>
      <w:r w:rsidR="00FB4779">
        <w:rPr>
          <w:rFonts w:eastAsia="Times New Roman" w:cstheme="minorHAnsi"/>
          <w:color w:val="000000" w:themeColor="text1"/>
          <w:sz w:val="20"/>
          <w:szCs w:val="20"/>
          <w:bdr w:val="none" w:sz="0" w:space="0" w:color="auto"/>
          <w:lang w:eastAsia="es-ES_tradnl"/>
        </w:rPr>
        <w:t>ettlement</w:t>
      </w:r>
      <w:r w:rsidRPr="00F31D57">
        <w:rPr>
          <w:rFonts w:eastAsia="Times New Roman" w:cstheme="minorHAnsi"/>
          <w:color w:val="000000" w:themeColor="text1"/>
          <w:sz w:val="20"/>
          <w:szCs w:val="20"/>
          <w:bdr w:val="none" w:sz="0" w:space="0" w:color="auto"/>
          <w:lang w:eastAsia="es-ES_tradnl"/>
        </w:rPr>
        <w:t xml:space="preserve"> agreement based on the analysis included in this report. With this aim, it reminds the parties of their commitment to periodically inform the IACHR of the compliance with said measures.</w:t>
      </w:r>
    </w:p>
    <w:p w14:paraId="2FB2474A" w14:textId="77777777" w:rsidR="00FB4779" w:rsidRPr="00FB4779" w:rsidRDefault="00FB4779" w:rsidP="00C33E68">
      <w:pPr>
        <w:pStyle w:val="ListParagraph"/>
        <w:tabs>
          <w:tab w:val="num" w:pos="720"/>
        </w:tabs>
        <w:ind w:left="0" w:firstLine="720"/>
        <w:rPr>
          <w:rFonts w:eastAsia="Times New Roman" w:cstheme="minorHAnsi"/>
          <w:color w:val="000000" w:themeColor="text1"/>
          <w:sz w:val="20"/>
          <w:szCs w:val="20"/>
          <w:bdr w:val="none" w:sz="0" w:space="0" w:color="auto"/>
          <w:lang w:eastAsia="es-ES_tradnl"/>
        </w:rPr>
      </w:pPr>
    </w:p>
    <w:p w14:paraId="1DDFD9C6" w14:textId="108ECD44" w:rsidR="00FB4779" w:rsidRPr="00F31D57" w:rsidRDefault="00FB4779" w:rsidP="00C33E68">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rFonts w:eastAsia="Times New Roman" w:cstheme="minorHAnsi"/>
          <w:color w:val="000000" w:themeColor="text1"/>
          <w:sz w:val="20"/>
          <w:szCs w:val="20"/>
          <w:bdr w:val="none" w:sz="0" w:space="0" w:color="auto"/>
          <w:lang w:eastAsia="es-ES_tradnl"/>
        </w:rPr>
      </w:pPr>
      <w:r>
        <w:rPr>
          <w:rFonts w:eastAsia="Times New Roman" w:cstheme="minorHAnsi"/>
          <w:color w:val="000000" w:themeColor="text1"/>
          <w:sz w:val="20"/>
          <w:szCs w:val="20"/>
          <w:bdr w:val="none" w:sz="0" w:space="0" w:color="auto"/>
          <w:lang w:eastAsia="es-ES_tradnl"/>
        </w:rPr>
        <w:t>To d</w:t>
      </w:r>
      <w:r w:rsidRPr="00FB4779">
        <w:rPr>
          <w:rFonts w:eastAsia="Times New Roman" w:cstheme="minorHAnsi"/>
          <w:color w:val="000000" w:themeColor="text1"/>
          <w:sz w:val="20"/>
          <w:szCs w:val="20"/>
          <w:bdr w:val="none" w:sz="0" w:space="0" w:color="auto"/>
          <w:lang w:eastAsia="es-ES_tradnl"/>
        </w:rPr>
        <w:t>eclare that the friendly settlement agreement is pending compliance, according to the analysis contained in this report.</w:t>
      </w:r>
    </w:p>
    <w:p w14:paraId="15317609" w14:textId="77777777" w:rsidR="00F31D57" w:rsidRPr="00F31D57" w:rsidRDefault="00F31D57" w:rsidP="00C33E6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rFonts w:eastAsia="Times New Roman" w:cstheme="minorHAnsi"/>
          <w:color w:val="000000" w:themeColor="text1"/>
          <w:sz w:val="20"/>
          <w:szCs w:val="20"/>
          <w:bdr w:val="none" w:sz="0" w:space="0" w:color="auto"/>
          <w:lang w:eastAsia="es-ES_tradnl"/>
        </w:rPr>
      </w:pPr>
    </w:p>
    <w:p w14:paraId="258A0067" w14:textId="77777777" w:rsidR="00F31D57" w:rsidRPr="00F31D57" w:rsidRDefault="00F31D57" w:rsidP="00C33E68">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rFonts w:eastAsia="Times New Roman" w:cstheme="minorHAnsi"/>
          <w:color w:val="000000" w:themeColor="text1"/>
          <w:sz w:val="20"/>
          <w:szCs w:val="20"/>
          <w:bdr w:val="none" w:sz="0" w:space="0" w:color="auto"/>
          <w:lang w:eastAsia="es-ES_tradnl"/>
        </w:rPr>
      </w:pPr>
      <w:r w:rsidRPr="00F31D57">
        <w:rPr>
          <w:rFonts w:eastAsia="Times New Roman" w:cstheme="minorHAnsi"/>
          <w:color w:val="000000" w:themeColor="text1"/>
          <w:sz w:val="20"/>
          <w:szCs w:val="20"/>
          <w:bdr w:val="none" w:sz="0" w:space="0" w:color="auto"/>
          <w:lang w:eastAsia="es-ES_tradnl"/>
        </w:rPr>
        <w:t>To publish this report and include it in its Annual Report to the General Assembly of the OAS.</w:t>
      </w:r>
    </w:p>
    <w:p w14:paraId="033ECC1C" w14:textId="20FF1285" w:rsidR="00D87395" w:rsidRDefault="00D87395" w:rsidP="00D87395">
      <w:pPr>
        <w:tabs>
          <w:tab w:val="center" w:pos="720"/>
        </w:tabs>
        <w:suppressAutoHyphens/>
        <w:jc w:val="both"/>
        <w:rPr>
          <w:rFonts w:asciiTheme="majorHAnsi" w:hAnsiTheme="majorHAnsi"/>
          <w:sz w:val="20"/>
          <w:szCs w:val="20"/>
        </w:rPr>
      </w:pPr>
    </w:p>
    <w:p w14:paraId="747635D4" w14:textId="037D6259" w:rsidR="00D87395" w:rsidRPr="00D87395" w:rsidRDefault="00D87395" w:rsidP="00D87395">
      <w:pPr>
        <w:tabs>
          <w:tab w:val="left" w:pos="720"/>
        </w:tabs>
        <w:suppressAutoHyphens/>
        <w:jc w:val="both"/>
        <w:rPr>
          <w:rFonts w:asciiTheme="majorHAnsi" w:hAnsiTheme="majorHAnsi"/>
          <w:sz w:val="20"/>
          <w:szCs w:val="20"/>
        </w:rPr>
      </w:pPr>
      <w:r>
        <w:rPr>
          <w:rFonts w:asciiTheme="majorHAnsi" w:hAnsiTheme="majorHAnsi"/>
          <w:sz w:val="20"/>
          <w:szCs w:val="20"/>
        </w:rPr>
        <w:tab/>
      </w:r>
      <w:r w:rsidRPr="00D87395">
        <w:rPr>
          <w:rFonts w:asciiTheme="majorHAnsi" w:hAnsiTheme="majorHAnsi"/>
          <w:sz w:val="20"/>
          <w:szCs w:val="20"/>
        </w:rPr>
        <w:t>Approved by the Inter-American Commission on Human Rights on July 25, 2022. (Signed): Julissa Mantilla Falcón, President; Edgar Stuardo Ralón Orellana, First Vice President; Margarette May Macaulay, Second Vice President; Esmeralda E. Arosemena de Troitiño; Joel Hernández Garcia; Carlos Bernal Pulido and Roberta Clarke Members of the Commission</w:t>
      </w:r>
      <w:r>
        <w:rPr>
          <w:rFonts w:asciiTheme="majorHAnsi" w:hAnsiTheme="majorHAnsi"/>
          <w:sz w:val="20"/>
          <w:szCs w:val="20"/>
        </w:rPr>
        <w:t>.</w:t>
      </w:r>
    </w:p>
    <w:p w14:paraId="7E6B6A3D" w14:textId="77777777" w:rsidR="00F31D57" w:rsidRDefault="00F31D57" w:rsidP="00F31D57">
      <w:pPr>
        <w:pStyle w:val="ListParagraph"/>
        <w:tabs>
          <w:tab w:val="center" w:pos="720"/>
        </w:tabs>
        <w:suppressAutoHyphens/>
        <w:ind w:left="1440"/>
        <w:jc w:val="both"/>
        <w:rPr>
          <w:rFonts w:asciiTheme="majorHAnsi" w:hAnsiTheme="majorHAnsi"/>
          <w:sz w:val="20"/>
          <w:szCs w:val="20"/>
        </w:rPr>
      </w:pPr>
    </w:p>
    <w:p w14:paraId="0A1A5755" w14:textId="77777777" w:rsidR="00FA675D" w:rsidRPr="00145EDC" w:rsidRDefault="00FA675D" w:rsidP="00C33E68">
      <w:pPr>
        <w:rPr>
          <w:rFonts w:asciiTheme="majorHAnsi" w:hAnsiTheme="majorHAnsi"/>
          <w:sz w:val="20"/>
          <w:szCs w:val="20"/>
        </w:rPr>
      </w:pPr>
    </w:p>
    <w:sectPr w:rsidR="00FA675D" w:rsidRPr="00145EDC"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01C99" w14:textId="77777777" w:rsidR="00DC25B4" w:rsidRDefault="00DC25B4" w:rsidP="00036A8A">
      <w:r>
        <w:separator/>
      </w:r>
    </w:p>
  </w:endnote>
  <w:endnote w:type="continuationSeparator" w:id="0">
    <w:p w14:paraId="61ED80DD" w14:textId="77777777" w:rsidR="00DC25B4" w:rsidRDefault="00DC25B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01FFA5B8"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478541A9"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B22C" w14:textId="77777777" w:rsidR="007607C4" w:rsidRDefault="007607C4">
    <w:pPr>
      <w:pStyle w:val="Footer"/>
      <w:jc w:val="center"/>
    </w:pPr>
  </w:p>
  <w:p w14:paraId="0A2B147C"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4FB0A342"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4673EADA"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906F3" w14:textId="77777777" w:rsidR="00DC25B4" w:rsidRPr="00036A8A" w:rsidRDefault="00DC25B4"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50D9434F" w14:textId="77777777" w:rsidR="00DC25B4" w:rsidRPr="00036A8A" w:rsidRDefault="00DC25B4" w:rsidP="00036A8A">
      <w:pPr>
        <w:rPr>
          <w:rFonts w:asciiTheme="majorHAnsi" w:hAnsiTheme="majorHAnsi"/>
          <w:sz w:val="16"/>
          <w:szCs w:val="16"/>
        </w:rPr>
      </w:pPr>
      <w:r w:rsidRPr="00036A8A">
        <w:rPr>
          <w:rFonts w:asciiTheme="majorHAnsi" w:hAnsiTheme="majorHAnsi"/>
          <w:sz w:val="16"/>
          <w:szCs w:val="16"/>
        </w:rPr>
        <w:separator/>
      </w:r>
    </w:p>
    <w:p w14:paraId="39F800DF" w14:textId="77777777" w:rsidR="00DC25B4" w:rsidRPr="00036A8A" w:rsidRDefault="00DC25B4"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729E89F4" w14:textId="77777777" w:rsidR="00DC25B4" w:rsidRPr="0093441A" w:rsidRDefault="00DC25B4"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46F1813C" w14:textId="556AF394" w:rsidR="004005AB" w:rsidRDefault="004005AB" w:rsidP="004005AB">
      <w:pPr>
        <w:pStyle w:val="FootnoteText"/>
      </w:pPr>
      <w:r>
        <w:rPr>
          <w:rStyle w:val="FootnoteReference"/>
        </w:rPr>
        <w:footnoteRef/>
      </w:r>
      <w:r>
        <w:t xml:space="preserve"> </w:t>
      </w:r>
      <w:r w:rsidRPr="00BC1EAC">
        <w:rPr>
          <w:rFonts w:ascii="Cambria" w:hAnsi="Cambria"/>
          <w:sz w:val="16"/>
          <w:szCs w:val="16"/>
        </w:rPr>
        <w:t xml:space="preserve">Vienna Convention of the Law of Treaties, U.N. Doc. </w:t>
      </w:r>
      <w:r w:rsidRPr="00814AC3">
        <w:rPr>
          <w:rFonts w:ascii="Cambria" w:hAnsi="Cambria"/>
          <w:sz w:val="16"/>
          <w:szCs w:val="16"/>
        </w:rPr>
        <w:t xml:space="preserve">A/CONF.39/27 (1969), Article 26: “pacta sunt servanda”. </w:t>
      </w:r>
      <w:r w:rsidRPr="00BC1EAC">
        <w:rPr>
          <w:rFonts w:ascii="Cambria" w:hAnsi="Cambria"/>
          <w:sz w:val="16"/>
          <w:szCs w:val="16"/>
        </w:rPr>
        <w:t>Every treaty in force is binding upon the parties to it and must be performed by them in good faith.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636E" w14:textId="77777777" w:rsidR="00040C3A" w:rsidRDefault="00040C3A" w:rsidP="009052F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29A60E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0D87"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2B51A0B7" wp14:editId="758F603F">
          <wp:extent cx="2209800" cy="117396"/>
          <wp:effectExtent l="0" t="0" r="0" b="0"/>
          <wp:docPr id="9" name="Picture 9"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2C0BD9F2" w14:textId="7F5EBF12" w:rsidR="00040C3A" w:rsidRPr="00EC7D62" w:rsidRDefault="00040C3A" w:rsidP="002C1641">
    <w:pPr>
      <w:pStyle w:val="Header"/>
      <w:tabs>
        <w:tab w:val="clear" w:pos="4320"/>
        <w:tab w:val="clear" w:pos="8640"/>
      </w:tabs>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34BC"/>
    <w:multiLevelType w:val="hybridMultilevel"/>
    <w:tmpl w:val="F8600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C58331E"/>
    <w:multiLevelType w:val="hybridMultilevel"/>
    <w:tmpl w:val="A1CEC8CC"/>
    <w:lvl w:ilvl="0" w:tplc="59B4AD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113AD2"/>
    <w:multiLevelType w:val="hybridMultilevel"/>
    <w:tmpl w:val="B0B23A1C"/>
    <w:lvl w:ilvl="0" w:tplc="DF8803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10"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2"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4E7EB0"/>
    <w:multiLevelType w:val="hybridMultilevel"/>
    <w:tmpl w:val="0B5285F6"/>
    <w:lvl w:ilvl="0" w:tplc="F9503E0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C054A7"/>
    <w:multiLevelType w:val="multilevel"/>
    <w:tmpl w:val="936071C8"/>
    <w:lvl w:ilvl="0">
      <w:start w:val="5"/>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343552617">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933049889">
    <w:abstractNumId w:val="6"/>
  </w:num>
  <w:num w:numId="3" w16cid:durableId="602037441">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967736095">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684895240">
    <w:abstractNumId w:val="9"/>
  </w:num>
  <w:num w:numId="6" w16cid:durableId="1509518344">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446436599">
    <w:abstractNumId w:val="61"/>
  </w:num>
  <w:num w:numId="8" w16cid:durableId="1262957629">
    <w:abstractNumId w:val="24"/>
  </w:num>
  <w:num w:numId="9" w16cid:durableId="369653564">
    <w:abstractNumId w:val="53"/>
  </w:num>
  <w:num w:numId="10" w16cid:durableId="716440472">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2123258155">
    <w:abstractNumId w:val="30"/>
  </w:num>
  <w:num w:numId="12" w16cid:durableId="1473792730">
    <w:abstractNumId w:val="59"/>
  </w:num>
  <w:num w:numId="13" w16cid:durableId="32772404">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679848179">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702395751">
    <w:abstractNumId w:val="11"/>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2191748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005480762">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118647510">
    <w:abstractNumId w:val="14"/>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449207534">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379628182">
    <w:abstractNumId w:val="10"/>
  </w:num>
  <w:num w:numId="21" w16cid:durableId="851575653">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429663064">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745808">
    <w:abstractNumId w:val="13"/>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69746198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737704044">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075858971">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43949019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294919206">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714428845">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65533472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30858844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766121000">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878471740">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516961850">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30561055">
    <w:abstractNumId w:val="20"/>
  </w:num>
  <w:num w:numId="36" w16cid:durableId="394280600">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33693275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11753014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22190021">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624046035">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86261677">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189370547">
    <w:abstractNumId w:val="42"/>
  </w:num>
  <w:num w:numId="43" w16cid:durableId="1093630029">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31574662">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2029869991">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108935579">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848369141">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714934173">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2347040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245385599">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95359239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546914265">
    <w:abstractNumId w:val="46"/>
  </w:num>
  <w:num w:numId="53" w16cid:durableId="1565213327">
    <w:abstractNumId w:val="1"/>
  </w:num>
  <w:num w:numId="54" w16cid:durableId="291837245">
    <w:abstractNumId w:val="41"/>
  </w:num>
  <w:num w:numId="55" w16cid:durableId="723259271">
    <w:abstractNumId w:val="42"/>
  </w:num>
  <w:num w:numId="56" w16cid:durableId="692537203">
    <w:abstractNumId w:val="48"/>
  </w:num>
  <w:num w:numId="57" w16cid:durableId="1268587675">
    <w:abstractNumId w:val="2"/>
  </w:num>
  <w:num w:numId="58" w16cid:durableId="540483165">
    <w:abstractNumId w:val="3"/>
  </w:num>
  <w:num w:numId="59" w16cid:durableId="1863779150">
    <w:abstractNumId w:val="11"/>
  </w:num>
  <w:num w:numId="60" w16cid:durableId="1201363407">
    <w:abstractNumId w:val="12"/>
  </w:num>
  <w:num w:numId="61" w16cid:durableId="1319723900">
    <w:abstractNumId w:val="13"/>
  </w:num>
  <w:num w:numId="62" w16cid:durableId="1763140732">
    <w:abstractNumId w:val="14"/>
  </w:num>
  <w:num w:numId="63" w16cid:durableId="224099550">
    <w:abstractNumId w:val="15"/>
  </w:num>
  <w:num w:numId="64" w16cid:durableId="1536389227">
    <w:abstractNumId w:val="16"/>
  </w:num>
  <w:num w:numId="65" w16cid:durableId="581766505">
    <w:abstractNumId w:val="17"/>
  </w:num>
  <w:num w:numId="66" w16cid:durableId="1517423685">
    <w:abstractNumId w:val="18"/>
  </w:num>
  <w:num w:numId="67" w16cid:durableId="909581580">
    <w:abstractNumId w:val="19"/>
  </w:num>
  <w:num w:numId="68" w16cid:durableId="1372220462">
    <w:abstractNumId w:val="21"/>
  </w:num>
  <w:num w:numId="69" w16cid:durableId="1873372261">
    <w:abstractNumId w:val="22"/>
  </w:num>
  <w:num w:numId="70" w16cid:durableId="2037462971">
    <w:abstractNumId w:val="25"/>
  </w:num>
  <w:num w:numId="71" w16cid:durableId="1322855916">
    <w:abstractNumId w:val="26"/>
  </w:num>
  <w:num w:numId="72" w16cid:durableId="1922133246">
    <w:abstractNumId w:val="27"/>
  </w:num>
  <w:num w:numId="73" w16cid:durableId="1672026293">
    <w:abstractNumId w:val="29"/>
  </w:num>
  <w:num w:numId="74" w16cid:durableId="960107419">
    <w:abstractNumId w:val="31"/>
  </w:num>
  <w:num w:numId="75" w16cid:durableId="606814649">
    <w:abstractNumId w:val="32"/>
  </w:num>
  <w:num w:numId="76" w16cid:durableId="1050224208">
    <w:abstractNumId w:val="33"/>
  </w:num>
  <w:num w:numId="77" w16cid:durableId="414595231">
    <w:abstractNumId w:val="34"/>
  </w:num>
  <w:num w:numId="78" w16cid:durableId="1614283266">
    <w:abstractNumId w:val="35"/>
  </w:num>
  <w:num w:numId="79" w16cid:durableId="841356987">
    <w:abstractNumId w:val="36"/>
  </w:num>
  <w:num w:numId="80" w16cid:durableId="515509987">
    <w:abstractNumId w:val="37"/>
  </w:num>
  <w:num w:numId="81" w16cid:durableId="1614555523">
    <w:abstractNumId w:val="38"/>
  </w:num>
  <w:num w:numId="82" w16cid:durableId="1134130302">
    <w:abstractNumId w:val="43"/>
  </w:num>
  <w:num w:numId="83" w16cid:durableId="2044940889">
    <w:abstractNumId w:val="44"/>
  </w:num>
  <w:num w:numId="84" w16cid:durableId="1603680548">
    <w:abstractNumId w:val="51"/>
  </w:num>
  <w:num w:numId="85" w16cid:durableId="2139377831">
    <w:abstractNumId w:val="54"/>
  </w:num>
  <w:num w:numId="86" w16cid:durableId="1116289075">
    <w:abstractNumId w:val="56"/>
  </w:num>
  <w:num w:numId="87" w16cid:durableId="145902323">
    <w:abstractNumId w:val="58"/>
  </w:num>
  <w:num w:numId="88" w16cid:durableId="1696035271">
    <w:abstractNumId w:val="60"/>
  </w:num>
  <w:num w:numId="89" w16cid:durableId="2102287755">
    <w:abstractNumId w:val="62"/>
  </w:num>
  <w:num w:numId="90" w16cid:durableId="1648589277">
    <w:abstractNumId w:val="63"/>
  </w:num>
  <w:num w:numId="91" w16cid:durableId="114638132">
    <w:abstractNumId w:val="64"/>
  </w:num>
  <w:num w:numId="92" w16cid:durableId="1691099243">
    <w:abstractNumId w:val="65"/>
  </w:num>
  <w:num w:numId="93" w16cid:durableId="667097122">
    <w:abstractNumId w:val="66"/>
  </w:num>
  <w:num w:numId="94" w16cid:durableId="501161465">
    <w:abstractNumId w:val="23"/>
  </w:num>
  <w:num w:numId="95" w16cid:durableId="1101098329">
    <w:abstractNumId w:val="45"/>
  </w:num>
  <w:num w:numId="96" w16cid:durableId="13725034">
    <w:abstractNumId w:val="57"/>
  </w:num>
  <w:num w:numId="97" w16cid:durableId="838274461">
    <w:abstractNumId w:val="55"/>
  </w:num>
  <w:num w:numId="98" w16cid:durableId="1009989075">
    <w:abstractNumId w:val="49"/>
  </w:num>
  <w:num w:numId="99" w16cid:durableId="1809200556">
    <w:abstractNumId w:val="39"/>
  </w:num>
  <w:num w:numId="100" w16cid:durableId="332951037">
    <w:abstractNumId w:val="4"/>
  </w:num>
  <w:num w:numId="101" w16cid:durableId="121972118">
    <w:abstractNumId w:val="28"/>
  </w:num>
  <w:num w:numId="102" w16cid:durableId="1936085649">
    <w:abstractNumId w:val="52"/>
  </w:num>
  <w:num w:numId="103" w16cid:durableId="123354858">
    <w:abstractNumId w:val="7"/>
  </w:num>
  <w:num w:numId="104" w16cid:durableId="634414703">
    <w:abstractNumId w:val="50"/>
  </w:num>
  <w:num w:numId="105" w16cid:durableId="1358578390">
    <w:abstractNumId w:val="8"/>
  </w:num>
  <w:num w:numId="106" w16cid:durableId="1223102751">
    <w:abstractNumId w:val="40"/>
  </w:num>
  <w:num w:numId="107" w16cid:durableId="679430020">
    <w:abstractNumId w:val="0"/>
  </w:num>
  <w:num w:numId="108" w16cid:durableId="1689333321">
    <w:abstractNumId w:val="5"/>
  </w:num>
  <w:num w:numId="109" w16cid:durableId="210386498">
    <w:abstractNumId w:val="4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70D7"/>
    <w:rsid w:val="00010D60"/>
    <w:rsid w:val="000111A8"/>
    <w:rsid w:val="0001788C"/>
    <w:rsid w:val="00036A8A"/>
    <w:rsid w:val="00040C3A"/>
    <w:rsid w:val="0005619B"/>
    <w:rsid w:val="000639C0"/>
    <w:rsid w:val="00070F3A"/>
    <w:rsid w:val="000716C5"/>
    <w:rsid w:val="00075E23"/>
    <w:rsid w:val="00092F32"/>
    <w:rsid w:val="0009344A"/>
    <w:rsid w:val="000A575F"/>
    <w:rsid w:val="000D10DB"/>
    <w:rsid w:val="0013104F"/>
    <w:rsid w:val="00137EBA"/>
    <w:rsid w:val="00145EDC"/>
    <w:rsid w:val="0015406B"/>
    <w:rsid w:val="00167A34"/>
    <w:rsid w:val="0018037F"/>
    <w:rsid w:val="001A508F"/>
    <w:rsid w:val="001A5F27"/>
    <w:rsid w:val="001A7870"/>
    <w:rsid w:val="001C1B41"/>
    <w:rsid w:val="001C7352"/>
    <w:rsid w:val="001F2BB9"/>
    <w:rsid w:val="00210E0E"/>
    <w:rsid w:val="002225CD"/>
    <w:rsid w:val="00247403"/>
    <w:rsid w:val="00247542"/>
    <w:rsid w:val="00257893"/>
    <w:rsid w:val="00266092"/>
    <w:rsid w:val="00266B61"/>
    <w:rsid w:val="0026712A"/>
    <w:rsid w:val="002704DB"/>
    <w:rsid w:val="002A65AC"/>
    <w:rsid w:val="002C1641"/>
    <w:rsid w:val="002D7EA2"/>
    <w:rsid w:val="002E15DF"/>
    <w:rsid w:val="002E187C"/>
    <w:rsid w:val="002E3E88"/>
    <w:rsid w:val="002E6E57"/>
    <w:rsid w:val="00301075"/>
    <w:rsid w:val="00302733"/>
    <w:rsid w:val="00311A4F"/>
    <w:rsid w:val="00314078"/>
    <w:rsid w:val="00322450"/>
    <w:rsid w:val="003246B5"/>
    <w:rsid w:val="0033169F"/>
    <w:rsid w:val="003414AC"/>
    <w:rsid w:val="00347995"/>
    <w:rsid w:val="003520D1"/>
    <w:rsid w:val="00356185"/>
    <w:rsid w:val="00360380"/>
    <w:rsid w:val="003815A8"/>
    <w:rsid w:val="00386CF0"/>
    <w:rsid w:val="003C32BC"/>
    <w:rsid w:val="003D3D27"/>
    <w:rsid w:val="003F1BBF"/>
    <w:rsid w:val="004005AB"/>
    <w:rsid w:val="004165C2"/>
    <w:rsid w:val="00450A4A"/>
    <w:rsid w:val="004613B6"/>
    <w:rsid w:val="004666FB"/>
    <w:rsid w:val="00467B7E"/>
    <w:rsid w:val="0049419D"/>
    <w:rsid w:val="004B2762"/>
    <w:rsid w:val="004B7EB6"/>
    <w:rsid w:val="004C3586"/>
    <w:rsid w:val="004C4B62"/>
    <w:rsid w:val="004D542D"/>
    <w:rsid w:val="004D6025"/>
    <w:rsid w:val="004D72BC"/>
    <w:rsid w:val="004E2BF6"/>
    <w:rsid w:val="004F1172"/>
    <w:rsid w:val="004F11A1"/>
    <w:rsid w:val="00501399"/>
    <w:rsid w:val="00507BC4"/>
    <w:rsid w:val="005128E4"/>
    <w:rsid w:val="00525560"/>
    <w:rsid w:val="005357A6"/>
    <w:rsid w:val="00544C49"/>
    <w:rsid w:val="00566A16"/>
    <w:rsid w:val="0057402A"/>
    <w:rsid w:val="005771D0"/>
    <w:rsid w:val="0059191A"/>
    <w:rsid w:val="005921FF"/>
    <w:rsid w:val="005971C9"/>
    <w:rsid w:val="005A6D0E"/>
    <w:rsid w:val="005B222D"/>
    <w:rsid w:val="005B52B0"/>
    <w:rsid w:val="005B6806"/>
    <w:rsid w:val="005C00F9"/>
    <w:rsid w:val="005C4225"/>
    <w:rsid w:val="005C7BA9"/>
    <w:rsid w:val="005D0BFA"/>
    <w:rsid w:val="005E1D7B"/>
    <w:rsid w:val="005F0F33"/>
    <w:rsid w:val="00600DEB"/>
    <w:rsid w:val="00613027"/>
    <w:rsid w:val="00627C9F"/>
    <w:rsid w:val="006311DA"/>
    <w:rsid w:val="006311E9"/>
    <w:rsid w:val="00632354"/>
    <w:rsid w:val="00642810"/>
    <w:rsid w:val="00652333"/>
    <w:rsid w:val="00667B6D"/>
    <w:rsid w:val="0068009E"/>
    <w:rsid w:val="006A17D2"/>
    <w:rsid w:val="006A73E6"/>
    <w:rsid w:val="006B2D5C"/>
    <w:rsid w:val="006C4EB1"/>
    <w:rsid w:val="006E0166"/>
    <w:rsid w:val="006E7B34"/>
    <w:rsid w:val="00701B24"/>
    <w:rsid w:val="007146E2"/>
    <w:rsid w:val="00745899"/>
    <w:rsid w:val="007607C4"/>
    <w:rsid w:val="0076643F"/>
    <w:rsid w:val="00783CE1"/>
    <w:rsid w:val="007A0240"/>
    <w:rsid w:val="007A2F70"/>
    <w:rsid w:val="007C3334"/>
    <w:rsid w:val="007C52BB"/>
    <w:rsid w:val="007D2B98"/>
    <w:rsid w:val="00803F1C"/>
    <w:rsid w:val="0080600E"/>
    <w:rsid w:val="00814AC3"/>
    <w:rsid w:val="00817612"/>
    <w:rsid w:val="00837C45"/>
    <w:rsid w:val="00853419"/>
    <w:rsid w:val="00897E12"/>
    <w:rsid w:val="008D43BA"/>
    <w:rsid w:val="008E3759"/>
    <w:rsid w:val="009041DC"/>
    <w:rsid w:val="009052FE"/>
    <w:rsid w:val="009104B4"/>
    <w:rsid w:val="00925FCD"/>
    <w:rsid w:val="0093441A"/>
    <w:rsid w:val="00954BF7"/>
    <w:rsid w:val="0096706E"/>
    <w:rsid w:val="00981FBA"/>
    <w:rsid w:val="009B381B"/>
    <w:rsid w:val="009D7611"/>
    <w:rsid w:val="009D770B"/>
    <w:rsid w:val="009E53DE"/>
    <w:rsid w:val="00A038FA"/>
    <w:rsid w:val="00A160A0"/>
    <w:rsid w:val="00A23175"/>
    <w:rsid w:val="00A43458"/>
    <w:rsid w:val="00A528D1"/>
    <w:rsid w:val="00A66BE5"/>
    <w:rsid w:val="00AD37C1"/>
    <w:rsid w:val="00AE66EC"/>
    <w:rsid w:val="00AE6F91"/>
    <w:rsid w:val="00AF5571"/>
    <w:rsid w:val="00B167E9"/>
    <w:rsid w:val="00B314DB"/>
    <w:rsid w:val="00B31EBE"/>
    <w:rsid w:val="00B3718B"/>
    <w:rsid w:val="00B4632A"/>
    <w:rsid w:val="00BA276C"/>
    <w:rsid w:val="00BA3E99"/>
    <w:rsid w:val="00BB306F"/>
    <w:rsid w:val="00BD232B"/>
    <w:rsid w:val="00BD4B89"/>
    <w:rsid w:val="00C21762"/>
    <w:rsid w:val="00C24543"/>
    <w:rsid w:val="00C256A2"/>
    <w:rsid w:val="00C30085"/>
    <w:rsid w:val="00C33E68"/>
    <w:rsid w:val="00C3492D"/>
    <w:rsid w:val="00C44F9A"/>
    <w:rsid w:val="00C52415"/>
    <w:rsid w:val="00C55560"/>
    <w:rsid w:val="00C66B72"/>
    <w:rsid w:val="00C9567A"/>
    <w:rsid w:val="00CB2660"/>
    <w:rsid w:val="00CC5E90"/>
    <w:rsid w:val="00CD046C"/>
    <w:rsid w:val="00CD79A2"/>
    <w:rsid w:val="00CE5199"/>
    <w:rsid w:val="00CE66D5"/>
    <w:rsid w:val="00D34778"/>
    <w:rsid w:val="00D34786"/>
    <w:rsid w:val="00D40A1E"/>
    <w:rsid w:val="00D632F0"/>
    <w:rsid w:val="00D712D3"/>
    <w:rsid w:val="00D71422"/>
    <w:rsid w:val="00D7145E"/>
    <w:rsid w:val="00D7558D"/>
    <w:rsid w:val="00D81D92"/>
    <w:rsid w:val="00D83727"/>
    <w:rsid w:val="00D837DC"/>
    <w:rsid w:val="00D87395"/>
    <w:rsid w:val="00D93446"/>
    <w:rsid w:val="00DA37B6"/>
    <w:rsid w:val="00DA7B5F"/>
    <w:rsid w:val="00DC25B4"/>
    <w:rsid w:val="00DC40B4"/>
    <w:rsid w:val="00E43157"/>
    <w:rsid w:val="00E533FF"/>
    <w:rsid w:val="00E709B3"/>
    <w:rsid w:val="00E8789F"/>
    <w:rsid w:val="00E97B71"/>
    <w:rsid w:val="00EB454D"/>
    <w:rsid w:val="00ED40D5"/>
    <w:rsid w:val="00EE3522"/>
    <w:rsid w:val="00EF619B"/>
    <w:rsid w:val="00F00B55"/>
    <w:rsid w:val="00F1380F"/>
    <w:rsid w:val="00F14F0E"/>
    <w:rsid w:val="00F24C29"/>
    <w:rsid w:val="00F253CC"/>
    <w:rsid w:val="00F31D57"/>
    <w:rsid w:val="00F56BA5"/>
    <w:rsid w:val="00F644E6"/>
    <w:rsid w:val="00F75E9F"/>
    <w:rsid w:val="00F86C06"/>
    <w:rsid w:val="00F9158D"/>
    <w:rsid w:val="00F9653B"/>
    <w:rsid w:val="00FA675D"/>
    <w:rsid w:val="00FB4779"/>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A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D79A2"/>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List1,Párrafo de lista1,List Paragraph1,Colorful List - Accent 11,List Paragraph11,Parragrap,Superíndice,Dot pt,No Spacing1,List Paragraph Char Char Char,Indicator Text,Numbered Para 1,4 Párrafo de lista,Figuras,DH1,4 Párrafo de l"/>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List1 Char,Párrafo de lista1 Char,List Paragraph1 Char,Colorful List - Accent 11 Char,List Paragraph11 Char,Parragrap Char,Superíndice Char,Dot pt Char,No Spacing1 Char,List Paragraph Char Char Char Char,Indicator Text Char"/>
    <w:basedOn w:val="DefaultParagraphFont"/>
    <w:link w:val="ListParagraph"/>
    <w:uiPriority w:val="34"/>
    <w:locked/>
    <w:rsid w:val="00FA675D"/>
    <w:rPr>
      <w:rFonts w:ascii="Cambria" w:eastAsia="Cambria" w:hAnsi="Cambria" w:cs="Cambria"/>
      <w:color w:val="000000"/>
      <w:sz w:val="24"/>
      <w:szCs w:val="24"/>
      <w:u w:color="000000"/>
      <w:lang w:val="en-US"/>
    </w:rPr>
  </w:style>
  <w:style w:type="character" w:customStyle="1" w:styleId="Heading2Char">
    <w:name w:val="Heading 2 Char"/>
    <w:basedOn w:val="DefaultParagraphFont"/>
    <w:link w:val="Heading2"/>
    <w:rsid w:val="00CD79A2"/>
    <w:rPr>
      <w:rFonts w:ascii="Arial" w:eastAsia="Times New Roman" w:hAnsi="Arial" w:cs="Arial"/>
      <w:b/>
      <w:bCs/>
      <w:i/>
      <w:iCs/>
      <w:sz w:val="28"/>
      <w:szCs w:val="28"/>
      <w:bdr w:val="none" w:sz="0" w:space="0" w:color="auto"/>
      <w:lang w:val="en-US" w:eastAsia="en-US"/>
    </w:rPr>
  </w:style>
  <w:style w:type="paragraph" w:styleId="Revision">
    <w:name w:val="Revision"/>
    <w:hidden/>
    <w:uiPriority w:val="99"/>
    <w:semiHidden/>
    <w:rsid w:val="00F9158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DC40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DC40B4"/>
  </w:style>
  <w:style w:type="character" w:customStyle="1" w:styleId="eop">
    <w:name w:val="eop"/>
    <w:basedOn w:val="DefaultParagraphFont"/>
    <w:rsid w:val="00DC40B4"/>
  </w:style>
  <w:style w:type="character" w:customStyle="1" w:styleId="tabchar">
    <w:name w:val="tabchar"/>
    <w:basedOn w:val="DefaultParagraphFont"/>
    <w:rsid w:val="00DC4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1040">
      <w:bodyDiv w:val="1"/>
      <w:marLeft w:val="0"/>
      <w:marRight w:val="0"/>
      <w:marTop w:val="0"/>
      <w:marBottom w:val="0"/>
      <w:divBdr>
        <w:top w:val="none" w:sz="0" w:space="0" w:color="auto"/>
        <w:left w:val="none" w:sz="0" w:space="0" w:color="auto"/>
        <w:bottom w:val="none" w:sz="0" w:space="0" w:color="auto"/>
        <w:right w:val="none" w:sz="0" w:space="0" w:color="auto"/>
      </w:divBdr>
      <w:divsChild>
        <w:div w:id="1278171418">
          <w:marLeft w:val="0"/>
          <w:marRight w:val="0"/>
          <w:marTop w:val="0"/>
          <w:marBottom w:val="0"/>
          <w:divBdr>
            <w:top w:val="none" w:sz="0" w:space="0" w:color="auto"/>
            <w:left w:val="none" w:sz="0" w:space="0" w:color="auto"/>
            <w:bottom w:val="none" w:sz="0" w:space="0" w:color="auto"/>
            <w:right w:val="none" w:sz="0" w:space="0" w:color="auto"/>
          </w:divBdr>
        </w:div>
        <w:div w:id="206845849">
          <w:marLeft w:val="0"/>
          <w:marRight w:val="0"/>
          <w:marTop w:val="0"/>
          <w:marBottom w:val="0"/>
          <w:divBdr>
            <w:top w:val="none" w:sz="0" w:space="0" w:color="auto"/>
            <w:left w:val="none" w:sz="0" w:space="0" w:color="auto"/>
            <w:bottom w:val="none" w:sz="0" w:space="0" w:color="auto"/>
            <w:right w:val="none" w:sz="0" w:space="0" w:color="auto"/>
          </w:divBdr>
          <w:divsChild>
            <w:div w:id="1877304927">
              <w:marLeft w:val="0"/>
              <w:marRight w:val="165"/>
              <w:marTop w:val="150"/>
              <w:marBottom w:val="0"/>
              <w:divBdr>
                <w:top w:val="none" w:sz="0" w:space="0" w:color="auto"/>
                <w:left w:val="none" w:sz="0" w:space="0" w:color="auto"/>
                <w:bottom w:val="none" w:sz="0" w:space="0" w:color="auto"/>
                <w:right w:val="none" w:sz="0" w:space="0" w:color="auto"/>
              </w:divBdr>
              <w:divsChild>
                <w:div w:id="1574047541">
                  <w:marLeft w:val="0"/>
                  <w:marRight w:val="0"/>
                  <w:marTop w:val="0"/>
                  <w:marBottom w:val="0"/>
                  <w:divBdr>
                    <w:top w:val="none" w:sz="0" w:space="0" w:color="auto"/>
                    <w:left w:val="none" w:sz="0" w:space="0" w:color="auto"/>
                    <w:bottom w:val="none" w:sz="0" w:space="0" w:color="auto"/>
                    <w:right w:val="none" w:sz="0" w:space="0" w:color="auto"/>
                  </w:divBdr>
                  <w:divsChild>
                    <w:div w:id="18686345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21246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6859">
      <w:bodyDiv w:val="1"/>
      <w:marLeft w:val="0"/>
      <w:marRight w:val="0"/>
      <w:marTop w:val="0"/>
      <w:marBottom w:val="0"/>
      <w:divBdr>
        <w:top w:val="none" w:sz="0" w:space="0" w:color="auto"/>
        <w:left w:val="none" w:sz="0" w:space="0" w:color="auto"/>
        <w:bottom w:val="none" w:sz="0" w:space="0" w:color="auto"/>
        <w:right w:val="none" w:sz="0" w:space="0" w:color="auto"/>
      </w:divBdr>
      <w:divsChild>
        <w:div w:id="1715033973">
          <w:marLeft w:val="0"/>
          <w:marRight w:val="0"/>
          <w:marTop w:val="0"/>
          <w:marBottom w:val="0"/>
          <w:divBdr>
            <w:top w:val="none" w:sz="0" w:space="0" w:color="auto"/>
            <w:left w:val="none" w:sz="0" w:space="0" w:color="auto"/>
            <w:bottom w:val="none" w:sz="0" w:space="0" w:color="auto"/>
            <w:right w:val="none" w:sz="0" w:space="0" w:color="auto"/>
          </w:divBdr>
        </w:div>
        <w:div w:id="1292860742">
          <w:marLeft w:val="0"/>
          <w:marRight w:val="0"/>
          <w:marTop w:val="0"/>
          <w:marBottom w:val="0"/>
          <w:divBdr>
            <w:top w:val="none" w:sz="0" w:space="0" w:color="auto"/>
            <w:left w:val="none" w:sz="0" w:space="0" w:color="auto"/>
            <w:bottom w:val="none" w:sz="0" w:space="0" w:color="auto"/>
            <w:right w:val="none" w:sz="0" w:space="0" w:color="auto"/>
          </w:divBdr>
        </w:div>
        <w:div w:id="499656717">
          <w:marLeft w:val="0"/>
          <w:marRight w:val="0"/>
          <w:marTop w:val="0"/>
          <w:marBottom w:val="0"/>
          <w:divBdr>
            <w:top w:val="none" w:sz="0" w:space="0" w:color="auto"/>
            <w:left w:val="none" w:sz="0" w:space="0" w:color="auto"/>
            <w:bottom w:val="none" w:sz="0" w:space="0" w:color="auto"/>
            <w:right w:val="none" w:sz="0" w:space="0" w:color="auto"/>
          </w:divBdr>
        </w:div>
      </w:divsChild>
    </w:div>
    <w:div w:id="158816884">
      <w:bodyDiv w:val="1"/>
      <w:marLeft w:val="0"/>
      <w:marRight w:val="0"/>
      <w:marTop w:val="0"/>
      <w:marBottom w:val="0"/>
      <w:divBdr>
        <w:top w:val="none" w:sz="0" w:space="0" w:color="auto"/>
        <w:left w:val="none" w:sz="0" w:space="0" w:color="auto"/>
        <w:bottom w:val="none" w:sz="0" w:space="0" w:color="auto"/>
        <w:right w:val="none" w:sz="0" w:space="0" w:color="auto"/>
      </w:divBdr>
    </w:div>
    <w:div w:id="419177619">
      <w:bodyDiv w:val="1"/>
      <w:marLeft w:val="0"/>
      <w:marRight w:val="0"/>
      <w:marTop w:val="0"/>
      <w:marBottom w:val="0"/>
      <w:divBdr>
        <w:top w:val="none" w:sz="0" w:space="0" w:color="auto"/>
        <w:left w:val="none" w:sz="0" w:space="0" w:color="auto"/>
        <w:bottom w:val="none" w:sz="0" w:space="0" w:color="auto"/>
        <w:right w:val="none" w:sz="0" w:space="0" w:color="auto"/>
      </w:divBdr>
    </w:div>
    <w:div w:id="496263992">
      <w:bodyDiv w:val="1"/>
      <w:marLeft w:val="0"/>
      <w:marRight w:val="0"/>
      <w:marTop w:val="0"/>
      <w:marBottom w:val="0"/>
      <w:divBdr>
        <w:top w:val="none" w:sz="0" w:space="0" w:color="auto"/>
        <w:left w:val="none" w:sz="0" w:space="0" w:color="auto"/>
        <w:bottom w:val="none" w:sz="0" w:space="0" w:color="auto"/>
        <w:right w:val="none" w:sz="0" w:space="0" w:color="auto"/>
      </w:divBdr>
    </w:div>
    <w:div w:id="549734142">
      <w:bodyDiv w:val="1"/>
      <w:marLeft w:val="0"/>
      <w:marRight w:val="0"/>
      <w:marTop w:val="0"/>
      <w:marBottom w:val="0"/>
      <w:divBdr>
        <w:top w:val="none" w:sz="0" w:space="0" w:color="auto"/>
        <w:left w:val="none" w:sz="0" w:space="0" w:color="auto"/>
        <w:bottom w:val="none" w:sz="0" w:space="0" w:color="auto"/>
        <w:right w:val="none" w:sz="0" w:space="0" w:color="auto"/>
      </w:divBdr>
    </w:div>
    <w:div w:id="581767391">
      <w:bodyDiv w:val="1"/>
      <w:marLeft w:val="0"/>
      <w:marRight w:val="0"/>
      <w:marTop w:val="0"/>
      <w:marBottom w:val="0"/>
      <w:divBdr>
        <w:top w:val="none" w:sz="0" w:space="0" w:color="auto"/>
        <w:left w:val="none" w:sz="0" w:space="0" w:color="auto"/>
        <w:bottom w:val="none" w:sz="0" w:space="0" w:color="auto"/>
        <w:right w:val="none" w:sz="0" w:space="0" w:color="auto"/>
      </w:divBdr>
    </w:div>
    <w:div w:id="646054498">
      <w:bodyDiv w:val="1"/>
      <w:marLeft w:val="0"/>
      <w:marRight w:val="0"/>
      <w:marTop w:val="0"/>
      <w:marBottom w:val="0"/>
      <w:divBdr>
        <w:top w:val="none" w:sz="0" w:space="0" w:color="auto"/>
        <w:left w:val="none" w:sz="0" w:space="0" w:color="auto"/>
        <w:bottom w:val="none" w:sz="0" w:space="0" w:color="auto"/>
        <w:right w:val="none" w:sz="0" w:space="0" w:color="auto"/>
      </w:divBdr>
    </w:div>
    <w:div w:id="718475308">
      <w:bodyDiv w:val="1"/>
      <w:marLeft w:val="0"/>
      <w:marRight w:val="0"/>
      <w:marTop w:val="0"/>
      <w:marBottom w:val="0"/>
      <w:divBdr>
        <w:top w:val="none" w:sz="0" w:space="0" w:color="auto"/>
        <w:left w:val="none" w:sz="0" w:space="0" w:color="auto"/>
        <w:bottom w:val="none" w:sz="0" w:space="0" w:color="auto"/>
        <w:right w:val="none" w:sz="0" w:space="0" w:color="auto"/>
      </w:divBdr>
    </w:div>
    <w:div w:id="953831236">
      <w:bodyDiv w:val="1"/>
      <w:marLeft w:val="0"/>
      <w:marRight w:val="0"/>
      <w:marTop w:val="0"/>
      <w:marBottom w:val="0"/>
      <w:divBdr>
        <w:top w:val="none" w:sz="0" w:space="0" w:color="auto"/>
        <w:left w:val="none" w:sz="0" w:space="0" w:color="auto"/>
        <w:bottom w:val="none" w:sz="0" w:space="0" w:color="auto"/>
        <w:right w:val="none" w:sz="0" w:space="0" w:color="auto"/>
      </w:divBdr>
    </w:div>
    <w:div w:id="1017266616">
      <w:bodyDiv w:val="1"/>
      <w:marLeft w:val="0"/>
      <w:marRight w:val="0"/>
      <w:marTop w:val="0"/>
      <w:marBottom w:val="0"/>
      <w:divBdr>
        <w:top w:val="none" w:sz="0" w:space="0" w:color="auto"/>
        <w:left w:val="none" w:sz="0" w:space="0" w:color="auto"/>
        <w:bottom w:val="none" w:sz="0" w:space="0" w:color="auto"/>
        <w:right w:val="none" w:sz="0" w:space="0" w:color="auto"/>
      </w:divBdr>
    </w:div>
    <w:div w:id="1202983478">
      <w:bodyDiv w:val="1"/>
      <w:marLeft w:val="0"/>
      <w:marRight w:val="0"/>
      <w:marTop w:val="0"/>
      <w:marBottom w:val="0"/>
      <w:divBdr>
        <w:top w:val="none" w:sz="0" w:space="0" w:color="auto"/>
        <w:left w:val="none" w:sz="0" w:space="0" w:color="auto"/>
        <w:bottom w:val="none" w:sz="0" w:space="0" w:color="auto"/>
        <w:right w:val="none" w:sz="0" w:space="0" w:color="auto"/>
      </w:divBdr>
    </w:div>
    <w:div w:id="1555659508">
      <w:bodyDiv w:val="1"/>
      <w:marLeft w:val="0"/>
      <w:marRight w:val="0"/>
      <w:marTop w:val="0"/>
      <w:marBottom w:val="0"/>
      <w:divBdr>
        <w:top w:val="none" w:sz="0" w:space="0" w:color="auto"/>
        <w:left w:val="none" w:sz="0" w:space="0" w:color="auto"/>
        <w:bottom w:val="none" w:sz="0" w:space="0" w:color="auto"/>
        <w:right w:val="none" w:sz="0" w:space="0" w:color="auto"/>
      </w:divBdr>
    </w:div>
    <w:div w:id="1590574379">
      <w:bodyDiv w:val="1"/>
      <w:marLeft w:val="0"/>
      <w:marRight w:val="0"/>
      <w:marTop w:val="0"/>
      <w:marBottom w:val="0"/>
      <w:divBdr>
        <w:top w:val="none" w:sz="0" w:space="0" w:color="auto"/>
        <w:left w:val="none" w:sz="0" w:space="0" w:color="auto"/>
        <w:bottom w:val="none" w:sz="0" w:space="0" w:color="auto"/>
        <w:right w:val="none" w:sz="0" w:space="0" w:color="auto"/>
      </w:divBdr>
    </w:div>
    <w:div w:id="175199731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29788761">
      <w:bodyDiv w:val="1"/>
      <w:marLeft w:val="0"/>
      <w:marRight w:val="0"/>
      <w:marTop w:val="0"/>
      <w:marBottom w:val="0"/>
      <w:divBdr>
        <w:top w:val="none" w:sz="0" w:space="0" w:color="auto"/>
        <w:left w:val="none" w:sz="0" w:space="0" w:color="auto"/>
        <w:bottom w:val="none" w:sz="0" w:space="0" w:color="auto"/>
        <w:right w:val="none" w:sz="0" w:space="0" w:color="auto"/>
      </w:divBdr>
      <w:divsChild>
        <w:div w:id="2131047777">
          <w:marLeft w:val="0"/>
          <w:marRight w:val="0"/>
          <w:marTop w:val="0"/>
          <w:marBottom w:val="0"/>
          <w:divBdr>
            <w:top w:val="none" w:sz="0" w:space="0" w:color="auto"/>
            <w:left w:val="none" w:sz="0" w:space="0" w:color="auto"/>
            <w:bottom w:val="none" w:sz="0" w:space="0" w:color="auto"/>
            <w:right w:val="none" w:sz="0" w:space="0" w:color="auto"/>
          </w:divBdr>
        </w:div>
        <w:div w:id="1345981130">
          <w:marLeft w:val="0"/>
          <w:marRight w:val="0"/>
          <w:marTop w:val="0"/>
          <w:marBottom w:val="0"/>
          <w:divBdr>
            <w:top w:val="none" w:sz="0" w:space="0" w:color="auto"/>
            <w:left w:val="none" w:sz="0" w:space="0" w:color="auto"/>
            <w:bottom w:val="none" w:sz="0" w:space="0" w:color="auto"/>
            <w:right w:val="none" w:sz="0" w:space="0" w:color="auto"/>
          </w:divBdr>
          <w:divsChild>
            <w:div w:id="612247504">
              <w:marLeft w:val="0"/>
              <w:marRight w:val="165"/>
              <w:marTop w:val="150"/>
              <w:marBottom w:val="0"/>
              <w:divBdr>
                <w:top w:val="none" w:sz="0" w:space="0" w:color="auto"/>
                <w:left w:val="none" w:sz="0" w:space="0" w:color="auto"/>
                <w:bottom w:val="none" w:sz="0" w:space="0" w:color="auto"/>
                <w:right w:val="none" w:sz="0" w:space="0" w:color="auto"/>
              </w:divBdr>
              <w:divsChild>
                <w:div w:id="1261178955">
                  <w:marLeft w:val="0"/>
                  <w:marRight w:val="0"/>
                  <w:marTop w:val="0"/>
                  <w:marBottom w:val="0"/>
                  <w:divBdr>
                    <w:top w:val="none" w:sz="0" w:space="0" w:color="auto"/>
                    <w:left w:val="none" w:sz="0" w:space="0" w:color="auto"/>
                    <w:bottom w:val="none" w:sz="0" w:space="0" w:color="auto"/>
                    <w:right w:val="none" w:sz="0" w:space="0" w:color="auto"/>
                  </w:divBdr>
                  <w:divsChild>
                    <w:div w:id="14165847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203346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6936">
      <w:bodyDiv w:val="1"/>
      <w:marLeft w:val="0"/>
      <w:marRight w:val="0"/>
      <w:marTop w:val="0"/>
      <w:marBottom w:val="0"/>
      <w:divBdr>
        <w:top w:val="none" w:sz="0" w:space="0" w:color="auto"/>
        <w:left w:val="none" w:sz="0" w:space="0" w:color="auto"/>
        <w:bottom w:val="none" w:sz="0" w:space="0" w:color="auto"/>
        <w:right w:val="none" w:sz="0" w:space="0" w:color="auto"/>
      </w:divBdr>
    </w:div>
    <w:div w:id="2122603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Props1.xml><?xml version="1.0" encoding="utf-8"?>
<ds:datastoreItem xmlns:ds="http://schemas.openxmlformats.org/officeDocument/2006/customXml" ds:itemID="{46BEC42D-1AE6-47F5-A537-1AF30DED3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6B7161-9F95-4D28-80BC-0E88815FA7FC}">
  <ds:schemaRefs>
    <ds:schemaRef ds:uri="http://schemas.microsoft.com/sharepoint/v3/contenttype/forms"/>
  </ds:schemaRefs>
</ds:datastoreItem>
</file>

<file path=customXml/itemProps3.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customXml/itemProps4.xml><?xml version="1.0" encoding="utf-8"?>
<ds:datastoreItem xmlns:ds="http://schemas.openxmlformats.org/officeDocument/2006/customXml" ds:itemID="{374C148D-9290-4540-BE87-4AF34ACD940F}">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3148</Words>
  <Characters>17949</Characters>
  <Application>Microsoft Office Word</Application>
  <DocSecurity>0</DocSecurity>
  <Lines>149</Lines>
  <Paragraphs>42</Paragraphs>
  <ScaleCrop>false</ScaleCrop>
  <Company/>
  <LinksUpToDate>false</LinksUpToDate>
  <CharactersWithSpaces>21055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2023-01-18T11:21:00Z</dcterms:created>
  <dcterms:modified xsi:type="dcterms:W3CDTF">2023-01-18T11:21:00Z</dcterms:modified>
</cp:coreProperties>
</file>