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3DA" w14:textId="77777777" w:rsidR="00040C3A" w:rsidRPr="00D12718" w:rsidRDefault="00D306D1" w:rsidP="00627C9F">
      <w:pPr>
        <w:jc w:val="both"/>
        <w:rPr>
          <w:rFonts w:asciiTheme="majorHAnsi" w:hAnsiTheme="majorHAnsi" w:cs="Univers"/>
          <w:b/>
          <w:bCs/>
          <w:sz w:val="22"/>
          <w:szCs w:val="22"/>
        </w:rPr>
      </w:pPr>
      <w:r w:rsidRPr="00D12718">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68AB3632" wp14:editId="19A4B26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754A24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D12718">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B6F551D" wp14:editId="592115C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742FE" w14:textId="77777777" w:rsidR="00CB2660" w:rsidRDefault="00AE5488" w:rsidP="00AE5488">
                            <w:r>
                              <w:rPr>
                                <w:noProof/>
                              </w:rPr>
                              <w:drawing>
                                <wp:inline distT="0" distB="0" distL="0" distR="0" wp14:anchorId="1FD24F6A" wp14:editId="3E57E908">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B6F551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81742FE" w14:textId="77777777" w:rsidR="00CB2660" w:rsidRDefault="00AE5488" w:rsidP="00AE5488">
                      <w:r>
                        <w:rPr>
                          <w:noProof/>
                        </w:rPr>
                        <w:drawing>
                          <wp:inline distT="0" distB="0" distL="0" distR="0" wp14:anchorId="1FD24F6A" wp14:editId="3E57E908">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76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18FE2AB0" w14:textId="77777777" w:rsidR="00040C3A" w:rsidRPr="00D12718" w:rsidRDefault="00040C3A" w:rsidP="00040C3A">
      <w:pPr>
        <w:tabs>
          <w:tab w:val="center" w:pos="5400"/>
        </w:tabs>
        <w:suppressAutoHyphens/>
        <w:jc w:val="both"/>
        <w:rPr>
          <w:rFonts w:asciiTheme="majorHAnsi" w:hAnsiTheme="majorHAnsi"/>
          <w:sz w:val="22"/>
          <w:szCs w:val="22"/>
        </w:rPr>
      </w:pPr>
    </w:p>
    <w:p w14:paraId="69B86944" w14:textId="77777777" w:rsidR="00040C3A" w:rsidRPr="00D12718" w:rsidRDefault="00040C3A" w:rsidP="00040C3A">
      <w:pPr>
        <w:tabs>
          <w:tab w:val="center" w:pos="5400"/>
        </w:tabs>
        <w:suppressAutoHyphens/>
        <w:jc w:val="both"/>
        <w:rPr>
          <w:rFonts w:asciiTheme="majorHAnsi" w:hAnsiTheme="majorHAnsi"/>
          <w:sz w:val="22"/>
          <w:szCs w:val="22"/>
        </w:rPr>
      </w:pPr>
    </w:p>
    <w:p w14:paraId="62AB52E8" w14:textId="77777777" w:rsidR="005128E4" w:rsidRPr="00D12718" w:rsidRDefault="005128E4" w:rsidP="00040C3A">
      <w:pPr>
        <w:tabs>
          <w:tab w:val="center" w:pos="5400"/>
        </w:tabs>
        <w:suppressAutoHyphens/>
        <w:rPr>
          <w:rFonts w:asciiTheme="majorHAnsi" w:hAnsiTheme="majorHAnsi"/>
          <w:sz w:val="22"/>
          <w:szCs w:val="22"/>
        </w:rPr>
      </w:pPr>
    </w:p>
    <w:p w14:paraId="61987C20" w14:textId="77777777" w:rsidR="005128E4" w:rsidRPr="00D12718" w:rsidRDefault="005128E4" w:rsidP="00040C3A">
      <w:pPr>
        <w:tabs>
          <w:tab w:val="center" w:pos="5400"/>
        </w:tabs>
        <w:suppressAutoHyphens/>
        <w:rPr>
          <w:rFonts w:asciiTheme="majorHAnsi" w:hAnsiTheme="majorHAnsi"/>
          <w:sz w:val="22"/>
          <w:szCs w:val="22"/>
        </w:rPr>
      </w:pPr>
    </w:p>
    <w:p w14:paraId="31DEBC68" w14:textId="77777777" w:rsidR="005128E4" w:rsidRPr="00D12718" w:rsidRDefault="005128E4" w:rsidP="00040C3A">
      <w:pPr>
        <w:tabs>
          <w:tab w:val="center" w:pos="5400"/>
        </w:tabs>
        <w:suppressAutoHyphens/>
        <w:rPr>
          <w:rFonts w:asciiTheme="majorHAnsi" w:hAnsiTheme="majorHAnsi"/>
          <w:sz w:val="22"/>
          <w:szCs w:val="22"/>
        </w:rPr>
      </w:pPr>
    </w:p>
    <w:p w14:paraId="48EEA105" w14:textId="77777777" w:rsidR="00040C3A" w:rsidRPr="00D12718" w:rsidRDefault="00040C3A" w:rsidP="005128E4">
      <w:pPr>
        <w:tabs>
          <w:tab w:val="center" w:pos="5400"/>
        </w:tabs>
        <w:suppressAutoHyphens/>
        <w:jc w:val="center"/>
        <w:rPr>
          <w:rFonts w:asciiTheme="majorHAnsi" w:hAnsiTheme="majorHAnsi"/>
          <w:sz w:val="22"/>
          <w:szCs w:val="22"/>
        </w:rPr>
      </w:pPr>
    </w:p>
    <w:p w14:paraId="05A42259" w14:textId="77777777" w:rsidR="00040C3A" w:rsidRPr="00D12718" w:rsidRDefault="00040C3A" w:rsidP="005128E4">
      <w:pPr>
        <w:tabs>
          <w:tab w:val="center" w:pos="5400"/>
        </w:tabs>
        <w:suppressAutoHyphens/>
        <w:jc w:val="center"/>
        <w:rPr>
          <w:rFonts w:asciiTheme="majorHAnsi" w:hAnsiTheme="majorHAnsi"/>
          <w:sz w:val="22"/>
          <w:szCs w:val="22"/>
        </w:rPr>
      </w:pPr>
    </w:p>
    <w:p w14:paraId="04C66888" w14:textId="77777777" w:rsidR="005B52B0" w:rsidRPr="00D12718" w:rsidRDefault="005B52B0" w:rsidP="005128E4">
      <w:pPr>
        <w:tabs>
          <w:tab w:val="center" w:pos="5400"/>
        </w:tabs>
        <w:suppressAutoHyphens/>
        <w:jc w:val="center"/>
        <w:rPr>
          <w:rFonts w:asciiTheme="majorHAnsi" w:hAnsiTheme="majorHAnsi"/>
          <w:sz w:val="22"/>
          <w:szCs w:val="22"/>
        </w:rPr>
      </w:pPr>
    </w:p>
    <w:p w14:paraId="4AA4E5B9" w14:textId="77777777" w:rsidR="005B52B0" w:rsidRPr="00D12718" w:rsidRDefault="005B52B0" w:rsidP="005128E4">
      <w:pPr>
        <w:tabs>
          <w:tab w:val="center" w:pos="5400"/>
        </w:tabs>
        <w:suppressAutoHyphens/>
        <w:jc w:val="center"/>
        <w:rPr>
          <w:rFonts w:asciiTheme="majorHAnsi" w:hAnsiTheme="majorHAnsi"/>
          <w:sz w:val="22"/>
          <w:szCs w:val="22"/>
        </w:rPr>
      </w:pPr>
    </w:p>
    <w:p w14:paraId="330DCC84" w14:textId="77777777" w:rsidR="005B52B0" w:rsidRPr="00D12718" w:rsidRDefault="005B52B0" w:rsidP="005128E4">
      <w:pPr>
        <w:tabs>
          <w:tab w:val="center" w:pos="5400"/>
        </w:tabs>
        <w:suppressAutoHyphens/>
        <w:jc w:val="center"/>
        <w:rPr>
          <w:rFonts w:asciiTheme="majorHAnsi" w:hAnsiTheme="majorHAnsi"/>
          <w:sz w:val="22"/>
          <w:szCs w:val="22"/>
        </w:rPr>
      </w:pPr>
    </w:p>
    <w:p w14:paraId="336BA36B" w14:textId="77777777" w:rsidR="00040C3A" w:rsidRPr="00D12718" w:rsidRDefault="00040C3A" w:rsidP="00040C3A">
      <w:pPr>
        <w:tabs>
          <w:tab w:val="center" w:pos="5400"/>
        </w:tabs>
        <w:suppressAutoHyphens/>
        <w:jc w:val="center"/>
        <w:rPr>
          <w:rFonts w:asciiTheme="majorHAnsi" w:hAnsiTheme="majorHAnsi"/>
          <w:sz w:val="22"/>
          <w:szCs w:val="22"/>
        </w:rPr>
      </w:pPr>
    </w:p>
    <w:p w14:paraId="436913F1" w14:textId="77777777" w:rsidR="00040C3A" w:rsidRPr="00D12718" w:rsidRDefault="00040C3A" w:rsidP="00040C3A">
      <w:pPr>
        <w:tabs>
          <w:tab w:val="center" w:pos="5400"/>
        </w:tabs>
        <w:suppressAutoHyphens/>
        <w:jc w:val="center"/>
        <w:rPr>
          <w:rFonts w:asciiTheme="majorHAnsi" w:hAnsiTheme="majorHAnsi"/>
          <w:sz w:val="22"/>
          <w:szCs w:val="22"/>
        </w:rPr>
      </w:pPr>
    </w:p>
    <w:p w14:paraId="312ED6C0" w14:textId="77777777" w:rsidR="00040C3A" w:rsidRPr="00D12718" w:rsidRDefault="003D3BC2" w:rsidP="00040C3A">
      <w:pPr>
        <w:tabs>
          <w:tab w:val="center" w:pos="5400"/>
        </w:tabs>
        <w:suppressAutoHyphens/>
        <w:jc w:val="center"/>
        <w:rPr>
          <w:rFonts w:asciiTheme="majorHAnsi" w:hAnsiTheme="majorHAnsi"/>
          <w:sz w:val="22"/>
          <w:szCs w:val="22"/>
        </w:rPr>
      </w:pPr>
      <w:r w:rsidRPr="00D12718">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4D1768" wp14:editId="5987DFC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98F65" w14:textId="123B2135" w:rsidR="005B52B0" w:rsidRPr="00460971" w:rsidRDefault="005D130C" w:rsidP="00997BC5">
                            <w:pPr>
                              <w:spacing w:line="276" w:lineRule="auto"/>
                              <w:rPr>
                                <w:rFonts w:asciiTheme="majorHAnsi" w:hAnsiTheme="majorHAnsi" w:cs="Arial"/>
                                <w:b/>
                                <w:bCs/>
                                <w:color w:val="0D0D0D" w:themeColor="text1" w:themeTint="F2"/>
                                <w:sz w:val="36"/>
                                <w:szCs w:val="22"/>
                              </w:rPr>
                            </w:pPr>
                            <w:r w:rsidRPr="00460971">
                              <w:rPr>
                                <w:rFonts w:asciiTheme="majorHAnsi" w:hAnsiTheme="majorHAnsi" w:cs="Arial"/>
                                <w:b/>
                                <w:bCs/>
                                <w:color w:val="0D0D0D" w:themeColor="text1" w:themeTint="F2"/>
                                <w:sz w:val="36"/>
                                <w:szCs w:val="22"/>
                              </w:rPr>
                              <w:t>REPORT</w:t>
                            </w:r>
                            <w:r w:rsidR="005B52B0" w:rsidRPr="00460971">
                              <w:rPr>
                                <w:rFonts w:asciiTheme="majorHAnsi" w:hAnsiTheme="majorHAnsi" w:cs="Arial"/>
                                <w:b/>
                                <w:bCs/>
                                <w:color w:val="0D0D0D" w:themeColor="text1" w:themeTint="F2"/>
                                <w:sz w:val="36"/>
                                <w:szCs w:val="22"/>
                              </w:rPr>
                              <w:t xml:space="preserve"> </w:t>
                            </w:r>
                            <w:r w:rsidR="00477592" w:rsidRPr="00460971">
                              <w:rPr>
                                <w:rFonts w:asciiTheme="majorHAnsi" w:hAnsiTheme="majorHAnsi" w:cs="Arial"/>
                                <w:b/>
                                <w:bCs/>
                                <w:color w:val="0D0D0D" w:themeColor="text1" w:themeTint="F2"/>
                                <w:sz w:val="36"/>
                                <w:szCs w:val="40"/>
                              </w:rPr>
                              <w:t>No.</w:t>
                            </w:r>
                            <w:r w:rsidR="005B52B0" w:rsidRPr="00460971">
                              <w:rPr>
                                <w:rFonts w:asciiTheme="majorHAnsi" w:hAnsiTheme="majorHAnsi" w:cs="Arial"/>
                                <w:b/>
                                <w:bCs/>
                                <w:color w:val="0D0D0D" w:themeColor="text1" w:themeTint="F2"/>
                                <w:sz w:val="36"/>
                                <w:szCs w:val="22"/>
                              </w:rPr>
                              <w:t xml:space="preserve"> </w:t>
                            </w:r>
                            <w:r w:rsidR="000F4851">
                              <w:rPr>
                                <w:rFonts w:asciiTheme="majorHAnsi" w:hAnsiTheme="majorHAnsi" w:cs="Arial"/>
                                <w:b/>
                                <w:bCs/>
                                <w:color w:val="0D0D0D" w:themeColor="text1" w:themeTint="F2"/>
                                <w:sz w:val="36"/>
                                <w:szCs w:val="22"/>
                              </w:rPr>
                              <w:t>63</w:t>
                            </w:r>
                            <w:r w:rsidR="005B52B0" w:rsidRPr="00460971">
                              <w:rPr>
                                <w:rFonts w:asciiTheme="majorHAnsi" w:hAnsiTheme="majorHAnsi" w:cs="Arial"/>
                                <w:b/>
                                <w:bCs/>
                                <w:color w:val="0D0D0D" w:themeColor="text1" w:themeTint="F2"/>
                                <w:sz w:val="36"/>
                                <w:szCs w:val="22"/>
                              </w:rPr>
                              <w:t>/</w:t>
                            </w:r>
                            <w:r w:rsidR="001D6254" w:rsidRPr="00460971">
                              <w:rPr>
                                <w:rFonts w:asciiTheme="majorHAnsi" w:hAnsiTheme="majorHAnsi" w:cs="Arial"/>
                                <w:b/>
                                <w:bCs/>
                                <w:color w:val="0D0D0D" w:themeColor="text1" w:themeTint="F2"/>
                                <w:sz w:val="36"/>
                                <w:szCs w:val="22"/>
                              </w:rPr>
                              <w:t>2</w:t>
                            </w:r>
                            <w:r w:rsidR="000E3B28" w:rsidRPr="00460971">
                              <w:rPr>
                                <w:rFonts w:asciiTheme="majorHAnsi" w:hAnsiTheme="majorHAnsi" w:cs="Arial"/>
                                <w:b/>
                                <w:bCs/>
                                <w:color w:val="0D0D0D" w:themeColor="text1" w:themeTint="F2"/>
                                <w:sz w:val="36"/>
                                <w:szCs w:val="22"/>
                              </w:rPr>
                              <w:t>2</w:t>
                            </w:r>
                          </w:p>
                          <w:p w14:paraId="3DDECD10" w14:textId="4AD6D24F" w:rsidR="005B52B0" w:rsidRPr="00460971" w:rsidRDefault="005B52B0" w:rsidP="00997BC5">
                            <w:pPr>
                              <w:spacing w:line="276" w:lineRule="auto"/>
                              <w:rPr>
                                <w:rFonts w:asciiTheme="majorHAnsi" w:hAnsiTheme="majorHAnsi" w:cs="Arial"/>
                                <w:b/>
                                <w:color w:val="0D0D0D" w:themeColor="text1" w:themeTint="F2"/>
                                <w:sz w:val="36"/>
                                <w:szCs w:val="22"/>
                              </w:rPr>
                            </w:pPr>
                            <w:r w:rsidRPr="00460971">
                              <w:rPr>
                                <w:rFonts w:asciiTheme="majorHAnsi" w:hAnsiTheme="majorHAnsi" w:cs="Arial"/>
                                <w:b/>
                                <w:color w:val="0D0D0D" w:themeColor="text1" w:themeTint="F2"/>
                                <w:sz w:val="36"/>
                                <w:szCs w:val="22"/>
                              </w:rPr>
                              <w:t>CAS</w:t>
                            </w:r>
                            <w:r w:rsidR="00F44EDA" w:rsidRPr="00460971">
                              <w:rPr>
                                <w:rFonts w:asciiTheme="majorHAnsi" w:hAnsiTheme="majorHAnsi" w:cs="Arial"/>
                                <w:b/>
                                <w:color w:val="0D0D0D" w:themeColor="text1" w:themeTint="F2"/>
                                <w:sz w:val="36"/>
                                <w:szCs w:val="22"/>
                              </w:rPr>
                              <w:t>E</w:t>
                            </w:r>
                            <w:r w:rsidRPr="00460971">
                              <w:rPr>
                                <w:rFonts w:asciiTheme="majorHAnsi" w:hAnsiTheme="majorHAnsi" w:cs="Arial"/>
                                <w:b/>
                                <w:color w:val="0D0D0D" w:themeColor="text1" w:themeTint="F2"/>
                                <w:sz w:val="36"/>
                                <w:szCs w:val="22"/>
                              </w:rPr>
                              <w:t xml:space="preserve"> </w:t>
                            </w:r>
                            <w:r w:rsidR="001D6254" w:rsidRPr="00460971">
                              <w:rPr>
                                <w:rFonts w:asciiTheme="majorHAnsi" w:hAnsiTheme="majorHAnsi" w:cs="Arial"/>
                                <w:b/>
                                <w:color w:val="0D0D0D" w:themeColor="text1" w:themeTint="F2"/>
                                <w:sz w:val="36"/>
                                <w:szCs w:val="22"/>
                              </w:rPr>
                              <w:t>13</w:t>
                            </w:r>
                            <w:r w:rsidR="008F1912" w:rsidRPr="00460971">
                              <w:rPr>
                                <w:rFonts w:asciiTheme="majorHAnsi" w:hAnsiTheme="majorHAnsi" w:cs="Arial"/>
                                <w:b/>
                                <w:color w:val="0D0D0D" w:themeColor="text1" w:themeTint="F2"/>
                                <w:sz w:val="36"/>
                                <w:szCs w:val="22"/>
                              </w:rPr>
                              <w:t>.</w:t>
                            </w:r>
                            <w:r w:rsidR="001D6254" w:rsidRPr="00460971">
                              <w:rPr>
                                <w:rFonts w:asciiTheme="majorHAnsi" w:hAnsiTheme="majorHAnsi" w:cs="Arial"/>
                                <w:b/>
                                <w:color w:val="0D0D0D" w:themeColor="text1" w:themeTint="F2"/>
                                <w:sz w:val="36"/>
                                <w:szCs w:val="22"/>
                              </w:rPr>
                              <w:t>775</w:t>
                            </w:r>
                          </w:p>
                          <w:p w14:paraId="16A20BFD" w14:textId="0E299690" w:rsidR="005B52B0" w:rsidRDefault="00546C50" w:rsidP="00997BC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Pr="00460971">
                              <w:rPr>
                                <w:rFonts w:asciiTheme="majorHAnsi" w:hAnsiTheme="majorHAnsi" w:cs="Arial"/>
                                <w:color w:val="0D0D0D" w:themeColor="text1" w:themeTint="F2"/>
                                <w:szCs w:val="22"/>
                              </w:rPr>
                              <w:t xml:space="preserve"> </w:t>
                            </w:r>
                            <w:r w:rsidR="009C7974" w:rsidRPr="00460971">
                              <w:rPr>
                                <w:rFonts w:asciiTheme="majorHAnsi" w:hAnsiTheme="majorHAnsi" w:cs="Arial"/>
                                <w:color w:val="0D0D0D" w:themeColor="text1" w:themeTint="F2"/>
                                <w:szCs w:val="22"/>
                              </w:rPr>
                              <w:t>REPORT</w:t>
                            </w:r>
                          </w:p>
                          <w:p w14:paraId="3BFEB3AD" w14:textId="77777777" w:rsidR="008B2D66" w:rsidRPr="00460971" w:rsidRDefault="008B2D66" w:rsidP="00997BC5">
                            <w:pPr>
                              <w:spacing w:line="276" w:lineRule="auto"/>
                              <w:rPr>
                                <w:rFonts w:asciiTheme="majorHAnsi" w:hAnsiTheme="majorHAnsi" w:cs="Arial"/>
                                <w:color w:val="0D0D0D" w:themeColor="text1" w:themeTint="F2"/>
                                <w:szCs w:val="22"/>
                              </w:rPr>
                            </w:pPr>
                          </w:p>
                          <w:p w14:paraId="61B296FD" w14:textId="746B8C19" w:rsidR="008F1912" w:rsidRPr="006B1848" w:rsidRDefault="001D6254" w:rsidP="00997BC5">
                            <w:pPr>
                              <w:spacing w:line="276" w:lineRule="auto"/>
                              <w:rPr>
                                <w:rFonts w:asciiTheme="majorHAnsi" w:hAnsiTheme="majorHAnsi" w:cs="Arial"/>
                                <w:color w:val="0D0D0D" w:themeColor="text1" w:themeTint="F2"/>
                                <w:szCs w:val="22"/>
                                <w:lang w:val="es-AR"/>
                              </w:rPr>
                            </w:pPr>
                            <w:bookmarkStart w:id="0" w:name="_ftnref1"/>
                            <w:r w:rsidRPr="006B1848">
                              <w:rPr>
                                <w:rFonts w:asciiTheme="majorHAnsi" w:hAnsiTheme="majorHAnsi" w:cs="Arial"/>
                                <w:color w:val="0D0D0D" w:themeColor="text1" w:themeTint="F2"/>
                                <w:szCs w:val="22"/>
                                <w:lang w:val="es-AR"/>
                              </w:rPr>
                              <w:t xml:space="preserve">GABRIEL ÁNGEL GÓMEZ MARTÍNEZ </w:t>
                            </w:r>
                            <w:r w:rsidR="00F44EDA" w:rsidRPr="006B1848">
                              <w:rPr>
                                <w:rFonts w:asciiTheme="majorHAnsi" w:hAnsiTheme="majorHAnsi" w:cs="Arial"/>
                                <w:color w:val="0D0D0D" w:themeColor="text1" w:themeTint="F2"/>
                                <w:szCs w:val="22"/>
                                <w:lang w:val="es-AR"/>
                              </w:rPr>
                              <w:t>AND</w:t>
                            </w:r>
                            <w:r w:rsidRPr="006B1848">
                              <w:rPr>
                                <w:rFonts w:asciiTheme="majorHAnsi" w:hAnsiTheme="majorHAnsi" w:cs="Arial"/>
                                <w:color w:val="0D0D0D" w:themeColor="text1" w:themeTint="F2"/>
                                <w:szCs w:val="22"/>
                                <w:lang w:val="es-AR"/>
                              </w:rPr>
                              <w:t xml:space="preserve"> FAMIL</w:t>
                            </w:r>
                            <w:r w:rsidR="00F44EDA" w:rsidRPr="006B1848">
                              <w:rPr>
                                <w:rFonts w:asciiTheme="majorHAnsi" w:hAnsiTheme="majorHAnsi" w:cs="Arial"/>
                                <w:color w:val="0D0D0D" w:themeColor="text1" w:themeTint="F2"/>
                                <w:szCs w:val="22"/>
                                <w:lang w:val="es-AR"/>
                              </w:rPr>
                              <w:t>Y</w:t>
                            </w:r>
                          </w:p>
                          <w:bookmarkEnd w:id="0"/>
                          <w:p w14:paraId="0195A57B" w14:textId="53379346" w:rsidR="005B52B0" w:rsidRPr="0010736F" w:rsidRDefault="001D625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FA12E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4D1768"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3598F65" w14:textId="123B2135" w:rsidR="005B52B0" w:rsidRPr="00460971" w:rsidRDefault="005D130C" w:rsidP="00997BC5">
                      <w:pPr>
                        <w:spacing w:line="276" w:lineRule="auto"/>
                        <w:rPr>
                          <w:rFonts w:asciiTheme="majorHAnsi" w:hAnsiTheme="majorHAnsi" w:cs="Arial"/>
                          <w:b/>
                          <w:bCs/>
                          <w:color w:val="0D0D0D" w:themeColor="text1" w:themeTint="F2"/>
                          <w:sz w:val="36"/>
                          <w:szCs w:val="22"/>
                        </w:rPr>
                      </w:pPr>
                      <w:r w:rsidRPr="00460971">
                        <w:rPr>
                          <w:rFonts w:asciiTheme="majorHAnsi" w:hAnsiTheme="majorHAnsi" w:cs="Arial"/>
                          <w:b/>
                          <w:bCs/>
                          <w:color w:val="0D0D0D" w:themeColor="text1" w:themeTint="F2"/>
                          <w:sz w:val="36"/>
                          <w:szCs w:val="22"/>
                        </w:rPr>
                        <w:t>REPORT</w:t>
                      </w:r>
                      <w:r w:rsidR="005B52B0" w:rsidRPr="00460971">
                        <w:rPr>
                          <w:rFonts w:asciiTheme="majorHAnsi" w:hAnsiTheme="majorHAnsi" w:cs="Arial"/>
                          <w:b/>
                          <w:bCs/>
                          <w:color w:val="0D0D0D" w:themeColor="text1" w:themeTint="F2"/>
                          <w:sz w:val="36"/>
                          <w:szCs w:val="22"/>
                        </w:rPr>
                        <w:t xml:space="preserve"> </w:t>
                      </w:r>
                      <w:r w:rsidR="00477592" w:rsidRPr="00460971">
                        <w:rPr>
                          <w:rFonts w:asciiTheme="majorHAnsi" w:hAnsiTheme="majorHAnsi" w:cs="Arial"/>
                          <w:b/>
                          <w:bCs/>
                          <w:color w:val="0D0D0D" w:themeColor="text1" w:themeTint="F2"/>
                          <w:sz w:val="36"/>
                          <w:szCs w:val="40"/>
                        </w:rPr>
                        <w:t>No.</w:t>
                      </w:r>
                      <w:r w:rsidR="005B52B0" w:rsidRPr="00460971">
                        <w:rPr>
                          <w:rFonts w:asciiTheme="majorHAnsi" w:hAnsiTheme="majorHAnsi" w:cs="Arial"/>
                          <w:b/>
                          <w:bCs/>
                          <w:color w:val="0D0D0D" w:themeColor="text1" w:themeTint="F2"/>
                          <w:sz w:val="36"/>
                          <w:szCs w:val="22"/>
                        </w:rPr>
                        <w:t xml:space="preserve"> </w:t>
                      </w:r>
                      <w:r w:rsidR="000F4851">
                        <w:rPr>
                          <w:rFonts w:asciiTheme="majorHAnsi" w:hAnsiTheme="majorHAnsi" w:cs="Arial"/>
                          <w:b/>
                          <w:bCs/>
                          <w:color w:val="0D0D0D" w:themeColor="text1" w:themeTint="F2"/>
                          <w:sz w:val="36"/>
                          <w:szCs w:val="22"/>
                        </w:rPr>
                        <w:t>63</w:t>
                      </w:r>
                      <w:r w:rsidR="005B52B0" w:rsidRPr="00460971">
                        <w:rPr>
                          <w:rFonts w:asciiTheme="majorHAnsi" w:hAnsiTheme="majorHAnsi" w:cs="Arial"/>
                          <w:b/>
                          <w:bCs/>
                          <w:color w:val="0D0D0D" w:themeColor="text1" w:themeTint="F2"/>
                          <w:sz w:val="36"/>
                          <w:szCs w:val="22"/>
                        </w:rPr>
                        <w:t>/</w:t>
                      </w:r>
                      <w:r w:rsidR="001D6254" w:rsidRPr="00460971">
                        <w:rPr>
                          <w:rFonts w:asciiTheme="majorHAnsi" w:hAnsiTheme="majorHAnsi" w:cs="Arial"/>
                          <w:b/>
                          <w:bCs/>
                          <w:color w:val="0D0D0D" w:themeColor="text1" w:themeTint="F2"/>
                          <w:sz w:val="36"/>
                          <w:szCs w:val="22"/>
                        </w:rPr>
                        <w:t>2</w:t>
                      </w:r>
                      <w:r w:rsidR="000E3B28" w:rsidRPr="00460971">
                        <w:rPr>
                          <w:rFonts w:asciiTheme="majorHAnsi" w:hAnsiTheme="majorHAnsi" w:cs="Arial"/>
                          <w:b/>
                          <w:bCs/>
                          <w:color w:val="0D0D0D" w:themeColor="text1" w:themeTint="F2"/>
                          <w:sz w:val="36"/>
                          <w:szCs w:val="22"/>
                        </w:rPr>
                        <w:t>2</w:t>
                      </w:r>
                    </w:p>
                    <w:p w14:paraId="3DDECD10" w14:textId="4AD6D24F" w:rsidR="005B52B0" w:rsidRPr="00460971" w:rsidRDefault="005B52B0" w:rsidP="00997BC5">
                      <w:pPr>
                        <w:spacing w:line="276" w:lineRule="auto"/>
                        <w:rPr>
                          <w:rFonts w:asciiTheme="majorHAnsi" w:hAnsiTheme="majorHAnsi" w:cs="Arial"/>
                          <w:b/>
                          <w:color w:val="0D0D0D" w:themeColor="text1" w:themeTint="F2"/>
                          <w:sz w:val="36"/>
                          <w:szCs w:val="22"/>
                        </w:rPr>
                      </w:pPr>
                      <w:r w:rsidRPr="00460971">
                        <w:rPr>
                          <w:rFonts w:asciiTheme="majorHAnsi" w:hAnsiTheme="majorHAnsi" w:cs="Arial"/>
                          <w:b/>
                          <w:color w:val="0D0D0D" w:themeColor="text1" w:themeTint="F2"/>
                          <w:sz w:val="36"/>
                          <w:szCs w:val="22"/>
                        </w:rPr>
                        <w:t>CAS</w:t>
                      </w:r>
                      <w:r w:rsidR="00F44EDA" w:rsidRPr="00460971">
                        <w:rPr>
                          <w:rFonts w:asciiTheme="majorHAnsi" w:hAnsiTheme="majorHAnsi" w:cs="Arial"/>
                          <w:b/>
                          <w:color w:val="0D0D0D" w:themeColor="text1" w:themeTint="F2"/>
                          <w:sz w:val="36"/>
                          <w:szCs w:val="22"/>
                        </w:rPr>
                        <w:t>E</w:t>
                      </w:r>
                      <w:r w:rsidRPr="00460971">
                        <w:rPr>
                          <w:rFonts w:asciiTheme="majorHAnsi" w:hAnsiTheme="majorHAnsi" w:cs="Arial"/>
                          <w:b/>
                          <w:color w:val="0D0D0D" w:themeColor="text1" w:themeTint="F2"/>
                          <w:sz w:val="36"/>
                          <w:szCs w:val="22"/>
                        </w:rPr>
                        <w:t xml:space="preserve"> </w:t>
                      </w:r>
                      <w:r w:rsidR="001D6254" w:rsidRPr="00460971">
                        <w:rPr>
                          <w:rFonts w:asciiTheme="majorHAnsi" w:hAnsiTheme="majorHAnsi" w:cs="Arial"/>
                          <w:b/>
                          <w:color w:val="0D0D0D" w:themeColor="text1" w:themeTint="F2"/>
                          <w:sz w:val="36"/>
                          <w:szCs w:val="22"/>
                        </w:rPr>
                        <w:t>13</w:t>
                      </w:r>
                      <w:r w:rsidR="008F1912" w:rsidRPr="00460971">
                        <w:rPr>
                          <w:rFonts w:asciiTheme="majorHAnsi" w:hAnsiTheme="majorHAnsi" w:cs="Arial"/>
                          <w:b/>
                          <w:color w:val="0D0D0D" w:themeColor="text1" w:themeTint="F2"/>
                          <w:sz w:val="36"/>
                          <w:szCs w:val="22"/>
                        </w:rPr>
                        <w:t>.</w:t>
                      </w:r>
                      <w:r w:rsidR="001D6254" w:rsidRPr="00460971">
                        <w:rPr>
                          <w:rFonts w:asciiTheme="majorHAnsi" w:hAnsiTheme="majorHAnsi" w:cs="Arial"/>
                          <w:b/>
                          <w:color w:val="0D0D0D" w:themeColor="text1" w:themeTint="F2"/>
                          <w:sz w:val="36"/>
                          <w:szCs w:val="22"/>
                        </w:rPr>
                        <w:t>775</w:t>
                      </w:r>
                    </w:p>
                    <w:p w14:paraId="16A20BFD" w14:textId="0E299690" w:rsidR="005B52B0" w:rsidRDefault="00546C50" w:rsidP="00997BC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Pr="00460971">
                        <w:rPr>
                          <w:rFonts w:asciiTheme="majorHAnsi" w:hAnsiTheme="majorHAnsi" w:cs="Arial"/>
                          <w:color w:val="0D0D0D" w:themeColor="text1" w:themeTint="F2"/>
                          <w:szCs w:val="22"/>
                        </w:rPr>
                        <w:t xml:space="preserve"> </w:t>
                      </w:r>
                      <w:r w:rsidR="009C7974" w:rsidRPr="00460971">
                        <w:rPr>
                          <w:rFonts w:asciiTheme="majorHAnsi" w:hAnsiTheme="majorHAnsi" w:cs="Arial"/>
                          <w:color w:val="0D0D0D" w:themeColor="text1" w:themeTint="F2"/>
                          <w:szCs w:val="22"/>
                        </w:rPr>
                        <w:t>REPORT</w:t>
                      </w:r>
                    </w:p>
                    <w:p w14:paraId="3BFEB3AD" w14:textId="77777777" w:rsidR="008B2D66" w:rsidRPr="00460971" w:rsidRDefault="008B2D66" w:rsidP="00997BC5">
                      <w:pPr>
                        <w:spacing w:line="276" w:lineRule="auto"/>
                        <w:rPr>
                          <w:rFonts w:asciiTheme="majorHAnsi" w:hAnsiTheme="majorHAnsi" w:cs="Arial"/>
                          <w:color w:val="0D0D0D" w:themeColor="text1" w:themeTint="F2"/>
                          <w:szCs w:val="22"/>
                        </w:rPr>
                      </w:pPr>
                    </w:p>
                    <w:p w14:paraId="61B296FD" w14:textId="746B8C19" w:rsidR="008F1912" w:rsidRPr="006B1848" w:rsidRDefault="001D6254" w:rsidP="00997BC5">
                      <w:pPr>
                        <w:spacing w:line="276" w:lineRule="auto"/>
                        <w:rPr>
                          <w:rFonts w:asciiTheme="majorHAnsi" w:hAnsiTheme="majorHAnsi" w:cs="Arial"/>
                          <w:color w:val="0D0D0D" w:themeColor="text1" w:themeTint="F2"/>
                          <w:szCs w:val="22"/>
                          <w:lang w:val="es-AR"/>
                        </w:rPr>
                      </w:pPr>
                      <w:bookmarkStart w:id="1" w:name="_ftnref1"/>
                      <w:r w:rsidRPr="006B1848">
                        <w:rPr>
                          <w:rFonts w:asciiTheme="majorHAnsi" w:hAnsiTheme="majorHAnsi" w:cs="Arial"/>
                          <w:color w:val="0D0D0D" w:themeColor="text1" w:themeTint="F2"/>
                          <w:szCs w:val="22"/>
                          <w:lang w:val="es-AR"/>
                        </w:rPr>
                        <w:t xml:space="preserve">GABRIEL ÁNGEL GÓMEZ MARTÍNEZ </w:t>
                      </w:r>
                      <w:r w:rsidR="00F44EDA" w:rsidRPr="006B1848">
                        <w:rPr>
                          <w:rFonts w:asciiTheme="majorHAnsi" w:hAnsiTheme="majorHAnsi" w:cs="Arial"/>
                          <w:color w:val="0D0D0D" w:themeColor="text1" w:themeTint="F2"/>
                          <w:szCs w:val="22"/>
                          <w:lang w:val="es-AR"/>
                        </w:rPr>
                        <w:t>AND</w:t>
                      </w:r>
                      <w:r w:rsidRPr="006B1848">
                        <w:rPr>
                          <w:rFonts w:asciiTheme="majorHAnsi" w:hAnsiTheme="majorHAnsi" w:cs="Arial"/>
                          <w:color w:val="0D0D0D" w:themeColor="text1" w:themeTint="F2"/>
                          <w:szCs w:val="22"/>
                          <w:lang w:val="es-AR"/>
                        </w:rPr>
                        <w:t xml:space="preserve"> FAMIL</w:t>
                      </w:r>
                      <w:r w:rsidR="00F44EDA" w:rsidRPr="006B1848">
                        <w:rPr>
                          <w:rFonts w:asciiTheme="majorHAnsi" w:hAnsiTheme="majorHAnsi" w:cs="Arial"/>
                          <w:color w:val="0D0D0D" w:themeColor="text1" w:themeTint="F2"/>
                          <w:szCs w:val="22"/>
                          <w:lang w:val="es-AR"/>
                        </w:rPr>
                        <w:t>Y</w:t>
                      </w:r>
                    </w:p>
                    <w:bookmarkEnd w:id="1"/>
                    <w:p w14:paraId="0195A57B" w14:textId="53379346" w:rsidR="005B52B0" w:rsidRPr="0010736F" w:rsidRDefault="001D625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FA12EF" w14:textId="77777777" w:rsidR="005B52B0" w:rsidRPr="00AE5488" w:rsidRDefault="005B52B0" w:rsidP="007A5817">
                      <w:pPr>
                        <w:rPr>
                          <w:color w:val="0D0D0D" w:themeColor="text1" w:themeTint="F2"/>
                          <w:lang w:val="es-ES_tradnl"/>
                        </w:rPr>
                      </w:pPr>
                    </w:p>
                  </w:txbxContent>
                </v:textbox>
              </v:shape>
            </w:pict>
          </mc:Fallback>
        </mc:AlternateContent>
      </w:r>
      <w:r w:rsidR="004E2649" w:rsidRPr="00D12718">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4C9FA2F7" wp14:editId="233BABE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6AADC" w14:textId="6BE078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OA</w:t>
                            </w:r>
                            <w:r w:rsidR="00F44EDA">
                              <w:rPr>
                                <w:rFonts w:asciiTheme="minorHAnsi" w:hAnsiTheme="minorHAnsi"/>
                                <w:color w:val="FFFFFF" w:themeColor="background1"/>
                                <w:sz w:val="22"/>
                                <w:lang w:val="pt-BR"/>
                              </w:rPr>
                              <w:t>S</w:t>
                            </w:r>
                            <w:r w:rsidRPr="004E2649">
                              <w:rPr>
                                <w:rFonts w:asciiTheme="minorHAnsi" w:hAnsiTheme="minorHAnsi"/>
                                <w:color w:val="FFFFFF" w:themeColor="background1"/>
                                <w:sz w:val="22"/>
                                <w:lang w:val="pt-BR"/>
                              </w:rPr>
                              <w:t>/Ser.L/V/II.</w:t>
                            </w:r>
                          </w:p>
                          <w:p w14:paraId="5CA57F01" w14:textId="2D6318A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4851">
                              <w:rPr>
                                <w:rFonts w:asciiTheme="minorHAnsi" w:hAnsiTheme="minorHAnsi"/>
                                <w:color w:val="FFFFFF" w:themeColor="background1"/>
                                <w:sz w:val="22"/>
                                <w:lang w:val="pt-BR"/>
                              </w:rPr>
                              <w:t>66</w:t>
                            </w:r>
                          </w:p>
                          <w:p w14:paraId="54063556" w14:textId="7C4F588D" w:rsidR="00627C9F" w:rsidRPr="003E7EB5" w:rsidRDefault="000F485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0F4851">
                              <w:rPr>
                                <w:rFonts w:asciiTheme="minorHAnsi" w:hAnsiTheme="minorHAnsi"/>
                                <w:color w:val="FFFFFF" w:themeColor="background1"/>
                                <w:sz w:val="22"/>
                                <w:lang w:val="es-CO"/>
                              </w:rPr>
                              <w:t xml:space="preserve"> </w:t>
                            </w:r>
                            <w:r w:rsidR="0071194A">
                              <w:rPr>
                                <w:rFonts w:asciiTheme="minorHAnsi" w:hAnsiTheme="minorHAnsi"/>
                                <w:color w:val="FFFFFF" w:themeColor="background1"/>
                                <w:sz w:val="22"/>
                                <w:lang w:val="es-CO"/>
                              </w:rPr>
                              <w:t>M</w:t>
                            </w:r>
                            <w:r>
                              <w:rPr>
                                <w:rFonts w:asciiTheme="minorHAnsi" w:hAnsiTheme="minorHAnsi"/>
                                <w:color w:val="FFFFFF" w:themeColor="background1"/>
                                <w:sz w:val="22"/>
                                <w:lang w:val="es-CO"/>
                              </w:rPr>
                              <w:t>ay</w:t>
                            </w:r>
                            <w:r w:rsidR="00627C9F" w:rsidRPr="000F4851">
                              <w:rPr>
                                <w:rFonts w:asciiTheme="minorHAnsi" w:hAnsiTheme="minorHAnsi"/>
                                <w:color w:val="FFFFFF" w:themeColor="background1"/>
                                <w:sz w:val="22"/>
                                <w:lang w:val="es-CO"/>
                              </w:rPr>
                              <w:t xml:space="preserve"> 20</w:t>
                            </w:r>
                            <w:r w:rsidR="001D6254" w:rsidRPr="000F4851">
                              <w:rPr>
                                <w:rFonts w:asciiTheme="minorHAnsi" w:hAnsiTheme="minorHAnsi"/>
                                <w:color w:val="FFFFFF" w:themeColor="background1"/>
                                <w:sz w:val="22"/>
                                <w:lang w:val="es-CO"/>
                              </w:rPr>
                              <w:t>2</w:t>
                            </w:r>
                            <w:r>
                              <w:rPr>
                                <w:rFonts w:asciiTheme="minorHAnsi" w:hAnsiTheme="minorHAnsi"/>
                                <w:color w:val="FFFFFF" w:themeColor="background1"/>
                                <w:sz w:val="22"/>
                                <w:lang w:val="es-CO"/>
                              </w:rPr>
                              <w:t>2</w:t>
                            </w:r>
                          </w:p>
                          <w:p w14:paraId="0D38F445" w14:textId="5AFB0992"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proofErr w:type="spellStart"/>
                            <w:r w:rsidR="00F44EDA">
                              <w:rPr>
                                <w:rFonts w:asciiTheme="minorHAnsi" w:hAnsiTheme="minorHAnsi"/>
                                <w:color w:val="FFFFFF" w:themeColor="background1"/>
                                <w:sz w:val="22"/>
                                <w:lang w:val="es-CO"/>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FA2F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C16AADC" w14:textId="6BE078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OA</w:t>
                      </w:r>
                      <w:r w:rsidR="00F44EDA">
                        <w:rPr>
                          <w:rFonts w:asciiTheme="minorHAnsi" w:hAnsiTheme="minorHAnsi"/>
                          <w:color w:val="FFFFFF" w:themeColor="background1"/>
                          <w:sz w:val="22"/>
                          <w:lang w:val="pt-BR"/>
                        </w:rPr>
                        <w:t>S</w:t>
                      </w:r>
                      <w:r w:rsidRPr="004E2649">
                        <w:rPr>
                          <w:rFonts w:asciiTheme="minorHAnsi" w:hAnsiTheme="minorHAnsi"/>
                          <w:color w:val="FFFFFF" w:themeColor="background1"/>
                          <w:sz w:val="22"/>
                          <w:lang w:val="pt-BR"/>
                        </w:rPr>
                        <w:t>/Ser.L/V/II.</w:t>
                      </w:r>
                    </w:p>
                    <w:p w14:paraId="5CA57F01" w14:textId="2D6318A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4851">
                        <w:rPr>
                          <w:rFonts w:asciiTheme="minorHAnsi" w:hAnsiTheme="minorHAnsi"/>
                          <w:color w:val="FFFFFF" w:themeColor="background1"/>
                          <w:sz w:val="22"/>
                          <w:lang w:val="pt-BR"/>
                        </w:rPr>
                        <w:t>66</w:t>
                      </w:r>
                    </w:p>
                    <w:p w14:paraId="54063556" w14:textId="7C4F588D" w:rsidR="00627C9F" w:rsidRPr="003E7EB5" w:rsidRDefault="000F485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w:t>
                      </w:r>
                      <w:r w:rsidR="00627C9F" w:rsidRPr="000F4851">
                        <w:rPr>
                          <w:rFonts w:asciiTheme="minorHAnsi" w:hAnsiTheme="minorHAnsi"/>
                          <w:color w:val="FFFFFF" w:themeColor="background1"/>
                          <w:sz w:val="22"/>
                          <w:lang w:val="es-CO"/>
                        </w:rPr>
                        <w:t xml:space="preserve"> </w:t>
                      </w:r>
                      <w:r w:rsidR="0071194A">
                        <w:rPr>
                          <w:rFonts w:asciiTheme="minorHAnsi" w:hAnsiTheme="minorHAnsi"/>
                          <w:color w:val="FFFFFF" w:themeColor="background1"/>
                          <w:sz w:val="22"/>
                          <w:lang w:val="es-CO"/>
                        </w:rPr>
                        <w:t>M</w:t>
                      </w:r>
                      <w:r>
                        <w:rPr>
                          <w:rFonts w:asciiTheme="minorHAnsi" w:hAnsiTheme="minorHAnsi"/>
                          <w:color w:val="FFFFFF" w:themeColor="background1"/>
                          <w:sz w:val="22"/>
                          <w:lang w:val="es-CO"/>
                        </w:rPr>
                        <w:t>ay</w:t>
                      </w:r>
                      <w:r w:rsidR="00627C9F" w:rsidRPr="000F4851">
                        <w:rPr>
                          <w:rFonts w:asciiTheme="minorHAnsi" w:hAnsiTheme="minorHAnsi"/>
                          <w:color w:val="FFFFFF" w:themeColor="background1"/>
                          <w:sz w:val="22"/>
                          <w:lang w:val="es-CO"/>
                        </w:rPr>
                        <w:t xml:space="preserve"> 20</w:t>
                      </w:r>
                      <w:r w:rsidR="001D6254" w:rsidRPr="000F4851">
                        <w:rPr>
                          <w:rFonts w:asciiTheme="minorHAnsi" w:hAnsiTheme="minorHAnsi"/>
                          <w:color w:val="FFFFFF" w:themeColor="background1"/>
                          <w:sz w:val="22"/>
                          <w:lang w:val="es-CO"/>
                        </w:rPr>
                        <w:t>2</w:t>
                      </w:r>
                      <w:r>
                        <w:rPr>
                          <w:rFonts w:asciiTheme="minorHAnsi" w:hAnsiTheme="minorHAnsi"/>
                          <w:color w:val="FFFFFF" w:themeColor="background1"/>
                          <w:sz w:val="22"/>
                          <w:lang w:val="es-CO"/>
                        </w:rPr>
                        <w:t>2</w:t>
                      </w:r>
                    </w:p>
                    <w:p w14:paraId="0D38F445" w14:textId="5AFB0992"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proofErr w:type="spellStart"/>
                      <w:r w:rsidR="00F44EDA">
                        <w:rPr>
                          <w:rFonts w:asciiTheme="minorHAnsi" w:hAnsiTheme="minorHAnsi"/>
                          <w:color w:val="FFFFFF" w:themeColor="background1"/>
                          <w:sz w:val="22"/>
                          <w:lang w:val="es-CO"/>
                        </w:rPr>
                        <w:t>Spanish</w:t>
                      </w:r>
                      <w:proofErr w:type="spellEnd"/>
                    </w:p>
                  </w:txbxContent>
                </v:textbox>
              </v:shape>
            </w:pict>
          </mc:Fallback>
        </mc:AlternateContent>
      </w:r>
    </w:p>
    <w:p w14:paraId="6CF14130" w14:textId="77777777" w:rsidR="00040C3A" w:rsidRPr="00D12718" w:rsidRDefault="00040C3A" w:rsidP="00040C3A">
      <w:pPr>
        <w:tabs>
          <w:tab w:val="center" w:pos="5400"/>
        </w:tabs>
        <w:suppressAutoHyphens/>
        <w:jc w:val="center"/>
        <w:rPr>
          <w:rFonts w:asciiTheme="majorHAnsi" w:hAnsiTheme="majorHAnsi"/>
          <w:sz w:val="22"/>
          <w:szCs w:val="22"/>
        </w:rPr>
      </w:pPr>
    </w:p>
    <w:p w14:paraId="7E5ECC8A" w14:textId="77777777" w:rsidR="00040C3A" w:rsidRPr="00D12718" w:rsidRDefault="00040C3A" w:rsidP="00040C3A">
      <w:pPr>
        <w:tabs>
          <w:tab w:val="center" w:pos="5400"/>
        </w:tabs>
        <w:suppressAutoHyphens/>
        <w:jc w:val="center"/>
        <w:rPr>
          <w:rFonts w:asciiTheme="majorHAnsi" w:hAnsiTheme="majorHAnsi"/>
          <w:sz w:val="22"/>
          <w:szCs w:val="22"/>
        </w:rPr>
      </w:pPr>
    </w:p>
    <w:p w14:paraId="15D9BEF3" w14:textId="77777777" w:rsidR="00040C3A" w:rsidRPr="00D12718" w:rsidRDefault="00040C3A" w:rsidP="00040C3A">
      <w:pPr>
        <w:tabs>
          <w:tab w:val="center" w:pos="5400"/>
        </w:tabs>
        <w:suppressAutoHyphens/>
        <w:jc w:val="center"/>
        <w:rPr>
          <w:rFonts w:asciiTheme="majorHAnsi" w:hAnsiTheme="majorHAnsi" w:cs="Arial"/>
          <w:sz w:val="22"/>
          <w:szCs w:val="22"/>
        </w:rPr>
      </w:pPr>
    </w:p>
    <w:p w14:paraId="5D7F2AA5" w14:textId="77777777" w:rsidR="00040C3A" w:rsidRPr="00D12718" w:rsidRDefault="00040C3A" w:rsidP="00040C3A">
      <w:pPr>
        <w:tabs>
          <w:tab w:val="center" w:pos="5400"/>
        </w:tabs>
        <w:suppressAutoHyphens/>
        <w:jc w:val="center"/>
        <w:rPr>
          <w:rFonts w:asciiTheme="majorHAnsi" w:hAnsiTheme="majorHAnsi"/>
          <w:sz w:val="22"/>
          <w:szCs w:val="22"/>
        </w:rPr>
      </w:pPr>
    </w:p>
    <w:p w14:paraId="7293E8E2" w14:textId="77777777" w:rsidR="00040C3A" w:rsidRPr="00D12718" w:rsidRDefault="00040C3A" w:rsidP="00040C3A">
      <w:pPr>
        <w:tabs>
          <w:tab w:val="center" w:pos="5400"/>
        </w:tabs>
        <w:suppressAutoHyphens/>
        <w:jc w:val="center"/>
        <w:rPr>
          <w:rFonts w:asciiTheme="majorHAnsi" w:hAnsiTheme="majorHAnsi"/>
          <w:sz w:val="22"/>
          <w:szCs w:val="22"/>
        </w:rPr>
      </w:pPr>
    </w:p>
    <w:p w14:paraId="2F5A2A5A" w14:textId="77777777" w:rsidR="00040C3A" w:rsidRPr="00D12718" w:rsidRDefault="00040C3A" w:rsidP="00040C3A">
      <w:pPr>
        <w:tabs>
          <w:tab w:val="center" w:pos="5400"/>
        </w:tabs>
        <w:suppressAutoHyphens/>
        <w:jc w:val="center"/>
        <w:rPr>
          <w:rFonts w:asciiTheme="majorHAnsi" w:hAnsiTheme="majorHAnsi"/>
          <w:sz w:val="22"/>
          <w:szCs w:val="22"/>
        </w:rPr>
      </w:pPr>
    </w:p>
    <w:p w14:paraId="3117891A" w14:textId="77777777" w:rsidR="00040C3A" w:rsidRPr="00D12718" w:rsidRDefault="00040C3A" w:rsidP="00040C3A">
      <w:pPr>
        <w:tabs>
          <w:tab w:val="center" w:pos="5400"/>
        </w:tabs>
        <w:suppressAutoHyphens/>
        <w:jc w:val="center"/>
        <w:rPr>
          <w:rFonts w:asciiTheme="majorHAnsi" w:hAnsiTheme="majorHAnsi"/>
          <w:sz w:val="22"/>
          <w:szCs w:val="22"/>
        </w:rPr>
      </w:pPr>
    </w:p>
    <w:p w14:paraId="6EF36C14" w14:textId="77777777" w:rsidR="005128E4" w:rsidRPr="00D12718" w:rsidRDefault="005128E4" w:rsidP="00040C3A">
      <w:pPr>
        <w:tabs>
          <w:tab w:val="center" w:pos="5400"/>
        </w:tabs>
        <w:suppressAutoHyphens/>
        <w:jc w:val="center"/>
        <w:rPr>
          <w:rFonts w:asciiTheme="majorHAnsi" w:hAnsiTheme="majorHAnsi"/>
          <w:sz w:val="22"/>
          <w:szCs w:val="22"/>
        </w:rPr>
      </w:pPr>
    </w:p>
    <w:p w14:paraId="0B863FF8" w14:textId="77777777" w:rsidR="00040C3A" w:rsidRPr="00D12718" w:rsidRDefault="00040C3A" w:rsidP="00040C3A">
      <w:pPr>
        <w:tabs>
          <w:tab w:val="center" w:pos="5400"/>
        </w:tabs>
        <w:suppressAutoHyphens/>
        <w:jc w:val="center"/>
        <w:rPr>
          <w:rFonts w:asciiTheme="majorHAnsi" w:hAnsiTheme="majorHAnsi"/>
          <w:sz w:val="22"/>
          <w:szCs w:val="22"/>
        </w:rPr>
      </w:pPr>
    </w:p>
    <w:p w14:paraId="3850B495" w14:textId="77777777" w:rsidR="005128E4" w:rsidRPr="00D12718" w:rsidRDefault="005128E4" w:rsidP="00040C3A">
      <w:pPr>
        <w:tabs>
          <w:tab w:val="center" w:pos="5400"/>
        </w:tabs>
        <w:suppressAutoHyphens/>
        <w:jc w:val="center"/>
        <w:rPr>
          <w:rFonts w:asciiTheme="majorHAnsi" w:hAnsiTheme="majorHAnsi"/>
          <w:sz w:val="22"/>
          <w:szCs w:val="22"/>
        </w:rPr>
      </w:pPr>
    </w:p>
    <w:p w14:paraId="0B2C8768" w14:textId="77777777" w:rsidR="005128E4" w:rsidRPr="00D12718" w:rsidRDefault="005128E4" w:rsidP="00040C3A">
      <w:pPr>
        <w:tabs>
          <w:tab w:val="center" w:pos="5400"/>
        </w:tabs>
        <w:suppressAutoHyphens/>
        <w:jc w:val="center"/>
        <w:rPr>
          <w:rFonts w:asciiTheme="majorHAnsi" w:hAnsiTheme="majorHAnsi"/>
          <w:sz w:val="22"/>
          <w:szCs w:val="22"/>
        </w:rPr>
      </w:pPr>
    </w:p>
    <w:p w14:paraId="46535B00" w14:textId="77777777" w:rsidR="005128E4" w:rsidRPr="00D12718" w:rsidRDefault="005128E4" w:rsidP="00040C3A">
      <w:pPr>
        <w:tabs>
          <w:tab w:val="center" w:pos="5400"/>
        </w:tabs>
        <w:suppressAutoHyphens/>
        <w:jc w:val="center"/>
        <w:rPr>
          <w:rFonts w:asciiTheme="majorHAnsi" w:hAnsiTheme="majorHAnsi"/>
          <w:sz w:val="22"/>
          <w:szCs w:val="22"/>
        </w:rPr>
      </w:pPr>
    </w:p>
    <w:p w14:paraId="06D6EE03" w14:textId="77777777" w:rsidR="00040C3A" w:rsidRPr="00D12718" w:rsidRDefault="00040C3A" w:rsidP="00040C3A">
      <w:pPr>
        <w:tabs>
          <w:tab w:val="center" w:pos="5400"/>
        </w:tabs>
        <w:suppressAutoHyphens/>
        <w:jc w:val="center"/>
        <w:rPr>
          <w:rFonts w:asciiTheme="majorHAnsi" w:hAnsiTheme="majorHAnsi"/>
          <w:sz w:val="22"/>
          <w:szCs w:val="22"/>
        </w:rPr>
      </w:pPr>
    </w:p>
    <w:p w14:paraId="7E75A8DA" w14:textId="77777777" w:rsidR="00040C3A" w:rsidRPr="00D12718" w:rsidRDefault="00040C3A" w:rsidP="00040C3A">
      <w:pPr>
        <w:tabs>
          <w:tab w:val="center" w:pos="5400"/>
        </w:tabs>
        <w:suppressAutoHyphens/>
        <w:jc w:val="center"/>
        <w:rPr>
          <w:rFonts w:asciiTheme="majorHAnsi" w:hAnsiTheme="majorHAnsi"/>
          <w:sz w:val="22"/>
          <w:szCs w:val="22"/>
        </w:rPr>
      </w:pPr>
    </w:p>
    <w:p w14:paraId="02DBA324" w14:textId="77777777" w:rsidR="00A50FCF" w:rsidRPr="00D12718" w:rsidRDefault="00A50FCF" w:rsidP="00040C3A">
      <w:pPr>
        <w:tabs>
          <w:tab w:val="center" w:pos="5400"/>
        </w:tabs>
        <w:suppressAutoHyphens/>
        <w:jc w:val="center"/>
        <w:rPr>
          <w:rFonts w:asciiTheme="majorHAnsi" w:hAnsiTheme="majorHAnsi"/>
          <w:sz w:val="18"/>
          <w:szCs w:val="22"/>
        </w:rPr>
      </w:pPr>
    </w:p>
    <w:p w14:paraId="3F0E5DF1" w14:textId="77777777" w:rsidR="00A50FCF" w:rsidRPr="00D12718" w:rsidRDefault="00A50FCF" w:rsidP="00040C3A">
      <w:pPr>
        <w:tabs>
          <w:tab w:val="center" w:pos="5400"/>
        </w:tabs>
        <w:suppressAutoHyphens/>
        <w:jc w:val="center"/>
        <w:rPr>
          <w:rFonts w:asciiTheme="majorHAnsi" w:hAnsiTheme="majorHAnsi"/>
          <w:sz w:val="18"/>
          <w:szCs w:val="22"/>
        </w:rPr>
      </w:pPr>
    </w:p>
    <w:p w14:paraId="2536B36E" w14:textId="77777777" w:rsidR="00A50FCF" w:rsidRPr="00D12718" w:rsidRDefault="00A50FCF" w:rsidP="00040C3A">
      <w:pPr>
        <w:tabs>
          <w:tab w:val="center" w:pos="5400"/>
        </w:tabs>
        <w:suppressAutoHyphens/>
        <w:jc w:val="center"/>
        <w:rPr>
          <w:rFonts w:asciiTheme="majorHAnsi" w:hAnsiTheme="majorHAnsi"/>
          <w:sz w:val="18"/>
          <w:szCs w:val="22"/>
        </w:rPr>
      </w:pPr>
    </w:p>
    <w:p w14:paraId="3E8E5B60" w14:textId="77777777" w:rsidR="00A50FCF" w:rsidRPr="00D12718" w:rsidRDefault="00A50FCF" w:rsidP="00040C3A">
      <w:pPr>
        <w:tabs>
          <w:tab w:val="center" w:pos="5400"/>
        </w:tabs>
        <w:suppressAutoHyphens/>
        <w:jc w:val="center"/>
        <w:rPr>
          <w:rFonts w:asciiTheme="majorHAnsi" w:hAnsiTheme="majorHAnsi"/>
          <w:sz w:val="18"/>
          <w:szCs w:val="22"/>
        </w:rPr>
      </w:pPr>
    </w:p>
    <w:p w14:paraId="76545899" w14:textId="77777777" w:rsidR="00A50FCF" w:rsidRPr="00D12718" w:rsidRDefault="00A50FCF" w:rsidP="00040C3A">
      <w:pPr>
        <w:tabs>
          <w:tab w:val="center" w:pos="5400"/>
        </w:tabs>
        <w:suppressAutoHyphens/>
        <w:jc w:val="center"/>
        <w:rPr>
          <w:rFonts w:asciiTheme="majorHAnsi" w:hAnsiTheme="majorHAnsi"/>
          <w:sz w:val="18"/>
          <w:szCs w:val="22"/>
        </w:rPr>
      </w:pPr>
    </w:p>
    <w:p w14:paraId="1CD7E6E9" w14:textId="77777777" w:rsidR="00A50FCF" w:rsidRPr="00D12718" w:rsidRDefault="00A50FCF" w:rsidP="00040C3A">
      <w:pPr>
        <w:tabs>
          <w:tab w:val="center" w:pos="5400"/>
        </w:tabs>
        <w:suppressAutoHyphens/>
        <w:jc w:val="center"/>
        <w:rPr>
          <w:rFonts w:asciiTheme="majorHAnsi" w:hAnsiTheme="majorHAnsi"/>
          <w:sz w:val="18"/>
          <w:szCs w:val="22"/>
        </w:rPr>
      </w:pPr>
    </w:p>
    <w:p w14:paraId="21C23FE7" w14:textId="77777777" w:rsidR="00A50FCF" w:rsidRPr="00D12718" w:rsidRDefault="00A50FCF" w:rsidP="00040C3A">
      <w:pPr>
        <w:tabs>
          <w:tab w:val="center" w:pos="5400"/>
        </w:tabs>
        <w:suppressAutoHyphens/>
        <w:jc w:val="center"/>
        <w:rPr>
          <w:rFonts w:asciiTheme="majorHAnsi" w:hAnsiTheme="majorHAnsi"/>
          <w:sz w:val="18"/>
          <w:szCs w:val="22"/>
        </w:rPr>
      </w:pPr>
    </w:p>
    <w:p w14:paraId="341A50CB" w14:textId="77777777" w:rsidR="00A50FCF" w:rsidRPr="00D12718" w:rsidRDefault="00A50FCF" w:rsidP="00040C3A">
      <w:pPr>
        <w:tabs>
          <w:tab w:val="center" w:pos="5400"/>
        </w:tabs>
        <w:suppressAutoHyphens/>
        <w:jc w:val="center"/>
        <w:rPr>
          <w:rFonts w:asciiTheme="majorHAnsi" w:hAnsiTheme="majorHAnsi"/>
          <w:sz w:val="18"/>
          <w:szCs w:val="22"/>
        </w:rPr>
      </w:pPr>
    </w:p>
    <w:p w14:paraId="709A4759" w14:textId="77777777" w:rsidR="00A50FCF" w:rsidRPr="00D12718" w:rsidRDefault="00A50FCF" w:rsidP="00040C3A">
      <w:pPr>
        <w:tabs>
          <w:tab w:val="center" w:pos="5400"/>
        </w:tabs>
        <w:suppressAutoHyphens/>
        <w:jc w:val="center"/>
        <w:rPr>
          <w:rFonts w:asciiTheme="majorHAnsi" w:hAnsiTheme="majorHAnsi"/>
          <w:sz w:val="18"/>
          <w:szCs w:val="22"/>
        </w:rPr>
      </w:pPr>
    </w:p>
    <w:p w14:paraId="69B005BC" w14:textId="77777777" w:rsidR="00A50FCF" w:rsidRPr="00D12718" w:rsidRDefault="00A50FCF" w:rsidP="00040C3A">
      <w:pPr>
        <w:tabs>
          <w:tab w:val="center" w:pos="5400"/>
        </w:tabs>
        <w:suppressAutoHyphens/>
        <w:jc w:val="center"/>
        <w:rPr>
          <w:rFonts w:asciiTheme="majorHAnsi" w:hAnsiTheme="majorHAnsi"/>
          <w:sz w:val="18"/>
          <w:szCs w:val="22"/>
        </w:rPr>
      </w:pPr>
    </w:p>
    <w:p w14:paraId="20D8E66C" w14:textId="77777777" w:rsidR="00A50FCF" w:rsidRPr="00D12718" w:rsidRDefault="00A50FCF" w:rsidP="00040C3A">
      <w:pPr>
        <w:tabs>
          <w:tab w:val="center" w:pos="5400"/>
        </w:tabs>
        <w:suppressAutoHyphens/>
        <w:jc w:val="center"/>
        <w:rPr>
          <w:rFonts w:asciiTheme="majorHAnsi" w:hAnsiTheme="majorHAnsi"/>
          <w:sz w:val="18"/>
          <w:szCs w:val="22"/>
        </w:rPr>
      </w:pPr>
    </w:p>
    <w:p w14:paraId="3C0C9101" w14:textId="77777777" w:rsidR="00A50FCF" w:rsidRPr="00D12718" w:rsidRDefault="00A50FCF" w:rsidP="00040C3A">
      <w:pPr>
        <w:tabs>
          <w:tab w:val="center" w:pos="5400"/>
        </w:tabs>
        <w:suppressAutoHyphens/>
        <w:jc w:val="center"/>
        <w:rPr>
          <w:rFonts w:asciiTheme="majorHAnsi" w:hAnsiTheme="majorHAnsi"/>
          <w:sz w:val="18"/>
          <w:szCs w:val="22"/>
        </w:rPr>
      </w:pPr>
    </w:p>
    <w:p w14:paraId="4923B00D" w14:textId="77777777" w:rsidR="00A50FCF" w:rsidRPr="00D12718" w:rsidRDefault="00A50FCF" w:rsidP="00040C3A">
      <w:pPr>
        <w:tabs>
          <w:tab w:val="center" w:pos="5400"/>
        </w:tabs>
        <w:suppressAutoHyphens/>
        <w:jc w:val="center"/>
        <w:rPr>
          <w:rFonts w:asciiTheme="majorHAnsi" w:hAnsiTheme="majorHAnsi"/>
          <w:sz w:val="18"/>
          <w:szCs w:val="22"/>
        </w:rPr>
      </w:pPr>
    </w:p>
    <w:p w14:paraId="7925B0A5" w14:textId="77777777" w:rsidR="00A50FCF" w:rsidRPr="00D12718" w:rsidRDefault="00A50FCF" w:rsidP="00040C3A">
      <w:pPr>
        <w:tabs>
          <w:tab w:val="center" w:pos="5400"/>
        </w:tabs>
        <w:suppressAutoHyphens/>
        <w:jc w:val="center"/>
        <w:rPr>
          <w:rFonts w:asciiTheme="majorHAnsi" w:hAnsiTheme="majorHAnsi"/>
          <w:sz w:val="18"/>
          <w:szCs w:val="22"/>
        </w:rPr>
      </w:pPr>
    </w:p>
    <w:p w14:paraId="35F6A68C" w14:textId="77777777" w:rsidR="00A50FCF" w:rsidRPr="00D12718" w:rsidRDefault="0090270B" w:rsidP="00040C3A">
      <w:pPr>
        <w:tabs>
          <w:tab w:val="center" w:pos="5400"/>
        </w:tabs>
        <w:suppressAutoHyphens/>
        <w:jc w:val="center"/>
        <w:rPr>
          <w:rFonts w:asciiTheme="majorHAnsi" w:hAnsiTheme="majorHAnsi"/>
          <w:sz w:val="18"/>
          <w:szCs w:val="22"/>
        </w:rPr>
      </w:pPr>
      <w:r w:rsidRPr="00D12718">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33DC1E3" wp14:editId="3343F19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C8F72" w14:textId="4FF459D0" w:rsidR="00DD3D86" w:rsidRPr="005D130C" w:rsidRDefault="005D130C" w:rsidP="00DD3D86">
                            <w:pPr>
                              <w:tabs>
                                <w:tab w:val="center" w:pos="5400"/>
                              </w:tabs>
                              <w:suppressAutoHyphens/>
                              <w:spacing w:before="60"/>
                              <w:rPr>
                                <w:rFonts w:asciiTheme="majorHAnsi" w:hAnsiTheme="majorHAnsi"/>
                                <w:color w:val="0D0D0D" w:themeColor="text1" w:themeTint="F2"/>
                                <w:sz w:val="18"/>
                                <w:szCs w:val="22"/>
                              </w:rPr>
                            </w:pPr>
                            <w:r w:rsidRPr="005D130C">
                              <w:rPr>
                                <w:rFonts w:asciiTheme="majorHAnsi" w:hAnsiTheme="majorHAnsi"/>
                                <w:color w:val="0D0D0D" w:themeColor="text1" w:themeTint="F2"/>
                                <w:sz w:val="18"/>
                                <w:szCs w:val="20"/>
                              </w:rPr>
                              <w:t xml:space="preserve">Approved </w:t>
                            </w:r>
                            <w:r w:rsidR="00B75E2E">
                              <w:rPr>
                                <w:rFonts w:asciiTheme="majorHAnsi" w:hAnsiTheme="majorHAnsi"/>
                                <w:color w:val="0D0D0D" w:themeColor="text1" w:themeTint="F2"/>
                                <w:sz w:val="18"/>
                                <w:szCs w:val="20"/>
                              </w:rPr>
                              <w:t xml:space="preserve">electronically </w:t>
                            </w:r>
                            <w:r w:rsidRPr="005D130C">
                              <w:rPr>
                                <w:rFonts w:asciiTheme="majorHAnsi" w:hAnsiTheme="majorHAnsi"/>
                                <w:color w:val="0D0D0D" w:themeColor="text1" w:themeTint="F2"/>
                                <w:sz w:val="18"/>
                                <w:szCs w:val="20"/>
                              </w:rPr>
                              <w:t xml:space="preserve">by the Commission </w:t>
                            </w:r>
                            <w:r w:rsidRPr="000F4851">
                              <w:rPr>
                                <w:rFonts w:asciiTheme="majorHAnsi" w:hAnsiTheme="majorHAnsi"/>
                                <w:color w:val="0D0D0D" w:themeColor="text1" w:themeTint="F2"/>
                                <w:sz w:val="18"/>
                                <w:szCs w:val="22"/>
                              </w:rPr>
                              <w:t>on</w:t>
                            </w:r>
                            <w:r w:rsidR="00DD3D86" w:rsidRPr="000F4851">
                              <w:rPr>
                                <w:rFonts w:asciiTheme="majorHAnsi" w:hAnsiTheme="majorHAnsi"/>
                                <w:color w:val="0D0D0D" w:themeColor="text1" w:themeTint="F2"/>
                                <w:sz w:val="18"/>
                                <w:szCs w:val="22"/>
                              </w:rPr>
                              <w:t xml:space="preserve"> </w:t>
                            </w:r>
                            <w:r w:rsidR="000F4851" w:rsidRPr="000F4851">
                              <w:rPr>
                                <w:rFonts w:asciiTheme="majorHAnsi" w:hAnsiTheme="majorHAnsi"/>
                                <w:color w:val="0D0D0D" w:themeColor="text1" w:themeTint="F2"/>
                                <w:sz w:val="18"/>
                                <w:szCs w:val="22"/>
                              </w:rPr>
                              <w:t>May 10,</w:t>
                            </w:r>
                            <w:r w:rsidRPr="000F4851">
                              <w:rPr>
                                <w:rFonts w:asciiTheme="majorHAnsi" w:hAnsiTheme="majorHAnsi"/>
                                <w:color w:val="0D0D0D" w:themeColor="text1" w:themeTint="F2"/>
                                <w:sz w:val="18"/>
                                <w:szCs w:val="22"/>
                              </w:rPr>
                              <w:t xml:space="preserve"> </w:t>
                            </w:r>
                            <w:r w:rsidR="00DD3D86" w:rsidRPr="000F4851">
                              <w:rPr>
                                <w:rFonts w:asciiTheme="majorHAnsi" w:hAnsiTheme="majorHAnsi"/>
                                <w:color w:val="0D0D0D" w:themeColor="text1" w:themeTint="F2"/>
                                <w:sz w:val="18"/>
                                <w:szCs w:val="22"/>
                              </w:rPr>
                              <w:t>20</w:t>
                            </w:r>
                            <w:r w:rsidR="001D6254" w:rsidRPr="000F4851">
                              <w:rPr>
                                <w:rFonts w:asciiTheme="majorHAnsi" w:hAnsiTheme="majorHAnsi"/>
                                <w:color w:val="0D0D0D" w:themeColor="text1" w:themeTint="F2"/>
                                <w:sz w:val="18"/>
                                <w:szCs w:val="22"/>
                              </w:rPr>
                              <w:t>2</w:t>
                            </w:r>
                            <w:r w:rsidR="000E3B28" w:rsidRPr="000F4851">
                              <w:rPr>
                                <w:rFonts w:asciiTheme="majorHAnsi" w:hAnsiTheme="majorHAnsi"/>
                                <w:color w:val="0D0D0D" w:themeColor="text1" w:themeTint="F2"/>
                                <w:sz w:val="18"/>
                                <w:szCs w:val="22"/>
                              </w:rPr>
                              <w:t>2</w:t>
                            </w:r>
                            <w:r w:rsidR="0071194A">
                              <w:rPr>
                                <w:rFonts w:asciiTheme="majorHAnsi" w:hAnsiTheme="majorHAnsi"/>
                                <w:color w:val="0D0D0D" w:themeColor="text1" w:themeTint="F2"/>
                                <w:sz w:val="18"/>
                                <w:szCs w:val="22"/>
                              </w:rPr>
                              <w:t>.</w:t>
                            </w:r>
                          </w:p>
                          <w:p w14:paraId="3AE7FB81" w14:textId="77777777" w:rsidR="00DD3D86" w:rsidRPr="005D130C"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70A85DB3" w14:textId="77777777" w:rsidR="005B52B0" w:rsidRPr="005D130C"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3DC1E3"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0C8F72" w14:textId="4FF459D0" w:rsidR="00DD3D86" w:rsidRPr="005D130C" w:rsidRDefault="005D130C" w:rsidP="00DD3D86">
                      <w:pPr>
                        <w:tabs>
                          <w:tab w:val="center" w:pos="5400"/>
                        </w:tabs>
                        <w:suppressAutoHyphens/>
                        <w:spacing w:before="60"/>
                        <w:rPr>
                          <w:rFonts w:asciiTheme="majorHAnsi" w:hAnsiTheme="majorHAnsi"/>
                          <w:color w:val="0D0D0D" w:themeColor="text1" w:themeTint="F2"/>
                          <w:sz w:val="18"/>
                          <w:szCs w:val="22"/>
                        </w:rPr>
                      </w:pPr>
                      <w:r w:rsidRPr="005D130C">
                        <w:rPr>
                          <w:rFonts w:asciiTheme="majorHAnsi" w:hAnsiTheme="majorHAnsi"/>
                          <w:color w:val="0D0D0D" w:themeColor="text1" w:themeTint="F2"/>
                          <w:sz w:val="18"/>
                          <w:szCs w:val="20"/>
                        </w:rPr>
                        <w:t xml:space="preserve">Approved </w:t>
                      </w:r>
                      <w:r w:rsidR="00B75E2E">
                        <w:rPr>
                          <w:rFonts w:asciiTheme="majorHAnsi" w:hAnsiTheme="majorHAnsi"/>
                          <w:color w:val="0D0D0D" w:themeColor="text1" w:themeTint="F2"/>
                          <w:sz w:val="18"/>
                          <w:szCs w:val="20"/>
                        </w:rPr>
                        <w:t xml:space="preserve">electronically </w:t>
                      </w:r>
                      <w:r w:rsidRPr="005D130C">
                        <w:rPr>
                          <w:rFonts w:asciiTheme="majorHAnsi" w:hAnsiTheme="majorHAnsi"/>
                          <w:color w:val="0D0D0D" w:themeColor="text1" w:themeTint="F2"/>
                          <w:sz w:val="18"/>
                          <w:szCs w:val="20"/>
                        </w:rPr>
                        <w:t xml:space="preserve">by the Commission </w:t>
                      </w:r>
                      <w:r w:rsidRPr="000F4851">
                        <w:rPr>
                          <w:rFonts w:asciiTheme="majorHAnsi" w:hAnsiTheme="majorHAnsi"/>
                          <w:color w:val="0D0D0D" w:themeColor="text1" w:themeTint="F2"/>
                          <w:sz w:val="18"/>
                          <w:szCs w:val="22"/>
                        </w:rPr>
                        <w:t>on</w:t>
                      </w:r>
                      <w:r w:rsidR="00DD3D86" w:rsidRPr="000F4851">
                        <w:rPr>
                          <w:rFonts w:asciiTheme="majorHAnsi" w:hAnsiTheme="majorHAnsi"/>
                          <w:color w:val="0D0D0D" w:themeColor="text1" w:themeTint="F2"/>
                          <w:sz w:val="18"/>
                          <w:szCs w:val="22"/>
                        </w:rPr>
                        <w:t xml:space="preserve"> </w:t>
                      </w:r>
                      <w:r w:rsidR="000F4851" w:rsidRPr="000F4851">
                        <w:rPr>
                          <w:rFonts w:asciiTheme="majorHAnsi" w:hAnsiTheme="majorHAnsi"/>
                          <w:color w:val="0D0D0D" w:themeColor="text1" w:themeTint="F2"/>
                          <w:sz w:val="18"/>
                          <w:szCs w:val="22"/>
                        </w:rPr>
                        <w:t>May 10,</w:t>
                      </w:r>
                      <w:r w:rsidRPr="000F4851">
                        <w:rPr>
                          <w:rFonts w:asciiTheme="majorHAnsi" w:hAnsiTheme="majorHAnsi"/>
                          <w:color w:val="0D0D0D" w:themeColor="text1" w:themeTint="F2"/>
                          <w:sz w:val="18"/>
                          <w:szCs w:val="22"/>
                        </w:rPr>
                        <w:t xml:space="preserve"> </w:t>
                      </w:r>
                      <w:r w:rsidR="00DD3D86" w:rsidRPr="000F4851">
                        <w:rPr>
                          <w:rFonts w:asciiTheme="majorHAnsi" w:hAnsiTheme="majorHAnsi"/>
                          <w:color w:val="0D0D0D" w:themeColor="text1" w:themeTint="F2"/>
                          <w:sz w:val="18"/>
                          <w:szCs w:val="22"/>
                        </w:rPr>
                        <w:t>20</w:t>
                      </w:r>
                      <w:r w:rsidR="001D6254" w:rsidRPr="000F4851">
                        <w:rPr>
                          <w:rFonts w:asciiTheme="majorHAnsi" w:hAnsiTheme="majorHAnsi"/>
                          <w:color w:val="0D0D0D" w:themeColor="text1" w:themeTint="F2"/>
                          <w:sz w:val="18"/>
                          <w:szCs w:val="22"/>
                        </w:rPr>
                        <w:t>2</w:t>
                      </w:r>
                      <w:r w:rsidR="000E3B28" w:rsidRPr="000F4851">
                        <w:rPr>
                          <w:rFonts w:asciiTheme="majorHAnsi" w:hAnsiTheme="majorHAnsi"/>
                          <w:color w:val="0D0D0D" w:themeColor="text1" w:themeTint="F2"/>
                          <w:sz w:val="18"/>
                          <w:szCs w:val="22"/>
                        </w:rPr>
                        <w:t>2</w:t>
                      </w:r>
                      <w:r w:rsidR="0071194A">
                        <w:rPr>
                          <w:rFonts w:asciiTheme="majorHAnsi" w:hAnsiTheme="majorHAnsi"/>
                          <w:color w:val="0D0D0D" w:themeColor="text1" w:themeTint="F2"/>
                          <w:sz w:val="18"/>
                          <w:szCs w:val="22"/>
                        </w:rPr>
                        <w:t>.</w:t>
                      </w:r>
                    </w:p>
                    <w:p w14:paraId="3AE7FB81" w14:textId="77777777" w:rsidR="00DD3D86" w:rsidRPr="005D130C"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70A85DB3" w14:textId="77777777" w:rsidR="005B52B0" w:rsidRPr="005D130C"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2602565" w14:textId="77777777" w:rsidR="00A50FCF" w:rsidRPr="00D12718" w:rsidRDefault="00A50FCF" w:rsidP="00040C3A">
      <w:pPr>
        <w:tabs>
          <w:tab w:val="center" w:pos="5400"/>
        </w:tabs>
        <w:suppressAutoHyphens/>
        <w:jc w:val="center"/>
        <w:rPr>
          <w:rFonts w:asciiTheme="majorHAnsi" w:hAnsiTheme="majorHAnsi"/>
          <w:sz w:val="18"/>
          <w:szCs w:val="22"/>
        </w:rPr>
      </w:pPr>
    </w:p>
    <w:p w14:paraId="4D877A0B" w14:textId="77777777" w:rsidR="00A50FCF" w:rsidRPr="00D12718" w:rsidRDefault="00A50FCF" w:rsidP="00040C3A">
      <w:pPr>
        <w:tabs>
          <w:tab w:val="center" w:pos="5400"/>
        </w:tabs>
        <w:suppressAutoHyphens/>
        <w:jc w:val="center"/>
        <w:rPr>
          <w:rFonts w:asciiTheme="majorHAnsi" w:hAnsiTheme="majorHAnsi"/>
          <w:sz w:val="18"/>
          <w:szCs w:val="22"/>
        </w:rPr>
      </w:pPr>
    </w:p>
    <w:p w14:paraId="6161D67B" w14:textId="77777777" w:rsidR="00A50FCF" w:rsidRPr="00D12718" w:rsidRDefault="00A50FCF" w:rsidP="00040C3A">
      <w:pPr>
        <w:tabs>
          <w:tab w:val="center" w:pos="5400"/>
        </w:tabs>
        <w:suppressAutoHyphens/>
        <w:jc w:val="center"/>
        <w:rPr>
          <w:rFonts w:asciiTheme="majorHAnsi" w:hAnsiTheme="majorHAnsi"/>
          <w:sz w:val="18"/>
          <w:szCs w:val="22"/>
        </w:rPr>
      </w:pPr>
    </w:p>
    <w:p w14:paraId="016E0866" w14:textId="77777777" w:rsidR="00A50FCF" w:rsidRPr="00D12718" w:rsidRDefault="00A50FCF" w:rsidP="00040C3A">
      <w:pPr>
        <w:tabs>
          <w:tab w:val="center" w:pos="5400"/>
        </w:tabs>
        <w:suppressAutoHyphens/>
        <w:jc w:val="center"/>
        <w:rPr>
          <w:rFonts w:asciiTheme="majorHAnsi" w:hAnsiTheme="majorHAnsi"/>
          <w:sz w:val="18"/>
          <w:szCs w:val="22"/>
        </w:rPr>
      </w:pPr>
    </w:p>
    <w:p w14:paraId="7544F11E" w14:textId="77777777" w:rsidR="00A50FCF" w:rsidRPr="00D12718" w:rsidRDefault="0090270B" w:rsidP="00040C3A">
      <w:pPr>
        <w:tabs>
          <w:tab w:val="center" w:pos="5400"/>
        </w:tabs>
        <w:suppressAutoHyphens/>
        <w:jc w:val="center"/>
        <w:rPr>
          <w:rFonts w:asciiTheme="majorHAnsi" w:hAnsiTheme="majorHAnsi"/>
          <w:sz w:val="18"/>
          <w:szCs w:val="22"/>
        </w:rPr>
      </w:pPr>
      <w:r w:rsidRPr="00D12718">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509701D2" wp14:editId="4C2DAD5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0035B" w14:textId="040C5E83" w:rsidR="00113F73" w:rsidRPr="005D130C" w:rsidRDefault="005D130C" w:rsidP="004C1C8C">
                            <w:pPr>
                              <w:spacing w:line="276" w:lineRule="auto"/>
                              <w:jc w:val="both"/>
                              <w:rPr>
                                <w:rFonts w:asciiTheme="majorHAnsi" w:hAnsiTheme="majorHAnsi"/>
                                <w:color w:val="595959" w:themeColor="text1" w:themeTint="A6"/>
                                <w:sz w:val="18"/>
                                <w:szCs w:val="18"/>
                              </w:rPr>
                            </w:pPr>
                            <w:r w:rsidRPr="005D130C">
                              <w:rPr>
                                <w:rFonts w:asciiTheme="majorHAnsi" w:hAnsiTheme="majorHAnsi"/>
                                <w:b/>
                                <w:color w:val="595959" w:themeColor="text1" w:themeTint="A6"/>
                                <w:sz w:val="18"/>
                                <w:szCs w:val="18"/>
                              </w:rPr>
                              <w:t>Cite as</w:t>
                            </w:r>
                            <w:r w:rsidR="00113F73" w:rsidRPr="005D130C">
                              <w:rPr>
                                <w:rFonts w:asciiTheme="majorHAnsi" w:hAnsiTheme="majorHAnsi"/>
                                <w:b/>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IACHR</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Report</w:t>
                            </w:r>
                            <w:r w:rsidR="00113F73" w:rsidRPr="005D130C">
                              <w:rPr>
                                <w:rFonts w:asciiTheme="majorHAnsi" w:hAnsiTheme="majorHAnsi"/>
                                <w:color w:val="595959" w:themeColor="text1" w:themeTint="A6"/>
                                <w:sz w:val="18"/>
                                <w:szCs w:val="18"/>
                              </w:rPr>
                              <w:t xml:space="preserve"> No. </w:t>
                            </w:r>
                            <w:r w:rsidR="000F4851">
                              <w:rPr>
                                <w:rFonts w:asciiTheme="majorHAnsi" w:hAnsiTheme="majorHAnsi"/>
                                <w:color w:val="595959" w:themeColor="text1" w:themeTint="A6"/>
                                <w:sz w:val="18"/>
                                <w:szCs w:val="18"/>
                              </w:rPr>
                              <w:t>63</w:t>
                            </w:r>
                            <w:r w:rsidR="00113F73" w:rsidRPr="000F4851">
                              <w:rPr>
                                <w:rFonts w:asciiTheme="majorHAnsi" w:hAnsiTheme="majorHAnsi"/>
                                <w:color w:val="595959" w:themeColor="text1" w:themeTint="A6"/>
                                <w:sz w:val="18"/>
                                <w:szCs w:val="18"/>
                              </w:rPr>
                              <w:t>/</w:t>
                            </w:r>
                            <w:r w:rsidR="00792E2C" w:rsidRPr="005D130C">
                              <w:rPr>
                                <w:rFonts w:asciiTheme="majorHAnsi" w:hAnsiTheme="majorHAnsi"/>
                                <w:color w:val="595959" w:themeColor="text1" w:themeTint="A6"/>
                                <w:sz w:val="18"/>
                                <w:szCs w:val="18"/>
                              </w:rPr>
                              <w:t>2</w:t>
                            </w:r>
                            <w:r w:rsidR="000E3B28" w:rsidRPr="005D130C">
                              <w:rPr>
                                <w:rFonts w:asciiTheme="majorHAnsi" w:hAnsiTheme="majorHAnsi"/>
                                <w:color w:val="595959" w:themeColor="text1" w:themeTint="A6"/>
                                <w:sz w:val="18"/>
                                <w:szCs w:val="18"/>
                              </w:rPr>
                              <w:t>2</w:t>
                            </w:r>
                            <w:r w:rsidR="00113F73" w:rsidRPr="005D130C">
                              <w:rPr>
                                <w:rFonts w:asciiTheme="majorHAnsi" w:hAnsiTheme="majorHAnsi"/>
                                <w:color w:val="595959" w:themeColor="text1" w:themeTint="A6"/>
                                <w:sz w:val="18"/>
                                <w:szCs w:val="18"/>
                              </w:rPr>
                              <w:t>, Cas</w:t>
                            </w:r>
                            <w:r w:rsidRPr="005D130C">
                              <w:rPr>
                                <w:rFonts w:asciiTheme="majorHAnsi" w:hAnsiTheme="majorHAnsi"/>
                                <w:color w:val="595959" w:themeColor="text1" w:themeTint="A6"/>
                                <w:sz w:val="18"/>
                                <w:szCs w:val="18"/>
                              </w:rPr>
                              <w:t>e</w:t>
                            </w:r>
                            <w:r w:rsidR="00113F73" w:rsidRPr="005D130C">
                              <w:rPr>
                                <w:rFonts w:asciiTheme="majorHAnsi" w:hAnsiTheme="majorHAnsi"/>
                                <w:color w:val="595959" w:themeColor="text1" w:themeTint="A6"/>
                                <w:sz w:val="18"/>
                                <w:szCs w:val="18"/>
                              </w:rPr>
                              <w:t xml:space="preserve"> </w:t>
                            </w:r>
                            <w:r w:rsidR="001D6254" w:rsidRPr="005D130C">
                              <w:rPr>
                                <w:rFonts w:asciiTheme="majorHAnsi" w:hAnsiTheme="majorHAnsi"/>
                                <w:color w:val="595959" w:themeColor="text1" w:themeTint="A6"/>
                                <w:sz w:val="18"/>
                                <w:szCs w:val="18"/>
                              </w:rPr>
                              <w:t>13.775</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Friendly Settlement</w:t>
                            </w:r>
                            <w:r w:rsidR="001D6254" w:rsidRPr="005D130C">
                              <w:rPr>
                                <w:rFonts w:asciiTheme="majorHAnsi" w:hAnsiTheme="majorHAnsi"/>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001D6254" w:rsidRPr="005D130C">
                              <w:rPr>
                                <w:rFonts w:asciiTheme="majorHAnsi" w:hAnsiTheme="majorHAnsi"/>
                                <w:color w:val="595959" w:themeColor="text1" w:themeTint="A6"/>
                                <w:sz w:val="18"/>
                                <w:szCs w:val="18"/>
                              </w:rPr>
                              <w:t xml:space="preserve">Gabriel </w:t>
                            </w:r>
                            <w:proofErr w:type="spellStart"/>
                            <w:r w:rsidR="001D6254" w:rsidRPr="005D130C">
                              <w:rPr>
                                <w:rFonts w:asciiTheme="majorHAnsi" w:hAnsiTheme="majorHAnsi"/>
                                <w:color w:val="595959" w:themeColor="text1" w:themeTint="A6"/>
                                <w:sz w:val="18"/>
                                <w:szCs w:val="18"/>
                              </w:rPr>
                              <w:t>Ángel</w:t>
                            </w:r>
                            <w:proofErr w:type="spellEnd"/>
                            <w:r w:rsidR="001D6254" w:rsidRPr="005D130C">
                              <w:rPr>
                                <w:rFonts w:asciiTheme="majorHAnsi" w:hAnsiTheme="majorHAnsi"/>
                                <w:color w:val="595959" w:themeColor="text1" w:themeTint="A6"/>
                                <w:sz w:val="18"/>
                                <w:szCs w:val="18"/>
                              </w:rPr>
                              <w:t xml:space="preserve"> Gómez Martínez </w:t>
                            </w:r>
                            <w:r w:rsidRPr="005D130C">
                              <w:rPr>
                                <w:rFonts w:asciiTheme="majorHAnsi" w:hAnsiTheme="majorHAnsi"/>
                                <w:color w:val="595959" w:themeColor="text1" w:themeTint="A6"/>
                                <w:sz w:val="18"/>
                                <w:szCs w:val="18"/>
                              </w:rPr>
                              <w:t>and Family</w:t>
                            </w:r>
                            <w:r w:rsidR="001D6254" w:rsidRPr="005D130C">
                              <w:rPr>
                                <w:rFonts w:asciiTheme="majorHAnsi" w:hAnsiTheme="majorHAnsi"/>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00EA0F18">
                              <w:rPr>
                                <w:rFonts w:asciiTheme="majorHAnsi" w:hAnsiTheme="majorHAnsi"/>
                                <w:color w:val="595959" w:themeColor="text1" w:themeTint="A6"/>
                                <w:sz w:val="18"/>
                                <w:szCs w:val="18"/>
                              </w:rPr>
                              <w:t>Colombia</w:t>
                            </w:r>
                            <w:r w:rsidR="00DC706A">
                              <w:rPr>
                                <w:rFonts w:asciiTheme="majorHAnsi" w:hAnsiTheme="majorHAnsi"/>
                                <w:color w:val="595959" w:themeColor="text1" w:themeTint="A6"/>
                                <w:sz w:val="18"/>
                                <w:szCs w:val="18"/>
                              </w:rPr>
                              <w:t xml:space="preserve">. </w:t>
                            </w:r>
                            <w:r w:rsidR="000F4851">
                              <w:rPr>
                                <w:rFonts w:asciiTheme="majorHAnsi" w:hAnsiTheme="majorHAnsi"/>
                                <w:color w:val="595959" w:themeColor="text1" w:themeTint="A6"/>
                                <w:sz w:val="18"/>
                                <w:szCs w:val="18"/>
                              </w:rPr>
                              <w:t>May 10, 2022</w:t>
                            </w:r>
                            <w:r w:rsidR="00113F73" w:rsidRPr="000F4851">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9701D2"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80035B" w14:textId="040C5E83" w:rsidR="00113F73" w:rsidRPr="005D130C" w:rsidRDefault="005D130C" w:rsidP="004C1C8C">
                      <w:pPr>
                        <w:spacing w:line="276" w:lineRule="auto"/>
                        <w:jc w:val="both"/>
                        <w:rPr>
                          <w:rFonts w:asciiTheme="majorHAnsi" w:hAnsiTheme="majorHAnsi"/>
                          <w:color w:val="595959" w:themeColor="text1" w:themeTint="A6"/>
                          <w:sz w:val="18"/>
                          <w:szCs w:val="18"/>
                        </w:rPr>
                      </w:pPr>
                      <w:r w:rsidRPr="005D130C">
                        <w:rPr>
                          <w:rFonts w:asciiTheme="majorHAnsi" w:hAnsiTheme="majorHAnsi"/>
                          <w:b/>
                          <w:color w:val="595959" w:themeColor="text1" w:themeTint="A6"/>
                          <w:sz w:val="18"/>
                          <w:szCs w:val="18"/>
                        </w:rPr>
                        <w:t>Cite as</w:t>
                      </w:r>
                      <w:r w:rsidR="00113F73" w:rsidRPr="005D130C">
                        <w:rPr>
                          <w:rFonts w:asciiTheme="majorHAnsi" w:hAnsiTheme="majorHAnsi"/>
                          <w:b/>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IACHR</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Report</w:t>
                      </w:r>
                      <w:r w:rsidR="00113F73" w:rsidRPr="005D130C">
                        <w:rPr>
                          <w:rFonts w:asciiTheme="majorHAnsi" w:hAnsiTheme="majorHAnsi"/>
                          <w:color w:val="595959" w:themeColor="text1" w:themeTint="A6"/>
                          <w:sz w:val="18"/>
                          <w:szCs w:val="18"/>
                        </w:rPr>
                        <w:t xml:space="preserve"> No. </w:t>
                      </w:r>
                      <w:r w:rsidR="000F4851">
                        <w:rPr>
                          <w:rFonts w:asciiTheme="majorHAnsi" w:hAnsiTheme="majorHAnsi"/>
                          <w:color w:val="595959" w:themeColor="text1" w:themeTint="A6"/>
                          <w:sz w:val="18"/>
                          <w:szCs w:val="18"/>
                        </w:rPr>
                        <w:t>63</w:t>
                      </w:r>
                      <w:r w:rsidR="00113F73" w:rsidRPr="000F4851">
                        <w:rPr>
                          <w:rFonts w:asciiTheme="majorHAnsi" w:hAnsiTheme="majorHAnsi"/>
                          <w:color w:val="595959" w:themeColor="text1" w:themeTint="A6"/>
                          <w:sz w:val="18"/>
                          <w:szCs w:val="18"/>
                        </w:rPr>
                        <w:t>/</w:t>
                      </w:r>
                      <w:r w:rsidR="00792E2C" w:rsidRPr="005D130C">
                        <w:rPr>
                          <w:rFonts w:asciiTheme="majorHAnsi" w:hAnsiTheme="majorHAnsi"/>
                          <w:color w:val="595959" w:themeColor="text1" w:themeTint="A6"/>
                          <w:sz w:val="18"/>
                          <w:szCs w:val="18"/>
                        </w:rPr>
                        <w:t>2</w:t>
                      </w:r>
                      <w:r w:rsidR="000E3B28" w:rsidRPr="005D130C">
                        <w:rPr>
                          <w:rFonts w:asciiTheme="majorHAnsi" w:hAnsiTheme="majorHAnsi"/>
                          <w:color w:val="595959" w:themeColor="text1" w:themeTint="A6"/>
                          <w:sz w:val="18"/>
                          <w:szCs w:val="18"/>
                        </w:rPr>
                        <w:t>2</w:t>
                      </w:r>
                      <w:r w:rsidR="00113F73" w:rsidRPr="005D130C">
                        <w:rPr>
                          <w:rFonts w:asciiTheme="majorHAnsi" w:hAnsiTheme="majorHAnsi"/>
                          <w:color w:val="595959" w:themeColor="text1" w:themeTint="A6"/>
                          <w:sz w:val="18"/>
                          <w:szCs w:val="18"/>
                        </w:rPr>
                        <w:t>, Cas</w:t>
                      </w:r>
                      <w:r w:rsidRPr="005D130C">
                        <w:rPr>
                          <w:rFonts w:asciiTheme="majorHAnsi" w:hAnsiTheme="majorHAnsi"/>
                          <w:color w:val="595959" w:themeColor="text1" w:themeTint="A6"/>
                          <w:sz w:val="18"/>
                          <w:szCs w:val="18"/>
                        </w:rPr>
                        <w:t>e</w:t>
                      </w:r>
                      <w:r w:rsidR="00113F73" w:rsidRPr="005D130C">
                        <w:rPr>
                          <w:rFonts w:asciiTheme="majorHAnsi" w:hAnsiTheme="majorHAnsi"/>
                          <w:color w:val="595959" w:themeColor="text1" w:themeTint="A6"/>
                          <w:sz w:val="18"/>
                          <w:szCs w:val="18"/>
                        </w:rPr>
                        <w:t xml:space="preserve"> </w:t>
                      </w:r>
                      <w:r w:rsidR="001D6254" w:rsidRPr="005D130C">
                        <w:rPr>
                          <w:rFonts w:asciiTheme="majorHAnsi" w:hAnsiTheme="majorHAnsi"/>
                          <w:color w:val="595959" w:themeColor="text1" w:themeTint="A6"/>
                          <w:sz w:val="18"/>
                          <w:szCs w:val="18"/>
                        </w:rPr>
                        <w:t>13.775</w:t>
                      </w:r>
                      <w:r w:rsidR="00113F73" w:rsidRPr="005D130C">
                        <w:rPr>
                          <w:rFonts w:asciiTheme="majorHAnsi" w:hAnsiTheme="majorHAnsi"/>
                          <w:color w:val="595959" w:themeColor="text1" w:themeTint="A6"/>
                          <w:sz w:val="18"/>
                          <w:szCs w:val="18"/>
                        </w:rPr>
                        <w:t xml:space="preserve">. </w:t>
                      </w:r>
                      <w:r w:rsidRPr="005D130C">
                        <w:rPr>
                          <w:rFonts w:asciiTheme="majorHAnsi" w:hAnsiTheme="majorHAnsi"/>
                          <w:color w:val="595959" w:themeColor="text1" w:themeTint="A6"/>
                          <w:sz w:val="18"/>
                          <w:szCs w:val="18"/>
                        </w:rPr>
                        <w:t>Friendly Settlement</w:t>
                      </w:r>
                      <w:r w:rsidR="001D6254" w:rsidRPr="005D130C">
                        <w:rPr>
                          <w:rFonts w:asciiTheme="majorHAnsi" w:hAnsiTheme="majorHAnsi"/>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001D6254" w:rsidRPr="005D130C">
                        <w:rPr>
                          <w:rFonts w:asciiTheme="majorHAnsi" w:hAnsiTheme="majorHAnsi"/>
                          <w:color w:val="595959" w:themeColor="text1" w:themeTint="A6"/>
                          <w:sz w:val="18"/>
                          <w:szCs w:val="18"/>
                        </w:rPr>
                        <w:t xml:space="preserve">Gabriel </w:t>
                      </w:r>
                      <w:proofErr w:type="spellStart"/>
                      <w:r w:rsidR="001D6254" w:rsidRPr="005D130C">
                        <w:rPr>
                          <w:rFonts w:asciiTheme="majorHAnsi" w:hAnsiTheme="majorHAnsi"/>
                          <w:color w:val="595959" w:themeColor="text1" w:themeTint="A6"/>
                          <w:sz w:val="18"/>
                          <w:szCs w:val="18"/>
                        </w:rPr>
                        <w:t>Ángel</w:t>
                      </w:r>
                      <w:proofErr w:type="spellEnd"/>
                      <w:r w:rsidR="001D6254" w:rsidRPr="005D130C">
                        <w:rPr>
                          <w:rFonts w:asciiTheme="majorHAnsi" w:hAnsiTheme="majorHAnsi"/>
                          <w:color w:val="595959" w:themeColor="text1" w:themeTint="A6"/>
                          <w:sz w:val="18"/>
                          <w:szCs w:val="18"/>
                        </w:rPr>
                        <w:t xml:space="preserve"> Gómez Martínez </w:t>
                      </w:r>
                      <w:r w:rsidRPr="005D130C">
                        <w:rPr>
                          <w:rFonts w:asciiTheme="majorHAnsi" w:hAnsiTheme="majorHAnsi"/>
                          <w:color w:val="595959" w:themeColor="text1" w:themeTint="A6"/>
                          <w:sz w:val="18"/>
                          <w:szCs w:val="18"/>
                        </w:rPr>
                        <w:t>and Family</w:t>
                      </w:r>
                      <w:r w:rsidR="001D6254" w:rsidRPr="005D130C">
                        <w:rPr>
                          <w:rFonts w:asciiTheme="majorHAnsi" w:hAnsiTheme="majorHAnsi"/>
                          <w:color w:val="595959" w:themeColor="text1" w:themeTint="A6"/>
                          <w:sz w:val="18"/>
                          <w:szCs w:val="18"/>
                        </w:rPr>
                        <w:t>.</w:t>
                      </w:r>
                      <w:r w:rsidR="00113F73" w:rsidRPr="005D130C">
                        <w:rPr>
                          <w:rFonts w:asciiTheme="majorHAnsi" w:hAnsiTheme="majorHAnsi"/>
                          <w:color w:val="595959" w:themeColor="text1" w:themeTint="A6"/>
                          <w:sz w:val="18"/>
                          <w:szCs w:val="18"/>
                        </w:rPr>
                        <w:t xml:space="preserve"> </w:t>
                      </w:r>
                      <w:r w:rsidR="00EA0F18">
                        <w:rPr>
                          <w:rFonts w:asciiTheme="majorHAnsi" w:hAnsiTheme="majorHAnsi"/>
                          <w:color w:val="595959" w:themeColor="text1" w:themeTint="A6"/>
                          <w:sz w:val="18"/>
                          <w:szCs w:val="18"/>
                        </w:rPr>
                        <w:t>Colombia</w:t>
                      </w:r>
                      <w:r w:rsidR="00DC706A">
                        <w:rPr>
                          <w:rFonts w:asciiTheme="majorHAnsi" w:hAnsiTheme="majorHAnsi"/>
                          <w:color w:val="595959" w:themeColor="text1" w:themeTint="A6"/>
                          <w:sz w:val="18"/>
                          <w:szCs w:val="18"/>
                        </w:rPr>
                        <w:t xml:space="preserve">. </w:t>
                      </w:r>
                      <w:r w:rsidR="000F4851">
                        <w:rPr>
                          <w:rFonts w:asciiTheme="majorHAnsi" w:hAnsiTheme="majorHAnsi"/>
                          <w:color w:val="595959" w:themeColor="text1" w:themeTint="A6"/>
                          <w:sz w:val="18"/>
                          <w:szCs w:val="18"/>
                        </w:rPr>
                        <w:t>May 10, 2022</w:t>
                      </w:r>
                      <w:r w:rsidR="00113F73" w:rsidRPr="000F4851">
                        <w:rPr>
                          <w:rFonts w:asciiTheme="majorHAnsi" w:hAnsiTheme="majorHAnsi"/>
                          <w:color w:val="595959" w:themeColor="text1" w:themeTint="A6"/>
                          <w:sz w:val="18"/>
                          <w:szCs w:val="18"/>
                        </w:rPr>
                        <w:t>.</w:t>
                      </w:r>
                    </w:p>
                  </w:txbxContent>
                </v:textbox>
              </v:shape>
            </w:pict>
          </mc:Fallback>
        </mc:AlternateContent>
      </w:r>
    </w:p>
    <w:p w14:paraId="70E2F15A" w14:textId="77777777" w:rsidR="00A50FCF" w:rsidRPr="00D12718" w:rsidRDefault="00A50FCF" w:rsidP="00040C3A">
      <w:pPr>
        <w:tabs>
          <w:tab w:val="center" w:pos="5400"/>
        </w:tabs>
        <w:suppressAutoHyphens/>
        <w:jc w:val="center"/>
        <w:rPr>
          <w:rFonts w:asciiTheme="majorHAnsi" w:hAnsiTheme="majorHAnsi"/>
          <w:sz w:val="18"/>
          <w:szCs w:val="22"/>
        </w:rPr>
      </w:pPr>
    </w:p>
    <w:p w14:paraId="4D51ECD3" w14:textId="77777777" w:rsidR="0090270B" w:rsidRPr="00D12718" w:rsidRDefault="00D306D1" w:rsidP="005516A1">
      <w:pPr>
        <w:tabs>
          <w:tab w:val="center" w:pos="5400"/>
        </w:tabs>
        <w:suppressAutoHyphens/>
        <w:jc w:val="center"/>
        <w:rPr>
          <w:rFonts w:asciiTheme="majorHAnsi" w:hAnsiTheme="majorHAnsi"/>
          <w:b/>
          <w:sz w:val="20"/>
        </w:rPr>
      </w:pPr>
      <w:r w:rsidRPr="00D12718">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0F5F59C4" wp14:editId="58037D6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90E6F"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7C91351" wp14:editId="716ADCDD">
                                  <wp:extent cx="1678346"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78346"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5F59C4"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4890E6F"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7C91351" wp14:editId="716ADCDD">
                            <wp:extent cx="1678346"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78346" cy="428625"/>
                                    </a:xfrm>
                                    <a:prstGeom prst="rect">
                                      <a:avLst/>
                                    </a:prstGeom>
                                    <a:noFill/>
                                    <a:ln>
                                      <a:noFill/>
                                    </a:ln>
                                  </pic:spPr>
                                </pic:pic>
                              </a:graphicData>
                            </a:graphic>
                          </wp:inline>
                        </w:drawing>
                      </w:r>
                    </w:p>
                  </w:txbxContent>
                </v:textbox>
              </v:shape>
            </w:pict>
          </mc:Fallback>
        </mc:AlternateContent>
      </w:r>
      <w:r w:rsidRPr="00D12718">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18EEEA62" wp14:editId="20A25E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C1D90" w14:textId="0D4C392C"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D130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EEEA62"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242C1D90" w14:textId="0D4C392C"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D130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AF7407B" w14:textId="77777777" w:rsidR="0070697F" w:rsidRPr="00D12718" w:rsidRDefault="0070697F" w:rsidP="005516A1">
      <w:pPr>
        <w:tabs>
          <w:tab w:val="center" w:pos="5400"/>
        </w:tabs>
        <w:suppressAutoHyphens/>
        <w:jc w:val="center"/>
        <w:rPr>
          <w:rFonts w:asciiTheme="majorHAnsi" w:hAnsiTheme="majorHAnsi"/>
          <w:b/>
          <w:sz w:val="20"/>
        </w:rPr>
        <w:sectPr w:rsidR="0070697F" w:rsidRPr="00D12718" w:rsidSect="00C054D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5A7182C0" w14:textId="63DB37A0" w:rsidR="00722C9F" w:rsidRPr="00D12718" w:rsidRDefault="005D130C" w:rsidP="00722C9F">
      <w:pPr>
        <w:tabs>
          <w:tab w:val="center" w:pos="5400"/>
        </w:tabs>
        <w:suppressAutoHyphens/>
        <w:spacing w:line="276" w:lineRule="auto"/>
        <w:jc w:val="center"/>
        <w:rPr>
          <w:rFonts w:asciiTheme="majorHAnsi" w:hAnsiTheme="majorHAnsi"/>
          <w:b/>
          <w:sz w:val="18"/>
          <w:szCs w:val="20"/>
        </w:rPr>
      </w:pPr>
      <w:r w:rsidRPr="00D12718">
        <w:rPr>
          <w:rFonts w:asciiTheme="majorHAnsi" w:hAnsiTheme="majorHAnsi"/>
          <w:b/>
          <w:sz w:val="18"/>
          <w:szCs w:val="20"/>
        </w:rPr>
        <w:lastRenderedPageBreak/>
        <w:t>REPORT</w:t>
      </w:r>
      <w:r w:rsidR="00722C9F" w:rsidRPr="00D12718">
        <w:rPr>
          <w:rFonts w:asciiTheme="majorHAnsi" w:hAnsiTheme="majorHAnsi"/>
          <w:b/>
          <w:sz w:val="18"/>
          <w:szCs w:val="20"/>
        </w:rPr>
        <w:t xml:space="preserve"> No. </w:t>
      </w:r>
      <w:r w:rsidR="000F4851">
        <w:rPr>
          <w:rFonts w:asciiTheme="majorHAnsi" w:hAnsiTheme="majorHAnsi"/>
          <w:b/>
          <w:sz w:val="18"/>
          <w:szCs w:val="20"/>
        </w:rPr>
        <w:t>63</w:t>
      </w:r>
      <w:r w:rsidR="00722C9F" w:rsidRPr="000F4851">
        <w:rPr>
          <w:rFonts w:asciiTheme="majorHAnsi" w:hAnsiTheme="majorHAnsi"/>
          <w:b/>
          <w:sz w:val="18"/>
          <w:szCs w:val="20"/>
        </w:rPr>
        <w:t>/</w:t>
      </w:r>
      <w:r w:rsidR="000E3B28" w:rsidRPr="000F4851">
        <w:rPr>
          <w:rFonts w:asciiTheme="majorHAnsi" w:hAnsiTheme="majorHAnsi"/>
          <w:b/>
          <w:sz w:val="18"/>
          <w:szCs w:val="20"/>
        </w:rPr>
        <w:t>22</w:t>
      </w:r>
    </w:p>
    <w:p w14:paraId="4FB1F84F" w14:textId="1DB2883F" w:rsidR="00722C9F" w:rsidRPr="00D12718" w:rsidRDefault="00722C9F" w:rsidP="00722C9F">
      <w:pPr>
        <w:tabs>
          <w:tab w:val="center" w:pos="5400"/>
        </w:tabs>
        <w:suppressAutoHyphens/>
        <w:spacing w:line="276" w:lineRule="auto"/>
        <w:jc w:val="center"/>
        <w:rPr>
          <w:rFonts w:asciiTheme="majorHAnsi" w:hAnsiTheme="majorHAnsi"/>
          <w:b/>
          <w:sz w:val="18"/>
          <w:szCs w:val="20"/>
        </w:rPr>
      </w:pPr>
      <w:r w:rsidRPr="00D12718">
        <w:rPr>
          <w:rFonts w:asciiTheme="majorHAnsi" w:hAnsiTheme="majorHAnsi"/>
          <w:b/>
          <w:sz w:val="18"/>
          <w:szCs w:val="20"/>
        </w:rPr>
        <w:t>CAS</w:t>
      </w:r>
      <w:r w:rsidR="005D130C" w:rsidRPr="00D12718">
        <w:rPr>
          <w:rFonts w:asciiTheme="majorHAnsi" w:hAnsiTheme="majorHAnsi"/>
          <w:b/>
          <w:sz w:val="18"/>
          <w:szCs w:val="20"/>
        </w:rPr>
        <w:t>E</w:t>
      </w:r>
      <w:r w:rsidRPr="00D12718">
        <w:rPr>
          <w:rFonts w:asciiTheme="majorHAnsi" w:hAnsiTheme="majorHAnsi"/>
          <w:b/>
          <w:sz w:val="18"/>
          <w:szCs w:val="20"/>
        </w:rPr>
        <w:t xml:space="preserve"> </w:t>
      </w:r>
      <w:r w:rsidR="001D6254" w:rsidRPr="00D12718">
        <w:rPr>
          <w:rFonts w:asciiTheme="majorHAnsi" w:hAnsiTheme="majorHAnsi"/>
          <w:b/>
          <w:sz w:val="18"/>
          <w:szCs w:val="20"/>
        </w:rPr>
        <w:t>13</w:t>
      </w:r>
      <w:r w:rsidRPr="00D12718">
        <w:rPr>
          <w:rFonts w:asciiTheme="majorHAnsi" w:hAnsiTheme="majorHAnsi"/>
          <w:b/>
          <w:sz w:val="18"/>
          <w:szCs w:val="20"/>
        </w:rPr>
        <w:t>.</w:t>
      </w:r>
      <w:r w:rsidR="001D6254" w:rsidRPr="00D12718">
        <w:rPr>
          <w:rFonts w:asciiTheme="majorHAnsi" w:hAnsiTheme="majorHAnsi"/>
          <w:b/>
          <w:sz w:val="18"/>
          <w:szCs w:val="20"/>
        </w:rPr>
        <w:t>775</w:t>
      </w:r>
    </w:p>
    <w:p w14:paraId="0A51E6C3" w14:textId="1ADEAC02" w:rsidR="00722C9F" w:rsidRPr="00D12718" w:rsidRDefault="005D130C" w:rsidP="00722C9F">
      <w:pPr>
        <w:tabs>
          <w:tab w:val="center" w:pos="5400"/>
        </w:tabs>
        <w:suppressAutoHyphens/>
        <w:spacing w:line="276" w:lineRule="auto"/>
        <w:jc w:val="center"/>
        <w:rPr>
          <w:rFonts w:asciiTheme="majorHAnsi" w:hAnsiTheme="majorHAnsi"/>
          <w:sz w:val="18"/>
          <w:szCs w:val="20"/>
        </w:rPr>
      </w:pPr>
      <w:r w:rsidRPr="00D12718">
        <w:rPr>
          <w:rFonts w:asciiTheme="majorHAnsi" w:hAnsiTheme="majorHAnsi"/>
          <w:sz w:val="18"/>
          <w:szCs w:val="20"/>
        </w:rPr>
        <w:t>REPORT ON FRIENDLY SETTLEMENT</w:t>
      </w:r>
    </w:p>
    <w:p w14:paraId="030E8123" w14:textId="5682E54F" w:rsidR="00722C9F" w:rsidRPr="006B1848" w:rsidRDefault="001D6254" w:rsidP="00722C9F">
      <w:pPr>
        <w:tabs>
          <w:tab w:val="center" w:pos="5400"/>
        </w:tabs>
        <w:suppressAutoHyphens/>
        <w:spacing w:line="276" w:lineRule="auto"/>
        <w:jc w:val="center"/>
        <w:rPr>
          <w:rFonts w:asciiTheme="majorHAnsi" w:hAnsiTheme="majorHAnsi"/>
          <w:sz w:val="18"/>
          <w:szCs w:val="20"/>
          <w:lang w:val="es-AR"/>
        </w:rPr>
      </w:pPr>
      <w:r w:rsidRPr="006B1848">
        <w:rPr>
          <w:rFonts w:asciiTheme="majorHAnsi" w:hAnsiTheme="majorHAnsi"/>
          <w:sz w:val="18"/>
          <w:szCs w:val="20"/>
          <w:lang w:val="es-AR"/>
        </w:rPr>
        <w:t xml:space="preserve">GABRIEL ÁNGEL GÓMEZ MARTÍNEZ </w:t>
      </w:r>
      <w:r w:rsidR="005D130C" w:rsidRPr="006B1848">
        <w:rPr>
          <w:rFonts w:asciiTheme="majorHAnsi" w:hAnsiTheme="majorHAnsi"/>
          <w:sz w:val="18"/>
          <w:szCs w:val="20"/>
          <w:lang w:val="es-AR"/>
        </w:rPr>
        <w:t xml:space="preserve">AND </w:t>
      </w:r>
      <w:r w:rsidRPr="006B1848">
        <w:rPr>
          <w:rFonts w:asciiTheme="majorHAnsi" w:hAnsiTheme="majorHAnsi"/>
          <w:sz w:val="18"/>
          <w:szCs w:val="20"/>
          <w:lang w:val="es-AR"/>
        </w:rPr>
        <w:t>FAMIL</w:t>
      </w:r>
      <w:r w:rsidR="005D130C" w:rsidRPr="006B1848">
        <w:rPr>
          <w:rFonts w:asciiTheme="majorHAnsi" w:hAnsiTheme="majorHAnsi"/>
          <w:sz w:val="18"/>
          <w:szCs w:val="20"/>
          <w:lang w:val="es-AR"/>
        </w:rPr>
        <w:t>Y</w:t>
      </w:r>
    </w:p>
    <w:p w14:paraId="5E7CDB54" w14:textId="7A9BC5C3" w:rsidR="0070697F" w:rsidRPr="00460971" w:rsidRDefault="001D6254" w:rsidP="00722C9F">
      <w:pPr>
        <w:tabs>
          <w:tab w:val="center" w:pos="5400"/>
        </w:tabs>
        <w:suppressAutoHyphens/>
        <w:spacing w:line="276" w:lineRule="auto"/>
        <w:jc w:val="center"/>
        <w:rPr>
          <w:rFonts w:asciiTheme="majorHAnsi" w:hAnsiTheme="majorHAnsi"/>
          <w:sz w:val="18"/>
          <w:szCs w:val="20"/>
          <w:lang w:val="es-CO"/>
        </w:rPr>
      </w:pPr>
      <w:r w:rsidRPr="00460971">
        <w:rPr>
          <w:rFonts w:asciiTheme="majorHAnsi" w:hAnsiTheme="majorHAnsi"/>
          <w:sz w:val="18"/>
          <w:szCs w:val="20"/>
          <w:lang w:val="es-CO"/>
        </w:rPr>
        <w:t>COLOMBIA</w:t>
      </w:r>
      <w:r w:rsidR="00136060" w:rsidRPr="00D12718">
        <w:rPr>
          <w:rStyle w:val="FootnoteReference"/>
          <w:rFonts w:asciiTheme="majorHAnsi" w:hAnsiTheme="majorHAnsi"/>
          <w:sz w:val="18"/>
          <w:szCs w:val="20"/>
        </w:rPr>
        <w:footnoteReference w:id="2"/>
      </w:r>
    </w:p>
    <w:p w14:paraId="76F70785" w14:textId="089168CF" w:rsidR="00722C9F" w:rsidRPr="00460971" w:rsidRDefault="000F4851" w:rsidP="00722C9F">
      <w:pPr>
        <w:tabs>
          <w:tab w:val="center" w:pos="5400"/>
        </w:tabs>
        <w:suppressAutoHyphens/>
        <w:spacing w:line="276" w:lineRule="auto"/>
        <w:jc w:val="center"/>
        <w:rPr>
          <w:rFonts w:asciiTheme="majorHAnsi" w:hAnsiTheme="majorHAnsi"/>
          <w:sz w:val="18"/>
          <w:szCs w:val="20"/>
          <w:lang w:val="es-CO"/>
        </w:rPr>
      </w:pPr>
      <w:r>
        <w:rPr>
          <w:rFonts w:asciiTheme="majorHAnsi" w:hAnsiTheme="majorHAnsi"/>
          <w:sz w:val="18"/>
          <w:szCs w:val="20"/>
          <w:lang w:val="es-CO"/>
        </w:rPr>
        <w:t>M</w:t>
      </w:r>
      <w:r w:rsidR="002F24FC">
        <w:rPr>
          <w:rFonts w:asciiTheme="majorHAnsi" w:hAnsiTheme="majorHAnsi"/>
          <w:sz w:val="18"/>
          <w:szCs w:val="20"/>
          <w:lang w:val="es-CO"/>
        </w:rPr>
        <w:t>AY</w:t>
      </w:r>
      <w:r>
        <w:rPr>
          <w:rFonts w:asciiTheme="majorHAnsi" w:hAnsiTheme="majorHAnsi"/>
          <w:sz w:val="18"/>
          <w:szCs w:val="20"/>
          <w:lang w:val="es-CO"/>
        </w:rPr>
        <w:t xml:space="preserve"> 10, 2022</w:t>
      </w:r>
    </w:p>
    <w:p w14:paraId="7DE880A2" w14:textId="77777777" w:rsidR="00722C9F" w:rsidRDefault="00722C9F" w:rsidP="00722C9F">
      <w:pPr>
        <w:tabs>
          <w:tab w:val="center" w:pos="5400"/>
        </w:tabs>
        <w:suppressAutoHyphens/>
        <w:spacing w:line="276" w:lineRule="auto"/>
        <w:jc w:val="center"/>
        <w:rPr>
          <w:rFonts w:asciiTheme="majorHAnsi" w:hAnsiTheme="majorHAnsi"/>
          <w:sz w:val="18"/>
          <w:szCs w:val="20"/>
          <w:lang w:val="es-CO"/>
        </w:rPr>
      </w:pPr>
    </w:p>
    <w:p w14:paraId="71D9D5A7" w14:textId="77777777" w:rsidR="004C0020" w:rsidRPr="00460971" w:rsidRDefault="004C0020" w:rsidP="00722C9F">
      <w:pPr>
        <w:tabs>
          <w:tab w:val="center" w:pos="5400"/>
        </w:tabs>
        <w:suppressAutoHyphens/>
        <w:spacing w:line="276" w:lineRule="auto"/>
        <w:jc w:val="center"/>
        <w:rPr>
          <w:rFonts w:asciiTheme="majorHAnsi" w:hAnsiTheme="majorHAnsi"/>
          <w:sz w:val="18"/>
          <w:szCs w:val="20"/>
          <w:lang w:val="es-CO"/>
        </w:rPr>
      </w:pPr>
    </w:p>
    <w:p w14:paraId="5B9BC8DA" w14:textId="06B2C7B0" w:rsidR="003E7EB5" w:rsidRPr="00D12718" w:rsidRDefault="007546CF"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rPr>
      </w:pPr>
      <w:r w:rsidRPr="007546CF">
        <w:rPr>
          <w:rFonts w:asciiTheme="majorHAnsi" w:hAnsiTheme="majorHAnsi" w:cstheme="minorHAnsi"/>
          <w:b/>
          <w:color w:val="000000" w:themeColor="text1"/>
          <w:sz w:val="20"/>
          <w:szCs w:val="20"/>
        </w:rPr>
        <w:t xml:space="preserve">SUMMARY AND RELEVANT </w:t>
      </w:r>
      <w:r w:rsidR="00A40CFE">
        <w:rPr>
          <w:rFonts w:asciiTheme="majorHAnsi" w:hAnsiTheme="majorHAnsi" w:cstheme="minorHAnsi"/>
          <w:b/>
          <w:color w:val="000000" w:themeColor="text1"/>
          <w:sz w:val="20"/>
          <w:szCs w:val="20"/>
        </w:rPr>
        <w:t>PRO</w:t>
      </w:r>
      <w:r w:rsidR="00133748">
        <w:rPr>
          <w:rFonts w:asciiTheme="majorHAnsi" w:hAnsiTheme="majorHAnsi" w:cstheme="minorHAnsi"/>
          <w:b/>
          <w:color w:val="000000" w:themeColor="text1"/>
          <w:sz w:val="20"/>
          <w:szCs w:val="20"/>
        </w:rPr>
        <w:t>CEEDINGS</w:t>
      </w:r>
      <w:r w:rsidRPr="007546CF">
        <w:rPr>
          <w:rFonts w:asciiTheme="majorHAnsi" w:hAnsiTheme="majorHAnsi" w:cstheme="minorHAnsi"/>
          <w:b/>
          <w:color w:val="000000" w:themeColor="text1"/>
          <w:sz w:val="20"/>
          <w:szCs w:val="20"/>
        </w:rPr>
        <w:t xml:space="preserve"> OF THE FRIENDLY SETTLEMENT PROCESS</w:t>
      </w:r>
    </w:p>
    <w:p w14:paraId="027532BC" w14:textId="77777777" w:rsidR="003E7EB5" w:rsidRPr="00D12718" w:rsidRDefault="003E7EB5" w:rsidP="00BD4B21">
      <w:pPr>
        <w:ind w:firstLine="720"/>
        <w:jc w:val="both"/>
        <w:rPr>
          <w:rFonts w:asciiTheme="majorHAnsi" w:eastAsia="MS Mincho" w:hAnsiTheme="majorHAnsi" w:cstheme="minorHAnsi"/>
          <w:color w:val="000000" w:themeColor="text1"/>
          <w:sz w:val="20"/>
          <w:szCs w:val="20"/>
        </w:rPr>
      </w:pPr>
    </w:p>
    <w:p w14:paraId="6D80569B" w14:textId="42F83A80" w:rsidR="003F3D55" w:rsidRPr="00D12718" w:rsidRDefault="0003246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032468">
        <w:rPr>
          <w:rFonts w:asciiTheme="majorHAnsi" w:eastAsia="Times New Roman" w:hAnsiTheme="majorHAnsi" w:cstheme="minorHAnsi"/>
          <w:color w:val="000000" w:themeColor="text1"/>
          <w:sz w:val="20"/>
          <w:szCs w:val="20"/>
        </w:rPr>
        <w:t>On March 17, 2009, the Inter-American Commission on Human Rights (hereinafter "Commission" or "IACHR") received a petition presented by Roberto Fernando Paz Salas, claiming the international responsibility of the Colombian State (hereinafter "State" or "Colombian State") for the violation of the rights enshrined in Articles 4 (life), 8 (fair trial) and 25 (judicial protection) of the American Convention on Human Rights (hereinafter "Convention" or "</w:t>
      </w:r>
      <w:r w:rsidR="00011DA7">
        <w:rPr>
          <w:rFonts w:asciiTheme="majorHAnsi" w:eastAsia="Times New Roman" w:hAnsiTheme="majorHAnsi" w:cstheme="minorHAnsi"/>
          <w:color w:val="000000" w:themeColor="text1"/>
          <w:sz w:val="20"/>
          <w:szCs w:val="20"/>
        </w:rPr>
        <w:t>I</w:t>
      </w:r>
      <w:r w:rsidRPr="00032468">
        <w:rPr>
          <w:rFonts w:asciiTheme="majorHAnsi" w:eastAsia="Times New Roman" w:hAnsiTheme="majorHAnsi" w:cstheme="minorHAnsi"/>
          <w:color w:val="000000" w:themeColor="text1"/>
          <w:sz w:val="20"/>
          <w:szCs w:val="20"/>
        </w:rPr>
        <w:t xml:space="preserve">ACHR") to the detriment of Mr. Gabriel </w:t>
      </w:r>
      <w:proofErr w:type="spellStart"/>
      <w:r w:rsidRPr="00032468">
        <w:rPr>
          <w:rFonts w:asciiTheme="majorHAnsi" w:eastAsia="Times New Roman" w:hAnsiTheme="majorHAnsi" w:cstheme="minorHAnsi"/>
          <w:color w:val="000000" w:themeColor="text1"/>
          <w:sz w:val="20"/>
          <w:szCs w:val="20"/>
        </w:rPr>
        <w:t>Ángel</w:t>
      </w:r>
      <w:proofErr w:type="spellEnd"/>
      <w:r w:rsidRPr="00032468">
        <w:rPr>
          <w:rFonts w:asciiTheme="majorHAnsi" w:eastAsia="Times New Roman" w:hAnsiTheme="majorHAnsi" w:cstheme="minorHAnsi"/>
          <w:color w:val="000000" w:themeColor="text1"/>
          <w:sz w:val="20"/>
          <w:szCs w:val="20"/>
        </w:rPr>
        <w:t xml:space="preserve"> Gómez Martínez (hereinafter "alleged victim"), for the alleged failure to investigate and punish those responsible for the events surrounding his murder, allegedly at the hands of a group of illegal self-defense groups</w:t>
      </w:r>
      <w:r w:rsidR="000E13D2" w:rsidRPr="00D12718">
        <w:rPr>
          <w:rFonts w:asciiTheme="majorHAnsi" w:eastAsia="Times New Roman" w:hAnsiTheme="majorHAnsi" w:cstheme="minorHAnsi"/>
          <w:color w:val="000000" w:themeColor="text1"/>
          <w:sz w:val="20"/>
          <w:szCs w:val="20"/>
        </w:rPr>
        <w:t>.</w:t>
      </w:r>
      <w:r w:rsidR="00BF2807" w:rsidRPr="00D12718">
        <w:rPr>
          <w:rFonts w:asciiTheme="majorHAnsi" w:eastAsia="Times New Roman" w:hAnsiTheme="majorHAnsi" w:cstheme="minorHAnsi"/>
          <w:color w:val="000000" w:themeColor="text1"/>
          <w:sz w:val="20"/>
          <w:szCs w:val="20"/>
        </w:rPr>
        <w:t xml:space="preserve"> </w:t>
      </w:r>
    </w:p>
    <w:p w14:paraId="6C9857FB"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rPr>
      </w:pPr>
    </w:p>
    <w:p w14:paraId="317EB029" w14:textId="27F03F69" w:rsidR="003F3D55" w:rsidRPr="00D12718" w:rsidRDefault="0003246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032468">
        <w:rPr>
          <w:rFonts w:asciiTheme="majorHAnsi" w:eastAsia="Times New Roman" w:hAnsiTheme="majorHAnsi" w:cstheme="minorHAnsi"/>
          <w:color w:val="000000" w:themeColor="text1"/>
          <w:sz w:val="20"/>
          <w:szCs w:val="20"/>
        </w:rPr>
        <w:t>On April 24, 2019, the IACHR issued Admissibility Report No. 45/19, which declared the admissibility of the petition in relation to the rights recognized in Articles 4 (life), 5 (humane treatment), 8 (fair trial) and 25 (judicial protection) in accordance with Article 1.1 and 2 of the American Convention on Human Rights</w:t>
      </w:r>
      <w:r w:rsidR="003F3D55" w:rsidRPr="00D12718">
        <w:rPr>
          <w:rFonts w:asciiTheme="majorHAnsi" w:eastAsia="Times New Roman" w:hAnsiTheme="majorHAnsi" w:cstheme="minorHAnsi"/>
          <w:color w:val="000000" w:themeColor="text1"/>
          <w:sz w:val="20"/>
          <w:szCs w:val="20"/>
        </w:rPr>
        <w:t xml:space="preserve">. </w:t>
      </w:r>
    </w:p>
    <w:p w14:paraId="24F75BE3"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69CA0175" w14:textId="527D5BB5" w:rsidR="00BF2807" w:rsidRPr="00D12718" w:rsidRDefault="00032468" w:rsidP="00382F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032468">
        <w:rPr>
          <w:rFonts w:asciiTheme="majorHAnsi" w:eastAsia="Times New Roman" w:hAnsiTheme="majorHAnsi" w:cstheme="minorHAnsi"/>
          <w:color w:val="000000" w:themeColor="text1"/>
          <w:sz w:val="20"/>
          <w:szCs w:val="20"/>
        </w:rPr>
        <w:t xml:space="preserve">On June 9, 2021, the Colombian State and the petitioners signed a </w:t>
      </w:r>
      <w:r w:rsidR="00180E09" w:rsidRPr="00032468">
        <w:rPr>
          <w:rFonts w:asciiTheme="majorHAnsi" w:eastAsia="Times New Roman" w:hAnsiTheme="majorHAnsi" w:cstheme="minorHAnsi"/>
          <w:color w:val="000000" w:themeColor="text1"/>
          <w:sz w:val="20"/>
          <w:szCs w:val="20"/>
        </w:rPr>
        <w:t>memorandum of understanding for the search for a friendly settlement</w:t>
      </w:r>
      <w:r w:rsidRPr="00032468">
        <w:rPr>
          <w:rFonts w:asciiTheme="majorHAnsi" w:eastAsia="Times New Roman" w:hAnsiTheme="majorHAnsi" w:cstheme="minorHAnsi"/>
          <w:color w:val="000000" w:themeColor="text1"/>
          <w:sz w:val="20"/>
          <w:szCs w:val="20"/>
        </w:rPr>
        <w:t xml:space="preserve">, which was made known to the Commission on June 18, 2021. Subsequently, on September 7, 2021, the parties signed a friendly settlement agreement </w:t>
      </w:r>
      <w:r w:rsidR="0010378E">
        <w:rPr>
          <w:rFonts w:asciiTheme="majorHAnsi" w:eastAsia="Times New Roman" w:hAnsiTheme="majorHAnsi" w:cstheme="minorHAnsi"/>
          <w:color w:val="000000" w:themeColor="text1"/>
          <w:sz w:val="20"/>
          <w:szCs w:val="20"/>
        </w:rPr>
        <w:t>(</w:t>
      </w:r>
      <w:r w:rsidR="00825F4D">
        <w:rPr>
          <w:rFonts w:asciiTheme="majorHAnsi" w:eastAsia="Times New Roman" w:hAnsiTheme="majorHAnsi" w:cstheme="minorHAnsi"/>
          <w:color w:val="000000" w:themeColor="text1"/>
          <w:sz w:val="20"/>
          <w:szCs w:val="20"/>
        </w:rPr>
        <w:t xml:space="preserve">hereinafter FSA) </w:t>
      </w:r>
      <w:r w:rsidRPr="00032468">
        <w:rPr>
          <w:rFonts w:asciiTheme="majorHAnsi" w:eastAsia="Times New Roman" w:hAnsiTheme="majorHAnsi" w:cstheme="minorHAnsi"/>
          <w:color w:val="000000" w:themeColor="text1"/>
          <w:sz w:val="20"/>
          <w:szCs w:val="20"/>
        </w:rPr>
        <w:t xml:space="preserve">in the city of Bogotá. Finally, on November 3, 2021, the parties submitted to the Commission a joint report on the progress of compliance with the </w:t>
      </w:r>
      <w:r w:rsidR="00C6680E">
        <w:rPr>
          <w:rFonts w:asciiTheme="majorHAnsi" w:eastAsia="Times New Roman" w:hAnsiTheme="majorHAnsi" w:cstheme="minorHAnsi"/>
          <w:color w:val="000000" w:themeColor="text1"/>
          <w:sz w:val="20"/>
          <w:szCs w:val="20"/>
        </w:rPr>
        <w:t xml:space="preserve">FSA </w:t>
      </w:r>
      <w:r w:rsidRPr="00032468">
        <w:rPr>
          <w:rFonts w:asciiTheme="majorHAnsi" w:eastAsia="Times New Roman" w:hAnsiTheme="majorHAnsi" w:cstheme="minorHAnsi"/>
          <w:color w:val="000000" w:themeColor="text1"/>
          <w:sz w:val="20"/>
          <w:szCs w:val="20"/>
        </w:rPr>
        <w:t>and requested its homologation</w:t>
      </w:r>
      <w:r w:rsidR="003F5579" w:rsidRPr="00D12718">
        <w:rPr>
          <w:rFonts w:asciiTheme="majorHAnsi" w:eastAsia="Times New Roman" w:hAnsiTheme="majorHAnsi" w:cstheme="minorHAnsi"/>
          <w:color w:val="000000" w:themeColor="text1"/>
          <w:sz w:val="20"/>
          <w:szCs w:val="20"/>
        </w:rPr>
        <w:t>.</w:t>
      </w:r>
    </w:p>
    <w:p w14:paraId="5525F14C"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2229CD04" w14:textId="2CE0F173" w:rsidR="00BF2807" w:rsidRPr="00D12718" w:rsidRDefault="00322F0C"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322F0C">
        <w:rPr>
          <w:rFonts w:asciiTheme="majorHAnsi" w:eastAsia="Times New Roman" w:hAnsiTheme="majorHAnsi" w:cstheme="minorHAnsi"/>
          <w:color w:val="000000" w:themeColor="text1"/>
          <w:sz w:val="20"/>
          <w:szCs w:val="20"/>
        </w:rPr>
        <w:t>This friendly settlement report, pursuant to Article 49 of the Convention and Article 40.5 of the Commission's Rules of Procedure, includes a summary of the facts alleged by the petitioner and a transcription of the friendly settlement agreement, signed on September 7, 2021</w:t>
      </w:r>
      <w:r w:rsidR="00811BBF">
        <w:rPr>
          <w:rFonts w:asciiTheme="majorHAnsi" w:eastAsia="Times New Roman" w:hAnsiTheme="majorHAnsi" w:cstheme="minorHAnsi"/>
          <w:color w:val="000000" w:themeColor="text1"/>
          <w:sz w:val="20"/>
          <w:szCs w:val="20"/>
        </w:rPr>
        <w:t>,</w:t>
      </w:r>
      <w:r w:rsidRPr="00322F0C">
        <w:rPr>
          <w:rFonts w:asciiTheme="majorHAnsi" w:eastAsia="Times New Roman" w:hAnsiTheme="majorHAnsi" w:cstheme="minorHAnsi"/>
          <w:color w:val="000000" w:themeColor="text1"/>
          <w:sz w:val="20"/>
          <w:szCs w:val="20"/>
        </w:rPr>
        <w:t xml:space="preserve"> by the petitioners and representatives of the Colombian State. Likewise, the agreement signed between the parties is approved and it is agreed that this report will be published in the Annual Report of the IACHR to the General Assembly of the Organization of American States</w:t>
      </w:r>
      <w:r w:rsidR="00BF2807" w:rsidRPr="00D12718">
        <w:rPr>
          <w:rFonts w:asciiTheme="majorHAnsi" w:eastAsia="Times New Roman" w:hAnsiTheme="majorHAnsi" w:cstheme="minorHAnsi"/>
          <w:color w:val="000000" w:themeColor="text1"/>
          <w:sz w:val="20"/>
          <w:szCs w:val="20"/>
        </w:rPr>
        <w:t>.</w:t>
      </w:r>
    </w:p>
    <w:p w14:paraId="1FB3E383"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3FEF1A63" w14:textId="3ABA6F19" w:rsidR="003E7EB5" w:rsidRPr="00D12718" w:rsidRDefault="00257420"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Pr>
          <w:rFonts w:asciiTheme="majorHAnsi" w:eastAsia="MS Mincho" w:hAnsiTheme="majorHAnsi" w:cstheme="minorHAnsi"/>
          <w:b/>
          <w:color w:val="000000" w:themeColor="text1"/>
          <w:sz w:val="20"/>
          <w:szCs w:val="20"/>
        </w:rPr>
        <w:t xml:space="preserve">THE </w:t>
      </w:r>
      <w:r w:rsidR="00322F0C">
        <w:rPr>
          <w:rFonts w:asciiTheme="majorHAnsi" w:eastAsia="MS Mincho" w:hAnsiTheme="majorHAnsi" w:cstheme="minorHAnsi"/>
          <w:b/>
          <w:color w:val="000000" w:themeColor="text1"/>
          <w:sz w:val="20"/>
          <w:szCs w:val="20"/>
        </w:rPr>
        <w:t xml:space="preserve">FACTS </w:t>
      </w:r>
      <w:r w:rsidR="007546CF">
        <w:rPr>
          <w:rFonts w:asciiTheme="majorHAnsi" w:eastAsia="MS Mincho" w:hAnsiTheme="majorHAnsi" w:cstheme="minorHAnsi"/>
          <w:b/>
          <w:color w:val="000000" w:themeColor="text1"/>
          <w:sz w:val="20"/>
          <w:szCs w:val="20"/>
        </w:rPr>
        <w:t xml:space="preserve">ALLEGED </w:t>
      </w:r>
    </w:p>
    <w:p w14:paraId="430166E9" w14:textId="77777777" w:rsidR="00BD4B21" w:rsidRPr="00D12718"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stheme="minorHAnsi"/>
          <w:b/>
          <w:color w:val="000000" w:themeColor="text1"/>
          <w:sz w:val="20"/>
          <w:szCs w:val="20"/>
        </w:rPr>
      </w:pPr>
    </w:p>
    <w:p w14:paraId="7A11C945" w14:textId="1677F467" w:rsidR="00C10E17" w:rsidRPr="00D12718" w:rsidRDefault="00EC3D39"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C3D39">
        <w:rPr>
          <w:rFonts w:asciiTheme="majorHAnsi" w:eastAsia="Times New Roman" w:hAnsiTheme="majorHAnsi" w:cstheme="minorHAnsi"/>
          <w:color w:val="000000" w:themeColor="text1"/>
          <w:sz w:val="20"/>
          <w:szCs w:val="20"/>
        </w:rPr>
        <w:t xml:space="preserve">The petitioner held that the village of </w:t>
      </w:r>
      <w:proofErr w:type="spellStart"/>
      <w:r w:rsidRPr="00EC3D39">
        <w:rPr>
          <w:rFonts w:asciiTheme="majorHAnsi" w:eastAsia="Times New Roman" w:hAnsiTheme="majorHAnsi" w:cstheme="minorHAnsi"/>
          <w:color w:val="000000" w:themeColor="text1"/>
          <w:sz w:val="20"/>
          <w:szCs w:val="20"/>
        </w:rPr>
        <w:t>Nuti</w:t>
      </w:r>
      <w:r w:rsidR="006673D8">
        <w:rPr>
          <w:rFonts w:asciiTheme="majorHAnsi" w:eastAsia="Times New Roman" w:hAnsiTheme="majorHAnsi" w:cstheme="minorHAnsi"/>
          <w:color w:val="000000" w:themeColor="text1"/>
          <w:sz w:val="20"/>
          <w:szCs w:val="20"/>
        </w:rPr>
        <w:t>b</w:t>
      </w:r>
      <w:r w:rsidRPr="00EC3D39">
        <w:rPr>
          <w:rFonts w:asciiTheme="majorHAnsi" w:eastAsia="Times New Roman" w:hAnsiTheme="majorHAnsi" w:cstheme="minorHAnsi"/>
          <w:color w:val="000000" w:themeColor="text1"/>
          <w:sz w:val="20"/>
          <w:szCs w:val="20"/>
        </w:rPr>
        <w:t>ara</w:t>
      </w:r>
      <w:proofErr w:type="spellEnd"/>
      <w:r w:rsidRPr="00EC3D39">
        <w:rPr>
          <w:rFonts w:asciiTheme="majorHAnsi" w:eastAsia="Times New Roman" w:hAnsiTheme="majorHAnsi" w:cstheme="minorHAnsi"/>
          <w:color w:val="000000" w:themeColor="text1"/>
          <w:sz w:val="20"/>
          <w:szCs w:val="20"/>
        </w:rPr>
        <w:t>, Municipality of Frontino, Department of Antioquia, had been abandoned by the public forces after an attack committed on December 28, 1998, by the 5</w:t>
      </w:r>
      <w:r w:rsidR="00011DA7" w:rsidRPr="00011DA7">
        <w:rPr>
          <w:rFonts w:asciiTheme="majorHAnsi" w:eastAsia="Times New Roman" w:hAnsiTheme="majorHAnsi" w:cstheme="minorHAnsi"/>
          <w:color w:val="000000" w:themeColor="text1"/>
          <w:sz w:val="20"/>
          <w:szCs w:val="20"/>
          <w:vertAlign w:val="superscript"/>
        </w:rPr>
        <w:t>th</w:t>
      </w:r>
      <w:r w:rsidR="00011DA7">
        <w:rPr>
          <w:rFonts w:asciiTheme="majorHAnsi" w:eastAsia="Times New Roman" w:hAnsiTheme="majorHAnsi" w:cstheme="minorHAnsi"/>
          <w:color w:val="000000" w:themeColor="text1"/>
          <w:sz w:val="20"/>
          <w:szCs w:val="20"/>
        </w:rPr>
        <w:t>,</w:t>
      </w:r>
      <w:r w:rsidRPr="00EC3D39">
        <w:rPr>
          <w:rFonts w:asciiTheme="majorHAnsi" w:eastAsia="Times New Roman" w:hAnsiTheme="majorHAnsi" w:cstheme="minorHAnsi"/>
          <w:color w:val="000000" w:themeColor="text1"/>
          <w:sz w:val="20"/>
          <w:szCs w:val="20"/>
        </w:rPr>
        <w:t xml:space="preserve"> 18</w:t>
      </w:r>
      <w:r w:rsidR="00011DA7" w:rsidRPr="00011DA7">
        <w:rPr>
          <w:rFonts w:asciiTheme="majorHAnsi" w:eastAsia="Times New Roman" w:hAnsiTheme="majorHAnsi" w:cstheme="minorHAnsi"/>
          <w:color w:val="000000" w:themeColor="text1"/>
          <w:sz w:val="20"/>
          <w:szCs w:val="20"/>
          <w:vertAlign w:val="superscript"/>
        </w:rPr>
        <w:t>th</w:t>
      </w:r>
      <w:r w:rsidR="00011DA7">
        <w:rPr>
          <w:rFonts w:asciiTheme="majorHAnsi" w:eastAsia="Times New Roman" w:hAnsiTheme="majorHAnsi" w:cstheme="minorHAnsi"/>
          <w:color w:val="000000" w:themeColor="text1"/>
          <w:sz w:val="20"/>
          <w:szCs w:val="20"/>
        </w:rPr>
        <w:t xml:space="preserve"> </w:t>
      </w:r>
      <w:r w:rsidRPr="00EC3D39">
        <w:rPr>
          <w:rFonts w:asciiTheme="majorHAnsi" w:eastAsia="Times New Roman" w:hAnsiTheme="majorHAnsi" w:cstheme="minorHAnsi"/>
          <w:color w:val="000000" w:themeColor="text1"/>
          <w:sz w:val="20"/>
          <w:szCs w:val="20"/>
        </w:rPr>
        <w:t>and 34</w:t>
      </w:r>
      <w:r w:rsidR="00011DA7" w:rsidRPr="00011DA7">
        <w:rPr>
          <w:rFonts w:asciiTheme="majorHAnsi" w:eastAsia="Times New Roman" w:hAnsiTheme="majorHAnsi" w:cstheme="minorHAnsi"/>
          <w:color w:val="000000" w:themeColor="text1"/>
          <w:sz w:val="20"/>
          <w:szCs w:val="20"/>
          <w:vertAlign w:val="superscript"/>
        </w:rPr>
        <w:t>th</w:t>
      </w:r>
      <w:r w:rsidR="00011DA7">
        <w:rPr>
          <w:rFonts w:asciiTheme="majorHAnsi" w:eastAsia="Times New Roman" w:hAnsiTheme="majorHAnsi" w:cstheme="minorHAnsi"/>
          <w:color w:val="000000" w:themeColor="text1"/>
          <w:sz w:val="20"/>
          <w:szCs w:val="20"/>
        </w:rPr>
        <w:t xml:space="preserve"> </w:t>
      </w:r>
      <w:r w:rsidRPr="00EC3D39">
        <w:rPr>
          <w:rFonts w:asciiTheme="majorHAnsi" w:eastAsia="Times New Roman" w:hAnsiTheme="majorHAnsi" w:cstheme="minorHAnsi"/>
          <w:color w:val="000000" w:themeColor="text1"/>
          <w:sz w:val="20"/>
          <w:szCs w:val="20"/>
        </w:rPr>
        <w:t xml:space="preserve">Fronts of the Revolutionary Armed Forces of Colombia. This decision allegedly left the civilian population unprotected </w:t>
      </w:r>
      <w:r w:rsidR="001D1430" w:rsidRPr="00EC3D39">
        <w:rPr>
          <w:rFonts w:asciiTheme="majorHAnsi" w:eastAsia="Times New Roman" w:hAnsiTheme="majorHAnsi" w:cstheme="minorHAnsi"/>
          <w:color w:val="000000" w:themeColor="text1"/>
          <w:sz w:val="20"/>
          <w:szCs w:val="20"/>
        </w:rPr>
        <w:t>because of</w:t>
      </w:r>
      <w:r w:rsidRPr="00EC3D39">
        <w:rPr>
          <w:rFonts w:asciiTheme="majorHAnsi" w:eastAsia="Times New Roman" w:hAnsiTheme="majorHAnsi" w:cstheme="minorHAnsi"/>
          <w:color w:val="000000" w:themeColor="text1"/>
          <w:sz w:val="20"/>
          <w:szCs w:val="20"/>
        </w:rPr>
        <w:t xml:space="preserve"> the withdrawal of police personnel in the area. Likewise, petitioner stated that several settlers reportedly requested the authorities of Frontino, in numerous occasions, presence and assistance by the public force due to the alleged extortions and constant threats they were receiving, allegedly by the guerrilla and paramilitary groups</w:t>
      </w:r>
      <w:r w:rsidR="00C10E17" w:rsidRPr="00D12718">
        <w:rPr>
          <w:rFonts w:asciiTheme="majorHAnsi" w:eastAsia="Times New Roman" w:hAnsiTheme="majorHAnsi" w:cstheme="minorHAnsi"/>
          <w:color w:val="000000" w:themeColor="text1"/>
          <w:sz w:val="20"/>
          <w:szCs w:val="20"/>
        </w:rPr>
        <w:t xml:space="preserve">. </w:t>
      </w:r>
    </w:p>
    <w:p w14:paraId="4DF65361"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cstheme="minorHAnsi"/>
          <w:color w:val="000000" w:themeColor="text1"/>
          <w:sz w:val="20"/>
          <w:szCs w:val="20"/>
        </w:rPr>
      </w:pPr>
    </w:p>
    <w:p w14:paraId="4409165D" w14:textId="199F52D4" w:rsidR="003E7EB5" w:rsidRPr="00D12718" w:rsidRDefault="00E46D11"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46D11">
        <w:rPr>
          <w:rFonts w:asciiTheme="majorHAnsi" w:eastAsia="Times New Roman" w:hAnsiTheme="majorHAnsi" w:cstheme="minorHAnsi"/>
          <w:color w:val="000000" w:themeColor="text1"/>
          <w:sz w:val="20"/>
          <w:szCs w:val="20"/>
        </w:rPr>
        <w:t xml:space="preserve">According to the petitioner, on May 16, 1999, Mr. Gabriel </w:t>
      </w:r>
      <w:proofErr w:type="spellStart"/>
      <w:r w:rsidRPr="00E46D11">
        <w:rPr>
          <w:rFonts w:asciiTheme="majorHAnsi" w:eastAsia="Times New Roman" w:hAnsiTheme="majorHAnsi" w:cstheme="minorHAnsi"/>
          <w:color w:val="000000" w:themeColor="text1"/>
          <w:sz w:val="20"/>
          <w:szCs w:val="20"/>
        </w:rPr>
        <w:t>Ángel</w:t>
      </w:r>
      <w:proofErr w:type="spellEnd"/>
      <w:r w:rsidRPr="00E46D11">
        <w:rPr>
          <w:rFonts w:asciiTheme="majorHAnsi" w:eastAsia="Times New Roman" w:hAnsiTheme="majorHAnsi" w:cstheme="minorHAnsi"/>
          <w:color w:val="000000" w:themeColor="text1"/>
          <w:sz w:val="20"/>
          <w:szCs w:val="20"/>
        </w:rPr>
        <w:t xml:space="preserve"> Gómez Martínez, a construction official who lived in the village of </w:t>
      </w:r>
      <w:proofErr w:type="spellStart"/>
      <w:r w:rsidRPr="00E46D11">
        <w:rPr>
          <w:rFonts w:asciiTheme="majorHAnsi" w:eastAsia="Times New Roman" w:hAnsiTheme="majorHAnsi" w:cstheme="minorHAnsi"/>
          <w:color w:val="000000" w:themeColor="text1"/>
          <w:sz w:val="20"/>
          <w:szCs w:val="20"/>
        </w:rPr>
        <w:t>Nuti</w:t>
      </w:r>
      <w:r w:rsidR="006673D8">
        <w:rPr>
          <w:rFonts w:asciiTheme="majorHAnsi" w:eastAsia="Times New Roman" w:hAnsiTheme="majorHAnsi" w:cstheme="minorHAnsi"/>
          <w:color w:val="000000" w:themeColor="text1"/>
          <w:sz w:val="20"/>
          <w:szCs w:val="20"/>
        </w:rPr>
        <w:t>b</w:t>
      </w:r>
      <w:r w:rsidRPr="00E46D11">
        <w:rPr>
          <w:rFonts w:asciiTheme="majorHAnsi" w:eastAsia="Times New Roman" w:hAnsiTheme="majorHAnsi" w:cstheme="minorHAnsi"/>
          <w:color w:val="000000" w:themeColor="text1"/>
          <w:sz w:val="20"/>
          <w:szCs w:val="20"/>
        </w:rPr>
        <w:t>ara</w:t>
      </w:r>
      <w:proofErr w:type="spellEnd"/>
      <w:r w:rsidRPr="00E46D11">
        <w:rPr>
          <w:rFonts w:asciiTheme="majorHAnsi" w:eastAsia="Times New Roman" w:hAnsiTheme="majorHAnsi" w:cstheme="minorHAnsi"/>
          <w:color w:val="000000" w:themeColor="text1"/>
          <w:sz w:val="20"/>
          <w:szCs w:val="20"/>
        </w:rPr>
        <w:t>, was allegedly chased and attacked by paramilitary elements armed with machetes while he was playing a soccer match. The murder was allegedly perpetrated on the spot along with two other people in front of spectators in the stands</w:t>
      </w:r>
      <w:r w:rsidR="00AB7E07" w:rsidRPr="00D12718">
        <w:rPr>
          <w:rFonts w:asciiTheme="majorHAnsi" w:eastAsia="Times New Roman" w:hAnsiTheme="majorHAnsi" w:cstheme="minorHAnsi"/>
          <w:color w:val="000000" w:themeColor="text1"/>
          <w:sz w:val="20"/>
          <w:szCs w:val="20"/>
        </w:rPr>
        <w:t xml:space="preserve">. </w:t>
      </w:r>
    </w:p>
    <w:p w14:paraId="1B6C43F7"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3FD6C154" w14:textId="13A36BE7" w:rsidR="00233439" w:rsidRPr="00D12718" w:rsidRDefault="00E46D11"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46D11">
        <w:rPr>
          <w:rFonts w:asciiTheme="majorHAnsi" w:eastAsia="Times New Roman" w:hAnsiTheme="majorHAnsi" w:cstheme="minorHAnsi"/>
          <w:color w:val="000000" w:themeColor="text1"/>
          <w:sz w:val="20"/>
          <w:szCs w:val="20"/>
        </w:rPr>
        <w:lastRenderedPageBreak/>
        <w:t xml:space="preserve">On August 17, 2000, in the investigation initiated for the homicide of Mr. Gómez Martínez, it </w:t>
      </w:r>
      <w:r w:rsidR="00467E6F" w:rsidRPr="00E46D11">
        <w:rPr>
          <w:rFonts w:asciiTheme="majorHAnsi" w:eastAsia="Times New Roman" w:hAnsiTheme="majorHAnsi" w:cstheme="minorHAnsi"/>
          <w:color w:val="000000" w:themeColor="text1"/>
          <w:sz w:val="20"/>
          <w:szCs w:val="20"/>
        </w:rPr>
        <w:t>w</w:t>
      </w:r>
      <w:r w:rsidR="00467E6F">
        <w:rPr>
          <w:rFonts w:asciiTheme="majorHAnsi" w:eastAsia="Times New Roman" w:hAnsiTheme="majorHAnsi" w:cstheme="minorHAnsi"/>
          <w:color w:val="000000" w:themeColor="text1"/>
          <w:sz w:val="20"/>
          <w:szCs w:val="20"/>
        </w:rPr>
        <w:t>ould</w:t>
      </w:r>
      <w:r w:rsidR="00345C81">
        <w:rPr>
          <w:rFonts w:asciiTheme="majorHAnsi" w:eastAsia="Times New Roman" w:hAnsiTheme="majorHAnsi" w:cstheme="minorHAnsi"/>
          <w:color w:val="000000" w:themeColor="text1"/>
          <w:sz w:val="20"/>
          <w:szCs w:val="20"/>
        </w:rPr>
        <w:t xml:space="preserve"> have been</w:t>
      </w:r>
      <w:r w:rsidR="00467E6F" w:rsidRPr="00E46D11">
        <w:rPr>
          <w:rFonts w:asciiTheme="majorHAnsi" w:eastAsia="Times New Roman" w:hAnsiTheme="majorHAnsi" w:cstheme="minorHAnsi"/>
          <w:color w:val="000000" w:themeColor="text1"/>
          <w:sz w:val="20"/>
          <w:szCs w:val="20"/>
        </w:rPr>
        <w:t xml:space="preserve"> </w:t>
      </w:r>
      <w:r w:rsidRPr="00E46D11">
        <w:rPr>
          <w:rFonts w:asciiTheme="majorHAnsi" w:eastAsia="Times New Roman" w:hAnsiTheme="majorHAnsi" w:cstheme="minorHAnsi"/>
          <w:color w:val="000000" w:themeColor="text1"/>
          <w:sz w:val="20"/>
          <w:szCs w:val="20"/>
        </w:rPr>
        <w:t>decided to suspend the proceedings due to the alleged impossibility of identifying the persons responsible for the act</w:t>
      </w:r>
      <w:r w:rsidR="004421EA" w:rsidRPr="00D12718">
        <w:rPr>
          <w:rFonts w:asciiTheme="majorHAnsi" w:eastAsia="Times New Roman" w:hAnsiTheme="majorHAnsi" w:cstheme="minorHAnsi"/>
          <w:color w:val="000000" w:themeColor="text1"/>
          <w:sz w:val="20"/>
          <w:szCs w:val="20"/>
        </w:rPr>
        <w:t xml:space="preserve">. </w:t>
      </w:r>
    </w:p>
    <w:p w14:paraId="053DDA11"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6B458647" w14:textId="78C24294" w:rsidR="004421EA" w:rsidRPr="00D12718" w:rsidRDefault="00E2427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24274">
        <w:rPr>
          <w:rFonts w:asciiTheme="majorHAnsi" w:eastAsia="Times New Roman" w:hAnsiTheme="majorHAnsi" w:cstheme="minorHAnsi"/>
          <w:color w:val="000000" w:themeColor="text1"/>
          <w:sz w:val="20"/>
          <w:szCs w:val="20"/>
        </w:rPr>
        <w:t xml:space="preserve">According to the petitioner, on May 16, 2001, the next of kin of the alleged victim filed a claim for direct reparation before the Contentious Administrative Court of Antioquia, which was rejected on September 8, 2008, on the grounds that there was no causal relationship between the existence of public forces in the </w:t>
      </w:r>
      <w:proofErr w:type="spellStart"/>
      <w:r w:rsidRPr="00E24274">
        <w:rPr>
          <w:rFonts w:asciiTheme="majorHAnsi" w:eastAsia="Times New Roman" w:hAnsiTheme="majorHAnsi" w:cstheme="minorHAnsi"/>
          <w:color w:val="000000" w:themeColor="text1"/>
          <w:sz w:val="20"/>
          <w:szCs w:val="20"/>
        </w:rPr>
        <w:t>Nutibara</w:t>
      </w:r>
      <w:proofErr w:type="spellEnd"/>
      <w:r w:rsidRPr="00E24274">
        <w:rPr>
          <w:rFonts w:asciiTheme="majorHAnsi" w:eastAsia="Times New Roman" w:hAnsiTheme="majorHAnsi" w:cstheme="minorHAnsi"/>
          <w:color w:val="000000" w:themeColor="text1"/>
          <w:sz w:val="20"/>
          <w:szCs w:val="20"/>
        </w:rPr>
        <w:t xml:space="preserve"> district and the murder of the alleged victim </w:t>
      </w:r>
      <w:r>
        <w:rPr>
          <w:rFonts w:asciiTheme="majorHAnsi" w:eastAsia="Times New Roman" w:hAnsiTheme="majorHAnsi" w:cstheme="minorHAnsi"/>
          <w:color w:val="000000" w:themeColor="text1"/>
          <w:sz w:val="20"/>
          <w:szCs w:val="20"/>
        </w:rPr>
        <w:t>which</w:t>
      </w:r>
      <w:r w:rsidRPr="00E24274">
        <w:rPr>
          <w:rFonts w:asciiTheme="majorHAnsi" w:eastAsia="Times New Roman" w:hAnsiTheme="majorHAnsi" w:cstheme="minorHAnsi"/>
          <w:color w:val="000000" w:themeColor="text1"/>
          <w:sz w:val="20"/>
          <w:szCs w:val="20"/>
        </w:rPr>
        <w:t xml:space="preserve"> could hold the State responsible</w:t>
      </w:r>
      <w:r w:rsidR="004421EA" w:rsidRPr="00D12718">
        <w:rPr>
          <w:rFonts w:asciiTheme="majorHAnsi" w:eastAsia="Times New Roman" w:hAnsiTheme="majorHAnsi" w:cstheme="minorHAnsi"/>
          <w:color w:val="000000" w:themeColor="text1"/>
          <w:sz w:val="20"/>
          <w:szCs w:val="20"/>
        </w:rPr>
        <w:t xml:space="preserve">. </w:t>
      </w:r>
    </w:p>
    <w:p w14:paraId="1C62B5C3"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6CA5DF6A" w14:textId="6A66646B" w:rsidR="004421EA" w:rsidRPr="00D12718" w:rsidRDefault="00E2427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24274">
        <w:rPr>
          <w:rFonts w:asciiTheme="majorHAnsi" w:eastAsia="Times New Roman" w:hAnsiTheme="majorHAnsi" w:cstheme="minorHAnsi"/>
          <w:color w:val="000000" w:themeColor="text1"/>
          <w:sz w:val="20"/>
          <w:szCs w:val="20"/>
        </w:rPr>
        <w:t xml:space="preserve">The petitioners held that upon this decision they had filed an appeal, which was dismissed on October 24, 2008, by the Administrative Court of Antioquia, arguing that the matter could not be reviewed in the second instance because the amount requested did not exceed 500 </w:t>
      </w:r>
      <w:r w:rsidR="00026448">
        <w:rPr>
          <w:rFonts w:asciiTheme="majorHAnsi" w:eastAsia="Times New Roman" w:hAnsiTheme="majorHAnsi" w:cstheme="minorHAnsi"/>
          <w:color w:val="000000" w:themeColor="text1"/>
          <w:sz w:val="20"/>
          <w:szCs w:val="20"/>
        </w:rPr>
        <w:t xml:space="preserve">current </w:t>
      </w:r>
      <w:r w:rsidRPr="00E24274">
        <w:rPr>
          <w:rFonts w:asciiTheme="majorHAnsi" w:eastAsia="Times New Roman" w:hAnsiTheme="majorHAnsi" w:cstheme="minorHAnsi"/>
          <w:color w:val="000000" w:themeColor="text1"/>
          <w:sz w:val="20"/>
          <w:szCs w:val="20"/>
        </w:rPr>
        <w:t xml:space="preserve">minimum wages, as provided </w:t>
      </w:r>
      <w:r w:rsidR="00026448">
        <w:rPr>
          <w:rFonts w:asciiTheme="majorHAnsi" w:eastAsia="Times New Roman" w:hAnsiTheme="majorHAnsi" w:cstheme="minorHAnsi"/>
          <w:color w:val="000000" w:themeColor="text1"/>
          <w:sz w:val="20"/>
          <w:szCs w:val="20"/>
        </w:rPr>
        <w:t>by</w:t>
      </w:r>
      <w:r w:rsidRPr="00E24274">
        <w:rPr>
          <w:rFonts w:asciiTheme="majorHAnsi" w:eastAsia="Times New Roman" w:hAnsiTheme="majorHAnsi" w:cstheme="minorHAnsi"/>
          <w:color w:val="000000" w:themeColor="text1"/>
          <w:sz w:val="20"/>
          <w:szCs w:val="20"/>
        </w:rPr>
        <w:t xml:space="preserve"> Law No. 446 of 1998</w:t>
      </w:r>
      <w:r w:rsidR="004421EA" w:rsidRPr="00D12718">
        <w:rPr>
          <w:rFonts w:asciiTheme="majorHAnsi" w:hAnsiTheme="majorHAnsi"/>
          <w:sz w:val="20"/>
          <w:szCs w:val="20"/>
        </w:rPr>
        <w:t xml:space="preserve">. </w:t>
      </w:r>
    </w:p>
    <w:p w14:paraId="39884241"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02E09F25" w14:textId="1C8CE6C5" w:rsidR="00DD75B4" w:rsidRPr="00D12718" w:rsidRDefault="00E2427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E24274">
        <w:rPr>
          <w:rFonts w:asciiTheme="majorHAnsi" w:eastAsia="Times New Roman" w:hAnsiTheme="majorHAnsi" w:cstheme="minorHAnsi"/>
          <w:color w:val="000000" w:themeColor="text1"/>
          <w:sz w:val="20"/>
          <w:szCs w:val="20"/>
        </w:rPr>
        <w:t>In addition, on May 24, 2021, the 20</w:t>
      </w:r>
      <w:r w:rsidR="00011DA7" w:rsidRPr="00011DA7">
        <w:rPr>
          <w:rFonts w:asciiTheme="majorHAnsi" w:eastAsia="Times New Roman" w:hAnsiTheme="majorHAnsi" w:cstheme="minorHAnsi"/>
          <w:color w:val="000000" w:themeColor="text1"/>
          <w:sz w:val="20"/>
          <w:szCs w:val="20"/>
          <w:vertAlign w:val="superscript"/>
        </w:rPr>
        <w:t>th</w:t>
      </w:r>
      <w:r w:rsidR="00011DA7">
        <w:rPr>
          <w:rFonts w:asciiTheme="majorHAnsi" w:eastAsia="Times New Roman" w:hAnsiTheme="majorHAnsi" w:cstheme="minorHAnsi"/>
          <w:color w:val="000000" w:themeColor="text1"/>
          <w:sz w:val="20"/>
          <w:szCs w:val="20"/>
        </w:rPr>
        <w:t xml:space="preserve"> </w:t>
      </w:r>
      <w:r w:rsidRPr="00E24274">
        <w:rPr>
          <w:rFonts w:asciiTheme="majorHAnsi" w:eastAsia="Times New Roman" w:hAnsiTheme="majorHAnsi" w:cstheme="minorHAnsi"/>
          <w:color w:val="000000" w:themeColor="text1"/>
          <w:sz w:val="20"/>
          <w:szCs w:val="20"/>
        </w:rPr>
        <w:t>Prosecutor's Office Delegated before the Court, attached to the Directorate of Transitional Justice, ordered the archiving of the proceedings related to the investigation of the facts, considering that the documentation should not continue within the framework of the justice and peace process, because according to the georeferencing and temporality, the fact would not correspond to the actions of the United Self-Defense Forces of Colombia</w:t>
      </w:r>
      <w:r w:rsidR="00DD75B4" w:rsidRPr="00D12718">
        <w:rPr>
          <w:rFonts w:asciiTheme="majorHAnsi" w:eastAsia="Times New Roman" w:hAnsiTheme="majorHAnsi" w:cstheme="minorHAnsi"/>
          <w:color w:val="000000" w:themeColor="text1"/>
          <w:sz w:val="20"/>
          <w:szCs w:val="20"/>
        </w:rPr>
        <w:t>.</w:t>
      </w:r>
    </w:p>
    <w:p w14:paraId="0F456ACF"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rPr>
      </w:pPr>
    </w:p>
    <w:p w14:paraId="303F292C" w14:textId="433063E1" w:rsidR="003F3D55" w:rsidRPr="00D12718" w:rsidRDefault="00142E7F"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142E7F">
        <w:rPr>
          <w:rFonts w:asciiTheme="majorHAnsi" w:eastAsia="Times New Roman" w:hAnsiTheme="majorHAnsi" w:cstheme="minorHAnsi"/>
          <w:color w:val="000000" w:themeColor="text1"/>
          <w:sz w:val="20"/>
          <w:szCs w:val="20"/>
        </w:rPr>
        <w:t xml:space="preserve">In that sense, and according to the information provided, the investigations of the facts described are said to be suspended in one case and </w:t>
      </w:r>
      <w:r w:rsidR="00011DA7">
        <w:rPr>
          <w:rFonts w:asciiTheme="majorHAnsi" w:eastAsia="Times New Roman" w:hAnsiTheme="majorHAnsi" w:cstheme="minorHAnsi"/>
          <w:color w:val="000000" w:themeColor="text1"/>
          <w:sz w:val="20"/>
          <w:szCs w:val="20"/>
        </w:rPr>
        <w:t>archived</w:t>
      </w:r>
      <w:r w:rsidRPr="00142E7F">
        <w:rPr>
          <w:rFonts w:asciiTheme="majorHAnsi" w:eastAsia="Times New Roman" w:hAnsiTheme="majorHAnsi" w:cstheme="minorHAnsi"/>
          <w:color w:val="000000" w:themeColor="text1"/>
          <w:sz w:val="20"/>
          <w:szCs w:val="20"/>
        </w:rPr>
        <w:t xml:space="preserve"> in the other. The petitioner stated that the homicide of the alleged victim was in total impunity and that almost 20 years had passed without the perpetrators being identified or full reparations being made to the next of kin of the victim</w:t>
      </w:r>
      <w:r w:rsidR="003F3D55" w:rsidRPr="00D12718">
        <w:rPr>
          <w:rFonts w:asciiTheme="majorHAnsi" w:eastAsia="Times New Roman" w:hAnsiTheme="majorHAnsi" w:cstheme="minorHAnsi"/>
          <w:color w:val="000000" w:themeColor="text1"/>
          <w:sz w:val="20"/>
          <w:szCs w:val="20"/>
        </w:rPr>
        <w:t xml:space="preserve">.  </w:t>
      </w:r>
    </w:p>
    <w:p w14:paraId="5D71CC25" w14:textId="77777777" w:rsidR="003F3D55" w:rsidRPr="00D12718" w:rsidRDefault="003F3D55"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hAnsiTheme="majorHAnsi" w:cstheme="minorHAnsi"/>
          <w:color w:val="000000" w:themeColor="text1"/>
          <w:sz w:val="20"/>
          <w:szCs w:val="20"/>
        </w:rPr>
      </w:pPr>
    </w:p>
    <w:p w14:paraId="779A7C5B" w14:textId="77BF3F69" w:rsidR="003E7EB5" w:rsidRPr="00D12718" w:rsidRDefault="00677B96" w:rsidP="00BD4B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D12718">
        <w:rPr>
          <w:rFonts w:asciiTheme="majorHAnsi" w:eastAsia="MS Mincho" w:hAnsiTheme="majorHAnsi" w:cstheme="minorHAnsi"/>
          <w:b/>
          <w:color w:val="000000" w:themeColor="text1"/>
          <w:sz w:val="20"/>
          <w:szCs w:val="20"/>
        </w:rPr>
        <w:t>FRIENDLY SETTLEMENT</w:t>
      </w:r>
    </w:p>
    <w:p w14:paraId="0959E81D"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cstheme="minorHAnsi"/>
          <w:b/>
          <w:color w:val="000000" w:themeColor="text1"/>
          <w:sz w:val="20"/>
          <w:szCs w:val="20"/>
        </w:rPr>
      </w:pPr>
    </w:p>
    <w:p w14:paraId="2E6E93D3" w14:textId="732EEB14" w:rsidR="00D224F0" w:rsidRPr="00D12718" w:rsidRDefault="00142E7F"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142E7F">
        <w:rPr>
          <w:rFonts w:asciiTheme="majorHAnsi" w:eastAsia="Times New Roman" w:hAnsiTheme="majorHAnsi" w:cstheme="minorHAnsi"/>
          <w:color w:val="000000" w:themeColor="text1"/>
          <w:sz w:val="20"/>
          <w:szCs w:val="20"/>
        </w:rPr>
        <w:t>On September 7, 2021, the parties entered into a friendly settlement agreement, which provides the following</w:t>
      </w:r>
      <w:r w:rsidR="00D224F0" w:rsidRPr="00D12718">
        <w:rPr>
          <w:rFonts w:asciiTheme="majorHAnsi" w:eastAsia="Times New Roman" w:hAnsiTheme="majorHAnsi" w:cstheme="minorHAnsi"/>
          <w:color w:val="000000" w:themeColor="text1"/>
          <w:sz w:val="20"/>
          <w:szCs w:val="20"/>
        </w:rPr>
        <w:t xml:space="preserve">: </w:t>
      </w:r>
    </w:p>
    <w:p w14:paraId="24548A75" w14:textId="77777777" w:rsidR="00D224F0" w:rsidRPr="00D12718"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jc w:val="both"/>
        <w:rPr>
          <w:rFonts w:asciiTheme="majorHAnsi" w:eastAsia="MS Mincho" w:hAnsiTheme="majorHAnsi" w:cstheme="minorHAnsi"/>
          <w:b/>
          <w:color w:val="000000" w:themeColor="text1"/>
          <w:sz w:val="20"/>
          <w:szCs w:val="20"/>
        </w:rPr>
      </w:pPr>
    </w:p>
    <w:p w14:paraId="7CA1A032" w14:textId="77777777" w:rsidR="003E7EB5" w:rsidRPr="00D12718" w:rsidRDefault="003E7EB5" w:rsidP="00BD4B21">
      <w:pPr>
        <w:pStyle w:val="ListParagraph"/>
        <w:ind w:left="737" w:right="737"/>
        <w:jc w:val="both"/>
        <w:rPr>
          <w:rFonts w:asciiTheme="majorHAnsi" w:eastAsia="Times New Roman" w:hAnsiTheme="majorHAnsi" w:cstheme="minorHAnsi"/>
          <w:color w:val="000000" w:themeColor="text1"/>
          <w:sz w:val="20"/>
          <w:szCs w:val="20"/>
          <w:bdr w:val="none" w:sz="0" w:space="0" w:color="auto" w:frame="1"/>
        </w:rPr>
      </w:pPr>
    </w:p>
    <w:p w14:paraId="23578B6C" w14:textId="2E1C24DB" w:rsidR="00D224F0" w:rsidRPr="00D12718" w:rsidRDefault="00677B96" w:rsidP="00BD4B21">
      <w:pPr>
        <w:ind w:left="737" w:right="737"/>
        <w:jc w:val="center"/>
        <w:rPr>
          <w:rFonts w:asciiTheme="majorHAnsi" w:hAnsiTheme="majorHAnsi"/>
          <w:b/>
          <w:bCs/>
          <w:sz w:val="20"/>
          <w:szCs w:val="20"/>
        </w:rPr>
      </w:pPr>
      <w:r w:rsidRPr="00D12718">
        <w:rPr>
          <w:rFonts w:asciiTheme="majorHAnsi" w:hAnsiTheme="majorHAnsi"/>
          <w:b/>
          <w:bCs/>
          <w:sz w:val="20"/>
          <w:szCs w:val="20"/>
        </w:rPr>
        <w:t>FRIENDLY SETTLEMENT AGREEMENT</w:t>
      </w:r>
    </w:p>
    <w:p w14:paraId="708C835A" w14:textId="11FAD62A" w:rsidR="00D224F0" w:rsidRPr="00D12718" w:rsidRDefault="00D224F0" w:rsidP="00BD4B21">
      <w:pPr>
        <w:ind w:left="737" w:right="737"/>
        <w:jc w:val="center"/>
        <w:rPr>
          <w:rFonts w:asciiTheme="majorHAnsi" w:hAnsiTheme="majorHAnsi"/>
          <w:b/>
          <w:bCs/>
          <w:sz w:val="20"/>
          <w:szCs w:val="20"/>
        </w:rPr>
      </w:pPr>
      <w:r w:rsidRPr="00D12718">
        <w:rPr>
          <w:rFonts w:asciiTheme="majorHAnsi" w:hAnsiTheme="majorHAnsi"/>
          <w:b/>
          <w:bCs/>
          <w:sz w:val="20"/>
          <w:szCs w:val="20"/>
        </w:rPr>
        <w:t>CAS</w:t>
      </w:r>
      <w:r w:rsidR="00677B96" w:rsidRPr="00D12718">
        <w:rPr>
          <w:rFonts w:asciiTheme="majorHAnsi" w:hAnsiTheme="majorHAnsi"/>
          <w:b/>
          <w:bCs/>
          <w:sz w:val="20"/>
          <w:szCs w:val="20"/>
        </w:rPr>
        <w:t>E</w:t>
      </w:r>
      <w:r w:rsidRPr="00D12718">
        <w:rPr>
          <w:rFonts w:asciiTheme="majorHAnsi" w:hAnsiTheme="majorHAnsi"/>
          <w:b/>
          <w:bCs/>
          <w:sz w:val="20"/>
          <w:szCs w:val="20"/>
        </w:rPr>
        <w:t xml:space="preserve"> No. 13.775 GABRIEL ANGEL GOMEZ MARTINEZ </w:t>
      </w:r>
      <w:r w:rsidR="00677B96" w:rsidRPr="00D12718">
        <w:rPr>
          <w:rFonts w:asciiTheme="majorHAnsi" w:hAnsiTheme="majorHAnsi"/>
          <w:b/>
          <w:bCs/>
          <w:sz w:val="20"/>
          <w:szCs w:val="20"/>
        </w:rPr>
        <w:t>AND</w:t>
      </w:r>
      <w:r w:rsidRPr="00D12718">
        <w:rPr>
          <w:rFonts w:asciiTheme="majorHAnsi" w:hAnsiTheme="majorHAnsi"/>
          <w:b/>
          <w:bCs/>
          <w:sz w:val="20"/>
          <w:szCs w:val="20"/>
        </w:rPr>
        <w:t xml:space="preserve"> FAMIL</w:t>
      </w:r>
      <w:r w:rsidR="00677B96" w:rsidRPr="00D12718">
        <w:rPr>
          <w:rFonts w:asciiTheme="majorHAnsi" w:hAnsiTheme="majorHAnsi"/>
          <w:b/>
          <w:bCs/>
          <w:sz w:val="20"/>
          <w:szCs w:val="20"/>
        </w:rPr>
        <w:t>Y</w:t>
      </w:r>
    </w:p>
    <w:p w14:paraId="1188D487" w14:textId="77777777" w:rsidR="00D224F0" w:rsidRPr="00D12718" w:rsidRDefault="00D224F0" w:rsidP="00BD4B21">
      <w:pPr>
        <w:ind w:left="737" w:right="737"/>
        <w:jc w:val="center"/>
        <w:rPr>
          <w:rFonts w:asciiTheme="majorHAnsi" w:hAnsiTheme="majorHAnsi"/>
          <w:sz w:val="20"/>
          <w:szCs w:val="20"/>
        </w:rPr>
      </w:pPr>
    </w:p>
    <w:p w14:paraId="5997FAB8" w14:textId="5D22EF93" w:rsidR="00D224F0" w:rsidRPr="00D12718" w:rsidRDefault="00142E7F" w:rsidP="00BD4B21">
      <w:pPr>
        <w:ind w:left="737" w:right="737"/>
        <w:jc w:val="both"/>
        <w:rPr>
          <w:rFonts w:asciiTheme="majorHAnsi" w:hAnsiTheme="majorHAnsi"/>
          <w:sz w:val="20"/>
          <w:szCs w:val="20"/>
        </w:rPr>
      </w:pPr>
      <w:r w:rsidRPr="00142E7F">
        <w:rPr>
          <w:rFonts w:asciiTheme="majorHAnsi" w:hAnsiTheme="majorHAnsi"/>
          <w:sz w:val="20"/>
          <w:szCs w:val="20"/>
        </w:rPr>
        <w:t xml:space="preserve">On September 7, 2021, on the one hand, Ana María </w:t>
      </w:r>
      <w:proofErr w:type="spellStart"/>
      <w:r w:rsidRPr="00142E7F">
        <w:rPr>
          <w:rFonts w:asciiTheme="majorHAnsi" w:hAnsiTheme="majorHAnsi"/>
          <w:sz w:val="20"/>
          <w:szCs w:val="20"/>
        </w:rPr>
        <w:t>Ordoñez</w:t>
      </w:r>
      <w:proofErr w:type="spellEnd"/>
      <w:r w:rsidRPr="00142E7F">
        <w:rPr>
          <w:rFonts w:asciiTheme="majorHAnsi" w:hAnsiTheme="majorHAnsi"/>
          <w:sz w:val="20"/>
          <w:szCs w:val="20"/>
        </w:rPr>
        <w:t xml:space="preserve"> Puentes, Director of the Directorate of International Legal Defense of the National Agency for the Legal Defense of the State, acting with due authorization on behalf and in representation of the Colombian State, hereinafter the "State" or the "Colombian State, "and on the other hand, the </w:t>
      </w:r>
      <w:proofErr w:type="spellStart"/>
      <w:r w:rsidR="00011DA7" w:rsidRPr="00142E7F">
        <w:rPr>
          <w:rFonts w:asciiTheme="majorHAnsi" w:hAnsiTheme="majorHAnsi"/>
          <w:sz w:val="20"/>
          <w:szCs w:val="20"/>
        </w:rPr>
        <w:t>Organi</w:t>
      </w:r>
      <w:r w:rsidR="00011DA7">
        <w:rPr>
          <w:rFonts w:asciiTheme="majorHAnsi" w:hAnsiTheme="majorHAnsi"/>
          <w:sz w:val="20"/>
          <w:szCs w:val="20"/>
        </w:rPr>
        <w:t>zación</w:t>
      </w:r>
      <w:proofErr w:type="spellEnd"/>
      <w:r w:rsidR="00011DA7" w:rsidRPr="00142E7F">
        <w:rPr>
          <w:rFonts w:asciiTheme="majorHAnsi" w:hAnsiTheme="majorHAnsi"/>
          <w:sz w:val="20"/>
          <w:szCs w:val="20"/>
        </w:rPr>
        <w:t xml:space="preserve"> </w:t>
      </w:r>
      <w:proofErr w:type="spellStart"/>
      <w:r w:rsidRPr="00142E7F">
        <w:rPr>
          <w:rFonts w:asciiTheme="majorHAnsi" w:hAnsiTheme="majorHAnsi"/>
          <w:sz w:val="20"/>
          <w:szCs w:val="20"/>
        </w:rPr>
        <w:t>Indemnizaciones</w:t>
      </w:r>
      <w:proofErr w:type="spellEnd"/>
      <w:r w:rsidRPr="00142E7F">
        <w:rPr>
          <w:rFonts w:asciiTheme="majorHAnsi" w:hAnsiTheme="majorHAnsi"/>
          <w:sz w:val="20"/>
          <w:szCs w:val="20"/>
        </w:rPr>
        <w:t xml:space="preserve"> Paz</w:t>
      </w:r>
      <w:r w:rsidR="00011DA7">
        <w:rPr>
          <w:rFonts w:asciiTheme="majorHAnsi" w:hAnsiTheme="majorHAnsi"/>
          <w:sz w:val="20"/>
          <w:szCs w:val="20"/>
        </w:rPr>
        <w:t xml:space="preserve"> (Peace </w:t>
      </w:r>
      <w:r w:rsidR="00F12123">
        <w:rPr>
          <w:rFonts w:asciiTheme="majorHAnsi" w:hAnsiTheme="majorHAnsi"/>
          <w:sz w:val="20"/>
          <w:szCs w:val="20"/>
        </w:rPr>
        <w:t xml:space="preserve">Compensations </w:t>
      </w:r>
      <w:r w:rsidR="00011DA7">
        <w:rPr>
          <w:rFonts w:asciiTheme="majorHAnsi" w:hAnsiTheme="majorHAnsi"/>
          <w:sz w:val="20"/>
          <w:szCs w:val="20"/>
        </w:rPr>
        <w:t>Organization)</w:t>
      </w:r>
      <w:r w:rsidRPr="00142E7F">
        <w:rPr>
          <w:rFonts w:asciiTheme="majorHAnsi" w:hAnsiTheme="majorHAnsi"/>
          <w:sz w:val="20"/>
          <w:szCs w:val="20"/>
        </w:rPr>
        <w:t xml:space="preserve">, represented by Dr. Roberto Fernando Paz Salas, acting in his capacity as representative of the victims, hereinafter the "Petitioners", </w:t>
      </w:r>
      <w:r w:rsidR="00ED7383" w:rsidRPr="00142E7F">
        <w:rPr>
          <w:rFonts w:asciiTheme="majorHAnsi" w:hAnsiTheme="majorHAnsi"/>
          <w:sz w:val="20"/>
          <w:szCs w:val="20"/>
        </w:rPr>
        <w:t>met in the city of Bogotá D.C</w:t>
      </w:r>
      <w:r w:rsidR="00F12123">
        <w:rPr>
          <w:rFonts w:asciiTheme="majorHAnsi" w:hAnsiTheme="majorHAnsi"/>
          <w:sz w:val="20"/>
          <w:szCs w:val="20"/>
        </w:rPr>
        <w:t>., and</w:t>
      </w:r>
      <w:r w:rsidR="00ED7383" w:rsidRPr="00142E7F">
        <w:rPr>
          <w:rFonts w:asciiTheme="majorHAnsi" w:hAnsiTheme="majorHAnsi"/>
          <w:sz w:val="20"/>
          <w:szCs w:val="20"/>
        </w:rPr>
        <w:t xml:space="preserve"> </w:t>
      </w:r>
      <w:r w:rsidRPr="00142E7F">
        <w:rPr>
          <w:rFonts w:asciiTheme="majorHAnsi" w:hAnsiTheme="majorHAnsi"/>
          <w:sz w:val="20"/>
          <w:szCs w:val="20"/>
        </w:rPr>
        <w:t xml:space="preserve">have decided to enter into this Friendly Settlement Agreement in the framework of Case No. 13. 775 Gabriel </w:t>
      </w:r>
      <w:proofErr w:type="spellStart"/>
      <w:r w:rsidRPr="00142E7F">
        <w:rPr>
          <w:rFonts w:asciiTheme="majorHAnsi" w:hAnsiTheme="majorHAnsi"/>
          <w:sz w:val="20"/>
          <w:szCs w:val="20"/>
        </w:rPr>
        <w:t>Ángel</w:t>
      </w:r>
      <w:proofErr w:type="spellEnd"/>
      <w:r w:rsidRPr="00142E7F">
        <w:rPr>
          <w:rFonts w:asciiTheme="majorHAnsi" w:hAnsiTheme="majorHAnsi"/>
          <w:sz w:val="20"/>
          <w:szCs w:val="20"/>
        </w:rPr>
        <w:t xml:space="preserve"> Gomez Martinez and Family, in process before the Inter-American Commission on Human Rights</w:t>
      </w:r>
      <w:r w:rsidR="002C2CCE">
        <w:rPr>
          <w:rFonts w:asciiTheme="majorHAnsi" w:hAnsiTheme="majorHAnsi"/>
          <w:sz w:val="20"/>
          <w:szCs w:val="20"/>
        </w:rPr>
        <w:t>.</w:t>
      </w:r>
    </w:p>
    <w:p w14:paraId="13E3BDCC" w14:textId="77777777" w:rsidR="00D224F0" w:rsidRPr="00D12718" w:rsidRDefault="00D224F0" w:rsidP="00BD4B21">
      <w:pPr>
        <w:ind w:left="737" w:right="737"/>
        <w:jc w:val="both"/>
        <w:rPr>
          <w:rFonts w:asciiTheme="majorHAnsi" w:hAnsiTheme="majorHAnsi"/>
          <w:sz w:val="20"/>
          <w:szCs w:val="20"/>
        </w:rPr>
      </w:pPr>
    </w:p>
    <w:p w14:paraId="367A5BC1" w14:textId="4FF0D99E" w:rsidR="00D224F0" w:rsidRPr="00D12718" w:rsidRDefault="00677B96" w:rsidP="00BD4B21">
      <w:pPr>
        <w:ind w:left="737" w:right="737"/>
        <w:jc w:val="center"/>
        <w:rPr>
          <w:rFonts w:asciiTheme="majorHAnsi" w:hAnsiTheme="majorHAnsi"/>
          <w:b/>
          <w:bCs/>
          <w:sz w:val="20"/>
          <w:szCs w:val="20"/>
        </w:rPr>
      </w:pPr>
      <w:r w:rsidRPr="00D12718">
        <w:rPr>
          <w:rFonts w:asciiTheme="majorHAnsi" w:hAnsiTheme="majorHAnsi"/>
          <w:b/>
          <w:bCs/>
          <w:sz w:val="20"/>
          <w:szCs w:val="20"/>
        </w:rPr>
        <w:t>FIRST</w:t>
      </w:r>
      <w:r w:rsidR="00D224F0" w:rsidRPr="00D12718">
        <w:rPr>
          <w:rFonts w:asciiTheme="majorHAnsi" w:hAnsiTheme="majorHAnsi"/>
          <w:b/>
          <w:bCs/>
          <w:sz w:val="20"/>
          <w:szCs w:val="20"/>
        </w:rPr>
        <w:t xml:space="preserve"> PART: CONCEPTS</w:t>
      </w:r>
    </w:p>
    <w:p w14:paraId="28E4E881" w14:textId="77777777" w:rsidR="00D224F0" w:rsidRPr="00D12718" w:rsidRDefault="00D224F0" w:rsidP="00BD4B21">
      <w:pPr>
        <w:ind w:left="737" w:right="737"/>
        <w:jc w:val="center"/>
        <w:rPr>
          <w:rFonts w:asciiTheme="majorHAnsi" w:hAnsiTheme="majorHAnsi"/>
          <w:sz w:val="20"/>
          <w:szCs w:val="20"/>
        </w:rPr>
      </w:pPr>
    </w:p>
    <w:p w14:paraId="0F1EDF12" w14:textId="69820704" w:rsidR="00D224F0" w:rsidRPr="00D12718" w:rsidRDefault="00142E7F" w:rsidP="00BD4B21">
      <w:pPr>
        <w:tabs>
          <w:tab w:val="left" w:pos="560"/>
        </w:tabs>
        <w:ind w:left="737" w:right="737"/>
        <w:rPr>
          <w:rFonts w:asciiTheme="majorHAnsi" w:hAnsiTheme="majorHAnsi" w:cstheme="minorHAnsi"/>
          <w:sz w:val="20"/>
          <w:szCs w:val="20"/>
        </w:rPr>
      </w:pPr>
      <w:r w:rsidRPr="00142E7F">
        <w:rPr>
          <w:rFonts w:asciiTheme="majorHAnsi" w:hAnsiTheme="majorHAnsi" w:cstheme="minorHAnsi"/>
          <w:sz w:val="20"/>
          <w:szCs w:val="20"/>
        </w:rPr>
        <w:t>For the purposes of this Agreement, the following definitions shall apply</w:t>
      </w:r>
      <w:r w:rsidR="00D224F0" w:rsidRPr="00D12718">
        <w:rPr>
          <w:rFonts w:asciiTheme="majorHAnsi" w:hAnsiTheme="majorHAnsi" w:cstheme="minorHAnsi"/>
          <w:sz w:val="20"/>
          <w:szCs w:val="20"/>
        </w:rPr>
        <w:t>:</w:t>
      </w:r>
    </w:p>
    <w:p w14:paraId="1F403828" w14:textId="77777777" w:rsidR="00D224F0" w:rsidRPr="00D12718" w:rsidRDefault="00D224F0" w:rsidP="00BD4B21">
      <w:pPr>
        <w:tabs>
          <w:tab w:val="left" w:pos="560"/>
        </w:tabs>
        <w:ind w:left="737" w:right="737"/>
        <w:rPr>
          <w:rFonts w:asciiTheme="majorHAnsi" w:hAnsiTheme="majorHAnsi" w:cstheme="minorHAnsi"/>
          <w:sz w:val="20"/>
          <w:szCs w:val="20"/>
        </w:rPr>
      </w:pPr>
    </w:p>
    <w:p w14:paraId="2E6074DB" w14:textId="013CB6B3" w:rsidR="00D224F0" w:rsidRPr="00D12718" w:rsidRDefault="00E46D11" w:rsidP="00BD4B21">
      <w:pPr>
        <w:tabs>
          <w:tab w:val="left" w:pos="560"/>
        </w:tabs>
        <w:ind w:left="737" w:right="737"/>
        <w:jc w:val="both"/>
        <w:rPr>
          <w:rFonts w:asciiTheme="majorHAnsi" w:hAnsiTheme="majorHAnsi" w:cstheme="minorHAnsi"/>
          <w:sz w:val="20"/>
          <w:szCs w:val="20"/>
        </w:rPr>
      </w:pPr>
      <w:r w:rsidRPr="00E46D11">
        <w:rPr>
          <w:rFonts w:asciiTheme="majorHAnsi" w:hAnsiTheme="majorHAnsi" w:cstheme="minorHAnsi"/>
          <w:b/>
          <w:bCs/>
          <w:sz w:val="20"/>
          <w:szCs w:val="20"/>
          <w:u w:val="single"/>
        </w:rPr>
        <w:t>IACHR or Inter-American Commission</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DF48A5" w:rsidRPr="00DF48A5">
        <w:rPr>
          <w:rFonts w:asciiTheme="majorHAnsi" w:hAnsiTheme="majorHAnsi" w:cstheme="minorHAnsi"/>
          <w:sz w:val="20"/>
          <w:szCs w:val="20"/>
        </w:rPr>
        <w:t>Inter-American Commission on Human Rights</w:t>
      </w:r>
      <w:r w:rsidR="00D224F0" w:rsidRPr="00D12718">
        <w:rPr>
          <w:rFonts w:asciiTheme="majorHAnsi" w:hAnsiTheme="majorHAnsi" w:cstheme="minorHAnsi"/>
          <w:sz w:val="20"/>
          <w:szCs w:val="20"/>
        </w:rPr>
        <w:t>.</w:t>
      </w:r>
    </w:p>
    <w:p w14:paraId="72D6B716"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456FBBB1" w14:textId="60339E41" w:rsidR="00D224F0" w:rsidRPr="00D12718" w:rsidRDefault="00E46D11" w:rsidP="00BD4B21">
      <w:pPr>
        <w:tabs>
          <w:tab w:val="left" w:pos="560"/>
        </w:tabs>
        <w:ind w:left="737" w:right="737"/>
        <w:jc w:val="both"/>
        <w:rPr>
          <w:rFonts w:asciiTheme="majorHAnsi" w:hAnsiTheme="majorHAnsi" w:cstheme="minorHAnsi"/>
          <w:sz w:val="20"/>
          <w:szCs w:val="20"/>
        </w:rPr>
      </w:pPr>
      <w:r w:rsidRPr="00E46D11">
        <w:rPr>
          <w:rFonts w:asciiTheme="majorHAnsi" w:hAnsiTheme="majorHAnsi" w:cstheme="minorHAnsi"/>
          <w:b/>
          <w:bCs/>
          <w:sz w:val="20"/>
          <w:szCs w:val="20"/>
          <w:u w:val="single"/>
        </w:rPr>
        <w:t>Moral damage</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137EC8">
        <w:rPr>
          <w:rFonts w:asciiTheme="majorHAnsi" w:hAnsiTheme="majorHAnsi" w:cstheme="minorHAnsi"/>
          <w:sz w:val="20"/>
          <w:szCs w:val="20"/>
        </w:rPr>
        <w:t>Injurio</w:t>
      </w:r>
      <w:r w:rsidR="008418D9">
        <w:rPr>
          <w:rFonts w:asciiTheme="majorHAnsi" w:hAnsiTheme="majorHAnsi" w:cstheme="minorHAnsi"/>
          <w:sz w:val="20"/>
          <w:szCs w:val="20"/>
        </w:rPr>
        <w:t>us</w:t>
      </w:r>
      <w:r w:rsidR="00137EC8" w:rsidRPr="00142E7F">
        <w:rPr>
          <w:rFonts w:asciiTheme="majorHAnsi" w:hAnsiTheme="majorHAnsi" w:cstheme="minorHAnsi"/>
          <w:sz w:val="20"/>
          <w:szCs w:val="20"/>
        </w:rPr>
        <w:t xml:space="preserve"> </w:t>
      </w:r>
      <w:r w:rsidR="00142E7F" w:rsidRPr="00142E7F">
        <w:rPr>
          <w:rFonts w:asciiTheme="majorHAnsi" w:hAnsiTheme="majorHAnsi" w:cstheme="minorHAnsi"/>
          <w:sz w:val="20"/>
          <w:szCs w:val="20"/>
        </w:rPr>
        <w:t xml:space="preserve">effects of the facts of the case that are not of an economic or patrimonial nature, which </w:t>
      </w:r>
      <w:r w:rsidR="00991DD1">
        <w:rPr>
          <w:rFonts w:asciiTheme="majorHAnsi" w:hAnsiTheme="majorHAnsi" w:cstheme="minorHAnsi"/>
          <w:sz w:val="20"/>
          <w:szCs w:val="20"/>
        </w:rPr>
        <w:t>express</w:t>
      </w:r>
      <w:r w:rsidR="00142E7F" w:rsidRPr="00142E7F">
        <w:rPr>
          <w:rFonts w:asciiTheme="majorHAnsi" w:hAnsiTheme="majorHAnsi" w:cstheme="minorHAnsi"/>
          <w:sz w:val="20"/>
          <w:szCs w:val="20"/>
        </w:rPr>
        <w:t xml:space="preserve"> through the pain, affliction, sadness, </w:t>
      </w:r>
      <w:proofErr w:type="gramStart"/>
      <w:r w:rsidR="00142E7F" w:rsidRPr="00142E7F">
        <w:rPr>
          <w:rFonts w:asciiTheme="majorHAnsi" w:hAnsiTheme="majorHAnsi" w:cstheme="minorHAnsi"/>
          <w:sz w:val="20"/>
          <w:szCs w:val="20"/>
        </w:rPr>
        <w:t>distress</w:t>
      </w:r>
      <w:proofErr w:type="gramEnd"/>
      <w:r w:rsidR="00142E7F" w:rsidRPr="00142E7F">
        <w:rPr>
          <w:rFonts w:asciiTheme="majorHAnsi" w:hAnsiTheme="majorHAnsi" w:cstheme="minorHAnsi"/>
          <w:sz w:val="20"/>
          <w:szCs w:val="20"/>
        </w:rPr>
        <w:t xml:space="preserve"> and anxiety of the victims</w:t>
      </w:r>
      <w:r w:rsidR="00D224F0" w:rsidRPr="00D12718">
        <w:rPr>
          <w:rFonts w:asciiTheme="majorHAnsi" w:hAnsiTheme="majorHAnsi" w:cstheme="minorHAnsi"/>
          <w:sz w:val="20"/>
          <w:szCs w:val="20"/>
        </w:rPr>
        <w:t xml:space="preserve">. </w:t>
      </w:r>
    </w:p>
    <w:p w14:paraId="0FB44C0F"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6A804FBD" w14:textId="17F622F0" w:rsidR="00D224F0" w:rsidRPr="00D12718" w:rsidRDefault="00E46D11" w:rsidP="00BD4B21">
      <w:pPr>
        <w:tabs>
          <w:tab w:val="left" w:pos="560"/>
        </w:tabs>
        <w:ind w:left="737" w:right="737"/>
        <w:jc w:val="both"/>
        <w:rPr>
          <w:rFonts w:asciiTheme="majorHAnsi" w:hAnsiTheme="majorHAnsi" w:cstheme="minorHAnsi"/>
          <w:sz w:val="20"/>
          <w:szCs w:val="20"/>
        </w:rPr>
      </w:pPr>
      <w:r w:rsidRPr="00E46D11">
        <w:rPr>
          <w:rFonts w:asciiTheme="majorHAnsi" w:hAnsiTheme="majorHAnsi" w:cstheme="minorHAnsi"/>
          <w:b/>
          <w:bCs/>
          <w:sz w:val="20"/>
          <w:szCs w:val="20"/>
          <w:u w:val="single"/>
        </w:rPr>
        <w:lastRenderedPageBreak/>
        <w:t>Non-pecuniary damage</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1C3A96" w:rsidRPr="001C3A96">
        <w:rPr>
          <w:rFonts w:asciiTheme="majorHAnsi" w:hAnsiTheme="majorHAnsi" w:cstheme="minorHAnsi"/>
          <w:sz w:val="20"/>
          <w:szCs w:val="20"/>
        </w:rPr>
        <w:t>It includes both the suffering and affliction caused to the victims, the impairment of very significant values for the persons, as well as the alterations of a non-pecuniary nature in the life conditions of the victim or his or her family</w:t>
      </w:r>
      <w:r w:rsidR="00D224F0" w:rsidRPr="00D12718">
        <w:rPr>
          <w:rStyle w:val="FootnoteReference"/>
          <w:rFonts w:asciiTheme="majorHAnsi" w:hAnsiTheme="majorHAnsi" w:cstheme="minorHAnsi"/>
          <w:sz w:val="20"/>
          <w:szCs w:val="20"/>
        </w:rPr>
        <w:footnoteReference w:id="3"/>
      </w:r>
      <w:r w:rsidR="00D224F0" w:rsidRPr="00D12718">
        <w:rPr>
          <w:rFonts w:asciiTheme="majorHAnsi" w:hAnsiTheme="majorHAnsi" w:cstheme="minorHAnsi"/>
          <w:sz w:val="20"/>
          <w:szCs w:val="20"/>
        </w:rPr>
        <w:t>.</w:t>
      </w:r>
    </w:p>
    <w:p w14:paraId="4C278C6A"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577FE8B7" w14:textId="79AC0039" w:rsidR="00D224F0" w:rsidRPr="00D12718" w:rsidRDefault="00E46D11" w:rsidP="00BD4B21">
      <w:pPr>
        <w:tabs>
          <w:tab w:val="left" w:pos="560"/>
        </w:tabs>
        <w:ind w:left="737" w:right="737"/>
        <w:jc w:val="both"/>
        <w:rPr>
          <w:rFonts w:asciiTheme="majorHAnsi" w:hAnsiTheme="majorHAnsi" w:cstheme="minorHAnsi"/>
          <w:sz w:val="20"/>
          <w:szCs w:val="20"/>
        </w:rPr>
      </w:pPr>
      <w:r>
        <w:rPr>
          <w:rFonts w:asciiTheme="majorHAnsi" w:hAnsiTheme="majorHAnsi" w:cstheme="minorHAnsi"/>
          <w:b/>
          <w:bCs/>
          <w:sz w:val="20"/>
          <w:szCs w:val="20"/>
          <w:u w:val="single"/>
        </w:rPr>
        <w:t>State or Colombian State</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1C3A96" w:rsidRPr="001C3A96">
        <w:rPr>
          <w:rFonts w:asciiTheme="majorHAnsi" w:hAnsiTheme="majorHAnsi" w:cstheme="minorHAnsi"/>
          <w:sz w:val="20"/>
          <w:szCs w:val="20"/>
        </w:rPr>
        <w:t>In accordance with Public International Law, it shall be understood as the signatory subject of the American Convention on Human Rights, hereinafter "American Convention" or "ACHR"</w:t>
      </w:r>
      <w:r w:rsidR="00D224F0" w:rsidRPr="00D12718">
        <w:rPr>
          <w:rFonts w:asciiTheme="majorHAnsi" w:hAnsiTheme="majorHAnsi" w:cstheme="minorHAnsi"/>
          <w:sz w:val="20"/>
          <w:szCs w:val="20"/>
        </w:rPr>
        <w:t xml:space="preserve">. </w:t>
      </w:r>
    </w:p>
    <w:p w14:paraId="2CE09D37"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610F9343" w14:textId="56918331" w:rsidR="00D224F0" w:rsidRPr="00D12718" w:rsidRDefault="00E46D11" w:rsidP="00BD4B21">
      <w:pPr>
        <w:tabs>
          <w:tab w:val="left" w:pos="560"/>
        </w:tabs>
        <w:ind w:left="737" w:right="737"/>
        <w:jc w:val="both"/>
        <w:rPr>
          <w:rFonts w:asciiTheme="majorHAnsi" w:hAnsiTheme="majorHAnsi" w:cstheme="minorHAnsi"/>
          <w:sz w:val="20"/>
          <w:szCs w:val="20"/>
        </w:rPr>
      </w:pPr>
      <w:r w:rsidRPr="00E46D11">
        <w:rPr>
          <w:rFonts w:asciiTheme="majorHAnsi" w:hAnsiTheme="majorHAnsi" w:cstheme="minorHAnsi"/>
          <w:b/>
          <w:bCs/>
          <w:sz w:val="20"/>
          <w:szCs w:val="20"/>
          <w:u w:val="single"/>
        </w:rPr>
        <w:t>Satisfaction measures</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b/>
          <w:bCs/>
          <w:sz w:val="20"/>
          <w:szCs w:val="20"/>
        </w:rPr>
        <w:t xml:space="preserve"> </w:t>
      </w:r>
      <w:proofErr w:type="gramStart"/>
      <w:r w:rsidR="00A22451" w:rsidRPr="00A22451">
        <w:rPr>
          <w:rFonts w:asciiTheme="majorHAnsi" w:hAnsiTheme="majorHAnsi" w:cstheme="minorHAnsi"/>
          <w:sz w:val="20"/>
          <w:szCs w:val="20"/>
        </w:rPr>
        <w:t>Non-pecuniary</w:t>
      </w:r>
      <w:proofErr w:type="gramEnd"/>
      <w:r w:rsidR="00A22451" w:rsidRPr="00A22451">
        <w:rPr>
          <w:rFonts w:asciiTheme="majorHAnsi" w:hAnsiTheme="majorHAnsi" w:cstheme="minorHAnsi"/>
          <w:sz w:val="20"/>
          <w:szCs w:val="20"/>
        </w:rPr>
        <w:t xml:space="preserve"> measures intended to seek the recovery of victims from the harm which has been caused to them. Some examples of this type of measures </w:t>
      </w:r>
      <w:proofErr w:type="gramStart"/>
      <w:r w:rsidR="00A22451" w:rsidRPr="00A22451">
        <w:rPr>
          <w:rFonts w:asciiTheme="majorHAnsi" w:hAnsiTheme="majorHAnsi" w:cstheme="minorHAnsi"/>
          <w:sz w:val="20"/>
          <w:szCs w:val="20"/>
        </w:rPr>
        <w:t>are:</w:t>
      </w:r>
      <w:proofErr w:type="gramEnd"/>
      <w:r w:rsidR="00A22451" w:rsidRPr="00A22451">
        <w:rPr>
          <w:rFonts w:asciiTheme="majorHAnsi" w:hAnsiTheme="majorHAnsi" w:cstheme="minorHAnsi"/>
          <w:sz w:val="20"/>
          <w:szCs w:val="20"/>
        </w:rPr>
        <w:t xml:space="preserve"> public knowledge of the truth and acts of </w:t>
      </w:r>
      <w:r w:rsidR="00E04194">
        <w:rPr>
          <w:rFonts w:asciiTheme="majorHAnsi" w:hAnsiTheme="majorHAnsi" w:cstheme="minorHAnsi"/>
          <w:sz w:val="20"/>
          <w:szCs w:val="20"/>
        </w:rPr>
        <w:t>redress</w:t>
      </w:r>
      <w:r w:rsidR="00D224F0" w:rsidRPr="00D12718">
        <w:rPr>
          <w:rFonts w:asciiTheme="majorHAnsi" w:hAnsiTheme="majorHAnsi" w:cstheme="minorHAnsi"/>
          <w:sz w:val="20"/>
          <w:szCs w:val="20"/>
        </w:rPr>
        <w:t xml:space="preserve">. </w:t>
      </w:r>
    </w:p>
    <w:p w14:paraId="470B03E2"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2D9168ED" w14:textId="7BAE5AAD" w:rsidR="00D224F0" w:rsidRPr="00D12718" w:rsidRDefault="00D224F0" w:rsidP="00BD4B21">
      <w:pPr>
        <w:tabs>
          <w:tab w:val="left" w:pos="560"/>
        </w:tabs>
        <w:ind w:left="737" w:right="737"/>
        <w:jc w:val="both"/>
        <w:rPr>
          <w:rFonts w:asciiTheme="majorHAnsi" w:hAnsiTheme="majorHAnsi" w:cstheme="minorHAnsi"/>
          <w:sz w:val="20"/>
          <w:szCs w:val="20"/>
        </w:rPr>
      </w:pPr>
      <w:r w:rsidRPr="00D12718">
        <w:rPr>
          <w:rFonts w:asciiTheme="majorHAnsi" w:hAnsiTheme="majorHAnsi" w:cstheme="minorHAnsi"/>
          <w:b/>
          <w:bCs/>
          <w:sz w:val="20"/>
          <w:szCs w:val="20"/>
          <w:u w:val="single"/>
        </w:rPr>
        <w:t>Part</w:t>
      </w:r>
      <w:r w:rsidR="00E46D11">
        <w:rPr>
          <w:rFonts w:asciiTheme="majorHAnsi" w:hAnsiTheme="majorHAnsi" w:cstheme="minorHAnsi"/>
          <w:b/>
          <w:bCs/>
          <w:sz w:val="20"/>
          <w:szCs w:val="20"/>
          <w:u w:val="single"/>
        </w:rPr>
        <w:t>i</w:t>
      </w:r>
      <w:r w:rsidRPr="00D12718">
        <w:rPr>
          <w:rFonts w:asciiTheme="majorHAnsi" w:hAnsiTheme="majorHAnsi" w:cstheme="minorHAnsi"/>
          <w:b/>
          <w:bCs/>
          <w:sz w:val="20"/>
          <w:szCs w:val="20"/>
          <w:u w:val="single"/>
        </w:rPr>
        <w:t>es:</w:t>
      </w:r>
      <w:r w:rsidRPr="00D12718">
        <w:rPr>
          <w:rFonts w:asciiTheme="majorHAnsi" w:hAnsiTheme="majorHAnsi" w:cstheme="minorHAnsi"/>
          <w:sz w:val="20"/>
          <w:szCs w:val="20"/>
        </w:rPr>
        <w:t xml:space="preserve"> </w:t>
      </w:r>
      <w:r w:rsidR="00A22451" w:rsidRPr="00A22451">
        <w:rPr>
          <w:rFonts w:asciiTheme="majorHAnsi" w:hAnsiTheme="majorHAnsi" w:cstheme="minorHAnsi"/>
          <w:sz w:val="20"/>
          <w:szCs w:val="20"/>
        </w:rPr>
        <w:t>State of Colombia, the victim's relatives, as well as their representatives</w:t>
      </w:r>
      <w:r w:rsidRPr="00D12718">
        <w:rPr>
          <w:rFonts w:asciiTheme="majorHAnsi" w:hAnsiTheme="majorHAnsi" w:cstheme="minorHAnsi"/>
          <w:sz w:val="20"/>
          <w:szCs w:val="20"/>
        </w:rPr>
        <w:t>.</w:t>
      </w:r>
    </w:p>
    <w:p w14:paraId="0FD6A93C"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3E73220A" w14:textId="2762CBA4" w:rsidR="00D224F0" w:rsidRPr="00D12718" w:rsidRDefault="00E46D11" w:rsidP="00BD4B21">
      <w:pPr>
        <w:tabs>
          <w:tab w:val="left" w:pos="560"/>
        </w:tabs>
        <w:ind w:left="737" w:right="737"/>
        <w:jc w:val="both"/>
        <w:rPr>
          <w:rFonts w:asciiTheme="majorHAnsi" w:hAnsiTheme="majorHAnsi" w:cstheme="minorHAnsi"/>
          <w:sz w:val="20"/>
          <w:szCs w:val="20"/>
        </w:rPr>
      </w:pPr>
      <w:r w:rsidRPr="00E46D11">
        <w:rPr>
          <w:rFonts w:asciiTheme="majorHAnsi" w:hAnsiTheme="majorHAnsi" w:cstheme="minorHAnsi"/>
          <w:b/>
          <w:bCs/>
          <w:sz w:val="20"/>
          <w:szCs w:val="20"/>
          <w:u w:val="single"/>
        </w:rPr>
        <w:t>Acknowledgment of responsibility</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A22451" w:rsidRPr="00A22451">
        <w:rPr>
          <w:rFonts w:asciiTheme="majorHAnsi" w:hAnsiTheme="majorHAnsi" w:cstheme="minorHAnsi"/>
          <w:sz w:val="20"/>
          <w:szCs w:val="20"/>
        </w:rPr>
        <w:t xml:space="preserve">Acceptance of the facts and human rights violations attributed to the </w:t>
      </w:r>
      <w:r w:rsidR="00F7400E">
        <w:rPr>
          <w:rFonts w:asciiTheme="majorHAnsi" w:hAnsiTheme="majorHAnsi" w:cstheme="minorHAnsi"/>
          <w:sz w:val="20"/>
          <w:szCs w:val="20"/>
        </w:rPr>
        <w:t>S</w:t>
      </w:r>
      <w:r w:rsidR="00A22451" w:rsidRPr="00A22451">
        <w:rPr>
          <w:rFonts w:asciiTheme="majorHAnsi" w:hAnsiTheme="majorHAnsi" w:cstheme="minorHAnsi"/>
          <w:sz w:val="20"/>
          <w:szCs w:val="20"/>
        </w:rPr>
        <w:t>tate</w:t>
      </w:r>
      <w:r w:rsidR="00D224F0" w:rsidRPr="00D12718">
        <w:rPr>
          <w:rFonts w:asciiTheme="majorHAnsi" w:hAnsiTheme="majorHAnsi" w:cstheme="minorHAnsi"/>
          <w:sz w:val="20"/>
          <w:szCs w:val="20"/>
        </w:rPr>
        <w:t xml:space="preserve">. </w:t>
      </w:r>
    </w:p>
    <w:p w14:paraId="2D62D806"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61EDC095" w14:textId="142B0814" w:rsidR="00D224F0" w:rsidRPr="00D12718" w:rsidRDefault="00293833" w:rsidP="00BD4B21">
      <w:pPr>
        <w:tabs>
          <w:tab w:val="left" w:pos="560"/>
        </w:tabs>
        <w:ind w:left="737" w:right="737"/>
        <w:jc w:val="both"/>
        <w:rPr>
          <w:rFonts w:asciiTheme="majorHAnsi" w:hAnsiTheme="majorHAnsi" w:cstheme="minorHAnsi"/>
          <w:sz w:val="20"/>
          <w:szCs w:val="20"/>
        </w:rPr>
      </w:pPr>
      <w:r>
        <w:rPr>
          <w:rFonts w:asciiTheme="majorHAnsi" w:hAnsiTheme="majorHAnsi" w:cstheme="minorHAnsi"/>
          <w:b/>
          <w:bCs/>
          <w:sz w:val="20"/>
          <w:szCs w:val="20"/>
          <w:u w:val="single"/>
        </w:rPr>
        <w:t>Integral Reparation</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A22451" w:rsidRPr="00A22451">
        <w:rPr>
          <w:rFonts w:asciiTheme="majorHAnsi" w:hAnsiTheme="majorHAnsi" w:cstheme="minorHAnsi"/>
          <w:sz w:val="20"/>
          <w:szCs w:val="20"/>
        </w:rPr>
        <w:t>All those measures which objectively and symbolically restore the victim to the state prior to the commission of the damage</w:t>
      </w:r>
      <w:r w:rsidR="00D224F0" w:rsidRPr="00D12718">
        <w:rPr>
          <w:rFonts w:asciiTheme="majorHAnsi" w:hAnsiTheme="majorHAnsi" w:cstheme="minorHAnsi"/>
          <w:sz w:val="20"/>
          <w:szCs w:val="20"/>
        </w:rPr>
        <w:t xml:space="preserve">. </w:t>
      </w:r>
    </w:p>
    <w:p w14:paraId="3AA06C05"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790203FE" w14:textId="51E1B544" w:rsidR="00D224F0" w:rsidRPr="00D12718" w:rsidRDefault="00D224F0" w:rsidP="00BD4B21">
      <w:pPr>
        <w:tabs>
          <w:tab w:val="left" w:pos="560"/>
        </w:tabs>
        <w:ind w:left="737" w:right="737"/>
        <w:jc w:val="both"/>
        <w:rPr>
          <w:rFonts w:asciiTheme="majorHAnsi" w:hAnsiTheme="majorHAnsi" w:cstheme="minorHAnsi"/>
          <w:sz w:val="20"/>
          <w:szCs w:val="20"/>
        </w:rPr>
      </w:pPr>
      <w:r w:rsidRPr="00D12718">
        <w:rPr>
          <w:rFonts w:asciiTheme="majorHAnsi" w:hAnsiTheme="majorHAnsi" w:cstheme="minorHAnsi"/>
          <w:b/>
          <w:bCs/>
          <w:sz w:val="20"/>
          <w:szCs w:val="20"/>
          <w:u w:val="single"/>
        </w:rPr>
        <w:t>Representat</w:t>
      </w:r>
      <w:r w:rsidR="00E46D11">
        <w:rPr>
          <w:rFonts w:asciiTheme="majorHAnsi" w:hAnsiTheme="majorHAnsi" w:cstheme="minorHAnsi"/>
          <w:b/>
          <w:bCs/>
          <w:sz w:val="20"/>
          <w:szCs w:val="20"/>
          <w:u w:val="single"/>
        </w:rPr>
        <w:t>iv</w:t>
      </w:r>
      <w:r w:rsidRPr="00D12718">
        <w:rPr>
          <w:rFonts w:asciiTheme="majorHAnsi" w:hAnsiTheme="majorHAnsi" w:cstheme="minorHAnsi"/>
          <w:b/>
          <w:bCs/>
          <w:sz w:val="20"/>
          <w:szCs w:val="20"/>
          <w:u w:val="single"/>
        </w:rPr>
        <w:t xml:space="preserve">es </w:t>
      </w:r>
      <w:r w:rsidR="00E46D11">
        <w:rPr>
          <w:rFonts w:asciiTheme="majorHAnsi" w:hAnsiTheme="majorHAnsi" w:cstheme="minorHAnsi"/>
          <w:b/>
          <w:bCs/>
          <w:sz w:val="20"/>
          <w:szCs w:val="20"/>
          <w:u w:val="single"/>
        </w:rPr>
        <w:t>of the</w:t>
      </w:r>
      <w:r w:rsidRPr="00D12718">
        <w:rPr>
          <w:rFonts w:asciiTheme="majorHAnsi" w:hAnsiTheme="majorHAnsi" w:cstheme="minorHAnsi"/>
          <w:b/>
          <w:bCs/>
          <w:sz w:val="20"/>
          <w:szCs w:val="20"/>
          <w:u w:val="single"/>
        </w:rPr>
        <w:t xml:space="preserve"> v</w:t>
      </w:r>
      <w:r w:rsidR="00E46D11">
        <w:rPr>
          <w:rFonts w:asciiTheme="majorHAnsi" w:hAnsiTheme="majorHAnsi" w:cstheme="minorHAnsi"/>
          <w:b/>
          <w:bCs/>
          <w:sz w:val="20"/>
          <w:szCs w:val="20"/>
          <w:u w:val="single"/>
        </w:rPr>
        <w:t>i</w:t>
      </w:r>
      <w:r w:rsidRPr="00D12718">
        <w:rPr>
          <w:rFonts w:asciiTheme="majorHAnsi" w:hAnsiTheme="majorHAnsi" w:cstheme="minorHAnsi"/>
          <w:b/>
          <w:bCs/>
          <w:sz w:val="20"/>
          <w:szCs w:val="20"/>
          <w:u w:val="single"/>
        </w:rPr>
        <w:t>ctims:</w:t>
      </w:r>
      <w:r w:rsidRPr="00D12718">
        <w:rPr>
          <w:rFonts w:asciiTheme="majorHAnsi" w:hAnsiTheme="majorHAnsi" w:cstheme="minorHAnsi"/>
          <w:b/>
          <w:bCs/>
          <w:sz w:val="20"/>
          <w:szCs w:val="20"/>
        </w:rPr>
        <w:t xml:space="preserve"> </w:t>
      </w:r>
      <w:proofErr w:type="spellStart"/>
      <w:r w:rsidR="009D45E0" w:rsidRPr="00142E7F">
        <w:rPr>
          <w:rFonts w:asciiTheme="majorHAnsi" w:hAnsiTheme="majorHAnsi"/>
          <w:sz w:val="20"/>
          <w:szCs w:val="20"/>
        </w:rPr>
        <w:t>Organi</w:t>
      </w:r>
      <w:r w:rsidR="009D45E0">
        <w:rPr>
          <w:rFonts w:asciiTheme="majorHAnsi" w:hAnsiTheme="majorHAnsi"/>
          <w:sz w:val="20"/>
          <w:szCs w:val="20"/>
        </w:rPr>
        <w:t>zación</w:t>
      </w:r>
      <w:proofErr w:type="spellEnd"/>
      <w:r w:rsidR="009D45E0" w:rsidRPr="00142E7F">
        <w:rPr>
          <w:rFonts w:asciiTheme="majorHAnsi" w:hAnsiTheme="majorHAnsi"/>
          <w:sz w:val="20"/>
          <w:szCs w:val="20"/>
        </w:rPr>
        <w:t xml:space="preserve"> </w:t>
      </w:r>
      <w:proofErr w:type="spellStart"/>
      <w:r w:rsidR="009D45E0" w:rsidRPr="00142E7F">
        <w:rPr>
          <w:rFonts w:asciiTheme="majorHAnsi" w:hAnsiTheme="majorHAnsi"/>
          <w:sz w:val="20"/>
          <w:szCs w:val="20"/>
        </w:rPr>
        <w:t>Indemnizaciones</w:t>
      </w:r>
      <w:proofErr w:type="spellEnd"/>
      <w:r w:rsidR="009D45E0" w:rsidRPr="00142E7F">
        <w:rPr>
          <w:rFonts w:asciiTheme="majorHAnsi" w:hAnsiTheme="majorHAnsi"/>
          <w:sz w:val="20"/>
          <w:szCs w:val="20"/>
        </w:rPr>
        <w:t xml:space="preserve"> Paz</w:t>
      </w:r>
      <w:r w:rsidR="009D45E0">
        <w:rPr>
          <w:rFonts w:asciiTheme="majorHAnsi" w:hAnsiTheme="majorHAnsi"/>
          <w:sz w:val="20"/>
          <w:szCs w:val="20"/>
        </w:rPr>
        <w:t xml:space="preserve"> (Peace </w:t>
      </w:r>
      <w:r w:rsidR="00FA5559">
        <w:rPr>
          <w:rFonts w:asciiTheme="majorHAnsi" w:hAnsiTheme="majorHAnsi"/>
          <w:sz w:val="20"/>
          <w:szCs w:val="20"/>
        </w:rPr>
        <w:t>Compensation</w:t>
      </w:r>
      <w:r w:rsidR="00537E1F">
        <w:rPr>
          <w:rFonts w:asciiTheme="majorHAnsi" w:hAnsiTheme="majorHAnsi"/>
          <w:sz w:val="20"/>
          <w:szCs w:val="20"/>
        </w:rPr>
        <w:t>s</w:t>
      </w:r>
      <w:r w:rsidR="00FA5559">
        <w:rPr>
          <w:rFonts w:asciiTheme="majorHAnsi" w:hAnsiTheme="majorHAnsi"/>
          <w:sz w:val="20"/>
          <w:szCs w:val="20"/>
        </w:rPr>
        <w:t xml:space="preserve"> </w:t>
      </w:r>
      <w:r w:rsidR="009D45E0">
        <w:rPr>
          <w:rFonts w:asciiTheme="majorHAnsi" w:hAnsiTheme="majorHAnsi"/>
          <w:sz w:val="20"/>
          <w:szCs w:val="20"/>
        </w:rPr>
        <w:t>Organization)</w:t>
      </w:r>
      <w:r w:rsidRPr="00D12718">
        <w:rPr>
          <w:rFonts w:asciiTheme="majorHAnsi" w:hAnsiTheme="majorHAnsi" w:cstheme="minorHAnsi"/>
          <w:sz w:val="20"/>
          <w:szCs w:val="20"/>
        </w:rPr>
        <w:t xml:space="preserve">. </w:t>
      </w:r>
    </w:p>
    <w:p w14:paraId="7D97958E"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5D602EBE" w14:textId="30271B85" w:rsidR="00D224F0" w:rsidRPr="00D12718" w:rsidRDefault="00E46D11" w:rsidP="00BD4B21">
      <w:pPr>
        <w:tabs>
          <w:tab w:val="left" w:pos="560"/>
        </w:tabs>
        <w:ind w:left="737" w:right="737"/>
        <w:jc w:val="both"/>
        <w:rPr>
          <w:rFonts w:asciiTheme="majorHAnsi" w:hAnsiTheme="majorHAnsi" w:cstheme="minorHAnsi"/>
          <w:sz w:val="20"/>
          <w:szCs w:val="20"/>
        </w:rPr>
      </w:pPr>
      <w:r>
        <w:rPr>
          <w:rFonts w:asciiTheme="majorHAnsi" w:hAnsiTheme="majorHAnsi" w:cstheme="minorHAnsi"/>
          <w:b/>
          <w:bCs/>
          <w:sz w:val="20"/>
          <w:szCs w:val="20"/>
          <w:u w:val="single"/>
        </w:rPr>
        <w:t>Friendly Settlement</w:t>
      </w:r>
      <w:r w:rsidR="00D224F0" w:rsidRPr="00D12718">
        <w:rPr>
          <w:rFonts w:asciiTheme="majorHAnsi" w:hAnsiTheme="majorHAnsi" w:cstheme="minorHAnsi"/>
          <w:b/>
          <w:bCs/>
          <w:sz w:val="20"/>
          <w:szCs w:val="20"/>
          <w:u w:val="single"/>
        </w:rPr>
        <w:t>:</w:t>
      </w:r>
      <w:r w:rsidR="00D224F0" w:rsidRPr="00D12718">
        <w:rPr>
          <w:rFonts w:asciiTheme="majorHAnsi" w:hAnsiTheme="majorHAnsi" w:cstheme="minorHAnsi"/>
          <w:sz w:val="20"/>
          <w:szCs w:val="20"/>
        </w:rPr>
        <w:t xml:space="preserve"> </w:t>
      </w:r>
      <w:r w:rsidR="00A22451" w:rsidRPr="00A22451">
        <w:rPr>
          <w:rFonts w:asciiTheme="majorHAnsi" w:hAnsiTheme="majorHAnsi" w:cstheme="minorHAnsi"/>
          <w:sz w:val="20"/>
          <w:szCs w:val="20"/>
        </w:rPr>
        <w:t>Alternative dispute resolution mechanism, used for peaceful and consensual settlement before the Inter-American Commission</w:t>
      </w:r>
      <w:r w:rsidR="00D224F0" w:rsidRPr="00D12718">
        <w:rPr>
          <w:rFonts w:asciiTheme="majorHAnsi" w:hAnsiTheme="majorHAnsi" w:cstheme="minorHAnsi"/>
          <w:sz w:val="20"/>
          <w:szCs w:val="20"/>
        </w:rPr>
        <w:t xml:space="preserve">. </w:t>
      </w:r>
    </w:p>
    <w:p w14:paraId="3DFFB59D"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4DEE1872" w14:textId="5655BF59" w:rsidR="00D224F0" w:rsidRPr="00D12718" w:rsidRDefault="00D224F0" w:rsidP="00BD4B21">
      <w:pPr>
        <w:tabs>
          <w:tab w:val="left" w:pos="560"/>
        </w:tabs>
        <w:ind w:left="737" w:right="737"/>
        <w:jc w:val="both"/>
        <w:rPr>
          <w:rFonts w:asciiTheme="majorHAnsi" w:hAnsiTheme="majorHAnsi" w:cstheme="minorHAnsi"/>
          <w:sz w:val="20"/>
          <w:szCs w:val="20"/>
        </w:rPr>
      </w:pPr>
      <w:r w:rsidRPr="00D12718">
        <w:rPr>
          <w:rFonts w:asciiTheme="majorHAnsi" w:hAnsiTheme="majorHAnsi" w:cstheme="minorHAnsi"/>
          <w:b/>
          <w:bCs/>
          <w:sz w:val="20"/>
          <w:szCs w:val="20"/>
          <w:u w:val="single"/>
        </w:rPr>
        <w:t>V</w:t>
      </w:r>
      <w:r w:rsidR="00E46D11">
        <w:rPr>
          <w:rFonts w:asciiTheme="majorHAnsi" w:hAnsiTheme="majorHAnsi" w:cstheme="minorHAnsi"/>
          <w:b/>
          <w:bCs/>
          <w:sz w:val="20"/>
          <w:szCs w:val="20"/>
          <w:u w:val="single"/>
        </w:rPr>
        <w:t>i</w:t>
      </w:r>
      <w:r w:rsidRPr="00D12718">
        <w:rPr>
          <w:rFonts w:asciiTheme="majorHAnsi" w:hAnsiTheme="majorHAnsi" w:cstheme="minorHAnsi"/>
          <w:b/>
          <w:bCs/>
          <w:sz w:val="20"/>
          <w:szCs w:val="20"/>
          <w:u w:val="single"/>
        </w:rPr>
        <w:t>ctims:</w:t>
      </w:r>
      <w:r w:rsidRPr="00D12718">
        <w:rPr>
          <w:rFonts w:asciiTheme="majorHAnsi" w:hAnsiTheme="majorHAnsi" w:cstheme="minorHAnsi"/>
          <w:sz w:val="20"/>
          <w:szCs w:val="20"/>
        </w:rPr>
        <w:t xml:space="preserve"> </w:t>
      </w:r>
      <w:r w:rsidR="00A22451" w:rsidRPr="00A22451">
        <w:rPr>
          <w:rFonts w:asciiTheme="majorHAnsi" w:hAnsiTheme="majorHAnsi" w:cstheme="minorHAnsi"/>
          <w:sz w:val="20"/>
          <w:szCs w:val="20"/>
        </w:rPr>
        <w:t xml:space="preserve">The relatives of Gabriel </w:t>
      </w:r>
      <w:proofErr w:type="spellStart"/>
      <w:r w:rsidR="001B2153">
        <w:rPr>
          <w:rFonts w:asciiTheme="majorHAnsi" w:hAnsiTheme="majorHAnsi" w:cstheme="minorHAnsi"/>
          <w:sz w:val="20"/>
          <w:szCs w:val="20"/>
        </w:rPr>
        <w:t>Á</w:t>
      </w:r>
      <w:r w:rsidR="00A22451" w:rsidRPr="00A22451">
        <w:rPr>
          <w:rFonts w:asciiTheme="majorHAnsi" w:hAnsiTheme="majorHAnsi" w:cstheme="minorHAnsi"/>
          <w:sz w:val="20"/>
          <w:szCs w:val="20"/>
        </w:rPr>
        <w:t>ngel</w:t>
      </w:r>
      <w:proofErr w:type="spellEnd"/>
      <w:r w:rsidR="00A22451" w:rsidRPr="00A22451">
        <w:rPr>
          <w:rFonts w:asciiTheme="majorHAnsi" w:hAnsiTheme="majorHAnsi" w:cstheme="minorHAnsi"/>
          <w:sz w:val="20"/>
          <w:szCs w:val="20"/>
        </w:rPr>
        <w:t xml:space="preserve"> G</w:t>
      </w:r>
      <w:r w:rsidR="001B2153">
        <w:rPr>
          <w:rFonts w:asciiTheme="majorHAnsi" w:hAnsiTheme="majorHAnsi" w:cstheme="minorHAnsi"/>
          <w:sz w:val="20"/>
          <w:szCs w:val="20"/>
        </w:rPr>
        <w:t>ó</w:t>
      </w:r>
      <w:r w:rsidR="00A22451" w:rsidRPr="00A22451">
        <w:rPr>
          <w:rFonts w:asciiTheme="majorHAnsi" w:hAnsiTheme="majorHAnsi" w:cstheme="minorHAnsi"/>
          <w:sz w:val="20"/>
          <w:szCs w:val="20"/>
        </w:rPr>
        <w:t>mez Martinez</w:t>
      </w:r>
      <w:r w:rsidRPr="00D12718">
        <w:rPr>
          <w:rFonts w:asciiTheme="majorHAnsi" w:hAnsiTheme="majorHAnsi" w:cstheme="minorHAnsi"/>
          <w:sz w:val="20"/>
          <w:szCs w:val="20"/>
        </w:rPr>
        <w:t xml:space="preserve">.  </w:t>
      </w:r>
    </w:p>
    <w:p w14:paraId="5FE2F659"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422CBD0F" w14:textId="03DCAA04" w:rsidR="00D224F0" w:rsidRPr="00D12718" w:rsidRDefault="00677B96" w:rsidP="00BD4B21">
      <w:pPr>
        <w:tabs>
          <w:tab w:val="left" w:pos="560"/>
        </w:tabs>
        <w:ind w:left="737" w:right="737"/>
        <w:jc w:val="center"/>
        <w:rPr>
          <w:rFonts w:asciiTheme="majorHAnsi" w:hAnsiTheme="majorHAnsi" w:cstheme="minorHAnsi"/>
          <w:b/>
          <w:bCs/>
          <w:sz w:val="20"/>
          <w:szCs w:val="20"/>
        </w:rPr>
      </w:pPr>
      <w:r w:rsidRPr="00D12718">
        <w:rPr>
          <w:rFonts w:asciiTheme="majorHAnsi" w:hAnsiTheme="majorHAnsi" w:cstheme="minorHAnsi"/>
          <w:b/>
          <w:bCs/>
          <w:sz w:val="20"/>
          <w:szCs w:val="20"/>
        </w:rPr>
        <w:t>SECOND</w:t>
      </w:r>
      <w:r w:rsidR="00D224F0" w:rsidRPr="00D12718">
        <w:rPr>
          <w:rFonts w:asciiTheme="majorHAnsi" w:hAnsiTheme="majorHAnsi" w:cstheme="minorHAnsi"/>
          <w:b/>
          <w:bCs/>
          <w:sz w:val="20"/>
          <w:szCs w:val="20"/>
        </w:rPr>
        <w:t xml:space="preserve"> PART: </w:t>
      </w:r>
      <w:r w:rsidRPr="00D12718">
        <w:rPr>
          <w:rFonts w:asciiTheme="majorHAnsi" w:hAnsiTheme="majorHAnsi" w:cstheme="minorHAnsi"/>
          <w:b/>
          <w:bCs/>
          <w:sz w:val="20"/>
          <w:szCs w:val="20"/>
        </w:rPr>
        <w:t>BACKGROUND</w:t>
      </w:r>
    </w:p>
    <w:p w14:paraId="7D6C6B5C" w14:textId="77777777" w:rsidR="00D224F0" w:rsidRPr="00D12718" w:rsidRDefault="00D224F0" w:rsidP="00BD4B21">
      <w:pPr>
        <w:tabs>
          <w:tab w:val="left" w:pos="560"/>
        </w:tabs>
        <w:ind w:left="737" w:right="737"/>
        <w:jc w:val="center"/>
        <w:rPr>
          <w:rFonts w:asciiTheme="majorHAnsi" w:hAnsiTheme="majorHAnsi" w:cstheme="minorHAnsi"/>
          <w:b/>
          <w:bCs/>
          <w:sz w:val="20"/>
          <w:szCs w:val="20"/>
        </w:rPr>
      </w:pPr>
    </w:p>
    <w:p w14:paraId="495DB4A7" w14:textId="437FF40E" w:rsidR="00D224F0" w:rsidRPr="00D12718" w:rsidRDefault="00677B96" w:rsidP="00BD4B21">
      <w:pPr>
        <w:tabs>
          <w:tab w:val="left" w:pos="560"/>
        </w:tabs>
        <w:ind w:left="737" w:right="737"/>
        <w:jc w:val="both"/>
        <w:rPr>
          <w:rFonts w:asciiTheme="majorHAnsi" w:hAnsiTheme="majorHAnsi" w:cstheme="minorHAnsi"/>
          <w:b/>
          <w:bCs/>
          <w:sz w:val="20"/>
          <w:szCs w:val="20"/>
        </w:rPr>
      </w:pPr>
      <w:r w:rsidRPr="00D12718">
        <w:rPr>
          <w:rFonts w:asciiTheme="majorHAnsi" w:hAnsiTheme="majorHAnsi" w:cstheme="minorHAnsi"/>
          <w:b/>
          <w:bCs/>
          <w:sz w:val="20"/>
          <w:szCs w:val="20"/>
        </w:rPr>
        <w:t>BEFORE THE</w:t>
      </w:r>
      <w:r w:rsidR="00D224F0" w:rsidRPr="00D12718">
        <w:rPr>
          <w:rFonts w:asciiTheme="majorHAnsi" w:hAnsiTheme="majorHAnsi" w:cstheme="minorHAnsi"/>
          <w:b/>
          <w:bCs/>
          <w:sz w:val="20"/>
          <w:szCs w:val="20"/>
        </w:rPr>
        <w:t xml:space="preserve"> INTER</w:t>
      </w:r>
      <w:r w:rsidRPr="00D12718">
        <w:rPr>
          <w:rFonts w:asciiTheme="majorHAnsi" w:hAnsiTheme="majorHAnsi" w:cstheme="minorHAnsi"/>
          <w:b/>
          <w:bCs/>
          <w:sz w:val="20"/>
          <w:szCs w:val="20"/>
        </w:rPr>
        <w:t>-</w:t>
      </w:r>
      <w:r w:rsidR="00D224F0" w:rsidRPr="00D12718">
        <w:rPr>
          <w:rFonts w:asciiTheme="majorHAnsi" w:hAnsiTheme="majorHAnsi" w:cstheme="minorHAnsi"/>
          <w:b/>
          <w:bCs/>
          <w:sz w:val="20"/>
          <w:szCs w:val="20"/>
        </w:rPr>
        <w:t>AMERICAN</w:t>
      </w:r>
      <w:r w:rsidRPr="00D12718">
        <w:rPr>
          <w:rFonts w:asciiTheme="majorHAnsi" w:hAnsiTheme="majorHAnsi" w:cstheme="minorHAnsi"/>
          <w:b/>
          <w:bCs/>
          <w:sz w:val="20"/>
          <w:szCs w:val="20"/>
        </w:rPr>
        <w:t xml:space="preserve"> HUMAN RIGHTS SYSTEM</w:t>
      </w:r>
      <w:r w:rsidR="00D224F0" w:rsidRPr="00D12718">
        <w:rPr>
          <w:rFonts w:asciiTheme="majorHAnsi" w:hAnsiTheme="majorHAnsi" w:cstheme="minorHAnsi"/>
          <w:b/>
          <w:bCs/>
          <w:sz w:val="20"/>
          <w:szCs w:val="20"/>
        </w:rPr>
        <w:t xml:space="preserve">. </w:t>
      </w:r>
    </w:p>
    <w:p w14:paraId="3923642F"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2AE83A18" w14:textId="452E6940" w:rsidR="00D224F0" w:rsidRPr="00D12718" w:rsidRDefault="00567CA3"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567CA3">
        <w:rPr>
          <w:rFonts w:asciiTheme="majorHAnsi" w:hAnsiTheme="majorHAnsi"/>
          <w:sz w:val="20"/>
          <w:szCs w:val="20"/>
        </w:rPr>
        <w:t xml:space="preserve">On March 17, 2009, the Inter-American Commission on Human Rights received a petition presented by Dr. Roberto Fernando Paz Salas, in which he held that on May 16, 1999, a group of illegal self-defense groups raided the village of </w:t>
      </w:r>
      <w:proofErr w:type="spellStart"/>
      <w:r w:rsidRPr="00567CA3">
        <w:rPr>
          <w:rFonts w:asciiTheme="majorHAnsi" w:hAnsiTheme="majorHAnsi"/>
          <w:sz w:val="20"/>
          <w:szCs w:val="20"/>
        </w:rPr>
        <w:t>Nutibara</w:t>
      </w:r>
      <w:proofErr w:type="spellEnd"/>
      <w:r w:rsidRPr="00567CA3">
        <w:rPr>
          <w:rFonts w:asciiTheme="majorHAnsi" w:hAnsiTheme="majorHAnsi"/>
          <w:sz w:val="20"/>
          <w:szCs w:val="20"/>
        </w:rPr>
        <w:t>, municipality of Frontino - Antioquia. When Mr. Gabriel Angel Gomez was playing a soccer match, members of these groups began to chase him with bladed weapons, inflicting him serious wounds which caused his death</w:t>
      </w:r>
      <w:r w:rsidR="00D224F0" w:rsidRPr="00D12718">
        <w:rPr>
          <w:rFonts w:asciiTheme="majorHAnsi" w:hAnsiTheme="majorHAnsi"/>
          <w:sz w:val="20"/>
          <w:szCs w:val="20"/>
        </w:rPr>
        <w:t xml:space="preserve">. </w:t>
      </w:r>
    </w:p>
    <w:p w14:paraId="651F8610" w14:textId="77777777" w:rsidR="00D224F0" w:rsidRPr="00D12718"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rPr>
      </w:pPr>
    </w:p>
    <w:p w14:paraId="1C9E7086" w14:textId="2B671DB9" w:rsidR="00D224F0" w:rsidRPr="00D12718" w:rsidRDefault="00152F12"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152F12">
        <w:rPr>
          <w:rFonts w:asciiTheme="majorHAnsi" w:hAnsiTheme="majorHAnsi"/>
          <w:sz w:val="20"/>
          <w:szCs w:val="20"/>
        </w:rPr>
        <w:t>Likewise, the petitioners stated that the homicide of the alleged victim is in total impunity and that almost 20 years have passed without individualizing those responsible</w:t>
      </w:r>
      <w:r w:rsidR="00D224F0" w:rsidRPr="00D12718">
        <w:rPr>
          <w:rFonts w:asciiTheme="majorHAnsi" w:hAnsiTheme="majorHAnsi"/>
          <w:sz w:val="20"/>
          <w:szCs w:val="20"/>
        </w:rPr>
        <w:t xml:space="preserve">. </w:t>
      </w:r>
    </w:p>
    <w:p w14:paraId="57D39AC9" w14:textId="77777777" w:rsidR="00D224F0" w:rsidRPr="00D12718"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rPr>
      </w:pPr>
    </w:p>
    <w:p w14:paraId="4788D224" w14:textId="329A9917" w:rsidR="00D224F0" w:rsidRPr="00D12718" w:rsidRDefault="00B65B2A"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B65B2A">
        <w:rPr>
          <w:rFonts w:asciiTheme="majorHAnsi" w:hAnsiTheme="majorHAnsi"/>
          <w:sz w:val="20"/>
          <w:szCs w:val="20"/>
        </w:rPr>
        <w:t xml:space="preserve">The victim's relatives filed a claim for direct reparation before the Contentious Administrative Court of Antioquia. This claim was rejected on September 8, 2008, on the grounds that although it is true that there was no Police Force in the Township of </w:t>
      </w:r>
      <w:proofErr w:type="spellStart"/>
      <w:r w:rsidRPr="00B65B2A">
        <w:rPr>
          <w:rFonts w:asciiTheme="majorHAnsi" w:hAnsiTheme="majorHAnsi"/>
          <w:sz w:val="20"/>
          <w:szCs w:val="20"/>
        </w:rPr>
        <w:t>Nutibara</w:t>
      </w:r>
      <w:proofErr w:type="spellEnd"/>
      <w:r w:rsidRPr="00B65B2A">
        <w:rPr>
          <w:rFonts w:asciiTheme="majorHAnsi" w:hAnsiTheme="majorHAnsi"/>
          <w:sz w:val="20"/>
          <w:szCs w:val="20"/>
        </w:rPr>
        <w:t xml:space="preserve">, its non-existence could not be </w:t>
      </w:r>
      <w:r w:rsidR="00476D88">
        <w:rPr>
          <w:rFonts w:asciiTheme="majorHAnsi" w:hAnsiTheme="majorHAnsi"/>
          <w:sz w:val="20"/>
          <w:szCs w:val="20"/>
        </w:rPr>
        <w:t>argu</w:t>
      </w:r>
      <w:r w:rsidR="00476D88" w:rsidRPr="00B65B2A">
        <w:rPr>
          <w:rFonts w:asciiTheme="majorHAnsi" w:hAnsiTheme="majorHAnsi"/>
          <w:sz w:val="20"/>
          <w:szCs w:val="20"/>
        </w:rPr>
        <w:t xml:space="preserve">ed </w:t>
      </w:r>
      <w:r w:rsidRPr="00B65B2A">
        <w:rPr>
          <w:rFonts w:asciiTheme="majorHAnsi" w:hAnsiTheme="majorHAnsi"/>
          <w:sz w:val="20"/>
          <w:szCs w:val="20"/>
        </w:rPr>
        <w:t xml:space="preserve">to have been a determining factor for the murder of Mr. Gabriel </w:t>
      </w:r>
      <w:proofErr w:type="spellStart"/>
      <w:r w:rsidRPr="00B65B2A">
        <w:rPr>
          <w:rFonts w:asciiTheme="majorHAnsi" w:hAnsiTheme="majorHAnsi"/>
          <w:sz w:val="20"/>
          <w:szCs w:val="20"/>
        </w:rPr>
        <w:t>Ángel</w:t>
      </w:r>
      <w:proofErr w:type="spellEnd"/>
      <w:r w:rsidRPr="00B65B2A">
        <w:rPr>
          <w:rFonts w:asciiTheme="majorHAnsi" w:hAnsiTheme="majorHAnsi"/>
          <w:sz w:val="20"/>
          <w:szCs w:val="20"/>
        </w:rPr>
        <w:t xml:space="preserve"> Gómez Martínez. Thus, there was not an adequate causal relationship between the non-existence of the Police Force in the township of </w:t>
      </w:r>
      <w:proofErr w:type="spellStart"/>
      <w:r w:rsidRPr="00B65B2A">
        <w:rPr>
          <w:rFonts w:asciiTheme="majorHAnsi" w:hAnsiTheme="majorHAnsi"/>
          <w:sz w:val="20"/>
          <w:szCs w:val="20"/>
        </w:rPr>
        <w:t>Nutibara</w:t>
      </w:r>
      <w:proofErr w:type="spellEnd"/>
      <w:r w:rsidRPr="00B65B2A">
        <w:rPr>
          <w:rFonts w:asciiTheme="majorHAnsi" w:hAnsiTheme="majorHAnsi"/>
          <w:sz w:val="20"/>
          <w:szCs w:val="20"/>
        </w:rPr>
        <w:t xml:space="preserve"> and the death of Mr. Gómez Martinez</w:t>
      </w:r>
      <w:r w:rsidR="00D224F0" w:rsidRPr="00D12718">
        <w:rPr>
          <w:rFonts w:asciiTheme="majorHAnsi" w:hAnsiTheme="majorHAnsi"/>
          <w:sz w:val="20"/>
          <w:szCs w:val="20"/>
        </w:rPr>
        <w:t xml:space="preserve">. </w:t>
      </w:r>
    </w:p>
    <w:p w14:paraId="25961E80" w14:textId="77777777" w:rsidR="00D224F0" w:rsidRPr="00D12718"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rPr>
      </w:pPr>
    </w:p>
    <w:p w14:paraId="5B17C0A2" w14:textId="46C8FC9B" w:rsidR="00D224F0" w:rsidRPr="00D12718" w:rsidRDefault="00B65B2A"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B65B2A">
        <w:rPr>
          <w:rFonts w:asciiTheme="majorHAnsi" w:hAnsiTheme="majorHAnsi"/>
          <w:sz w:val="20"/>
          <w:szCs w:val="20"/>
        </w:rPr>
        <w:t xml:space="preserve">By means of Admissibility Report No 45/19 of April 24, 2019, the Inter-American Commission on Human Rights, declared the admissibility of the petition, in relation to the </w:t>
      </w:r>
      <w:r w:rsidRPr="00B65B2A">
        <w:rPr>
          <w:rFonts w:asciiTheme="majorHAnsi" w:hAnsiTheme="majorHAnsi"/>
          <w:sz w:val="20"/>
          <w:szCs w:val="20"/>
        </w:rPr>
        <w:lastRenderedPageBreak/>
        <w:t>rights recognized in Articles 4 (life), 5 (humane treatment), 8 (fair trial) and 25 (judicial protection) in accordance with Article 1.1 and 2 of the American Convention on Human Rights</w:t>
      </w:r>
      <w:r w:rsidR="00D224F0" w:rsidRPr="00D12718">
        <w:rPr>
          <w:rFonts w:asciiTheme="majorHAnsi" w:hAnsiTheme="majorHAnsi"/>
          <w:sz w:val="20"/>
          <w:szCs w:val="20"/>
        </w:rPr>
        <w:t xml:space="preserve">. </w:t>
      </w:r>
    </w:p>
    <w:p w14:paraId="0FBA3930" w14:textId="77777777" w:rsidR="00E75132" w:rsidRPr="00D12718" w:rsidRDefault="00E75132" w:rsidP="00BD4B21">
      <w:pPr>
        <w:pBdr>
          <w:top w:val="none" w:sz="0" w:space="0" w:color="auto"/>
          <w:left w:val="none" w:sz="0" w:space="0" w:color="auto"/>
          <w:bottom w:val="none" w:sz="0" w:space="0" w:color="auto"/>
          <w:right w:val="none" w:sz="0" w:space="0" w:color="auto"/>
          <w:between w:val="none" w:sz="0" w:space="0" w:color="auto"/>
          <w:bar w:val="none" w:sz="0" w:color="auto"/>
        </w:pBdr>
        <w:ind w:left="720" w:right="737"/>
        <w:contextualSpacing/>
        <w:jc w:val="both"/>
        <w:rPr>
          <w:rFonts w:asciiTheme="majorHAnsi" w:hAnsiTheme="majorHAnsi"/>
          <w:sz w:val="20"/>
          <w:szCs w:val="20"/>
        </w:rPr>
      </w:pPr>
    </w:p>
    <w:p w14:paraId="5AA83FFA" w14:textId="59CA3FC8" w:rsidR="00D224F0" w:rsidRPr="0083008B" w:rsidRDefault="00B65B2A"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83008B">
        <w:rPr>
          <w:rFonts w:asciiTheme="majorHAnsi" w:hAnsiTheme="majorHAnsi"/>
          <w:sz w:val="20"/>
          <w:szCs w:val="20"/>
        </w:rPr>
        <w:t>On June 9, 2021, the Colombian State and the petitioners signed a Memorandum of Understanding for the Search for a Friendly Settlement, which was notified to the Inter-American Commission on June 18, 2021</w:t>
      </w:r>
      <w:r w:rsidR="00D224F0" w:rsidRPr="0083008B">
        <w:rPr>
          <w:rFonts w:asciiTheme="majorHAnsi" w:hAnsiTheme="majorHAnsi"/>
          <w:sz w:val="20"/>
          <w:szCs w:val="20"/>
        </w:rPr>
        <w:t xml:space="preserve">. </w:t>
      </w:r>
    </w:p>
    <w:p w14:paraId="772126F9" w14:textId="77777777" w:rsidR="00D224F0" w:rsidRPr="0083008B" w:rsidRDefault="00D224F0"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rPr>
      </w:pPr>
    </w:p>
    <w:p w14:paraId="6B88855C" w14:textId="616843C8" w:rsidR="00D224F0" w:rsidRPr="0083008B" w:rsidRDefault="00B65B2A" w:rsidP="00BD4B21">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37" w:firstLine="0"/>
        <w:contextualSpacing/>
        <w:jc w:val="both"/>
        <w:rPr>
          <w:rFonts w:asciiTheme="majorHAnsi" w:hAnsiTheme="majorHAnsi"/>
          <w:sz w:val="20"/>
          <w:szCs w:val="20"/>
        </w:rPr>
      </w:pPr>
      <w:r w:rsidRPr="0083008B">
        <w:rPr>
          <w:rFonts w:asciiTheme="majorHAnsi" w:hAnsiTheme="majorHAnsi"/>
          <w:sz w:val="20"/>
          <w:szCs w:val="20"/>
        </w:rPr>
        <w:t xml:space="preserve">In the following months, joint meetings were held between the parties to analyze the reparation measures to be included in the </w:t>
      </w:r>
      <w:r w:rsidR="004E563E" w:rsidRPr="0083008B">
        <w:rPr>
          <w:rFonts w:asciiTheme="majorHAnsi" w:hAnsiTheme="majorHAnsi"/>
          <w:sz w:val="20"/>
          <w:szCs w:val="20"/>
        </w:rPr>
        <w:t xml:space="preserve">Friendly </w:t>
      </w:r>
      <w:r w:rsidRPr="0083008B">
        <w:rPr>
          <w:rFonts w:asciiTheme="majorHAnsi" w:hAnsiTheme="majorHAnsi"/>
          <w:sz w:val="20"/>
          <w:szCs w:val="20"/>
        </w:rPr>
        <w:t>Settlement Agreement which was signed today</w:t>
      </w:r>
      <w:r w:rsidR="00D224F0" w:rsidRPr="0083008B">
        <w:rPr>
          <w:rFonts w:asciiTheme="majorHAnsi" w:hAnsiTheme="majorHAnsi"/>
          <w:sz w:val="20"/>
          <w:szCs w:val="20"/>
        </w:rPr>
        <w:t xml:space="preserve">. </w:t>
      </w:r>
    </w:p>
    <w:p w14:paraId="4F3438CB" w14:textId="77777777" w:rsidR="00D224F0" w:rsidRPr="0083008B" w:rsidRDefault="00D224F0" w:rsidP="00BD4B21">
      <w:pPr>
        <w:pBdr>
          <w:top w:val="none" w:sz="0" w:space="0" w:color="auto"/>
          <w:left w:val="none" w:sz="0" w:space="0" w:color="auto"/>
          <w:bottom w:val="none" w:sz="0" w:space="0" w:color="auto"/>
          <w:right w:val="none" w:sz="0" w:space="0" w:color="auto"/>
          <w:between w:val="none" w:sz="0" w:space="0" w:color="auto"/>
          <w:bar w:val="none" w:sz="0" w:color="auto"/>
        </w:pBdr>
        <w:ind w:right="737"/>
        <w:contextualSpacing/>
        <w:jc w:val="both"/>
        <w:rPr>
          <w:rFonts w:asciiTheme="majorHAnsi" w:hAnsiTheme="majorHAnsi"/>
          <w:sz w:val="20"/>
          <w:szCs w:val="20"/>
        </w:rPr>
      </w:pPr>
    </w:p>
    <w:p w14:paraId="6F710378" w14:textId="437002BF" w:rsidR="00D224F0" w:rsidRPr="00D12718" w:rsidRDefault="006628EC" w:rsidP="00BD4B21">
      <w:pPr>
        <w:ind w:left="737" w:right="737"/>
        <w:rPr>
          <w:rFonts w:asciiTheme="majorHAnsi" w:hAnsiTheme="majorHAnsi"/>
          <w:b/>
          <w:bCs/>
          <w:sz w:val="20"/>
          <w:szCs w:val="20"/>
        </w:rPr>
      </w:pPr>
      <w:r w:rsidRPr="0083008B">
        <w:rPr>
          <w:rFonts w:asciiTheme="majorHAnsi" w:hAnsiTheme="majorHAnsi"/>
          <w:b/>
          <w:bCs/>
          <w:sz w:val="20"/>
          <w:szCs w:val="20"/>
        </w:rPr>
        <w:t>AT DOMESTIC LEVEL</w:t>
      </w:r>
      <w:r w:rsidR="00D224F0" w:rsidRPr="0083008B">
        <w:rPr>
          <w:rFonts w:asciiTheme="majorHAnsi" w:hAnsiTheme="majorHAnsi"/>
          <w:b/>
          <w:bCs/>
          <w:sz w:val="20"/>
          <w:szCs w:val="20"/>
        </w:rPr>
        <w:t>.</w:t>
      </w:r>
      <w:r w:rsidR="00D224F0" w:rsidRPr="00D12718">
        <w:rPr>
          <w:rFonts w:asciiTheme="majorHAnsi" w:hAnsiTheme="majorHAnsi"/>
          <w:b/>
          <w:bCs/>
          <w:sz w:val="20"/>
          <w:szCs w:val="20"/>
        </w:rPr>
        <w:t xml:space="preserve"> </w:t>
      </w:r>
    </w:p>
    <w:p w14:paraId="07B71864" w14:textId="77777777" w:rsidR="00D224F0" w:rsidRPr="00D12718" w:rsidRDefault="00D224F0" w:rsidP="00BD4B21">
      <w:pPr>
        <w:ind w:left="737" w:right="737"/>
        <w:rPr>
          <w:rFonts w:asciiTheme="majorHAnsi" w:hAnsiTheme="majorHAnsi"/>
          <w:sz w:val="20"/>
          <w:szCs w:val="20"/>
        </w:rPr>
      </w:pPr>
    </w:p>
    <w:p w14:paraId="5D9F05E8" w14:textId="0F969D86" w:rsidR="00D224F0" w:rsidRPr="00D12718" w:rsidRDefault="008E5814" w:rsidP="00BD4B21">
      <w:pPr>
        <w:ind w:left="737" w:right="737"/>
        <w:jc w:val="both"/>
        <w:rPr>
          <w:rFonts w:asciiTheme="majorHAnsi" w:hAnsiTheme="majorHAnsi"/>
          <w:sz w:val="20"/>
          <w:szCs w:val="20"/>
        </w:rPr>
      </w:pPr>
      <w:r w:rsidRPr="008E5814">
        <w:rPr>
          <w:rFonts w:asciiTheme="majorHAnsi" w:hAnsiTheme="majorHAnsi"/>
          <w:sz w:val="20"/>
          <w:szCs w:val="20"/>
        </w:rPr>
        <w:t xml:space="preserve">An investigation </w:t>
      </w:r>
      <w:r>
        <w:rPr>
          <w:rFonts w:asciiTheme="majorHAnsi" w:hAnsiTheme="majorHAnsi"/>
          <w:sz w:val="20"/>
          <w:szCs w:val="20"/>
        </w:rPr>
        <w:t xml:space="preserve">for </w:t>
      </w:r>
      <w:r w:rsidRPr="008E5814">
        <w:rPr>
          <w:rFonts w:asciiTheme="majorHAnsi" w:hAnsiTheme="majorHAnsi"/>
          <w:sz w:val="20"/>
          <w:szCs w:val="20"/>
        </w:rPr>
        <w:t xml:space="preserve">the homicide of Mr. Gabriel </w:t>
      </w:r>
      <w:proofErr w:type="spellStart"/>
      <w:r w:rsidRPr="008E5814">
        <w:rPr>
          <w:rFonts w:asciiTheme="majorHAnsi" w:hAnsiTheme="majorHAnsi"/>
          <w:sz w:val="20"/>
          <w:szCs w:val="20"/>
        </w:rPr>
        <w:t>Ángel</w:t>
      </w:r>
      <w:proofErr w:type="spellEnd"/>
      <w:r w:rsidRPr="008E5814">
        <w:rPr>
          <w:rFonts w:asciiTheme="majorHAnsi" w:hAnsiTheme="majorHAnsi"/>
          <w:sz w:val="20"/>
          <w:szCs w:val="20"/>
        </w:rPr>
        <w:t xml:space="preserve"> Gomez Martínez was conducted under file number 1458 and the preliminary investigation was suspended, as the perpetrator or perpetrators of the crime could not be identified and individualized</w:t>
      </w:r>
      <w:r w:rsidR="00D224F0" w:rsidRPr="00D12718">
        <w:rPr>
          <w:rStyle w:val="FootnoteReference"/>
          <w:rFonts w:asciiTheme="majorHAnsi" w:hAnsiTheme="majorHAnsi"/>
          <w:sz w:val="20"/>
          <w:szCs w:val="20"/>
        </w:rPr>
        <w:footnoteReference w:id="4"/>
      </w:r>
      <w:r w:rsidR="00666079" w:rsidRPr="00D12718">
        <w:rPr>
          <w:rFonts w:asciiTheme="majorHAnsi" w:hAnsiTheme="majorHAnsi"/>
          <w:sz w:val="20"/>
          <w:szCs w:val="20"/>
        </w:rPr>
        <w:t>.</w:t>
      </w:r>
    </w:p>
    <w:p w14:paraId="683EA837" w14:textId="77777777" w:rsidR="00D224F0" w:rsidRPr="00D12718" w:rsidRDefault="00D224F0" w:rsidP="00BD4B21">
      <w:pPr>
        <w:ind w:left="737" w:right="737"/>
        <w:jc w:val="both"/>
        <w:rPr>
          <w:rFonts w:asciiTheme="majorHAnsi" w:hAnsiTheme="majorHAnsi"/>
          <w:sz w:val="20"/>
          <w:szCs w:val="20"/>
        </w:rPr>
      </w:pPr>
    </w:p>
    <w:p w14:paraId="38B2841A" w14:textId="31935710" w:rsidR="00D224F0" w:rsidRPr="00D12718" w:rsidRDefault="00CA584F" w:rsidP="00BD4B21">
      <w:pPr>
        <w:ind w:left="737" w:right="737"/>
        <w:jc w:val="both"/>
        <w:rPr>
          <w:rFonts w:asciiTheme="majorHAnsi" w:hAnsiTheme="majorHAnsi"/>
          <w:sz w:val="20"/>
          <w:szCs w:val="20"/>
        </w:rPr>
      </w:pPr>
      <w:r>
        <w:rPr>
          <w:rFonts w:asciiTheme="majorHAnsi" w:hAnsiTheme="majorHAnsi"/>
          <w:sz w:val="20"/>
          <w:szCs w:val="20"/>
        </w:rPr>
        <w:t>In addition</w:t>
      </w:r>
      <w:r w:rsidR="008E5814" w:rsidRPr="008E5814">
        <w:rPr>
          <w:rFonts w:asciiTheme="majorHAnsi" w:hAnsiTheme="majorHAnsi"/>
          <w:sz w:val="20"/>
          <w:szCs w:val="20"/>
        </w:rPr>
        <w:t>, for these same facts, the 20</w:t>
      </w:r>
      <w:r w:rsidRPr="00CA584F">
        <w:rPr>
          <w:rFonts w:asciiTheme="majorHAnsi" w:hAnsiTheme="majorHAnsi"/>
          <w:sz w:val="20"/>
          <w:szCs w:val="20"/>
          <w:vertAlign w:val="superscript"/>
        </w:rPr>
        <w:t>th</w:t>
      </w:r>
      <w:r>
        <w:rPr>
          <w:rFonts w:asciiTheme="majorHAnsi" w:hAnsiTheme="majorHAnsi"/>
          <w:sz w:val="20"/>
          <w:szCs w:val="20"/>
        </w:rPr>
        <w:t xml:space="preserve"> </w:t>
      </w:r>
      <w:r w:rsidR="008E5814" w:rsidRPr="008E5814">
        <w:rPr>
          <w:rFonts w:asciiTheme="majorHAnsi" w:hAnsiTheme="majorHAnsi"/>
          <w:sz w:val="20"/>
          <w:szCs w:val="20"/>
        </w:rPr>
        <w:t>Prosecutor's Office Delegated before the Court, attached to the Transitional Justice Directorate, ordered the archiving of the proceedings on May 24, 2021, considering that they should not continue with their documentation within the framework of the justice and peace process, because according to the georeferencing and temporality, the fact does not correspond to the actions of the United Self-Defense Forces of Colombia</w:t>
      </w:r>
      <w:r w:rsidR="00D224F0" w:rsidRPr="00D12718">
        <w:rPr>
          <w:rStyle w:val="FootnoteReference"/>
          <w:rFonts w:asciiTheme="majorHAnsi" w:hAnsiTheme="majorHAnsi"/>
          <w:sz w:val="20"/>
          <w:szCs w:val="20"/>
        </w:rPr>
        <w:footnoteReference w:id="5"/>
      </w:r>
      <w:r w:rsidR="00666079" w:rsidRPr="00D12718">
        <w:rPr>
          <w:rFonts w:asciiTheme="majorHAnsi" w:hAnsiTheme="majorHAnsi"/>
          <w:sz w:val="20"/>
          <w:szCs w:val="20"/>
        </w:rPr>
        <w:t>.</w:t>
      </w:r>
      <w:r w:rsidR="00D224F0" w:rsidRPr="00D12718">
        <w:rPr>
          <w:rFonts w:asciiTheme="majorHAnsi" w:hAnsiTheme="majorHAnsi"/>
          <w:sz w:val="20"/>
          <w:szCs w:val="20"/>
        </w:rPr>
        <w:t xml:space="preserve"> </w:t>
      </w:r>
    </w:p>
    <w:p w14:paraId="0AFFF8D9" w14:textId="77777777" w:rsidR="00D224F0" w:rsidRPr="00D12718" w:rsidRDefault="00D224F0" w:rsidP="00BD4B21">
      <w:pPr>
        <w:ind w:left="737" w:right="737"/>
        <w:jc w:val="both"/>
        <w:rPr>
          <w:rFonts w:asciiTheme="majorHAnsi" w:hAnsiTheme="majorHAnsi"/>
          <w:sz w:val="20"/>
          <w:szCs w:val="20"/>
        </w:rPr>
      </w:pPr>
    </w:p>
    <w:p w14:paraId="3382A5B9" w14:textId="77FD3B7A" w:rsidR="00D224F0" w:rsidRPr="00D12718" w:rsidRDefault="008E5814" w:rsidP="00BD4B21">
      <w:pPr>
        <w:ind w:left="737" w:right="737"/>
        <w:jc w:val="both"/>
        <w:rPr>
          <w:rFonts w:asciiTheme="majorHAnsi" w:hAnsiTheme="majorHAnsi"/>
          <w:sz w:val="20"/>
          <w:szCs w:val="20"/>
        </w:rPr>
      </w:pPr>
      <w:r w:rsidRPr="008E5814">
        <w:rPr>
          <w:rFonts w:asciiTheme="majorHAnsi" w:hAnsiTheme="majorHAnsi"/>
          <w:sz w:val="20"/>
          <w:szCs w:val="20"/>
        </w:rPr>
        <w:t xml:space="preserve">In this regard, the investigations are: one suspended and the other one archived, </w:t>
      </w:r>
      <w:r w:rsidR="00B22D72">
        <w:rPr>
          <w:rFonts w:asciiTheme="majorHAnsi" w:hAnsiTheme="majorHAnsi"/>
          <w:sz w:val="20"/>
          <w:szCs w:val="20"/>
        </w:rPr>
        <w:t xml:space="preserve">by virtue of </w:t>
      </w:r>
      <w:r w:rsidR="00581A0D">
        <w:rPr>
          <w:rFonts w:asciiTheme="majorHAnsi" w:hAnsiTheme="majorHAnsi"/>
          <w:sz w:val="20"/>
          <w:szCs w:val="20"/>
        </w:rPr>
        <w:t xml:space="preserve">that </w:t>
      </w:r>
      <w:r w:rsidRPr="008E5814">
        <w:rPr>
          <w:rFonts w:asciiTheme="majorHAnsi" w:hAnsiTheme="majorHAnsi"/>
          <w:sz w:val="20"/>
          <w:szCs w:val="20"/>
        </w:rPr>
        <w:t>no new facts have arisen for the ordinary justice system to reopen the investigation, and in the same sense, the transitional justice system decided not to continue with the documentation of the facts of the case</w:t>
      </w:r>
      <w:r w:rsidR="00D224F0" w:rsidRPr="00D12718">
        <w:rPr>
          <w:rStyle w:val="FootnoteReference"/>
          <w:rFonts w:asciiTheme="majorHAnsi" w:hAnsiTheme="majorHAnsi"/>
          <w:sz w:val="20"/>
          <w:szCs w:val="20"/>
        </w:rPr>
        <w:footnoteReference w:id="6"/>
      </w:r>
      <w:r w:rsidR="00666079" w:rsidRPr="00D12718">
        <w:rPr>
          <w:rFonts w:asciiTheme="majorHAnsi" w:hAnsiTheme="majorHAnsi"/>
          <w:sz w:val="20"/>
          <w:szCs w:val="20"/>
        </w:rPr>
        <w:t>.</w:t>
      </w:r>
    </w:p>
    <w:p w14:paraId="542A2C6A" w14:textId="77777777" w:rsidR="00D224F0" w:rsidRPr="00D12718" w:rsidRDefault="00D224F0" w:rsidP="00BD4B21">
      <w:pPr>
        <w:ind w:left="737" w:right="737"/>
        <w:rPr>
          <w:rFonts w:asciiTheme="majorHAnsi" w:hAnsiTheme="majorHAnsi"/>
          <w:sz w:val="20"/>
          <w:szCs w:val="20"/>
        </w:rPr>
      </w:pPr>
    </w:p>
    <w:p w14:paraId="361C809A" w14:textId="1459C182" w:rsidR="00D224F0" w:rsidRPr="00D12718" w:rsidRDefault="006628EC" w:rsidP="00BD4B21">
      <w:pPr>
        <w:ind w:left="737" w:right="737"/>
        <w:jc w:val="center"/>
        <w:rPr>
          <w:rFonts w:asciiTheme="majorHAnsi" w:hAnsiTheme="majorHAnsi"/>
          <w:b/>
          <w:bCs/>
          <w:sz w:val="20"/>
          <w:szCs w:val="20"/>
        </w:rPr>
      </w:pPr>
      <w:r w:rsidRPr="00D12718">
        <w:rPr>
          <w:rFonts w:asciiTheme="majorHAnsi" w:hAnsiTheme="majorHAnsi"/>
          <w:b/>
          <w:bCs/>
          <w:sz w:val="20"/>
          <w:szCs w:val="20"/>
        </w:rPr>
        <w:t>THIRD</w:t>
      </w:r>
      <w:r w:rsidR="00D224F0" w:rsidRPr="00D12718">
        <w:rPr>
          <w:rFonts w:asciiTheme="majorHAnsi" w:hAnsiTheme="majorHAnsi"/>
          <w:b/>
          <w:bCs/>
          <w:sz w:val="20"/>
          <w:szCs w:val="20"/>
        </w:rPr>
        <w:t xml:space="preserve"> PART: BENEFICIARI</w:t>
      </w:r>
      <w:r w:rsidRPr="00D12718">
        <w:rPr>
          <w:rFonts w:asciiTheme="majorHAnsi" w:hAnsiTheme="majorHAnsi"/>
          <w:b/>
          <w:bCs/>
          <w:sz w:val="20"/>
          <w:szCs w:val="20"/>
        </w:rPr>
        <w:t>E</w:t>
      </w:r>
      <w:r w:rsidR="00D224F0" w:rsidRPr="00D12718">
        <w:rPr>
          <w:rFonts w:asciiTheme="majorHAnsi" w:hAnsiTheme="majorHAnsi"/>
          <w:b/>
          <w:bCs/>
          <w:sz w:val="20"/>
          <w:szCs w:val="20"/>
        </w:rPr>
        <w:t xml:space="preserve">S </w:t>
      </w:r>
    </w:p>
    <w:p w14:paraId="47B6F5B7" w14:textId="77777777" w:rsidR="00D224F0" w:rsidRPr="00D12718" w:rsidRDefault="00D224F0" w:rsidP="00BD4B21">
      <w:pPr>
        <w:ind w:left="737" w:right="737"/>
        <w:jc w:val="center"/>
        <w:rPr>
          <w:rFonts w:asciiTheme="majorHAnsi" w:hAnsiTheme="majorHAnsi"/>
          <w:sz w:val="20"/>
          <w:szCs w:val="20"/>
        </w:rPr>
      </w:pPr>
    </w:p>
    <w:p w14:paraId="7E7E57FA" w14:textId="6E77B946" w:rsidR="00D224F0" w:rsidRPr="00D12718" w:rsidRDefault="008E5814" w:rsidP="00BD4B21">
      <w:pPr>
        <w:ind w:left="737" w:right="737"/>
        <w:rPr>
          <w:rFonts w:asciiTheme="majorHAnsi" w:hAnsiTheme="majorHAnsi"/>
          <w:sz w:val="20"/>
          <w:szCs w:val="20"/>
        </w:rPr>
      </w:pPr>
      <w:r w:rsidRPr="008E5814">
        <w:rPr>
          <w:rFonts w:asciiTheme="majorHAnsi" w:hAnsiTheme="majorHAnsi"/>
          <w:sz w:val="20"/>
          <w:szCs w:val="20"/>
        </w:rPr>
        <w:t>The Colombian State recognizes the following as victims of this agreement</w:t>
      </w:r>
      <w:r w:rsidR="00D224F0" w:rsidRPr="00D12718">
        <w:rPr>
          <w:rFonts w:asciiTheme="majorHAnsi" w:hAnsiTheme="majorHAnsi"/>
          <w:sz w:val="20"/>
          <w:szCs w:val="20"/>
        </w:rPr>
        <w:t>:</w:t>
      </w:r>
    </w:p>
    <w:p w14:paraId="1EDCAF84" w14:textId="77777777" w:rsidR="00D224F0" w:rsidRPr="00D12718" w:rsidRDefault="00D224F0" w:rsidP="00BD4B21">
      <w:pPr>
        <w:ind w:left="737" w:right="737"/>
        <w:rPr>
          <w:rFonts w:asciiTheme="majorHAnsi" w:hAnsiTheme="majorHAnsi"/>
          <w:sz w:val="20"/>
          <w:szCs w:val="20"/>
        </w:rPr>
      </w:pPr>
    </w:p>
    <w:tbl>
      <w:tblPr>
        <w:tblStyle w:val="TableGrid"/>
        <w:tblW w:w="0" w:type="auto"/>
        <w:tblInd w:w="771" w:type="dxa"/>
        <w:tblLook w:val="04A0" w:firstRow="1" w:lastRow="0" w:firstColumn="1" w:lastColumn="0" w:noHBand="0" w:noVBand="1"/>
      </w:tblPr>
      <w:tblGrid>
        <w:gridCol w:w="3418"/>
        <w:gridCol w:w="2410"/>
        <w:gridCol w:w="1981"/>
      </w:tblGrid>
      <w:tr w:rsidR="00D224F0" w:rsidRPr="00D12718" w14:paraId="1EC96876" w14:textId="77777777" w:rsidTr="00BD4B21">
        <w:tc>
          <w:tcPr>
            <w:tcW w:w="3418" w:type="dxa"/>
            <w:shd w:val="clear" w:color="auto" w:fill="D9D9D9" w:themeFill="background1" w:themeFillShade="D9"/>
          </w:tcPr>
          <w:p w14:paraId="50020F53" w14:textId="1DA8D673" w:rsidR="00D224F0" w:rsidRPr="00D12718" w:rsidRDefault="006628EC" w:rsidP="004C1C8C">
            <w:pPr>
              <w:tabs>
                <w:tab w:val="left" w:pos="560"/>
              </w:tabs>
              <w:jc w:val="center"/>
              <w:rPr>
                <w:rFonts w:asciiTheme="majorHAnsi" w:hAnsiTheme="majorHAnsi" w:cstheme="minorHAnsi"/>
                <w:b/>
                <w:bCs/>
                <w:sz w:val="20"/>
                <w:szCs w:val="20"/>
              </w:rPr>
            </w:pPr>
            <w:r w:rsidRPr="00D12718">
              <w:rPr>
                <w:rFonts w:asciiTheme="majorHAnsi" w:hAnsiTheme="majorHAnsi" w:cstheme="minorHAnsi"/>
                <w:b/>
                <w:bCs/>
                <w:sz w:val="20"/>
                <w:szCs w:val="20"/>
              </w:rPr>
              <w:t>Name</w:t>
            </w:r>
          </w:p>
        </w:tc>
        <w:tc>
          <w:tcPr>
            <w:tcW w:w="2410" w:type="dxa"/>
            <w:shd w:val="clear" w:color="auto" w:fill="D9D9D9" w:themeFill="background1" w:themeFillShade="D9"/>
          </w:tcPr>
          <w:p w14:paraId="7A12C694" w14:textId="326D1AC1" w:rsidR="00D224F0" w:rsidRPr="00D12718" w:rsidRDefault="00F154B1" w:rsidP="004C1C8C">
            <w:pPr>
              <w:tabs>
                <w:tab w:val="left" w:pos="560"/>
              </w:tabs>
              <w:rPr>
                <w:rFonts w:asciiTheme="majorHAnsi" w:hAnsiTheme="majorHAnsi" w:cstheme="minorHAnsi"/>
                <w:b/>
                <w:bCs/>
                <w:sz w:val="20"/>
                <w:szCs w:val="20"/>
              </w:rPr>
            </w:pPr>
            <w:r>
              <w:rPr>
                <w:rFonts w:asciiTheme="majorHAnsi" w:hAnsiTheme="majorHAnsi" w:cstheme="minorHAnsi"/>
                <w:b/>
                <w:bCs/>
                <w:sz w:val="20"/>
                <w:szCs w:val="20"/>
              </w:rPr>
              <w:t xml:space="preserve">  </w:t>
            </w:r>
            <w:r w:rsidR="006628EC" w:rsidRPr="00D12718">
              <w:rPr>
                <w:rFonts w:asciiTheme="majorHAnsi" w:hAnsiTheme="majorHAnsi" w:cstheme="minorHAnsi"/>
                <w:b/>
                <w:bCs/>
                <w:sz w:val="20"/>
                <w:szCs w:val="20"/>
              </w:rPr>
              <w:t>Citizen ID number</w:t>
            </w:r>
          </w:p>
        </w:tc>
        <w:tc>
          <w:tcPr>
            <w:tcW w:w="1981" w:type="dxa"/>
            <w:shd w:val="clear" w:color="auto" w:fill="D9D9D9" w:themeFill="background1" w:themeFillShade="D9"/>
          </w:tcPr>
          <w:p w14:paraId="3D591D64" w14:textId="07617DD7" w:rsidR="00D224F0" w:rsidRPr="00D12718" w:rsidRDefault="006628EC" w:rsidP="004C1C8C">
            <w:pPr>
              <w:tabs>
                <w:tab w:val="left" w:pos="560"/>
              </w:tabs>
              <w:jc w:val="center"/>
              <w:rPr>
                <w:rFonts w:asciiTheme="majorHAnsi" w:hAnsiTheme="majorHAnsi" w:cstheme="minorHAnsi"/>
                <w:b/>
                <w:bCs/>
                <w:sz w:val="20"/>
                <w:szCs w:val="20"/>
              </w:rPr>
            </w:pPr>
            <w:r w:rsidRPr="00D12718">
              <w:rPr>
                <w:rFonts w:asciiTheme="majorHAnsi" w:hAnsiTheme="majorHAnsi" w:cstheme="minorHAnsi"/>
                <w:b/>
                <w:bCs/>
                <w:sz w:val="20"/>
                <w:szCs w:val="20"/>
              </w:rPr>
              <w:t>Kinship</w:t>
            </w:r>
          </w:p>
        </w:tc>
      </w:tr>
      <w:tr w:rsidR="00D224F0" w:rsidRPr="00D12718" w14:paraId="00CD9F90" w14:textId="77777777" w:rsidTr="00BD4B21">
        <w:tc>
          <w:tcPr>
            <w:tcW w:w="3418" w:type="dxa"/>
          </w:tcPr>
          <w:p w14:paraId="2FB93642" w14:textId="77777777" w:rsidR="00D224F0" w:rsidRPr="00D12718" w:rsidRDefault="00D224F0" w:rsidP="00BD4B21">
            <w:pPr>
              <w:tabs>
                <w:tab w:val="left" w:pos="560"/>
              </w:tabs>
              <w:ind w:left="195"/>
              <w:rPr>
                <w:rFonts w:asciiTheme="majorHAnsi" w:hAnsiTheme="majorHAnsi" w:cstheme="minorHAnsi"/>
                <w:sz w:val="20"/>
                <w:szCs w:val="20"/>
              </w:rPr>
            </w:pPr>
            <w:r w:rsidRPr="00D12718">
              <w:rPr>
                <w:rFonts w:asciiTheme="majorHAnsi" w:hAnsiTheme="majorHAnsi" w:cstheme="minorHAnsi"/>
                <w:sz w:val="20"/>
                <w:szCs w:val="20"/>
              </w:rPr>
              <w:t>Gloria Patricia Medina Gómez</w:t>
            </w:r>
          </w:p>
        </w:tc>
        <w:tc>
          <w:tcPr>
            <w:tcW w:w="2410" w:type="dxa"/>
          </w:tcPr>
          <w:p w14:paraId="6F634F13" w14:textId="0FB8221D" w:rsidR="00D224F0" w:rsidRPr="00D12718" w:rsidRDefault="00CD7435" w:rsidP="004C1C8C">
            <w:pPr>
              <w:tabs>
                <w:tab w:val="left" w:pos="560"/>
              </w:tabs>
              <w:ind w:left="103"/>
              <w:jc w:val="center"/>
              <w:rPr>
                <w:rFonts w:asciiTheme="majorHAnsi" w:hAnsiTheme="majorHAnsi" w:cstheme="minorHAnsi"/>
                <w:sz w:val="20"/>
                <w:szCs w:val="20"/>
              </w:rPr>
            </w:pPr>
            <w:r w:rsidRPr="00D12718">
              <w:rPr>
                <w:rFonts w:asciiTheme="majorHAnsi" w:hAnsiTheme="majorHAnsi" w:cstheme="minorHAnsi"/>
                <w:sz w:val="20"/>
                <w:szCs w:val="20"/>
              </w:rPr>
              <w:t>[…]</w:t>
            </w:r>
          </w:p>
        </w:tc>
        <w:tc>
          <w:tcPr>
            <w:tcW w:w="1981" w:type="dxa"/>
          </w:tcPr>
          <w:p w14:paraId="4FDD8895" w14:textId="6208391A" w:rsidR="00D224F0" w:rsidRPr="00D12718" w:rsidRDefault="006628EC" w:rsidP="004C1C8C">
            <w:pPr>
              <w:tabs>
                <w:tab w:val="left" w:pos="560"/>
              </w:tabs>
              <w:ind w:left="38"/>
              <w:jc w:val="center"/>
              <w:rPr>
                <w:rFonts w:asciiTheme="majorHAnsi" w:hAnsiTheme="majorHAnsi" w:cstheme="minorHAnsi"/>
                <w:sz w:val="20"/>
                <w:szCs w:val="20"/>
              </w:rPr>
            </w:pPr>
            <w:r w:rsidRPr="00D12718">
              <w:rPr>
                <w:rFonts w:asciiTheme="majorHAnsi" w:hAnsiTheme="majorHAnsi" w:cstheme="minorHAnsi"/>
                <w:sz w:val="20"/>
                <w:szCs w:val="20"/>
              </w:rPr>
              <w:t>Wife</w:t>
            </w:r>
          </w:p>
        </w:tc>
      </w:tr>
      <w:tr w:rsidR="00D224F0" w:rsidRPr="00D12718" w14:paraId="4CABC15A" w14:textId="77777777" w:rsidTr="00BD4B21">
        <w:tc>
          <w:tcPr>
            <w:tcW w:w="3418" w:type="dxa"/>
          </w:tcPr>
          <w:p w14:paraId="6B6F0C36" w14:textId="77777777" w:rsidR="00D224F0" w:rsidRPr="00D12718" w:rsidRDefault="00D224F0" w:rsidP="00BD4B21">
            <w:pPr>
              <w:tabs>
                <w:tab w:val="left" w:pos="560"/>
              </w:tabs>
              <w:ind w:left="195"/>
              <w:rPr>
                <w:rFonts w:asciiTheme="majorHAnsi" w:hAnsiTheme="majorHAnsi" w:cstheme="minorHAnsi"/>
                <w:sz w:val="20"/>
                <w:szCs w:val="20"/>
              </w:rPr>
            </w:pPr>
            <w:r w:rsidRPr="00D12718">
              <w:rPr>
                <w:rFonts w:asciiTheme="majorHAnsi" w:hAnsiTheme="majorHAnsi" w:cstheme="minorHAnsi"/>
                <w:sz w:val="20"/>
                <w:szCs w:val="20"/>
              </w:rPr>
              <w:t>Leidy Johana Gomez Medina</w:t>
            </w:r>
          </w:p>
        </w:tc>
        <w:tc>
          <w:tcPr>
            <w:tcW w:w="2410" w:type="dxa"/>
          </w:tcPr>
          <w:p w14:paraId="1E34569A" w14:textId="26017932" w:rsidR="00D224F0" w:rsidRPr="00D12718" w:rsidRDefault="00CD7435" w:rsidP="004C1C8C">
            <w:pPr>
              <w:tabs>
                <w:tab w:val="left" w:pos="560"/>
              </w:tabs>
              <w:ind w:left="103"/>
              <w:jc w:val="center"/>
              <w:rPr>
                <w:rFonts w:asciiTheme="majorHAnsi" w:hAnsiTheme="majorHAnsi" w:cstheme="minorHAnsi"/>
                <w:sz w:val="20"/>
                <w:szCs w:val="20"/>
              </w:rPr>
            </w:pPr>
            <w:r w:rsidRPr="00D12718">
              <w:rPr>
                <w:rFonts w:asciiTheme="majorHAnsi" w:hAnsiTheme="majorHAnsi" w:cstheme="minorHAnsi"/>
                <w:sz w:val="20"/>
                <w:szCs w:val="20"/>
              </w:rPr>
              <w:t>[…]</w:t>
            </w:r>
          </w:p>
        </w:tc>
        <w:tc>
          <w:tcPr>
            <w:tcW w:w="1981" w:type="dxa"/>
          </w:tcPr>
          <w:p w14:paraId="58EB0F03" w14:textId="1B3CBB39" w:rsidR="00D224F0" w:rsidRPr="00D12718" w:rsidRDefault="006628EC" w:rsidP="004C1C8C">
            <w:pPr>
              <w:tabs>
                <w:tab w:val="left" w:pos="560"/>
              </w:tabs>
              <w:ind w:left="38"/>
              <w:jc w:val="center"/>
              <w:rPr>
                <w:rFonts w:asciiTheme="majorHAnsi" w:hAnsiTheme="majorHAnsi" w:cstheme="minorHAnsi"/>
                <w:sz w:val="20"/>
                <w:szCs w:val="20"/>
              </w:rPr>
            </w:pPr>
            <w:r w:rsidRPr="00D12718">
              <w:rPr>
                <w:rFonts w:asciiTheme="majorHAnsi" w:hAnsiTheme="majorHAnsi" w:cstheme="minorHAnsi"/>
                <w:sz w:val="20"/>
                <w:szCs w:val="20"/>
              </w:rPr>
              <w:t>Daughter</w:t>
            </w:r>
          </w:p>
        </w:tc>
      </w:tr>
      <w:tr w:rsidR="00D224F0" w:rsidRPr="00D12718" w14:paraId="1574BE04" w14:textId="77777777" w:rsidTr="00BD4B21">
        <w:tc>
          <w:tcPr>
            <w:tcW w:w="3418" w:type="dxa"/>
          </w:tcPr>
          <w:p w14:paraId="74257CAC" w14:textId="50908C34" w:rsidR="00D224F0" w:rsidRPr="00D12718" w:rsidRDefault="00D224F0" w:rsidP="00BD4B21">
            <w:pPr>
              <w:tabs>
                <w:tab w:val="left" w:pos="560"/>
              </w:tabs>
              <w:ind w:left="195"/>
              <w:rPr>
                <w:rFonts w:asciiTheme="majorHAnsi" w:hAnsiTheme="majorHAnsi" w:cstheme="minorHAnsi"/>
                <w:sz w:val="20"/>
                <w:szCs w:val="20"/>
              </w:rPr>
            </w:pPr>
            <w:proofErr w:type="spellStart"/>
            <w:r w:rsidRPr="00D12718">
              <w:rPr>
                <w:rFonts w:asciiTheme="majorHAnsi" w:hAnsiTheme="majorHAnsi" w:cstheme="minorHAnsi"/>
                <w:sz w:val="20"/>
                <w:szCs w:val="20"/>
              </w:rPr>
              <w:t>Katerin</w:t>
            </w:r>
            <w:proofErr w:type="spellEnd"/>
            <w:r w:rsidRPr="00D12718">
              <w:rPr>
                <w:rFonts w:asciiTheme="majorHAnsi" w:hAnsiTheme="majorHAnsi" w:cstheme="minorHAnsi"/>
                <w:sz w:val="20"/>
                <w:szCs w:val="20"/>
              </w:rPr>
              <w:t xml:space="preserve"> Viviana Gomez M</w:t>
            </w:r>
            <w:r w:rsidR="00CD7435" w:rsidRPr="00D12718">
              <w:rPr>
                <w:rFonts w:asciiTheme="majorHAnsi" w:hAnsiTheme="majorHAnsi" w:cstheme="minorHAnsi"/>
                <w:sz w:val="20"/>
                <w:szCs w:val="20"/>
              </w:rPr>
              <w:t>e</w:t>
            </w:r>
            <w:r w:rsidRPr="00D12718">
              <w:rPr>
                <w:rFonts w:asciiTheme="majorHAnsi" w:hAnsiTheme="majorHAnsi" w:cstheme="minorHAnsi"/>
                <w:sz w:val="20"/>
                <w:szCs w:val="20"/>
              </w:rPr>
              <w:t>dina</w:t>
            </w:r>
          </w:p>
        </w:tc>
        <w:tc>
          <w:tcPr>
            <w:tcW w:w="2410" w:type="dxa"/>
          </w:tcPr>
          <w:p w14:paraId="5D2CD0AA" w14:textId="219331A8" w:rsidR="00D224F0" w:rsidRPr="00D12718" w:rsidRDefault="00CD7435" w:rsidP="004C1C8C">
            <w:pPr>
              <w:tabs>
                <w:tab w:val="left" w:pos="560"/>
              </w:tabs>
              <w:ind w:left="103"/>
              <w:jc w:val="center"/>
              <w:rPr>
                <w:rFonts w:asciiTheme="majorHAnsi" w:hAnsiTheme="majorHAnsi" w:cstheme="minorHAnsi"/>
                <w:sz w:val="20"/>
                <w:szCs w:val="20"/>
              </w:rPr>
            </w:pPr>
            <w:r w:rsidRPr="00D12718">
              <w:rPr>
                <w:rFonts w:asciiTheme="majorHAnsi" w:hAnsiTheme="majorHAnsi" w:cstheme="minorHAnsi"/>
                <w:sz w:val="20"/>
                <w:szCs w:val="20"/>
              </w:rPr>
              <w:t>[…]</w:t>
            </w:r>
          </w:p>
        </w:tc>
        <w:tc>
          <w:tcPr>
            <w:tcW w:w="1981" w:type="dxa"/>
          </w:tcPr>
          <w:p w14:paraId="1B4DDF1B" w14:textId="07C3EF72" w:rsidR="00D224F0" w:rsidRPr="00D12718" w:rsidRDefault="006628EC" w:rsidP="004C1C8C">
            <w:pPr>
              <w:tabs>
                <w:tab w:val="left" w:pos="560"/>
              </w:tabs>
              <w:ind w:left="38"/>
              <w:jc w:val="center"/>
              <w:rPr>
                <w:rFonts w:asciiTheme="majorHAnsi" w:hAnsiTheme="majorHAnsi" w:cstheme="minorHAnsi"/>
                <w:sz w:val="20"/>
                <w:szCs w:val="20"/>
              </w:rPr>
            </w:pPr>
            <w:r w:rsidRPr="00D12718">
              <w:rPr>
                <w:rFonts w:asciiTheme="majorHAnsi" w:hAnsiTheme="majorHAnsi" w:cstheme="minorHAnsi"/>
                <w:sz w:val="20"/>
                <w:szCs w:val="20"/>
              </w:rPr>
              <w:t>Daughter</w:t>
            </w:r>
          </w:p>
        </w:tc>
      </w:tr>
    </w:tbl>
    <w:p w14:paraId="3AAA6390" w14:textId="77777777" w:rsidR="00D224F0" w:rsidRPr="00D12718" w:rsidRDefault="00D224F0" w:rsidP="00BD4B21">
      <w:pPr>
        <w:ind w:left="737" w:right="737"/>
        <w:rPr>
          <w:rFonts w:asciiTheme="majorHAnsi" w:hAnsiTheme="majorHAnsi"/>
          <w:sz w:val="20"/>
          <w:szCs w:val="20"/>
        </w:rPr>
      </w:pPr>
    </w:p>
    <w:p w14:paraId="35BA696C" w14:textId="572B2C60" w:rsidR="00D224F0" w:rsidRPr="00D12718" w:rsidRDefault="008E5814" w:rsidP="00666079">
      <w:pPr>
        <w:tabs>
          <w:tab w:val="left" w:pos="720"/>
        </w:tabs>
        <w:ind w:left="720" w:right="737"/>
        <w:jc w:val="both"/>
        <w:rPr>
          <w:rFonts w:asciiTheme="majorHAnsi" w:hAnsiTheme="majorHAnsi" w:cstheme="minorHAnsi"/>
          <w:sz w:val="20"/>
          <w:szCs w:val="20"/>
        </w:rPr>
      </w:pPr>
      <w:r w:rsidRPr="008E5814">
        <w:rPr>
          <w:rFonts w:asciiTheme="majorHAnsi" w:hAnsiTheme="majorHAnsi" w:cstheme="minorHAnsi"/>
          <w:sz w:val="20"/>
          <w:szCs w:val="20"/>
        </w:rPr>
        <w:t xml:space="preserve">The victims recognized in this Friendly Settlement Agreement will benefit </w:t>
      </w:r>
      <w:proofErr w:type="gramStart"/>
      <w:r w:rsidRPr="008E5814">
        <w:rPr>
          <w:rFonts w:asciiTheme="majorHAnsi" w:hAnsiTheme="majorHAnsi" w:cstheme="minorHAnsi"/>
          <w:sz w:val="20"/>
          <w:szCs w:val="20"/>
        </w:rPr>
        <w:t>as long as</w:t>
      </w:r>
      <w:proofErr w:type="gramEnd"/>
      <w:r w:rsidRPr="008E5814">
        <w:rPr>
          <w:rFonts w:asciiTheme="majorHAnsi" w:hAnsiTheme="majorHAnsi" w:cstheme="minorHAnsi"/>
          <w:sz w:val="20"/>
          <w:szCs w:val="20"/>
        </w:rPr>
        <w:t xml:space="preserve"> they can prove that they are related by blood and affinity to Mr. Gabriel </w:t>
      </w:r>
      <w:proofErr w:type="spellStart"/>
      <w:r w:rsidRPr="008E5814">
        <w:rPr>
          <w:rFonts w:asciiTheme="majorHAnsi" w:hAnsiTheme="majorHAnsi" w:cstheme="minorHAnsi"/>
          <w:sz w:val="20"/>
          <w:szCs w:val="20"/>
        </w:rPr>
        <w:t>Ángel</w:t>
      </w:r>
      <w:proofErr w:type="spellEnd"/>
      <w:r w:rsidRPr="008E5814">
        <w:rPr>
          <w:rFonts w:asciiTheme="majorHAnsi" w:hAnsiTheme="majorHAnsi" w:cstheme="minorHAnsi"/>
          <w:sz w:val="20"/>
          <w:szCs w:val="20"/>
        </w:rPr>
        <w:t xml:space="preserve"> Gomez Martínez</w:t>
      </w:r>
      <w:r w:rsidR="00D224F0" w:rsidRPr="00D12718">
        <w:rPr>
          <w:rFonts w:asciiTheme="majorHAnsi" w:hAnsiTheme="majorHAnsi" w:cstheme="minorHAnsi"/>
          <w:sz w:val="20"/>
          <w:szCs w:val="20"/>
        </w:rPr>
        <w:t xml:space="preserve">. </w:t>
      </w:r>
    </w:p>
    <w:p w14:paraId="27B7C8CB"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4B6B3378" w14:textId="636273B7" w:rsidR="00D224F0" w:rsidRPr="00D12718" w:rsidRDefault="008E5814" w:rsidP="00BD4B21">
      <w:pPr>
        <w:tabs>
          <w:tab w:val="left" w:pos="560"/>
        </w:tabs>
        <w:ind w:left="737" w:right="737"/>
        <w:jc w:val="both"/>
        <w:rPr>
          <w:rFonts w:asciiTheme="majorHAnsi" w:hAnsiTheme="majorHAnsi" w:cstheme="minorHAnsi"/>
          <w:sz w:val="20"/>
          <w:szCs w:val="20"/>
        </w:rPr>
      </w:pPr>
      <w:r w:rsidRPr="008E5814">
        <w:rPr>
          <w:rFonts w:asciiTheme="majorHAnsi" w:hAnsiTheme="majorHAnsi" w:cstheme="minorHAnsi"/>
          <w:sz w:val="20"/>
          <w:szCs w:val="20"/>
        </w:rPr>
        <w:t>In addition, the victims who will benefit from this Friendly Settlement Agreement shall be those who were alive at the time of the victimizing event</w:t>
      </w:r>
      <w:r w:rsidR="008952DE">
        <w:rPr>
          <w:rStyle w:val="FootnoteReference"/>
          <w:rFonts w:asciiTheme="majorHAnsi" w:hAnsiTheme="majorHAnsi" w:cstheme="minorHAnsi"/>
          <w:sz w:val="20"/>
          <w:szCs w:val="20"/>
        </w:rPr>
        <w:footnoteReference w:id="7"/>
      </w:r>
      <w:r w:rsidRPr="008E5814">
        <w:rPr>
          <w:rFonts w:asciiTheme="majorHAnsi" w:hAnsiTheme="majorHAnsi" w:cstheme="minorHAnsi"/>
          <w:sz w:val="20"/>
          <w:szCs w:val="20"/>
        </w:rPr>
        <w:t xml:space="preserve"> and are alive at the time of the signing of the Agreement</w:t>
      </w:r>
      <w:r w:rsidR="00D224F0" w:rsidRPr="00D12718">
        <w:rPr>
          <w:rFonts w:asciiTheme="majorHAnsi" w:hAnsiTheme="majorHAnsi" w:cstheme="minorHAnsi"/>
          <w:sz w:val="20"/>
          <w:szCs w:val="20"/>
        </w:rPr>
        <w:t xml:space="preserve">. </w:t>
      </w:r>
    </w:p>
    <w:p w14:paraId="7C388339" w14:textId="77777777" w:rsidR="00D224F0" w:rsidRPr="00D12718" w:rsidRDefault="00D224F0" w:rsidP="00BD4B21">
      <w:pPr>
        <w:tabs>
          <w:tab w:val="left" w:pos="560"/>
        </w:tabs>
        <w:ind w:left="737" w:right="737"/>
        <w:jc w:val="both"/>
        <w:rPr>
          <w:rFonts w:asciiTheme="majorHAnsi" w:hAnsiTheme="majorHAnsi" w:cstheme="minorHAnsi"/>
          <w:sz w:val="20"/>
          <w:szCs w:val="20"/>
        </w:rPr>
      </w:pPr>
    </w:p>
    <w:p w14:paraId="6AA25743" w14:textId="185753C9" w:rsidR="00D224F0" w:rsidRPr="00D12718" w:rsidRDefault="006628EC" w:rsidP="00BD4B21">
      <w:pPr>
        <w:tabs>
          <w:tab w:val="left" w:pos="560"/>
        </w:tabs>
        <w:ind w:left="737" w:right="737"/>
        <w:jc w:val="center"/>
        <w:rPr>
          <w:rFonts w:asciiTheme="majorHAnsi" w:hAnsiTheme="majorHAnsi" w:cstheme="minorHAnsi"/>
          <w:b/>
          <w:bCs/>
          <w:sz w:val="20"/>
          <w:szCs w:val="20"/>
        </w:rPr>
      </w:pPr>
      <w:r w:rsidRPr="00D12718">
        <w:rPr>
          <w:rFonts w:asciiTheme="majorHAnsi" w:hAnsiTheme="majorHAnsi" w:cstheme="minorHAnsi"/>
          <w:b/>
          <w:bCs/>
          <w:sz w:val="20"/>
          <w:szCs w:val="20"/>
        </w:rPr>
        <w:t>FOURTH</w:t>
      </w:r>
      <w:r w:rsidR="00D224F0" w:rsidRPr="00D12718">
        <w:rPr>
          <w:rFonts w:asciiTheme="majorHAnsi" w:hAnsiTheme="majorHAnsi" w:cstheme="minorHAnsi"/>
          <w:b/>
          <w:bCs/>
          <w:sz w:val="20"/>
          <w:szCs w:val="20"/>
        </w:rPr>
        <w:t xml:space="preserve"> PART: </w:t>
      </w:r>
      <w:r w:rsidRPr="00D12718">
        <w:rPr>
          <w:rFonts w:asciiTheme="majorHAnsi" w:hAnsiTheme="majorHAnsi" w:cstheme="minorHAnsi"/>
          <w:b/>
          <w:bCs/>
          <w:sz w:val="20"/>
          <w:szCs w:val="20"/>
        </w:rPr>
        <w:t>ACKNOWLEDGEMENT OF</w:t>
      </w:r>
      <w:r w:rsidR="00D224F0" w:rsidRPr="00D12718">
        <w:rPr>
          <w:rFonts w:asciiTheme="majorHAnsi" w:hAnsiTheme="majorHAnsi" w:cstheme="minorHAnsi"/>
          <w:b/>
          <w:bCs/>
          <w:sz w:val="20"/>
          <w:szCs w:val="20"/>
        </w:rPr>
        <w:t xml:space="preserve"> RESPONS</w:t>
      </w:r>
      <w:r w:rsidRPr="00D12718">
        <w:rPr>
          <w:rFonts w:asciiTheme="majorHAnsi" w:hAnsiTheme="majorHAnsi" w:cstheme="minorHAnsi"/>
          <w:b/>
          <w:bCs/>
          <w:sz w:val="20"/>
          <w:szCs w:val="20"/>
        </w:rPr>
        <w:t>I</w:t>
      </w:r>
      <w:r w:rsidR="00D224F0" w:rsidRPr="00D12718">
        <w:rPr>
          <w:rFonts w:asciiTheme="majorHAnsi" w:hAnsiTheme="majorHAnsi" w:cstheme="minorHAnsi"/>
          <w:b/>
          <w:bCs/>
          <w:sz w:val="20"/>
          <w:szCs w:val="20"/>
        </w:rPr>
        <w:t>BILI</w:t>
      </w:r>
      <w:r w:rsidRPr="00D12718">
        <w:rPr>
          <w:rFonts w:asciiTheme="majorHAnsi" w:hAnsiTheme="majorHAnsi" w:cstheme="minorHAnsi"/>
          <w:b/>
          <w:bCs/>
          <w:sz w:val="20"/>
          <w:szCs w:val="20"/>
        </w:rPr>
        <w:t>TY</w:t>
      </w:r>
    </w:p>
    <w:p w14:paraId="1EFFC293" w14:textId="77777777" w:rsidR="00D224F0" w:rsidRPr="00D12718" w:rsidRDefault="00D224F0" w:rsidP="00BD4B21">
      <w:pPr>
        <w:tabs>
          <w:tab w:val="left" w:pos="560"/>
        </w:tabs>
        <w:ind w:left="737" w:right="737"/>
        <w:jc w:val="center"/>
        <w:rPr>
          <w:rFonts w:asciiTheme="majorHAnsi" w:hAnsiTheme="majorHAnsi" w:cstheme="minorHAnsi"/>
          <w:sz w:val="20"/>
          <w:szCs w:val="20"/>
        </w:rPr>
      </w:pPr>
    </w:p>
    <w:p w14:paraId="70FA88EB" w14:textId="0362EA56" w:rsidR="00D224F0" w:rsidRPr="00D12718" w:rsidRDefault="005F7306" w:rsidP="00BD4B21">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 xml:space="preserve">The Colombian State acknowledges its international responsibility for the violation of the rights recognized in Articles 8 (fair trial) and 25 (judicial protection) of the American </w:t>
      </w:r>
      <w:r w:rsidRPr="005F7306">
        <w:rPr>
          <w:rFonts w:asciiTheme="majorHAnsi" w:hAnsiTheme="majorHAnsi" w:cstheme="minorHAnsi"/>
          <w:sz w:val="20"/>
          <w:szCs w:val="20"/>
        </w:rPr>
        <w:lastRenderedPageBreak/>
        <w:t xml:space="preserve">Convention on Human Rights in relation to Article 1.1 thereof, to the detriment of the relatives of Mr. Gabriel </w:t>
      </w:r>
      <w:proofErr w:type="spellStart"/>
      <w:r w:rsidRPr="005F7306">
        <w:rPr>
          <w:rFonts w:asciiTheme="majorHAnsi" w:hAnsiTheme="majorHAnsi" w:cstheme="minorHAnsi"/>
          <w:sz w:val="20"/>
          <w:szCs w:val="20"/>
        </w:rPr>
        <w:t>Ángel</w:t>
      </w:r>
      <w:proofErr w:type="spellEnd"/>
      <w:r w:rsidRPr="005F7306">
        <w:rPr>
          <w:rFonts w:asciiTheme="majorHAnsi" w:hAnsiTheme="majorHAnsi" w:cstheme="minorHAnsi"/>
          <w:sz w:val="20"/>
          <w:szCs w:val="20"/>
        </w:rPr>
        <w:t xml:space="preserve"> Gómez Martínez, due to the lack of diligence in the investigation of the events which took place</w:t>
      </w:r>
      <w:r w:rsidR="00D224F0" w:rsidRPr="00D12718">
        <w:rPr>
          <w:rFonts w:asciiTheme="majorHAnsi" w:hAnsiTheme="majorHAnsi" w:cstheme="minorHAnsi"/>
          <w:sz w:val="20"/>
          <w:szCs w:val="20"/>
        </w:rPr>
        <w:t xml:space="preserve">. </w:t>
      </w:r>
    </w:p>
    <w:p w14:paraId="2DC45D17" w14:textId="77777777" w:rsidR="00C96128" w:rsidRPr="00D12718" w:rsidRDefault="00C96128" w:rsidP="00BD4B21">
      <w:pPr>
        <w:tabs>
          <w:tab w:val="left" w:pos="560"/>
        </w:tabs>
        <w:ind w:left="737" w:right="737"/>
        <w:jc w:val="both"/>
        <w:rPr>
          <w:rFonts w:asciiTheme="majorHAnsi" w:hAnsiTheme="majorHAnsi" w:cstheme="minorHAnsi"/>
          <w:sz w:val="20"/>
          <w:szCs w:val="20"/>
        </w:rPr>
      </w:pPr>
    </w:p>
    <w:p w14:paraId="56638892" w14:textId="46CC23C2" w:rsidR="00D224F0" w:rsidRPr="00D12718" w:rsidRDefault="006628EC" w:rsidP="00BD4B21">
      <w:pPr>
        <w:tabs>
          <w:tab w:val="left" w:pos="560"/>
        </w:tabs>
        <w:ind w:left="737" w:right="737"/>
        <w:jc w:val="center"/>
        <w:rPr>
          <w:rFonts w:asciiTheme="majorHAnsi" w:hAnsiTheme="majorHAnsi" w:cstheme="minorHAnsi"/>
          <w:b/>
          <w:bCs/>
          <w:sz w:val="20"/>
          <w:szCs w:val="20"/>
        </w:rPr>
      </w:pPr>
      <w:r w:rsidRPr="00D12718">
        <w:rPr>
          <w:rFonts w:asciiTheme="majorHAnsi" w:hAnsiTheme="majorHAnsi" w:cstheme="minorHAnsi"/>
          <w:b/>
          <w:bCs/>
          <w:sz w:val="20"/>
          <w:szCs w:val="20"/>
        </w:rPr>
        <w:t>FIFTH</w:t>
      </w:r>
      <w:r w:rsidR="00D224F0" w:rsidRPr="00D12718">
        <w:rPr>
          <w:rFonts w:asciiTheme="majorHAnsi" w:hAnsiTheme="majorHAnsi" w:cstheme="minorHAnsi"/>
          <w:b/>
          <w:bCs/>
          <w:sz w:val="20"/>
          <w:szCs w:val="20"/>
        </w:rPr>
        <w:t xml:space="preserve"> PART: SATISFAC</w:t>
      </w:r>
      <w:r w:rsidRPr="00D12718">
        <w:rPr>
          <w:rFonts w:asciiTheme="majorHAnsi" w:hAnsiTheme="majorHAnsi" w:cstheme="minorHAnsi"/>
          <w:b/>
          <w:bCs/>
          <w:sz w:val="20"/>
          <w:szCs w:val="20"/>
        </w:rPr>
        <w:t>TIO</w:t>
      </w:r>
      <w:r w:rsidR="00D224F0" w:rsidRPr="00D12718">
        <w:rPr>
          <w:rFonts w:asciiTheme="majorHAnsi" w:hAnsiTheme="majorHAnsi" w:cstheme="minorHAnsi"/>
          <w:b/>
          <w:bCs/>
          <w:sz w:val="20"/>
          <w:szCs w:val="20"/>
        </w:rPr>
        <w:t>N</w:t>
      </w:r>
      <w:r w:rsidRPr="00D12718">
        <w:rPr>
          <w:rFonts w:asciiTheme="majorHAnsi" w:hAnsiTheme="majorHAnsi" w:cstheme="minorHAnsi"/>
          <w:b/>
          <w:bCs/>
          <w:sz w:val="20"/>
          <w:szCs w:val="20"/>
        </w:rPr>
        <w:t xml:space="preserve"> MEASURES</w:t>
      </w:r>
    </w:p>
    <w:p w14:paraId="25B6757E" w14:textId="77777777" w:rsidR="00C96128" w:rsidRPr="00D12718" w:rsidRDefault="00C96128" w:rsidP="00BD4B21">
      <w:pPr>
        <w:tabs>
          <w:tab w:val="left" w:pos="560"/>
        </w:tabs>
        <w:ind w:left="737" w:right="737"/>
        <w:jc w:val="center"/>
        <w:rPr>
          <w:rFonts w:asciiTheme="majorHAnsi" w:hAnsiTheme="majorHAnsi" w:cstheme="minorHAnsi"/>
          <w:b/>
          <w:bCs/>
          <w:sz w:val="20"/>
          <w:szCs w:val="20"/>
        </w:rPr>
      </w:pPr>
    </w:p>
    <w:p w14:paraId="437B23C7" w14:textId="3EB86C3A" w:rsidR="00D224F0" w:rsidRPr="00D12718" w:rsidRDefault="005F7306" w:rsidP="003F5579">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The Colombian State undertakes to implement the following measures of satisfaction</w:t>
      </w:r>
      <w:r w:rsidR="00D224F0" w:rsidRPr="00D12718">
        <w:rPr>
          <w:rFonts w:asciiTheme="majorHAnsi" w:hAnsiTheme="majorHAnsi" w:cstheme="minorHAnsi"/>
          <w:sz w:val="20"/>
          <w:szCs w:val="20"/>
        </w:rPr>
        <w:t xml:space="preserve">: </w:t>
      </w:r>
    </w:p>
    <w:p w14:paraId="08DA7CBC" w14:textId="77777777" w:rsidR="00C96128" w:rsidRPr="00D12718" w:rsidRDefault="00C96128" w:rsidP="00BD4B21">
      <w:pPr>
        <w:tabs>
          <w:tab w:val="left" w:pos="560"/>
        </w:tabs>
        <w:ind w:left="737" w:right="737"/>
        <w:rPr>
          <w:rFonts w:asciiTheme="majorHAnsi" w:hAnsiTheme="majorHAnsi" w:cstheme="minorHAnsi"/>
          <w:sz w:val="20"/>
          <w:szCs w:val="20"/>
        </w:rPr>
      </w:pPr>
    </w:p>
    <w:p w14:paraId="463B6E47" w14:textId="3D75A098" w:rsidR="00C96128" w:rsidRPr="00D12718" w:rsidRDefault="00D224F0" w:rsidP="003F5579">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jc w:val="both"/>
        <w:rPr>
          <w:rFonts w:asciiTheme="majorHAnsi" w:hAnsiTheme="majorHAnsi" w:cstheme="minorHAnsi"/>
          <w:sz w:val="20"/>
          <w:szCs w:val="20"/>
        </w:rPr>
      </w:pPr>
      <w:r w:rsidRPr="00D12718">
        <w:rPr>
          <w:rFonts w:asciiTheme="majorHAnsi" w:hAnsiTheme="majorHAnsi" w:cstheme="minorHAnsi"/>
          <w:b/>
          <w:bCs/>
          <w:sz w:val="20"/>
          <w:szCs w:val="20"/>
        </w:rPr>
        <w:t>Act</w:t>
      </w:r>
      <w:r w:rsidR="006628EC" w:rsidRPr="00D12718">
        <w:rPr>
          <w:rFonts w:asciiTheme="majorHAnsi" w:hAnsiTheme="majorHAnsi" w:cstheme="minorHAnsi"/>
          <w:b/>
          <w:bCs/>
          <w:sz w:val="20"/>
          <w:szCs w:val="20"/>
        </w:rPr>
        <w:t xml:space="preserve"> </w:t>
      </w:r>
      <w:r w:rsidRPr="00D12718">
        <w:rPr>
          <w:rFonts w:asciiTheme="majorHAnsi" w:hAnsiTheme="majorHAnsi" w:cstheme="minorHAnsi"/>
          <w:b/>
          <w:bCs/>
          <w:sz w:val="20"/>
          <w:szCs w:val="20"/>
        </w:rPr>
        <w:t>o</w:t>
      </w:r>
      <w:r w:rsidR="006628EC" w:rsidRPr="00D12718">
        <w:rPr>
          <w:rFonts w:asciiTheme="majorHAnsi" w:hAnsiTheme="majorHAnsi" w:cstheme="minorHAnsi"/>
          <w:b/>
          <w:bCs/>
          <w:sz w:val="20"/>
          <w:szCs w:val="20"/>
        </w:rPr>
        <w:t>f</w:t>
      </w:r>
      <w:r w:rsidRPr="00D12718">
        <w:rPr>
          <w:rFonts w:asciiTheme="majorHAnsi" w:hAnsiTheme="majorHAnsi" w:cstheme="minorHAnsi"/>
          <w:b/>
          <w:bCs/>
          <w:sz w:val="20"/>
          <w:szCs w:val="20"/>
        </w:rPr>
        <w:t xml:space="preserve"> </w:t>
      </w:r>
      <w:r w:rsidR="006628EC" w:rsidRPr="00D12718">
        <w:rPr>
          <w:rFonts w:asciiTheme="majorHAnsi" w:hAnsiTheme="majorHAnsi" w:cstheme="minorHAnsi"/>
          <w:b/>
          <w:bCs/>
          <w:sz w:val="20"/>
          <w:szCs w:val="20"/>
        </w:rPr>
        <w:t>Acknowledgement of</w:t>
      </w:r>
      <w:r w:rsidRPr="00D12718">
        <w:rPr>
          <w:rFonts w:asciiTheme="majorHAnsi" w:hAnsiTheme="majorHAnsi" w:cstheme="minorHAnsi"/>
          <w:b/>
          <w:bCs/>
          <w:sz w:val="20"/>
          <w:szCs w:val="20"/>
        </w:rPr>
        <w:t xml:space="preserve"> </w:t>
      </w:r>
      <w:r w:rsidR="005F7306" w:rsidRPr="00D12718">
        <w:rPr>
          <w:rFonts w:asciiTheme="majorHAnsi" w:hAnsiTheme="majorHAnsi" w:cstheme="minorHAnsi"/>
          <w:b/>
          <w:bCs/>
          <w:sz w:val="20"/>
          <w:szCs w:val="20"/>
        </w:rPr>
        <w:t>Responsibility</w:t>
      </w:r>
      <w:r w:rsidRPr="00D12718">
        <w:rPr>
          <w:rFonts w:asciiTheme="majorHAnsi" w:hAnsiTheme="majorHAnsi" w:cstheme="minorHAnsi"/>
          <w:b/>
          <w:bCs/>
          <w:sz w:val="20"/>
          <w:szCs w:val="20"/>
        </w:rPr>
        <w:t>:</w:t>
      </w:r>
    </w:p>
    <w:p w14:paraId="691F7F4E" w14:textId="77777777" w:rsidR="00BD4B21" w:rsidRPr="00D12718" w:rsidRDefault="00BD4B21" w:rsidP="003F55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2160" w:right="737"/>
        <w:contextualSpacing/>
        <w:jc w:val="both"/>
        <w:rPr>
          <w:rFonts w:asciiTheme="majorHAnsi" w:hAnsiTheme="majorHAnsi" w:cstheme="minorHAnsi"/>
          <w:sz w:val="20"/>
          <w:szCs w:val="20"/>
        </w:rPr>
      </w:pPr>
    </w:p>
    <w:p w14:paraId="506F0339" w14:textId="35C8337D" w:rsidR="00D224F0" w:rsidRPr="00D12718" w:rsidRDefault="005F7306" w:rsidP="003F5579">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 xml:space="preserve">The Colombian State shall proceed to a Private Act of Acknowledgement of Responsibility, </w:t>
      </w:r>
      <w:r w:rsidR="00846337" w:rsidRPr="005F7306">
        <w:rPr>
          <w:rFonts w:asciiTheme="majorHAnsi" w:hAnsiTheme="majorHAnsi" w:cstheme="minorHAnsi"/>
          <w:sz w:val="20"/>
          <w:szCs w:val="20"/>
        </w:rPr>
        <w:t>virtual</w:t>
      </w:r>
      <w:r w:rsidR="00846337">
        <w:rPr>
          <w:rFonts w:asciiTheme="majorHAnsi" w:hAnsiTheme="majorHAnsi" w:cstheme="minorHAnsi"/>
          <w:sz w:val="20"/>
          <w:szCs w:val="20"/>
        </w:rPr>
        <w:t>ly</w:t>
      </w:r>
      <w:r w:rsidR="00846337" w:rsidRPr="005F7306" w:rsidDel="00846337">
        <w:rPr>
          <w:rFonts w:asciiTheme="majorHAnsi" w:hAnsiTheme="majorHAnsi" w:cstheme="minorHAnsi"/>
          <w:sz w:val="20"/>
          <w:szCs w:val="20"/>
        </w:rPr>
        <w:t xml:space="preserve"> </w:t>
      </w:r>
      <w:r w:rsidR="00846337">
        <w:rPr>
          <w:rFonts w:asciiTheme="majorHAnsi" w:hAnsiTheme="majorHAnsi" w:cstheme="minorHAnsi"/>
          <w:sz w:val="20"/>
          <w:szCs w:val="20"/>
        </w:rPr>
        <w:t>conducted</w:t>
      </w:r>
      <w:r w:rsidRPr="005F7306">
        <w:rPr>
          <w:rFonts w:asciiTheme="majorHAnsi" w:hAnsiTheme="majorHAnsi" w:cstheme="minorHAnsi"/>
          <w:sz w:val="20"/>
          <w:szCs w:val="20"/>
        </w:rPr>
        <w:t xml:space="preserve">, with the participation of the relatives of Mr. Gabriel </w:t>
      </w:r>
      <w:proofErr w:type="spellStart"/>
      <w:r w:rsidRPr="005F7306">
        <w:rPr>
          <w:rFonts w:asciiTheme="majorHAnsi" w:hAnsiTheme="majorHAnsi" w:cstheme="minorHAnsi"/>
          <w:sz w:val="20"/>
          <w:szCs w:val="20"/>
        </w:rPr>
        <w:t>Ángel</w:t>
      </w:r>
      <w:proofErr w:type="spellEnd"/>
      <w:r w:rsidRPr="005F7306">
        <w:rPr>
          <w:rFonts w:asciiTheme="majorHAnsi" w:hAnsiTheme="majorHAnsi" w:cstheme="minorHAnsi"/>
          <w:sz w:val="20"/>
          <w:szCs w:val="20"/>
        </w:rPr>
        <w:t xml:space="preserve"> Gómez and their representatives. The act shall be </w:t>
      </w:r>
      <w:r w:rsidR="0011518A">
        <w:rPr>
          <w:rFonts w:asciiTheme="majorHAnsi" w:hAnsiTheme="majorHAnsi" w:cstheme="minorHAnsi"/>
          <w:sz w:val="20"/>
          <w:szCs w:val="20"/>
        </w:rPr>
        <w:t>carr</w:t>
      </w:r>
      <w:r w:rsidR="000B25F0">
        <w:rPr>
          <w:rFonts w:asciiTheme="majorHAnsi" w:hAnsiTheme="majorHAnsi" w:cstheme="minorHAnsi"/>
          <w:sz w:val="20"/>
          <w:szCs w:val="20"/>
        </w:rPr>
        <w:t>ied</w:t>
      </w:r>
      <w:r w:rsidR="0011518A">
        <w:rPr>
          <w:rFonts w:asciiTheme="majorHAnsi" w:hAnsiTheme="majorHAnsi" w:cstheme="minorHAnsi"/>
          <w:sz w:val="20"/>
          <w:szCs w:val="20"/>
        </w:rPr>
        <w:t xml:space="preserve"> out</w:t>
      </w:r>
      <w:r w:rsidR="0011518A" w:rsidRPr="005F7306">
        <w:rPr>
          <w:rFonts w:asciiTheme="majorHAnsi" w:hAnsiTheme="majorHAnsi" w:cstheme="minorHAnsi"/>
          <w:sz w:val="20"/>
          <w:szCs w:val="20"/>
        </w:rPr>
        <w:t xml:space="preserve"> </w:t>
      </w:r>
      <w:r w:rsidRPr="005F7306">
        <w:rPr>
          <w:rFonts w:asciiTheme="majorHAnsi" w:hAnsiTheme="majorHAnsi" w:cstheme="minorHAnsi"/>
          <w:sz w:val="20"/>
          <w:szCs w:val="20"/>
        </w:rPr>
        <w:t>in accordance with the acknowledgment of responsibility indicated in this Agreement</w:t>
      </w:r>
      <w:r w:rsidR="00D224F0" w:rsidRPr="00D12718">
        <w:rPr>
          <w:rFonts w:asciiTheme="majorHAnsi" w:hAnsiTheme="majorHAnsi" w:cstheme="minorHAnsi"/>
          <w:sz w:val="20"/>
          <w:szCs w:val="20"/>
        </w:rPr>
        <w:t xml:space="preserve">. </w:t>
      </w:r>
    </w:p>
    <w:p w14:paraId="626705B6" w14:textId="77777777" w:rsidR="00C96128" w:rsidRPr="00D12718" w:rsidRDefault="00C96128" w:rsidP="003F5579">
      <w:pPr>
        <w:tabs>
          <w:tab w:val="left" w:pos="560"/>
        </w:tabs>
        <w:ind w:left="737" w:right="737"/>
        <w:jc w:val="both"/>
        <w:rPr>
          <w:rFonts w:asciiTheme="majorHAnsi" w:hAnsiTheme="majorHAnsi" w:cstheme="minorHAnsi"/>
          <w:sz w:val="20"/>
          <w:szCs w:val="20"/>
        </w:rPr>
      </w:pPr>
    </w:p>
    <w:p w14:paraId="4DDB746D" w14:textId="5C6C04B8" w:rsidR="00D224F0" w:rsidRPr="00D12718" w:rsidRDefault="005F7306" w:rsidP="003F5579">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 xml:space="preserve">This measure will </w:t>
      </w:r>
      <w:r w:rsidR="000B25F0" w:rsidRPr="005F7306">
        <w:rPr>
          <w:rFonts w:asciiTheme="majorHAnsi" w:hAnsiTheme="majorHAnsi" w:cstheme="minorHAnsi"/>
          <w:sz w:val="20"/>
          <w:szCs w:val="20"/>
        </w:rPr>
        <w:t>oversee</w:t>
      </w:r>
      <w:r w:rsidRPr="005F7306">
        <w:rPr>
          <w:rFonts w:asciiTheme="majorHAnsi" w:hAnsiTheme="majorHAnsi" w:cstheme="minorHAnsi"/>
          <w:sz w:val="20"/>
          <w:szCs w:val="20"/>
        </w:rPr>
        <w:t xml:space="preserve"> the National Agency for the Legal Defense of the State</w:t>
      </w:r>
      <w:r w:rsidR="00D224F0" w:rsidRPr="00D12718">
        <w:rPr>
          <w:rFonts w:asciiTheme="majorHAnsi" w:hAnsiTheme="majorHAnsi" w:cstheme="minorHAnsi"/>
          <w:sz w:val="20"/>
          <w:szCs w:val="20"/>
        </w:rPr>
        <w:t>.</w:t>
      </w:r>
    </w:p>
    <w:p w14:paraId="3A4CDFFB" w14:textId="77777777" w:rsidR="00C96128" w:rsidRPr="00D12718" w:rsidRDefault="00C96128" w:rsidP="003F5579">
      <w:pPr>
        <w:tabs>
          <w:tab w:val="left" w:pos="560"/>
        </w:tabs>
        <w:ind w:left="737" w:right="737"/>
        <w:jc w:val="both"/>
        <w:rPr>
          <w:rFonts w:asciiTheme="majorHAnsi" w:hAnsiTheme="majorHAnsi" w:cstheme="minorHAnsi"/>
          <w:sz w:val="20"/>
          <w:szCs w:val="20"/>
        </w:rPr>
      </w:pPr>
    </w:p>
    <w:p w14:paraId="770E67D0" w14:textId="6A2526F3" w:rsidR="00D224F0" w:rsidRPr="00D12718" w:rsidRDefault="00D224F0" w:rsidP="003F5579">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jc w:val="both"/>
        <w:rPr>
          <w:rFonts w:asciiTheme="majorHAnsi" w:hAnsiTheme="majorHAnsi" w:cstheme="minorHAnsi"/>
          <w:b/>
          <w:bCs/>
          <w:sz w:val="20"/>
          <w:szCs w:val="20"/>
        </w:rPr>
      </w:pPr>
      <w:r w:rsidRPr="00D12718">
        <w:rPr>
          <w:rFonts w:asciiTheme="majorHAnsi" w:hAnsiTheme="majorHAnsi" w:cstheme="minorHAnsi"/>
          <w:b/>
          <w:bCs/>
          <w:sz w:val="20"/>
          <w:szCs w:val="20"/>
        </w:rPr>
        <w:t>Publica</w:t>
      </w:r>
      <w:r w:rsidR="006628EC" w:rsidRPr="00D12718">
        <w:rPr>
          <w:rFonts w:asciiTheme="majorHAnsi" w:hAnsiTheme="majorHAnsi" w:cstheme="minorHAnsi"/>
          <w:b/>
          <w:bCs/>
          <w:sz w:val="20"/>
          <w:szCs w:val="20"/>
        </w:rPr>
        <w:t>tion</w:t>
      </w:r>
      <w:r w:rsidRPr="00D12718">
        <w:rPr>
          <w:rFonts w:asciiTheme="majorHAnsi" w:hAnsiTheme="majorHAnsi" w:cstheme="minorHAnsi"/>
          <w:b/>
          <w:bCs/>
          <w:sz w:val="20"/>
          <w:szCs w:val="20"/>
        </w:rPr>
        <w:t xml:space="preserve"> </w:t>
      </w:r>
      <w:r w:rsidR="006628EC" w:rsidRPr="00D12718">
        <w:rPr>
          <w:rFonts w:asciiTheme="majorHAnsi" w:hAnsiTheme="majorHAnsi" w:cstheme="minorHAnsi"/>
          <w:b/>
          <w:bCs/>
          <w:sz w:val="20"/>
          <w:szCs w:val="20"/>
        </w:rPr>
        <w:t>of</w:t>
      </w:r>
      <w:r w:rsidRPr="00D12718">
        <w:rPr>
          <w:rFonts w:asciiTheme="majorHAnsi" w:hAnsiTheme="majorHAnsi" w:cstheme="minorHAnsi"/>
          <w:b/>
          <w:bCs/>
          <w:sz w:val="20"/>
          <w:szCs w:val="20"/>
        </w:rPr>
        <w:t xml:space="preserve"> </w:t>
      </w:r>
      <w:r w:rsidR="006628EC" w:rsidRPr="00D12718">
        <w:rPr>
          <w:rFonts w:asciiTheme="majorHAnsi" w:hAnsiTheme="majorHAnsi" w:cstheme="minorHAnsi"/>
          <w:b/>
          <w:bCs/>
          <w:sz w:val="20"/>
          <w:szCs w:val="20"/>
        </w:rPr>
        <w:t>the Report of Article</w:t>
      </w:r>
      <w:r w:rsidRPr="00D12718">
        <w:rPr>
          <w:rFonts w:asciiTheme="majorHAnsi" w:hAnsiTheme="majorHAnsi" w:cstheme="minorHAnsi"/>
          <w:b/>
          <w:bCs/>
          <w:sz w:val="20"/>
          <w:szCs w:val="20"/>
        </w:rPr>
        <w:t xml:space="preserve"> 49: </w:t>
      </w:r>
    </w:p>
    <w:p w14:paraId="244AA53A" w14:textId="77777777" w:rsidR="00BD4B21" w:rsidRPr="00D12718"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s>
        <w:ind w:left="540" w:right="737" w:firstLine="900"/>
        <w:contextualSpacing/>
        <w:rPr>
          <w:rFonts w:asciiTheme="majorHAnsi" w:hAnsiTheme="majorHAnsi" w:cstheme="minorHAnsi"/>
          <w:b/>
          <w:bCs/>
          <w:sz w:val="20"/>
          <w:szCs w:val="20"/>
        </w:rPr>
      </w:pPr>
    </w:p>
    <w:p w14:paraId="7EB19E2E" w14:textId="2FC03063" w:rsidR="00D224F0" w:rsidRPr="00D12718" w:rsidRDefault="005F7306" w:rsidP="00BD4B21">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 xml:space="preserve">The Colombian State shall publish the pertinent sections of the friendly settlement report once it is issued by the Inter-American Commission on Human Rights, on the website of the National Agency for the Legal Defense of the State, for a </w:t>
      </w:r>
      <w:r>
        <w:rPr>
          <w:rFonts w:asciiTheme="majorHAnsi" w:hAnsiTheme="majorHAnsi" w:cstheme="minorHAnsi"/>
          <w:sz w:val="20"/>
          <w:szCs w:val="20"/>
        </w:rPr>
        <w:t>term</w:t>
      </w:r>
      <w:r w:rsidRPr="005F7306">
        <w:rPr>
          <w:rFonts w:asciiTheme="majorHAnsi" w:hAnsiTheme="majorHAnsi" w:cstheme="minorHAnsi"/>
          <w:sz w:val="20"/>
          <w:szCs w:val="20"/>
        </w:rPr>
        <w:t xml:space="preserve"> of six (6) months</w:t>
      </w:r>
      <w:r w:rsidR="00D224F0" w:rsidRPr="00D12718">
        <w:rPr>
          <w:rFonts w:asciiTheme="majorHAnsi" w:hAnsiTheme="majorHAnsi" w:cstheme="minorHAnsi"/>
          <w:sz w:val="20"/>
          <w:szCs w:val="20"/>
        </w:rPr>
        <w:t xml:space="preserve">. </w:t>
      </w:r>
    </w:p>
    <w:p w14:paraId="4812DBA8" w14:textId="77777777" w:rsidR="001D2C83" w:rsidRPr="00D12718" w:rsidRDefault="001D2C83" w:rsidP="00BD4B21">
      <w:pPr>
        <w:tabs>
          <w:tab w:val="left" w:pos="560"/>
        </w:tabs>
        <w:ind w:left="737" w:right="737"/>
        <w:jc w:val="both"/>
        <w:rPr>
          <w:rFonts w:asciiTheme="majorHAnsi" w:hAnsiTheme="majorHAnsi" w:cstheme="minorHAnsi"/>
          <w:sz w:val="20"/>
          <w:szCs w:val="20"/>
        </w:rPr>
      </w:pPr>
    </w:p>
    <w:p w14:paraId="7F0E4238" w14:textId="2799427D" w:rsidR="00D224F0" w:rsidRPr="00D12718" w:rsidRDefault="006628EC" w:rsidP="00BD4B21">
      <w:pPr>
        <w:tabs>
          <w:tab w:val="left" w:pos="560"/>
        </w:tabs>
        <w:ind w:left="737" w:right="737"/>
        <w:jc w:val="center"/>
        <w:rPr>
          <w:rFonts w:asciiTheme="majorHAnsi" w:hAnsiTheme="majorHAnsi" w:cstheme="minorHAnsi"/>
          <w:b/>
          <w:bCs/>
          <w:sz w:val="20"/>
          <w:szCs w:val="20"/>
        </w:rPr>
      </w:pPr>
      <w:r w:rsidRPr="00D12718">
        <w:rPr>
          <w:rFonts w:asciiTheme="majorHAnsi" w:hAnsiTheme="majorHAnsi" w:cstheme="minorHAnsi"/>
          <w:b/>
          <w:bCs/>
          <w:sz w:val="20"/>
          <w:szCs w:val="20"/>
        </w:rPr>
        <w:t xml:space="preserve">SIXTH </w:t>
      </w:r>
      <w:r w:rsidR="00D224F0" w:rsidRPr="00D12718">
        <w:rPr>
          <w:rFonts w:asciiTheme="majorHAnsi" w:hAnsiTheme="majorHAnsi" w:cstheme="minorHAnsi"/>
          <w:b/>
          <w:bCs/>
          <w:sz w:val="20"/>
          <w:szCs w:val="20"/>
        </w:rPr>
        <w:t>PART: COMPENSA</w:t>
      </w:r>
      <w:r w:rsidRPr="00D12718">
        <w:rPr>
          <w:rFonts w:asciiTheme="majorHAnsi" w:hAnsiTheme="majorHAnsi" w:cstheme="minorHAnsi"/>
          <w:b/>
          <w:bCs/>
          <w:sz w:val="20"/>
          <w:szCs w:val="20"/>
        </w:rPr>
        <w:t>TIO</w:t>
      </w:r>
      <w:r w:rsidR="00D224F0" w:rsidRPr="00D12718">
        <w:rPr>
          <w:rFonts w:asciiTheme="majorHAnsi" w:hAnsiTheme="majorHAnsi" w:cstheme="minorHAnsi"/>
          <w:b/>
          <w:bCs/>
          <w:sz w:val="20"/>
          <w:szCs w:val="20"/>
        </w:rPr>
        <w:t>N</w:t>
      </w:r>
      <w:r w:rsidRPr="00D12718">
        <w:rPr>
          <w:rFonts w:asciiTheme="majorHAnsi" w:hAnsiTheme="majorHAnsi" w:cstheme="minorHAnsi"/>
          <w:b/>
          <w:bCs/>
          <w:sz w:val="20"/>
          <w:szCs w:val="20"/>
        </w:rPr>
        <w:t xml:space="preserve"> MEASURES</w:t>
      </w:r>
    </w:p>
    <w:p w14:paraId="7D1D5434" w14:textId="77777777" w:rsidR="00C96128" w:rsidRPr="00D12718" w:rsidRDefault="00C96128" w:rsidP="00BD4B21">
      <w:pPr>
        <w:tabs>
          <w:tab w:val="left" w:pos="560"/>
        </w:tabs>
        <w:ind w:left="737" w:right="737"/>
        <w:jc w:val="center"/>
        <w:rPr>
          <w:rFonts w:asciiTheme="majorHAnsi" w:hAnsiTheme="majorHAnsi" w:cstheme="minorHAnsi"/>
          <w:b/>
          <w:bCs/>
          <w:sz w:val="20"/>
          <w:szCs w:val="20"/>
        </w:rPr>
      </w:pPr>
    </w:p>
    <w:p w14:paraId="610F53C1" w14:textId="5AEF86BF" w:rsidR="00D224F0" w:rsidRPr="00D12718" w:rsidRDefault="005F7306" w:rsidP="00BD4B21">
      <w:pPr>
        <w:tabs>
          <w:tab w:val="left" w:pos="560"/>
        </w:tabs>
        <w:ind w:left="737" w:right="737"/>
        <w:jc w:val="both"/>
        <w:rPr>
          <w:rFonts w:asciiTheme="majorHAnsi" w:hAnsiTheme="majorHAnsi" w:cstheme="minorHAnsi"/>
          <w:sz w:val="20"/>
          <w:szCs w:val="20"/>
        </w:rPr>
      </w:pPr>
      <w:r w:rsidRPr="005F7306">
        <w:rPr>
          <w:rFonts w:asciiTheme="majorHAnsi" w:hAnsiTheme="majorHAnsi" w:cstheme="minorHAnsi"/>
          <w:sz w:val="20"/>
          <w:szCs w:val="20"/>
        </w:rPr>
        <w:t>The State undertakes to initiate the process of Law 288 of 1996 "Whereby instruments are established for the compensation of damages to victims of human rights violations by virtue of the provisions of certain international human rights bodies", once this friendly settlement agreement is approved through the issuance of the Report of Article 49 of the American Convention on Human Rights, in order to repair the damages caused to the relatives of the victims as a result of the effects generated by the facts of this case</w:t>
      </w:r>
      <w:r w:rsidR="00D224F0" w:rsidRPr="00D12718">
        <w:rPr>
          <w:rFonts w:asciiTheme="majorHAnsi" w:hAnsiTheme="majorHAnsi" w:cstheme="minorHAnsi"/>
          <w:sz w:val="20"/>
          <w:szCs w:val="20"/>
        </w:rPr>
        <w:t xml:space="preserve">. </w:t>
      </w:r>
    </w:p>
    <w:p w14:paraId="150AB1A5" w14:textId="77777777" w:rsidR="00C96128" w:rsidRPr="00D12718" w:rsidRDefault="00C96128" w:rsidP="00BD4B21">
      <w:pPr>
        <w:tabs>
          <w:tab w:val="left" w:pos="560"/>
        </w:tabs>
        <w:ind w:left="737" w:right="737"/>
        <w:jc w:val="both"/>
        <w:rPr>
          <w:rFonts w:asciiTheme="majorHAnsi" w:hAnsiTheme="majorHAnsi" w:cstheme="minorHAnsi"/>
          <w:sz w:val="20"/>
          <w:szCs w:val="20"/>
        </w:rPr>
      </w:pPr>
    </w:p>
    <w:p w14:paraId="240D053B" w14:textId="250DEA8E" w:rsidR="00D224F0" w:rsidRPr="00D12718" w:rsidRDefault="00B51040" w:rsidP="00BD4B21">
      <w:pPr>
        <w:tabs>
          <w:tab w:val="left" w:pos="560"/>
        </w:tabs>
        <w:ind w:left="737" w:right="737"/>
        <w:jc w:val="both"/>
        <w:rPr>
          <w:rFonts w:asciiTheme="majorHAnsi" w:hAnsiTheme="majorHAnsi" w:cstheme="minorHAnsi"/>
          <w:sz w:val="20"/>
          <w:szCs w:val="20"/>
        </w:rPr>
      </w:pPr>
      <w:r w:rsidRPr="00B51040">
        <w:rPr>
          <w:rFonts w:asciiTheme="majorHAnsi" w:hAnsiTheme="majorHAnsi" w:cstheme="minorHAnsi"/>
          <w:sz w:val="20"/>
          <w:szCs w:val="20"/>
        </w:rPr>
        <w:t>The National Agency for the Legal Defense of the State will be the entity in charge of the processing of Law 288 of 1996</w:t>
      </w:r>
      <w:r w:rsidR="00D224F0" w:rsidRPr="00D12718">
        <w:rPr>
          <w:rFonts w:asciiTheme="majorHAnsi" w:hAnsiTheme="majorHAnsi" w:cstheme="minorHAnsi"/>
          <w:sz w:val="20"/>
          <w:szCs w:val="20"/>
        </w:rPr>
        <w:t xml:space="preserve">. </w:t>
      </w:r>
    </w:p>
    <w:p w14:paraId="7E8B1153" w14:textId="77777777" w:rsidR="00C96128" w:rsidRPr="00D12718" w:rsidRDefault="00C96128" w:rsidP="00BD4B21">
      <w:pPr>
        <w:tabs>
          <w:tab w:val="left" w:pos="560"/>
        </w:tabs>
        <w:ind w:left="737" w:right="737"/>
        <w:jc w:val="both"/>
        <w:rPr>
          <w:rFonts w:asciiTheme="majorHAnsi" w:hAnsiTheme="majorHAnsi" w:cstheme="minorHAnsi"/>
          <w:sz w:val="20"/>
          <w:szCs w:val="20"/>
        </w:rPr>
      </w:pPr>
    </w:p>
    <w:p w14:paraId="6BB9ECEB" w14:textId="77777777" w:rsidR="006F1A74" w:rsidRPr="006F1A74" w:rsidRDefault="006F1A74" w:rsidP="006F1A74">
      <w:pPr>
        <w:tabs>
          <w:tab w:val="left" w:pos="560"/>
        </w:tabs>
        <w:ind w:left="737" w:right="737"/>
        <w:jc w:val="both"/>
        <w:rPr>
          <w:rFonts w:asciiTheme="majorHAnsi" w:hAnsiTheme="majorHAnsi" w:cstheme="minorHAnsi"/>
          <w:sz w:val="20"/>
          <w:szCs w:val="20"/>
        </w:rPr>
      </w:pPr>
      <w:r w:rsidRPr="006F1A74">
        <w:rPr>
          <w:rFonts w:asciiTheme="majorHAnsi" w:hAnsiTheme="majorHAnsi" w:cstheme="minorHAnsi"/>
          <w:sz w:val="20"/>
          <w:szCs w:val="20"/>
        </w:rPr>
        <w:t>For the purposes of compensation, the criteria and amounts to be used are those recognized</w:t>
      </w:r>
    </w:p>
    <w:p w14:paraId="2BC22B32" w14:textId="78430BA1" w:rsidR="006F1A74" w:rsidRPr="00D12718" w:rsidRDefault="006F1A74" w:rsidP="006F1A74">
      <w:pPr>
        <w:tabs>
          <w:tab w:val="left" w:pos="560"/>
        </w:tabs>
        <w:ind w:left="737" w:right="737"/>
        <w:jc w:val="both"/>
        <w:rPr>
          <w:rFonts w:asciiTheme="majorHAnsi" w:hAnsiTheme="majorHAnsi" w:cstheme="minorHAnsi"/>
          <w:sz w:val="20"/>
          <w:szCs w:val="20"/>
        </w:rPr>
      </w:pPr>
      <w:r w:rsidRPr="006F1A74">
        <w:rPr>
          <w:rFonts w:asciiTheme="majorHAnsi" w:hAnsiTheme="majorHAnsi" w:cstheme="minorHAnsi"/>
          <w:sz w:val="20"/>
          <w:szCs w:val="20"/>
        </w:rPr>
        <w:t>by the current jurisprudence of the State Council.</w:t>
      </w:r>
    </w:p>
    <w:p w14:paraId="75FE6C59" w14:textId="3C8F8B7E" w:rsidR="00E75132" w:rsidRPr="00D12718" w:rsidRDefault="00E75132" w:rsidP="00BD4B21">
      <w:pPr>
        <w:tabs>
          <w:tab w:val="left" w:pos="560"/>
        </w:tabs>
        <w:ind w:left="737" w:right="737"/>
        <w:jc w:val="both"/>
        <w:rPr>
          <w:rFonts w:asciiTheme="majorHAnsi" w:hAnsiTheme="majorHAnsi" w:cstheme="minorHAnsi"/>
          <w:sz w:val="20"/>
          <w:szCs w:val="20"/>
        </w:rPr>
      </w:pPr>
    </w:p>
    <w:p w14:paraId="4E14C107" w14:textId="25FB85C4" w:rsidR="00D224F0" w:rsidRPr="00D12718" w:rsidRDefault="006628EC" w:rsidP="00BD4B21">
      <w:pPr>
        <w:tabs>
          <w:tab w:val="left" w:pos="560"/>
        </w:tabs>
        <w:ind w:left="737" w:right="737"/>
        <w:jc w:val="center"/>
        <w:rPr>
          <w:rFonts w:asciiTheme="majorHAnsi" w:hAnsiTheme="majorHAnsi" w:cstheme="minorHAnsi"/>
          <w:b/>
          <w:bCs/>
          <w:sz w:val="20"/>
          <w:szCs w:val="20"/>
        </w:rPr>
      </w:pPr>
      <w:r w:rsidRPr="00D12718">
        <w:rPr>
          <w:rFonts w:asciiTheme="majorHAnsi" w:hAnsiTheme="majorHAnsi" w:cstheme="minorHAnsi"/>
          <w:b/>
          <w:bCs/>
          <w:sz w:val="20"/>
          <w:szCs w:val="20"/>
        </w:rPr>
        <w:t>SEVENTH</w:t>
      </w:r>
      <w:r w:rsidR="00D224F0" w:rsidRPr="00D12718">
        <w:rPr>
          <w:rFonts w:asciiTheme="majorHAnsi" w:hAnsiTheme="majorHAnsi" w:cstheme="minorHAnsi"/>
          <w:b/>
          <w:bCs/>
          <w:sz w:val="20"/>
          <w:szCs w:val="20"/>
        </w:rPr>
        <w:t xml:space="preserve"> PART: HOMOLOGA</w:t>
      </w:r>
      <w:r w:rsidRPr="00D12718">
        <w:rPr>
          <w:rFonts w:asciiTheme="majorHAnsi" w:hAnsiTheme="majorHAnsi" w:cstheme="minorHAnsi"/>
          <w:b/>
          <w:bCs/>
          <w:sz w:val="20"/>
          <w:szCs w:val="20"/>
        </w:rPr>
        <w:t>TION AND</w:t>
      </w:r>
      <w:r w:rsidR="00D224F0" w:rsidRPr="00D12718">
        <w:rPr>
          <w:rFonts w:asciiTheme="majorHAnsi" w:hAnsiTheme="majorHAnsi" w:cstheme="minorHAnsi"/>
          <w:b/>
          <w:bCs/>
          <w:sz w:val="20"/>
          <w:szCs w:val="20"/>
        </w:rPr>
        <w:t xml:space="preserve"> </w:t>
      </w:r>
      <w:r w:rsidRPr="00D12718">
        <w:rPr>
          <w:rFonts w:asciiTheme="majorHAnsi" w:hAnsiTheme="majorHAnsi" w:cstheme="minorHAnsi"/>
          <w:b/>
          <w:bCs/>
          <w:sz w:val="20"/>
          <w:szCs w:val="20"/>
        </w:rPr>
        <w:t>FOLLOW-UP</w:t>
      </w:r>
    </w:p>
    <w:p w14:paraId="412A72AD" w14:textId="77777777" w:rsidR="00C96128" w:rsidRPr="00D12718" w:rsidRDefault="00C96128" w:rsidP="00BD4B21">
      <w:pPr>
        <w:tabs>
          <w:tab w:val="left" w:pos="560"/>
        </w:tabs>
        <w:ind w:left="737" w:right="737"/>
        <w:jc w:val="center"/>
        <w:rPr>
          <w:rFonts w:asciiTheme="majorHAnsi" w:hAnsiTheme="majorHAnsi" w:cstheme="minorHAnsi"/>
          <w:b/>
          <w:bCs/>
          <w:sz w:val="20"/>
          <w:szCs w:val="20"/>
        </w:rPr>
      </w:pPr>
    </w:p>
    <w:p w14:paraId="30FEB6CC" w14:textId="581CC56F" w:rsidR="00BD4F88" w:rsidRPr="00BD4F88" w:rsidRDefault="00BD4F88" w:rsidP="00BD4F88">
      <w:pPr>
        <w:tabs>
          <w:tab w:val="left" w:pos="560"/>
        </w:tabs>
        <w:ind w:left="737" w:right="737"/>
        <w:jc w:val="both"/>
        <w:rPr>
          <w:rFonts w:asciiTheme="majorHAnsi" w:hAnsiTheme="majorHAnsi" w:cstheme="minorHAnsi"/>
          <w:sz w:val="20"/>
          <w:szCs w:val="20"/>
        </w:rPr>
      </w:pPr>
      <w:r w:rsidRPr="00BD4F88">
        <w:rPr>
          <w:rFonts w:asciiTheme="majorHAnsi" w:hAnsiTheme="majorHAnsi" w:cstheme="minorHAnsi"/>
          <w:sz w:val="20"/>
          <w:szCs w:val="20"/>
        </w:rPr>
        <w:t xml:space="preserve">The parties request the Inter-American Commission </w:t>
      </w:r>
      <w:r w:rsidR="001E7C44" w:rsidRPr="00BD4F88">
        <w:rPr>
          <w:rFonts w:asciiTheme="majorHAnsi" w:hAnsiTheme="majorHAnsi" w:cstheme="minorHAnsi"/>
          <w:sz w:val="20"/>
          <w:szCs w:val="20"/>
        </w:rPr>
        <w:t>t</w:t>
      </w:r>
      <w:r w:rsidR="001E7C44">
        <w:rPr>
          <w:rFonts w:asciiTheme="majorHAnsi" w:hAnsiTheme="majorHAnsi" w:cstheme="minorHAnsi"/>
          <w:sz w:val="20"/>
          <w:szCs w:val="20"/>
        </w:rPr>
        <w:t>o</w:t>
      </w:r>
      <w:r w:rsidR="001E7C44" w:rsidRPr="00BD4F88">
        <w:rPr>
          <w:rFonts w:asciiTheme="majorHAnsi" w:hAnsiTheme="majorHAnsi" w:cstheme="minorHAnsi"/>
          <w:sz w:val="20"/>
          <w:szCs w:val="20"/>
        </w:rPr>
        <w:t xml:space="preserve"> homologat</w:t>
      </w:r>
      <w:r w:rsidR="001E7C44">
        <w:rPr>
          <w:rFonts w:asciiTheme="majorHAnsi" w:hAnsiTheme="majorHAnsi" w:cstheme="minorHAnsi"/>
          <w:sz w:val="20"/>
          <w:szCs w:val="20"/>
        </w:rPr>
        <w:t>e</w:t>
      </w:r>
      <w:r w:rsidR="001E7C44" w:rsidRPr="00BD4F88">
        <w:rPr>
          <w:rFonts w:asciiTheme="majorHAnsi" w:hAnsiTheme="majorHAnsi" w:cstheme="minorHAnsi"/>
          <w:sz w:val="20"/>
          <w:szCs w:val="20"/>
        </w:rPr>
        <w:t xml:space="preserve"> </w:t>
      </w:r>
      <w:r w:rsidRPr="00BD4F88">
        <w:rPr>
          <w:rFonts w:asciiTheme="majorHAnsi" w:hAnsiTheme="majorHAnsi" w:cstheme="minorHAnsi"/>
          <w:sz w:val="20"/>
          <w:szCs w:val="20"/>
        </w:rPr>
        <w:t xml:space="preserve">this Agreement and </w:t>
      </w:r>
      <w:r w:rsidR="001E7C44">
        <w:rPr>
          <w:rFonts w:asciiTheme="majorHAnsi" w:hAnsiTheme="majorHAnsi" w:cstheme="minorHAnsi"/>
          <w:sz w:val="20"/>
          <w:szCs w:val="20"/>
        </w:rPr>
        <w:t>to</w:t>
      </w:r>
      <w:r w:rsidRPr="00BD4F88">
        <w:rPr>
          <w:rFonts w:asciiTheme="majorHAnsi" w:hAnsiTheme="majorHAnsi" w:cstheme="minorHAnsi"/>
          <w:sz w:val="20"/>
          <w:szCs w:val="20"/>
        </w:rPr>
        <w:t xml:space="preserve"> follow</w:t>
      </w:r>
      <w:r w:rsidR="00A24321">
        <w:rPr>
          <w:rFonts w:asciiTheme="majorHAnsi" w:hAnsiTheme="majorHAnsi" w:cstheme="minorHAnsi"/>
          <w:sz w:val="20"/>
          <w:szCs w:val="20"/>
        </w:rPr>
        <w:t xml:space="preserve"> </w:t>
      </w:r>
      <w:r w:rsidRPr="00BD4F88">
        <w:rPr>
          <w:rFonts w:asciiTheme="majorHAnsi" w:hAnsiTheme="majorHAnsi" w:cstheme="minorHAnsi"/>
          <w:sz w:val="20"/>
          <w:szCs w:val="20"/>
        </w:rPr>
        <w:t>up</w:t>
      </w:r>
      <w:r w:rsidR="00A24321">
        <w:rPr>
          <w:rFonts w:asciiTheme="majorHAnsi" w:hAnsiTheme="majorHAnsi" w:cstheme="minorHAnsi"/>
          <w:sz w:val="20"/>
          <w:szCs w:val="20"/>
        </w:rPr>
        <w:t xml:space="preserve"> on it</w:t>
      </w:r>
      <w:r w:rsidRPr="00BD4F88">
        <w:rPr>
          <w:rFonts w:asciiTheme="majorHAnsi" w:hAnsiTheme="majorHAnsi" w:cstheme="minorHAnsi"/>
          <w:sz w:val="20"/>
          <w:szCs w:val="20"/>
        </w:rPr>
        <w:t xml:space="preserve">. </w:t>
      </w:r>
    </w:p>
    <w:p w14:paraId="36B76F20" w14:textId="77777777" w:rsidR="00BD4F88" w:rsidRPr="00BD4F88" w:rsidRDefault="00BD4F88" w:rsidP="00BD4F88">
      <w:pPr>
        <w:tabs>
          <w:tab w:val="left" w:pos="560"/>
        </w:tabs>
        <w:ind w:left="737" w:right="737"/>
        <w:jc w:val="both"/>
        <w:rPr>
          <w:rFonts w:asciiTheme="majorHAnsi" w:hAnsiTheme="majorHAnsi" w:cstheme="minorHAnsi"/>
          <w:sz w:val="20"/>
          <w:szCs w:val="20"/>
        </w:rPr>
      </w:pPr>
    </w:p>
    <w:p w14:paraId="3C9D6992" w14:textId="79844D8A" w:rsidR="003E7EB5" w:rsidRPr="00D12718" w:rsidRDefault="00BD4F88" w:rsidP="004C1C8C">
      <w:pPr>
        <w:tabs>
          <w:tab w:val="left" w:pos="560"/>
        </w:tabs>
        <w:ind w:left="737" w:right="737"/>
        <w:jc w:val="both"/>
        <w:rPr>
          <w:rFonts w:asciiTheme="majorHAnsi" w:eastAsia="Arial" w:hAnsiTheme="majorHAnsi" w:cstheme="minorHAnsi"/>
          <w:color w:val="000000" w:themeColor="text1"/>
          <w:sz w:val="20"/>
          <w:szCs w:val="20"/>
          <w:highlight w:val="yellow"/>
        </w:rPr>
      </w:pPr>
      <w:r w:rsidRPr="00BD4F88">
        <w:rPr>
          <w:rFonts w:asciiTheme="majorHAnsi" w:hAnsiTheme="majorHAnsi" w:cstheme="minorHAnsi"/>
          <w:sz w:val="20"/>
          <w:szCs w:val="20"/>
        </w:rPr>
        <w:t>This Agreement is signed on September 7, 2021, being the parties aware of its scope and legal content</w:t>
      </w:r>
      <w:r w:rsidR="00D224F0" w:rsidRPr="00D12718">
        <w:rPr>
          <w:rFonts w:asciiTheme="majorHAnsi" w:hAnsiTheme="majorHAnsi" w:cstheme="minorHAnsi"/>
          <w:sz w:val="20"/>
          <w:szCs w:val="20"/>
        </w:rPr>
        <w:t xml:space="preserve">. </w:t>
      </w:r>
    </w:p>
    <w:p w14:paraId="3AEF9304" w14:textId="77777777" w:rsidR="003F5579" w:rsidRPr="00D12718" w:rsidRDefault="003F5579" w:rsidP="00BD4B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w:hAnsiTheme="majorHAnsi" w:cstheme="minorHAnsi"/>
          <w:color w:val="000000" w:themeColor="text1"/>
          <w:sz w:val="20"/>
          <w:szCs w:val="20"/>
          <w:highlight w:val="yellow"/>
        </w:rPr>
      </w:pPr>
    </w:p>
    <w:p w14:paraId="7DE7DFBA" w14:textId="32322743" w:rsidR="003E7EB5" w:rsidRPr="00D12718" w:rsidRDefault="003E7EB5" w:rsidP="00BD4B21">
      <w:pPr>
        <w:pStyle w:val="ListParagraph"/>
        <w:numPr>
          <w:ilvl w:val="0"/>
          <w:numId w:val="55"/>
        </w:numPr>
        <w:ind w:left="0" w:firstLine="720"/>
        <w:jc w:val="both"/>
        <w:rPr>
          <w:rFonts w:asciiTheme="majorHAnsi" w:eastAsia="MS Mincho" w:hAnsiTheme="majorHAnsi" w:cstheme="minorHAnsi"/>
          <w:b/>
          <w:color w:val="000000" w:themeColor="text1"/>
          <w:sz w:val="20"/>
          <w:szCs w:val="20"/>
        </w:rPr>
      </w:pPr>
      <w:r w:rsidRPr="00D12718">
        <w:rPr>
          <w:rFonts w:asciiTheme="majorHAnsi" w:eastAsia="MS Mincho" w:hAnsiTheme="majorHAnsi" w:cstheme="minorHAnsi"/>
          <w:b/>
          <w:color w:val="000000" w:themeColor="text1"/>
          <w:sz w:val="20"/>
          <w:szCs w:val="20"/>
        </w:rPr>
        <w:t>DETERMINA</w:t>
      </w:r>
      <w:r w:rsidR="00D12718" w:rsidRPr="00D12718">
        <w:rPr>
          <w:rFonts w:asciiTheme="majorHAnsi" w:eastAsia="MS Mincho" w:hAnsiTheme="majorHAnsi" w:cstheme="minorHAnsi"/>
          <w:b/>
          <w:color w:val="000000" w:themeColor="text1"/>
          <w:sz w:val="20"/>
          <w:szCs w:val="20"/>
        </w:rPr>
        <w:t>TION</w:t>
      </w:r>
      <w:r w:rsidRPr="00D12718">
        <w:rPr>
          <w:rFonts w:asciiTheme="majorHAnsi" w:eastAsia="MS Mincho" w:hAnsiTheme="majorHAnsi" w:cstheme="minorHAnsi"/>
          <w:b/>
          <w:color w:val="000000" w:themeColor="text1"/>
          <w:sz w:val="20"/>
          <w:szCs w:val="20"/>
        </w:rPr>
        <w:t xml:space="preserve"> </w:t>
      </w:r>
      <w:r w:rsidR="00D12718" w:rsidRPr="00D12718">
        <w:rPr>
          <w:rFonts w:asciiTheme="majorHAnsi" w:eastAsia="MS Mincho" w:hAnsiTheme="majorHAnsi" w:cstheme="minorHAnsi"/>
          <w:b/>
          <w:color w:val="000000" w:themeColor="text1"/>
          <w:sz w:val="20"/>
          <w:szCs w:val="20"/>
        </w:rPr>
        <w:t>OF</w:t>
      </w:r>
      <w:r w:rsidRPr="00D12718">
        <w:rPr>
          <w:rFonts w:asciiTheme="majorHAnsi" w:eastAsia="MS Mincho" w:hAnsiTheme="majorHAnsi" w:cstheme="minorHAnsi"/>
          <w:b/>
          <w:color w:val="000000" w:themeColor="text1"/>
          <w:sz w:val="20"/>
          <w:szCs w:val="20"/>
        </w:rPr>
        <w:t xml:space="preserve"> COMPATIBILI</w:t>
      </w:r>
      <w:r w:rsidR="00D12718" w:rsidRPr="00D12718">
        <w:rPr>
          <w:rFonts w:asciiTheme="majorHAnsi" w:eastAsia="MS Mincho" w:hAnsiTheme="majorHAnsi" w:cstheme="minorHAnsi"/>
          <w:b/>
          <w:color w:val="000000" w:themeColor="text1"/>
          <w:sz w:val="20"/>
          <w:szCs w:val="20"/>
        </w:rPr>
        <w:t>T</w:t>
      </w:r>
      <w:r w:rsidRPr="00D12718">
        <w:rPr>
          <w:rFonts w:asciiTheme="majorHAnsi" w:eastAsia="MS Mincho" w:hAnsiTheme="majorHAnsi" w:cstheme="minorHAnsi"/>
          <w:b/>
          <w:color w:val="000000" w:themeColor="text1"/>
          <w:sz w:val="20"/>
          <w:szCs w:val="20"/>
        </w:rPr>
        <w:t xml:space="preserve">Y </w:t>
      </w:r>
      <w:r w:rsidR="00D12718" w:rsidRPr="00D12718">
        <w:rPr>
          <w:rFonts w:asciiTheme="majorHAnsi" w:eastAsia="MS Mincho" w:hAnsiTheme="majorHAnsi" w:cstheme="minorHAnsi"/>
          <w:b/>
          <w:color w:val="000000" w:themeColor="text1"/>
          <w:sz w:val="20"/>
          <w:szCs w:val="20"/>
        </w:rPr>
        <w:t xml:space="preserve">AND </w:t>
      </w:r>
      <w:r w:rsidRPr="00D12718">
        <w:rPr>
          <w:rFonts w:asciiTheme="majorHAnsi" w:eastAsia="MS Mincho" w:hAnsiTheme="majorHAnsi" w:cstheme="minorHAnsi"/>
          <w:b/>
          <w:color w:val="000000" w:themeColor="text1"/>
          <w:sz w:val="20"/>
          <w:szCs w:val="20"/>
        </w:rPr>
        <w:t>CO</w:t>
      </w:r>
      <w:r w:rsidR="00D12718" w:rsidRPr="00D12718">
        <w:rPr>
          <w:rFonts w:asciiTheme="majorHAnsi" w:eastAsia="MS Mincho" w:hAnsiTheme="majorHAnsi" w:cstheme="minorHAnsi"/>
          <w:b/>
          <w:color w:val="000000" w:themeColor="text1"/>
          <w:sz w:val="20"/>
          <w:szCs w:val="20"/>
        </w:rPr>
        <w:t>MPLIANCE</w:t>
      </w:r>
    </w:p>
    <w:p w14:paraId="437ECCAB" w14:textId="77777777" w:rsidR="003E7EB5" w:rsidRPr="00D12718" w:rsidRDefault="003E7EB5" w:rsidP="00BD4B21">
      <w:pPr>
        <w:tabs>
          <w:tab w:val="num" w:pos="1440"/>
        </w:tabs>
        <w:ind w:firstLine="720"/>
        <w:jc w:val="both"/>
        <w:rPr>
          <w:rFonts w:asciiTheme="majorHAnsi" w:eastAsia="MS Mincho" w:hAnsiTheme="majorHAnsi" w:cstheme="minorHAnsi"/>
          <w:b/>
          <w:color w:val="000000" w:themeColor="text1"/>
          <w:sz w:val="20"/>
          <w:szCs w:val="20"/>
        </w:rPr>
      </w:pPr>
    </w:p>
    <w:p w14:paraId="727E9DC0" w14:textId="1A253718" w:rsidR="003E7EB5" w:rsidRPr="00D12718" w:rsidRDefault="00BD4F88"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4F88">
        <w:rPr>
          <w:rFonts w:asciiTheme="majorHAnsi" w:eastAsia="MS Mincho" w:hAnsiTheme="majorHAnsi" w:cstheme="minorHAnsi"/>
          <w:color w:val="000000" w:themeColor="text1"/>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undertake this procedure expresses the good faith of the State to comply with the purposes and objectives of the Convention by virtue of the principle </w:t>
      </w:r>
      <w:r w:rsidRPr="00BD4F88">
        <w:rPr>
          <w:rFonts w:asciiTheme="majorHAnsi" w:eastAsia="MS Mincho" w:hAnsiTheme="majorHAnsi" w:cstheme="minorHAnsi"/>
          <w:i/>
          <w:iCs/>
          <w:color w:val="000000" w:themeColor="text1"/>
          <w:sz w:val="20"/>
          <w:szCs w:val="20"/>
          <w:bdr w:val="none" w:sz="0" w:space="0" w:color="auto" w:frame="1"/>
        </w:rPr>
        <w:t xml:space="preserve">pacta </w:t>
      </w:r>
      <w:r w:rsidRPr="00BD4F88">
        <w:rPr>
          <w:rFonts w:asciiTheme="majorHAnsi" w:eastAsia="MS Mincho" w:hAnsiTheme="majorHAnsi" w:cstheme="minorHAnsi"/>
          <w:i/>
          <w:iCs/>
          <w:color w:val="000000" w:themeColor="text1"/>
          <w:sz w:val="20"/>
          <w:szCs w:val="20"/>
          <w:bdr w:val="none" w:sz="0" w:space="0" w:color="auto" w:frame="1"/>
        </w:rPr>
        <w:lastRenderedPageBreak/>
        <w:t xml:space="preserve">sunt </w:t>
      </w:r>
      <w:proofErr w:type="spellStart"/>
      <w:r w:rsidRPr="00BD4F88">
        <w:rPr>
          <w:rFonts w:asciiTheme="majorHAnsi" w:eastAsia="MS Mincho" w:hAnsiTheme="majorHAnsi" w:cstheme="minorHAnsi"/>
          <w:i/>
          <w:iCs/>
          <w:color w:val="000000" w:themeColor="text1"/>
          <w:sz w:val="20"/>
          <w:szCs w:val="20"/>
          <w:bdr w:val="none" w:sz="0" w:space="0" w:color="auto" w:frame="1"/>
        </w:rPr>
        <w:t>servanda</w:t>
      </w:r>
      <w:proofErr w:type="spellEnd"/>
      <w:r w:rsidRPr="00BD4F88">
        <w:rPr>
          <w:rFonts w:asciiTheme="majorHAnsi" w:eastAsia="MS Mincho" w:hAnsiTheme="majorHAnsi" w:cstheme="minorHAnsi"/>
          <w:color w:val="000000" w:themeColor="text1"/>
          <w:sz w:val="20"/>
          <w:szCs w:val="20"/>
          <w:bdr w:val="none" w:sz="0" w:space="0" w:color="auto" w:frame="1"/>
        </w:rPr>
        <w:t>, by which the States must comply in good faith with the obligations assumed in the treaties</w:t>
      </w:r>
      <w:r w:rsidR="00582A18">
        <w:rPr>
          <w:rStyle w:val="FootnoteReference"/>
          <w:rFonts w:asciiTheme="majorHAnsi" w:eastAsia="MS Mincho" w:hAnsiTheme="majorHAnsi" w:cstheme="minorHAnsi"/>
          <w:color w:val="000000" w:themeColor="text1"/>
          <w:sz w:val="20"/>
          <w:szCs w:val="20"/>
          <w:bdr w:val="none" w:sz="0" w:space="0" w:color="auto" w:frame="1"/>
        </w:rPr>
        <w:footnoteReference w:id="8"/>
      </w:r>
      <w:r w:rsidRPr="00BD4F88">
        <w:rPr>
          <w:rFonts w:asciiTheme="majorHAnsi" w:eastAsia="MS Mincho" w:hAnsiTheme="majorHAnsi" w:cstheme="minorHAnsi"/>
          <w:color w:val="000000" w:themeColor="text1"/>
          <w:sz w:val="20"/>
          <w:szCs w:val="20"/>
          <w:bdr w:val="none" w:sz="0" w:space="0" w:color="auto" w:frame="1"/>
        </w:rPr>
        <w:t>. It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r w:rsidR="003E7EB5" w:rsidRPr="00D12718">
        <w:rPr>
          <w:rFonts w:asciiTheme="majorHAnsi" w:eastAsia="MS Mincho" w:hAnsiTheme="majorHAnsi" w:cstheme="minorHAnsi"/>
          <w:color w:val="000000" w:themeColor="text1"/>
          <w:sz w:val="20"/>
          <w:szCs w:val="20"/>
          <w:bdr w:val="none" w:sz="0" w:space="0" w:color="auto" w:frame="1"/>
        </w:rPr>
        <w:t>.</w:t>
      </w:r>
    </w:p>
    <w:p w14:paraId="7E76C296" w14:textId="77777777" w:rsidR="003E7EB5" w:rsidRPr="00D12718"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highlight w:val="yellow"/>
        </w:rPr>
      </w:pPr>
    </w:p>
    <w:p w14:paraId="5843C30D" w14:textId="0C2149C0" w:rsidR="000A38DA" w:rsidRPr="00D12718" w:rsidRDefault="007103A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7103A8">
        <w:rPr>
          <w:rFonts w:asciiTheme="majorHAnsi" w:eastAsia="MS Mincho" w:hAnsiTheme="majorHAnsi" w:cstheme="minorHAns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3E7EB5" w:rsidRPr="00D12718">
        <w:rPr>
          <w:rFonts w:asciiTheme="majorHAnsi" w:eastAsia="MS Mincho" w:hAnsiTheme="majorHAnsi" w:cstheme="minorHAnsi"/>
          <w:color w:val="000000" w:themeColor="text1"/>
          <w:sz w:val="20"/>
          <w:szCs w:val="20"/>
        </w:rPr>
        <w:t>.</w:t>
      </w:r>
    </w:p>
    <w:p w14:paraId="3A9EBE63" w14:textId="77777777" w:rsidR="000A38DA" w:rsidRPr="00D12718" w:rsidRDefault="000A38DA" w:rsidP="00BD4B21">
      <w:pPr>
        <w:pStyle w:val="ListParagraph"/>
        <w:rPr>
          <w:rFonts w:asciiTheme="majorHAnsi" w:eastAsia="Times New Roman" w:hAnsiTheme="majorHAnsi" w:cstheme="minorHAnsi"/>
          <w:color w:val="000000" w:themeColor="text1"/>
          <w:sz w:val="20"/>
          <w:szCs w:val="20"/>
          <w:bdr w:val="none" w:sz="0" w:space="0" w:color="auto"/>
          <w:lang w:eastAsia="es-ES_tradnl"/>
        </w:rPr>
      </w:pPr>
    </w:p>
    <w:p w14:paraId="6256647D" w14:textId="03E7B907" w:rsidR="000A38DA" w:rsidRPr="00D12718" w:rsidRDefault="007103A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7103A8">
        <w:rPr>
          <w:rFonts w:asciiTheme="majorHAnsi" w:eastAsia="Times New Roman" w:hAnsiTheme="majorHAnsi" w:cstheme="minorHAnsi"/>
          <w:color w:val="000000" w:themeColor="text1"/>
          <w:sz w:val="20"/>
          <w:szCs w:val="20"/>
          <w:bdr w:val="none" w:sz="0" w:space="0" w:color="auto"/>
          <w:lang w:eastAsia="es-ES_tradnl"/>
        </w:rPr>
        <w:t>Pursuant to the agreement signed between the parties whereby they requested the Commission to homologate the friendly settlement agreement contemplated in Article 49 of the American Convention, as well as the joint request of the parties of November 3, 2021, it is appropriate at this time to assess compliance with the commitments set forth herein</w:t>
      </w:r>
      <w:r w:rsidR="006C5C8E" w:rsidRPr="00D12718">
        <w:rPr>
          <w:rFonts w:asciiTheme="majorHAnsi" w:eastAsia="MS Mincho" w:hAnsiTheme="majorHAnsi" w:cstheme="minorHAnsi"/>
          <w:color w:val="000000" w:themeColor="text1"/>
          <w:sz w:val="20"/>
          <w:szCs w:val="20"/>
        </w:rPr>
        <w:t>.</w:t>
      </w:r>
    </w:p>
    <w:p w14:paraId="2759F5C4" w14:textId="77777777" w:rsidR="000A38DA" w:rsidRPr="00D12718" w:rsidRDefault="000A38DA" w:rsidP="00BD4B21">
      <w:pPr>
        <w:pStyle w:val="ListParagraph"/>
        <w:rPr>
          <w:rFonts w:asciiTheme="majorHAnsi" w:eastAsia="MS Mincho" w:hAnsiTheme="majorHAnsi" w:cstheme="minorHAnsi"/>
          <w:color w:val="000000" w:themeColor="text1"/>
          <w:sz w:val="20"/>
          <w:szCs w:val="20"/>
        </w:rPr>
      </w:pPr>
    </w:p>
    <w:p w14:paraId="003F1597" w14:textId="59C78B78" w:rsidR="000A38DA" w:rsidRPr="00D12718" w:rsidRDefault="007103A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7103A8">
        <w:rPr>
          <w:rFonts w:asciiTheme="majorHAnsi" w:eastAsia="MS Mincho" w:hAnsiTheme="majorHAnsi" w:cstheme="minorHAnsi"/>
          <w:color w:val="000000" w:themeColor="text1"/>
          <w:sz w:val="20"/>
          <w:szCs w:val="20"/>
        </w:rPr>
        <w:t>The Commission considers that the first (Concepts), second (Background before the Inter-American Human Rights System), third (Beneficiaries) and fourth (Acknowledgement of Responsibility) clauses of the agreement are of a declarative nature, and therefore it is not applicable to supervise their compliance</w:t>
      </w:r>
      <w:r w:rsidR="006C5C8E" w:rsidRPr="00D12718">
        <w:rPr>
          <w:rFonts w:asciiTheme="majorHAnsi" w:eastAsia="MS Mincho" w:hAnsiTheme="majorHAnsi" w:cstheme="minorHAnsi"/>
          <w:color w:val="000000" w:themeColor="text1"/>
          <w:sz w:val="20"/>
          <w:szCs w:val="20"/>
        </w:rPr>
        <w:t xml:space="preserve">. </w:t>
      </w:r>
    </w:p>
    <w:p w14:paraId="0F2BE72C" w14:textId="77777777" w:rsidR="000A38DA" w:rsidRPr="00D12718" w:rsidRDefault="000A38DA" w:rsidP="00BD4B21">
      <w:pPr>
        <w:pStyle w:val="ListParagraph"/>
        <w:rPr>
          <w:rFonts w:asciiTheme="majorHAnsi" w:eastAsia="MS Mincho" w:hAnsiTheme="majorHAnsi" w:cstheme="minorHAnsi"/>
          <w:color w:val="000000" w:themeColor="text1"/>
          <w:sz w:val="20"/>
          <w:szCs w:val="20"/>
        </w:rPr>
      </w:pPr>
    </w:p>
    <w:p w14:paraId="0B41752B" w14:textId="35084909" w:rsidR="000A38DA" w:rsidRPr="00D12718" w:rsidRDefault="007103A8"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7103A8">
        <w:rPr>
          <w:rFonts w:asciiTheme="majorHAnsi" w:eastAsia="MS Mincho" w:hAnsiTheme="majorHAnsi" w:cstheme="minorHAnsi"/>
          <w:color w:val="000000" w:themeColor="text1"/>
          <w:sz w:val="20"/>
          <w:szCs w:val="20"/>
        </w:rPr>
        <w:t xml:space="preserve">In this regard, the Commission values the fourth declaratory clause, in which the Colombian State acknowledges its international responsibility for the violation of the rights recognized in Articles 8 (right to a fair trial) and 25 (right to judicial protection) of the American Convention on Human Rights in relation to Article 1.1 (obligation to respect) thereof, to the detriment of the relatives of Mr. Gabriel </w:t>
      </w:r>
      <w:proofErr w:type="spellStart"/>
      <w:r w:rsidRPr="007103A8">
        <w:rPr>
          <w:rFonts w:asciiTheme="majorHAnsi" w:eastAsia="MS Mincho" w:hAnsiTheme="majorHAnsi" w:cstheme="minorHAnsi"/>
          <w:color w:val="000000" w:themeColor="text1"/>
          <w:sz w:val="20"/>
          <w:szCs w:val="20"/>
        </w:rPr>
        <w:t>Ángel</w:t>
      </w:r>
      <w:proofErr w:type="spellEnd"/>
      <w:r w:rsidRPr="007103A8">
        <w:rPr>
          <w:rFonts w:asciiTheme="majorHAnsi" w:eastAsia="MS Mincho" w:hAnsiTheme="majorHAnsi" w:cstheme="minorHAnsi"/>
          <w:color w:val="000000" w:themeColor="text1"/>
          <w:sz w:val="20"/>
          <w:szCs w:val="20"/>
        </w:rPr>
        <w:t xml:space="preserve"> Gómez Martínez, due to the lack of diligence in the investigation of the events that took place</w:t>
      </w:r>
      <w:r w:rsidR="000A38DA" w:rsidRPr="00D12718">
        <w:rPr>
          <w:rFonts w:asciiTheme="majorHAnsi" w:eastAsia="MS Mincho" w:hAnsiTheme="majorHAnsi" w:cstheme="minorHAnsi"/>
          <w:color w:val="000000" w:themeColor="text1"/>
          <w:sz w:val="20"/>
          <w:szCs w:val="20"/>
        </w:rPr>
        <w:t xml:space="preserve">. </w:t>
      </w:r>
    </w:p>
    <w:p w14:paraId="6938B5AE" w14:textId="77777777" w:rsidR="000A38DA" w:rsidRPr="00D12718" w:rsidRDefault="000A38DA" w:rsidP="00BD4B21">
      <w:pPr>
        <w:pStyle w:val="ListParagraph"/>
        <w:rPr>
          <w:rFonts w:asciiTheme="majorHAnsi" w:eastAsia="MS Mincho" w:hAnsiTheme="majorHAnsi" w:cstheme="minorHAnsi"/>
          <w:color w:val="000000" w:themeColor="text1"/>
          <w:sz w:val="20"/>
          <w:szCs w:val="20"/>
        </w:rPr>
      </w:pPr>
    </w:p>
    <w:p w14:paraId="3F09C893" w14:textId="639FA682" w:rsidR="00A97415" w:rsidRPr="00D12718" w:rsidRDefault="000C510A"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E65100">
        <w:rPr>
          <w:rFonts w:asciiTheme="majorHAnsi" w:eastAsia="MS Mincho" w:hAnsiTheme="majorHAnsi" w:cstheme="minorHAnsi"/>
          <w:color w:val="000000" w:themeColor="text1"/>
          <w:sz w:val="20"/>
          <w:szCs w:val="20"/>
        </w:rPr>
        <w:t>Regarding</w:t>
      </w:r>
      <w:r w:rsidR="00E65100" w:rsidRPr="00E65100">
        <w:rPr>
          <w:rFonts w:asciiTheme="majorHAnsi" w:eastAsia="MS Mincho" w:hAnsiTheme="majorHAnsi" w:cstheme="minorHAnsi"/>
          <w:color w:val="000000" w:themeColor="text1"/>
          <w:sz w:val="20"/>
          <w:szCs w:val="20"/>
        </w:rPr>
        <w:t xml:space="preserve"> the fifth (Satisfaction measures) and sixth (Compensation measures) clauses of the agreement, it is the Commission's responsibility to assess the progress of compliance </w:t>
      </w:r>
      <w:r w:rsidR="00E65100">
        <w:rPr>
          <w:rFonts w:asciiTheme="majorHAnsi" w:eastAsia="MS Mincho" w:hAnsiTheme="majorHAnsi" w:cstheme="minorHAnsi"/>
          <w:color w:val="000000" w:themeColor="text1"/>
          <w:sz w:val="20"/>
          <w:szCs w:val="20"/>
        </w:rPr>
        <w:t>for</w:t>
      </w:r>
      <w:r w:rsidR="00E65100" w:rsidRPr="00E65100">
        <w:rPr>
          <w:rFonts w:asciiTheme="majorHAnsi" w:eastAsia="MS Mincho" w:hAnsiTheme="majorHAnsi" w:cstheme="minorHAnsi"/>
          <w:color w:val="000000" w:themeColor="text1"/>
          <w:sz w:val="20"/>
          <w:szCs w:val="20"/>
        </w:rPr>
        <w:t xml:space="preserve"> each measure</w:t>
      </w:r>
      <w:r w:rsidR="006C5C8E" w:rsidRPr="00D12718">
        <w:rPr>
          <w:rFonts w:asciiTheme="majorHAnsi" w:eastAsia="MS Mincho" w:hAnsiTheme="majorHAnsi" w:cstheme="minorHAnsi"/>
          <w:color w:val="000000" w:themeColor="text1"/>
          <w:sz w:val="20"/>
          <w:szCs w:val="20"/>
        </w:rPr>
        <w:t xml:space="preserve">. </w:t>
      </w:r>
    </w:p>
    <w:p w14:paraId="75609633" w14:textId="77777777" w:rsidR="00A97415" w:rsidRPr="00D12718" w:rsidRDefault="00A97415" w:rsidP="00BD4B21">
      <w:pPr>
        <w:pStyle w:val="ListParagraph"/>
        <w:rPr>
          <w:rFonts w:asciiTheme="majorHAnsi" w:eastAsia="MS Mincho" w:hAnsiTheme="majorHAnsi" w:cstheme="minorHAnsi"/>
          <w:color w:val="000000" w:themeColor="text1"/>
          <w:sz w:val="20"/>
          <w:szCs w:val="20"/>
        </w:rPr>
      </w:pPr>
    </w:p>
    <w:p w14:paraId="5BD499F9" w14:textId="36DD20C5" w:rsidR="00743682" w:rsidRPr="00D12718" w:rsidRDefault="00E65100" w:rsidP="182E8E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182E8E1B">
        <w:rPr>
          <w:rFonts w:asciiTheme="majorHAnsi" w:eastAsia="MS Mincho" w:hAnsiTheme="majorHAnsi" w:cstheme="minorBidi"/>
          <w:color w:val="000000" w:themeColor="text1"/>
          <w:sz w:val="20"/>
          <w:szCs w:val="20"/>
        </w:rPr>
        <w:t xml:space="preserve">With respect to paragraph (i) of the fifth clause related to the act of </w:t>
      </w:r>
      <w:r w:rsidR="008F0019" w:rsidRPr="182E8E1B">
        <w:rPr>
          <w:rFonts w:asciiTheme="majorHAnsi" w:eastAsia="MS Mincho" w:hAnsiTheme="majorHAnsi" w:cstheme="minorBidi"/>
          <w:color w:val="000000" w:themeColor="text1"/>
          <w:sz w:val="20"/>
          <w:szCs w:val="20"/>
        </w:rPr>
        <w:t>redres</w:t>
      </w:r>
      <w:r w:rsidR="002C27D5" w:rsidRPr="182E8E1B">
        <w:rPr>
          <w:rFonts w:asciiTheme="majorHAnsi" w:eastAsia="MS Mincho" w:hAnsiTheme="majorHAnsi" w:cstheme="minorBidi"/>
          <w:color w:val="000000" w:themeColor="text1"/>
          <w:sz w:val="20"/>
          <w:szCs w:val="20"/>
        </w:rPr>
        <w:t xml:space="preserve">s </w:t>
      </w:r>
      <w:r w:rsidRPr="182E8E1B">
        <w:rPr>
          <w:rFonts w:asciiTheme="majorHAnsi" w:eastAsia="MS Mincho" w:hAnsiTheme="majorHAnsi" w:cstheme="minorBidi"/>
          <w:color w:val="000000" w:themeColor="text1"/>
          <w:sz w:val="20"/>
          <w:szCs w:val="20"/>
        </w:rPr>
        <w:t xml:space="preserve">on November 3, 2021, the parties submitted a joint report to the IACHR, in which they indicated that there was ongoing communication between the State and the petitioners to agree on the details for compliance with this measure in terms of the date, program, and other logistical aspects. According to the same report, the National Agency for the Legal Defense of the State sent an invitation to the act of recognition of responsibility to the victims and their relatives, </w:t>
      </w:r>
      <w:r w:rsidR="00DA3167" w:rsidRPr="182E8E1B">
        <w:rPr>
          <w:rFonts w:asciiTheme="majorHAnsi" w:eastAsia="MS Mincho" w:hAnsiTheme="majorHAnsi" w:cstheme="minorBidi"/>
          <w:color w:val="000000" w:themeColor="text1"/>
          <w:sz w:val="20"/>
          <w:szCs w:val="20"/>
        </w:rPr>
        <w:t>and</w:t>
      </w:r>
      <w:r w:rsidRPr="182E8E1B">
        <w:rPr>
          <w:rFonts w:asciiTheme="majorHAnsi" w:eastAsia="MS Mincho" w:hAnsiTheme="majorHAnsi" w:cstheme="minorBidi"/>
          <w:color w:val="000000" w:themeColor="text1"/>
          <w:sz w:val="20"/>
          <w:szCs w:val="20"/>
        </w:rPr>
        <w:t xml:space="preserve"> a banner was published on the web page of the National Agency for the Legal Defense of the State inviting the public in general</w:t>
      </w:r>
      <w:r w:rsidR="00D277FC" w:rsidRPr="182E8E1B">
        <w:rPr>
          <w:rFonts w:asciiTheme="majorHAnsi" w:eastAsia="MS Mincho" w:hAnsiTheme="majorHAnsi" w:cstheme="minorBidi"/>
          <w:color w:val="000000" w:themeColor="text1"/>
          <w:sz w:val="20"/>
          <w:szCs w:val="20"/>
        </w:rPr>
        <w:t xml:space="preserve">. </w:t>
      </w:r>
    </w:p>
    <w:p w14:paraId="0623DB06" w14:textId="77777777" w:rsidR="00743682" w:rsidRPr="00D12718" w:rsidRDefault="00743682" w:rsidP="00BD4B21">
      <w:pPr>
        <w:pStyle w:val="ListParagraph"/>
        <w:rPr>
          <w:rFonts w:asciiTheme="majorHAnsi" w:eastAsia="MS Mincho" w:hAnsiTheme="majorHAnsi" w:cstheme="minorHAnsi"/>
          <w:color w:val="000000" w:themeColor="text1"/>
          <w:sz w:val="20"/>
          <w:szCs w:val="20"/>
        </w:rPr>
      </w:pPr>
    </w:p>
    <w:p w14:paraId="577DD4AA" w14:textId="162F061E" w:rsidR="00743682" w:rsidRPr="00D12718" w:rsidRDefault="009B3A9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B3A94">
        <w:rPr>
          <w:rFonts w:asciiTheme="majorHAnsi" w:eastAsia="MS Mincho" w:hAnsiTheme="majorHAnsi" w:cstheme="minorHAnsi"/>
          <w:color w:val="000000" w:themeColor="text1"/>
          <w:sz w:val="20"/>
          <w:szCs w:val="20"/>
        </w:rPr>
        <w:t xml:space="preserve">On September 20, 2021, the </w:t>
      </w:r>
      <w:r w:rsidR="006947DC">
        <w:rPr>
          <w:rFonts w:asciiTheme="majorHAnsi" w:eastAsia="MS Mincho" w:hAnsiTheme="majorHAnsi" w:cstheme="minorHAnsi"/>
          <w:color w:val="000000" w:themeColor="text1"/>
          <w:sz w:val="20"/>
          <w:szCs w:val="20"/>
        </w:rPr>
        <w:t xml:space="preserve">private </w:t>
      </w:r>
      <w:r w:rsidRPr="009B3A94">
        <w:rPr>
          <w:rFonts w:asciiTheme="majorHAnsi" w:eastAsia="MS Mincho" w:hAnsiTheme="majorHAnsi" w:cstheme="minorHAnsi"/>
          <w:color w:val="000000" w:themeColor="text1"/>
          <w:sz w:val="20"/>
          <w:szCs w:val="20"/>
        </w:rPr>
        <w:t xml:space="preserve">act of acknowledgement of responsibility and request for forgiveness was held virtually through the </w:t>
      </w:r>
      <w:proofErr w:type="spellStart"/>
      <w:r w:rsidRPr="009B3A94">
        <w:rPr>
          <w:rFonts w:asciiTheme="majorHAnsi" w:eastAsia="MS Mincho" w:hAnsiTheme="majorHAnsi" w:cstheme="minorHAnsi"/>
          <w:color w:val="000000" w:themeColor="text1"/>
          <w:sz w:val="20"/>
          <w:szCs w:val="20"/>
        </w:rPr>
        <w:t>Streamyard</w:t>
      </w:r>
      <w:proofErr w:type="spellEnd"/>
      <w:r w:rsidRPr="009B3A94">
        <w:rPr>
          <w:rFonts w:asciiTheme="majorHAnsi" w:eastAsia="MS Mincho" w:hAnsiTheme="majorHAnsi" w:cstheme="minorHAnsi"/>
          <w:color w:val="000000" w:themeColor="text1"/>
          <w:sz w:val="20"/>
          <w:szCs w:val="20"/>
        </w:rPr>
        <w:t xml:space="preserve"> platform and was broadcast live on ANDJE's YouTube </w:t>
      </w:r>
      <w:r w:rsidR="009A7EC0">
        <w:rPr>
          <w:rFonts w:asciiTheme="majorHAnsi" w:eastAsia="MS Mincho" w:hAnsiTheme="majorHAnsi" w:cstheme="minorHAnsi"/>
          <w:color w:val="000000" w:themeColor="text1"/>
          <w:sz w:val="20"/>
          <w:szCs w:val="20"/>
        </w:rPr>
        <w:t xml:space="preserve">private </w:t>
      </w:r>
      <w:r w:rsidRPr="009B3A94">
        <w:rPr>
          <w:rFonts w:asciiTheme="majorHAnsi" w:eastAsia="MS Mincho" w:hAnsiTheme="majorHAnsi" w:cstheme="minorHAnsi"/>
          <w:color w:val="000000" w:themeColor="text1"/>
          <w:sz w:val="20"/>
          <w:szCs w:val="20"/>
        </w:rPr>
        <w:t>channel. Said platforms projected the national anthem of the Republic of Colombia, a video in memory of the victim and another video prepared by the victim's relatives in which they highlighted his qualities. Also, the representative of the victims as well as Mrs. Leidy Johana Gómez offered a public address</w:t>
      </w:r>
      <w:r w:rsidR="00EF2CB5" w:rsidRPr="00D12718">
        <w:rPr>
          <w:rFonts w:asciiTheme="majorHAnsi" w:eastAsia="MS Mincho" w:hAnsiTheme="majorHAnsi" w:cstheme="minorHAnsi"/>
          <w:color w:val="000000" w:themeColor="text1"/>
          <w:sz w:val="20"/>
          <w:szCs w:val="20"/>
        </w:rPr>
        <w:t>.</w:t>
      </w:r>
    </w:p>
    <w:p w14:paraId="11546EC1" w14:textId="77777777" w:rsidR="00743682" w:rsidRPr="00D12718" w:rsidRDefault="00743682" w:rsidP="00BD4B21">
      <w:pPr>
        <w:pStyle w:val="ListParagraph"/>
        <w:rPr>
          <w:rFonts w:asciiTheme="majorHAnsi" w:eastAsia="MS Mincho" w:hAnsiTheme="majorHAnsi" w:cstheme="minorHAnsi"/>
          <w:color w:val="000000" w:themeColor="text1"/>
          <w:sz w:val="20"/>
          <w:szCs w:val="20"/>
        </w:rPr>
      </w:pPr>
    </w:p>
    <w:p w14:paraId="7842B61A" w14:textId="52A13E33" w:rsidR="00D97C6F" w:rsidRPr="00D12718" w:rsidRDefault="009B3A94"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B3A94">
        <w:rPr>
          <w:rFonts w:asciiTheme="majorHAnsi" w:eastAsia="MS Mincho" w:hAnsiTheme="majorHAnsi" w:cstheme="minorHAnsi"/>
          <w:color w:val="000000" w:themeColor="text1"/>
          <w:sz w:val="20"/>
          <w:szCs w:val="20"/>
        </w:rPr>
        <w:t xml:space="preserve">The event was </w:t>
      </w:r>
      <w:r w:rsidR="009C0689">
        <w:rPr>
          <w:rFonts w:asciiTheme="majorHAnsi" w:eastAsia="MS Mincho" w:hAnsiTheme="majorHAnsi" w:cstheme="minorHAnsi"/>
          <w:color w:val="000000" w:themeColor="text1"/>
          <w:sz w:val="20"/>
          <w:szCs w:val="20"/>
        </w:rPr>
        <w:t>headed</w:t>
      </w:r>
      <w:r w:rsidRPr="009B3A94">
        <w:rPr>
          <w:rFonts w:asciiTheme="majorHAnsi" w:eastAsia="MS Mincho" w:hAnsiTheme="majorHAnsi" w:cstheme="minorHAnsi"/>
          <w:color w:val="000000" w:themeColor="text1"/>
          <w:sz w:val="20"/>
          <w:szCs w:val="20"/>
        </w:rPr>
        <w:t xml:space="preserve"> by the Director of the Directorate of International Legal Defense of the National Agency for the Legal Defense of the State, Dr. Ana María </w:t>
      </w:r>
      <w:proofErr w:type="spellStart"/>
      <w:r w:rsidRPr="009B3A94">
        <w:rPr>
          <w:rFonts w:asciiTheme="majorHAnsi" w:eastAsia="MS Mincho" w:hAnsiTheme="majorHAnsi" w:cstheme="minorHAnsi"/>
          <w:color w:val="000000" w:themeColor="text1"/>
          <w:sz w:val="20"/>
          <w:szCs w:val="20"/>
        </w:rPr>
        <w:t>Ordoñez</w:t>
      </w:r>
      <w:proofErr w:type="spellEnd"/>
      <w:r w:rsidRPr="009B3A94">
        <w:rPr>
          <w:rFonts w:asciiTheme="majorHAnsi" w:eastAsia="MS Mincho" w:hAnsiTheme="majorHAnsi" w:cstheme="minorHAnsi"/>
          <w:color w:val="000000" w:themeColor="text1"/>
          <w:sz w:val="20"/>
          <w:szCs w:val="20"/>
        </w:rPr>
        <w:t xml:space="preserve">, who on behalf of the Colombian State apologized to the victims and their families, and acknowledged responsibility in the terms established in the </w:t>
      </w:r>
      <w:r w:rsidR="003B7E63">
        <w:rPr>
          <w:rFonts w:asciiTheme="majorHAnsi" w:eastAsia="MS Mincho" w:hAnsiTheme="majorHAnsi" w:cstheme="minorHAnsi"/>
          <w:color w:val="000000" w:themeColor="text1"/>
          <w:sz w:val="20"/>
          <w:szCs w:val="20"/>
        </w:rPr>
        <w:t>F</w:t>
      </w:r>
      <w:r w:rsidRPr="009B3A94">
        <w:rPr>
          <w:rFonts w:asciiTheme="majorHAnsi" w:eastAsia="MS Mincho" w:hAnsiTheme="majorHAnsi" w:cstheme="minorHAnsi"/>
          <w:color w:val="000000" w:themeColor="text1"/>
          <w:sz w:val="20"/>
          <w:szCs w:val="20"/>
        </w:rPr>
        <w:t>SA, stating the following</w:t>
      </w:r>
      <w:r w:rsidR="00D97C6F" w:rsidRPr="00D12718">
        <w:rPr>
          <w:rFonts w:asciiTheme="majorHAnsi" w:eastAsia="MS Mincho" w:hAnsiTheme="majorHAnsi" w:cstheme="minorHAnsi"/>
          <w:color w:val="000000" w:themeColor="text1"/>
          <w:sz w:val="20"/>
          <w:szCs w:val="20"/>
        </w:rPr>
        <w:t>:</w:t>
      </w:r>
    </w:p>
    <w:p w14:paraId="32510E10" w14:textId="77777777" w:rsidR="00D97C6F" w:rsidRPr="00D12718" w:rsidRDefault="00D97C6F" w:rsidP="00BD4B21">
      <w:pPr>
        <w:pStyle w:val="ListParagraph"/>
        <w:rPr>
          <w:rFonts w:asciiTheme="majorHAnsi" w:eastAsia="MS Mincho" w:hAnsiTheme="majorHAnsi" w:cstheme="minorHAnsi"/>
          <w:color w:val="000000" w:themeColor="text1"/>
          <w:sz w:val="20"/>
          <w:szCs w:val="20"/>
        </w:rPr>
      </w:pPr>
    </w:p>
    <w:p w14:paraId="30048CC5" w14:textId="77777777" w:rsidR="00070E0E" w:rsidRDefault="00070E0E"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r w:rsidRPr="00070E0E">
        <w:rPr>
          <w:rFonts w:asciiTheme="majorHAnsi" w:eastAsia="MS Mincho" w:hAnsiTheme="majorHAnsi" w:cstheme="minorHAnsi"/>
          <w:color w:val="000000" w:themeColor="text1"/>
          <w:sz w:val="20"/>
          <w:szCs w:val="20"/>
        </w:rPr>
        <w:t xml:space="preserve">[…] </w:t>
      </w:r>
    </w:p>
    <w:p w14:paraId="1DC709AF" w14:textId="77777777" w:rsidR="00070E0E" w:rsidRDefault="00070E0E"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p>
    <w:p w14:paraId="4A386B9D" w14:textId="74BD5086" w:rsidR="009B3A94" w:rsidRPr="009B3A94" w:rsidRDefault="00D97C6F"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r w:rsidRPr="00D12718">
        <w:rPr>
          <w:rFonts w:asciiTheme="majorHAnsi" w:eastAsia="MS Mincho" w:hAnsiTheme="majorHAnsi" w:cstheme="minorHAnsi"/>
          <w:color w:val="000000" w:themeColor="text1"/>
          <w:sz w:val="20"/>
          <w:szCs w:val="20"/>
        </w:rPr>
        <w:t>“</w:t>
      </w:r>
      <w:r w:rsidR="009B3A94" w:rsidRPr="009B3A94">
        <w:rPr>
          <w:rFonts w:asciiTheme="majorHAnsi" w:eastAsia="MS Mincho" w:hAnsiTheme="majorHAnsi" w:cstheme="minorHAnsi"/>
          <w:color w:val="000000" w:themeColor="text1"/>
          <w:sz w:val="20"/>
          <w:szCs w:val="20"/>
        </w:rPr>
        <w:t xml:space="preserve">On behalf of the State of Colombia and as Director of the Directorate of International Legal Defense of the National Agency for the Legal Defense of the State, it is an honor to join you </w:t>
      </w:r>
      <w:r w:rsidR="009B3A94" w:rsidRPr="009B3A94">
        <w:rPr>
          <w:rFonts w:asciiTheme="majorHAnsi" w:eastAsia="MS Mincho" w:hAnsiTheme="majorHAnsi" w:cstheme="minorHAnsi"/>
          <w:color w:val="000000" w:themeColor="text1"/>
          <w:sz w:val="20"/>
          <w:szCs w:val="20"/>
        </w:rPr>
        <w:lastRenderedPageBreak/>
        <w:t>today not only to recognize the responsibility of the State in such a painful event, but also to honor the memory of Mr. Gabriel Angel Gomez Martinez.</w:t>
      </w:r>
    </w:p>
    <w:p w14:paraId="71855048" w14:textId="77777777" w:rsidR="009B3A94" w:rsidRPr="009B3A94"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p>
    <w:p w14:paraId="2265C9BA" w14:textId="77777777" w:rsidR="009B3A94" w:rsidRPr="009B3A94"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r w:rsidRPr="009B3A94">
        <w:rPr>
          <w:rFonts w:asciiTheme="majorHAnsi" w:eastAsia="MS Mincho" w:hAnsiTheme="majorHAnsi" w:cstheme="minorHAnsi"/>
          <w:color w:val="000000" w:themeColor="text1"/>
          <w:sz w:val="20"/>
          <w:szCs w:val="20"/>
        </w:rPr>
        <w:t xml:space="preserve">The Colombian State recognizes its responsibility for the lack of diligence in the investigation of the events occurred on May 16, 1999, when a group of illegal self-defense groups raided the village of </w:t>
      </w:r>
      <w:proofErr w:type="spellStart"/>
      <w:r w:rsidRPr="009B3A94">
        <w:rPr>
          <w:rFonts w:asciiTheme="majorHAnsi" w:eastAsia="MS Mincho" w:hAnsiTheme="majorHAnsi" w:cstheme="minorHAnsi"/>
          <w:color w:val="000000" w:themeColor="text1"/>
          <w:sz w:val="20"/>
          <w:szCs w:val="20"/>
        </w:rPr>
        <w:t>Nutibara</w:t>
      </w:r>
      <w:proofErr w:type="spellEnd"/>
      <w:r w:rsidRPr="009B3A94">
        <w:rPr>
          <w:rFonts w:asciiTheme="majorHAnsi" w:eastAsia="MS Mincho" w:hAnsiTheme="majorHAnsi" w:cstheme="minorHAnsi"/>
          <w:color w:val="000000" w:themeColor="text1"/>
          <w:sz w:val="20"/>
          <w:szCs w:val="20"/>
        </w:rPr>
        <w:t>, municipality of Frontino in Antioquia, and caused serious injuries to Mr. Gabriel Angel Gomez Martinez, which later caused his death.</w:t>
      </w:r>
    </w:p>
    <w:p w14:paraId="35F8A9E1" w14:textId="77777777" w:rsidR="009B3A94" w:rsidRPr="009B3A94"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p>
    <w:p w14:paraId="1F99F741" w14:textId="77777777" w:rsidR="009B3A94" w:rsidRPr="009B3A94"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r w:rsidRPr="009B3A94">
        <w:rPr>
          <w:rFonts w:asciiTheme="majorHAnsi" w:eastAsia="MS Mincho" w:hAnsiTheme="majorHAnsi" w:cstheme="minorHAnsi"/>
          <w:color w:val="000000" w:themeColor="text1"/>
          <w:sz w:val="20"/>
          <w:szCs w:val="20"/>
        </w:rPr>
        <w:t xml:space="preserve">The State has witnessed the painful search for truth and justice that the family of Mr. Gabriel Gómez has undertaken during these years. </w:t>
      </w:r>
    </w:p>
    <w:p w14:paraId="70AF3C45" w14:textId="77777777" w:rsidR="009B3A94" w:rsidRPr="009B3A94"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p>
    <w:p w14:paraId="1C13C65C" w14:textId="77777777" w:rsidR="00070E0E" w:rsidRDefault="009B3A94"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pPr>
      <w:r w:rsidRPr="009B3A94">
        <w:rPr>
          <w:rFonts w:asciiTheme="majorHAnsi" w:eastAsia="MS Mincho" w:hAnsiTheme="majorHAnsi" w:cstheme="minorHAnsi"/>
          <w:color w:val="000000" w:themeColor="text1"/>
          <w:sz w:val="20"/>
          <w:szCs w:val="20"/>
        </w:rPr>
        <w:t xml:space="preserve">The Colombian State had the duty to investigate, prosecute and punish those responsible for the murder of Mr. Gabriel </w:t>
      </w:r>
      <w:proofErr w:type="spellStart"/>
      <w:r w:rsidRPr="009B3A94">
        <w:rPr>
          <w:rFonts w:asciiTheme="majorHAnsi" w:eastAsia="MS Mincho" w:hAnsiTheme="majorHAnsi" w:cstheme="minorHAnsi"/>
          <w:color w:val="000000" w:themeColor="text1"/>
          <w:sz w:val="20"/>
          <w:szCs w:val="20"/>
        </w:rPr>
        <w:t>Ángel</w:t>
      </w:r>
      <w:proofErr w:type="spellEnd"/>
      <w:r w:rsidRPr="009B3A94">
        <w:rPr>
          <w:rFonts w:asciiTheme="majorHAnsi" w:eastAsia="MS Mincho" w:hAnsiTheme="majorHAnsi" w:cstheme="minorHAnsi"/>
          <w:color w:val="000000" w:themeColor="text1"/>
          <w:sz w:val="20"/>
          <w:szCs w:val="20"/>
        </w:rPr>
        <w:t xml:space="preserve"> Gómez. We deeply regret having made the Gomez Martinez family go through a path of difficulties, </w:t>
      </w:r>
      <w:r w:rsidR="00E73258" w:rsidRPr="009B3A94">
        <w:rPr>
          <w:rFonts w:asciiTheme="majorHAnsi" w:eastAsia="MS Mincho" w:hAnsiTheme="majorHAnsi" w:cstheme="minorHAnsi"/>
          <w:color w:val="000000" w:themeColor="text1"/>
          <w:sz w:val="20"/>
          <w:szCs w:val="20"/>
        </w:rPr>
        <w:t>injustice,</w:t>
      </w:r>
      <w:r w:rsidRPr="009B3A94">
        <w:rPr>
          <w:rFonts w:asciiTheme="majorHAnsi" w:eastAsia="MS Mincho" w:hAnsiTheme="majorHAnsi" w:cstheme="minorHAnsi"/>
          <w:color w:val="000000" w:themeColor="text1"/>
          <w:sz w:val="20"/>
          <w:szCs w:val="20"/>
        </w:rPr>
        <w:t xml:space="preserve"> and uncertainty. Justice has the duty to be diligent, </w:t>
      </w:r>
      <w:r w:rsidR="00A114D4" w:rsidRPr="009B3A94">
        <w:rPr>
          <w:rFonts w:asciiTheme="majorHAnsi" w:eastAsia="MS Mincho" w:hAnsiTheme="majorHAnsi" w:cstheme="minorHAnsi"/>
          <w:color w:val="000000" w:themeColor="text1"/>
          <w:sz w:val="20"/>
          <w:szCs w:val="20"/>
        </w:rPr>
        <w:t>transparent,</w:t>
      </w:r>
      <w:r w:rsidRPr="009B3A94">
        <w:rPr>
          <w:rFonts w:asciiTheme="majorHAnsi" w:eastAsia="MS Mincho" w:hAnsiTheme="majorHAnsi" w:cstheme="minorHAnsi"/>
          <w:color w:val="000000" w:themeColor="text1"/>
          <w:sz w:val="20"/>
          <w:szCs w:val="20"/>
        </w:rPr>
        <w:t xml:space="preserve"> and impartial</w:t>
      </w:r>
      <w:r w:rsidR="00D97C6F" w:rsidRPr="00D12718">
        <w:rPr>
          <w:rFonts w:asciiTheme="majorHAnsi" w:eastAsia="MS Mincho" w:hAnsiTheme="majorHAnsi" w:cstheme="minorHAnsi"/>
          <w:color w:val="000000" w:themeColor="text1"/>
          <w:sz w:val="20"/>
          <w:szCs w:val="20"/>
        </w:rPr>
        <w:t>.”</w:t>
      </w:r>
      <w:r w:rsidR="00070E0E" w:rsidRPr="00070E0E">
        <w:t xml:space="preserve"> </w:t>
      </w:r>
    </w:p>
    <w:p w14:paraId="66917D16" w14:textId="77777777" w:rsidR="00070E0E" w:rsidRDefault="00070E0E"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pPr>
    </w:p>
    <w:p w14:paraId="64EE4EE8" w14:textId="5C55E726" w:rsidR="00A97415" w:rsidRPr="00D12718" w:rsidRDefault="00070E0E" w:rsidP="009A78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rPr>
      </w:pPr>
      <w:r w:rsidRPr="00070E0E">
        <w:rPr>
          <w:rFonts w:asciiTheme="majorHAnsi" w:eastAsia="MS Mincho" w:hAnsiTheme="majorHAnsi" w:cstheme="minorHAnsi"/>
          <w:color w:val="000000" w:themeColor="text1"/>
          <w:sz w:val="20"/>
          <w:szCs w:val="20"/>
        </w:rPr>
        <w:t>[…]</w:t>
      </w:r>
    </w:p>
    <w:p w14:paraId="409A5214" w14:textId="7B4B9E02" w:rsidR="00D97C6F" w:rsidRPr="00D12718" w:rsidRDefault="00D97C6F"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rPr>
      </w:pPr>
    </w:p>
    <w:p w14:paraId="1EF99D47" w14:textId="3FE8578E" w:rsidR="00D97C6F" w:rsidRPr="00D12718" w:rsidRDefault="009B3A94"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9B3A94">
        <w:rPr>
          <w:rFonts w:asciiTheme="majorHAnsi" w:eastAsia="MS Mincho" w:hAnsiTheme="majorHAnsi" w:cstheme="minorHAnsi"/>
          <w:color w:val="000000" w:themeColor="text1"/>
          <w:sz w:val="20"/>
          <w:szCs w:val="20"/>
        </w:rPr>
        <w:t>The joint report submitted by both parties also noted the coverage of the acknowledgment of responsibility event in the media and social networks of the State institutions and the dissemination of the link to the event through a private link on their YouTube channel</w:t>
      </w:r>
      <w:r w:rsidR="00D97C6F" w:rsidRPr="00D12718">
        <w:rPr>
          <w:rFonts w:asciiTheme="majorHAnsi" w:eastAsia="MS Mincho" w:hAnsiTheme="majorHAnsi" w:cstheme="minorHAnsi"/>
          <w:color w:val="000000" w:themeColor="text1"/>
          <w:sz w:val="20"/>
          <w:szCs w:val="20"/>
        </w:rPr>
        <w:t>.</w:t>
      </w:r>
    </w:p>
    <w:p w14:paraId="4A08493F" w14:textId="77777777" w:rsidR="00D97C6F" w:rsidRPr="00D12718" w:rsidRDefault="00D97C6F"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rPr>
      </w:pPr>
    </w:p>
    <w:p w14:paraId="1C409626" w14:textId="54538068" w:rsidR="00D97C6F" w:rsidRPr="00D12718" w:rsidRDefault="00C6680E" w:rsidP="00BD4B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proofErr w:type="gramStart"/>
      <w:r w:rsidRPr="00C6680E">
        <w:rPr>
          <w:rFonts w:asciiTheme="majorHAnsi" w:eastAsia="MS Mincho" w:hAnsiTheme="majorHAnsi" w:cstheme="minorHAnsi"/>
          <w:color w:val="000000" w:themeColor="text1"/>
          <w:sz w:val="20"/>
          <w:szCs w:val="20"/>
        </w:rPr>
        <w:t>Taking into account</w:t>
      </w:r>
      <w:proofErr w:type="gramEnd"/>
      <w:r w:rsidRPr="00C6680E">
        <w:rPr>
          <w:rFonts w:asciiTheme="majorHAnsi" w:eastAsia="MS Mincho" w:hAnsiTheme="majorHAnsi" w:cstheme="minorHAnsi"/>
          <w:color w:val="000000" w:themeColor="text1"/>
          <w:sz w:val="20"/>
          <w:szCs w:val="20"/>
        </w:rPr>
        <w:t xml:space="preserve"> the information provided by the parties, the Commission notes as a good practice the adaptation of the act of recognition of responsibility to the health emergency in the framework of the COVID-19 pandemic. Therefore, the Commission considers with satisfaction that this aspect of the friendly settlement agreement has been fully complied with and so</w:t>
      </w:r>
      <w:r w:rsidR="008916B6">
        <w:rPr>
          <w:rFonts w:asciiTheme="majorHAnsi" w:eastAsia="MS Mincho" w:hAnsiTheme="majorHAnsi" w:cstheme="minorHAnsi"/>
          <w:color w:val="000000" w:themeColor="text1"/>
          <w:sz w:val="20"/>
          <w:szCs w:val="20"/>
        </w:rPr>
        <w:t xml:space="preserve"> </w:t>
      </w:r>
      <w:r w:rsidR="003B7E63" w:rsidRPr="00C6680E">
        <w:rPr>
          <w:rFonts w:asciiTheme="majorHAnsi" w:eastAsia="MS Mincho" w:hAnsiTheme="majorHAnsi" w:cstheme="minorHAnsi"/>
          <w:color w:val="000000" w:themeColor="text1"/>
          <w:sz w:val="20"/>
          <w:szCs w:val="20"/>
        </w:rPr>
        <w:t>declares</w:t>
      </w:r>
      <w:r w:rsidR="008916B6">
        <w:rPr>
          <w:rFonts w:asciiTheme="majorHAnsi" w:eastAsia="MS Mincho" w:hAnsiTheme="majorHAnsi" w:cstheme="minorHAnsi"/>
          <w:color w:val="000000" w:themeColor="text1"/>
          <w:sz w:val="20"/>
          <w:szCs w:val="20"/>
        </w:rPr>
        <w:t xml:space="preserve"> it as such</w:t>
      </w:r>
      <w:r w:rsidR="00E75132" w:rsidRPr="00D12718">
        <w:rPr>
          <w:rFonts w:asciiTheme="majorHAnsi" w:eastAsia="MS Mincho" w:hAnsiTheme="majorHAnsi" w:cstheme="minorHAnsi"/>
          <w:color w:val="000000" w:themeColor="text1"/>
          <w:sz w:val="20"/>
          <w:szCs w:val="20"/>
        </w:rPr>
        <w:t xml:space="preserve">. </w:t>
      </w:r>
    </w:p>
    <w:p w14:paraId="25560428" w14:textId="77777777" w:rsidR="00A97415" w:rsidRPr="00D12718" w:rsidRDefault="00A97415" w:rsidP="00BD4B21">
      <w:pPr>
        <w:pStyle w:val="ListParagraph"/>
        <w:rPr>
          <w:rFonts w:asciiTheme="majorHAnsi" w:eastAsia="MS Mincho" w:hAnsiTheme="majorHAnsi" w:cstheme="minorHAnsi"/>
          <w:color w:val="000000" w:themeColor="text1"/>
          <w:sz w:val="20"/>
          <w:szCs w:val="20"/>
        </w:rPr>
      </w:pPr>
    </w:p>
    <w:p w14:paraId="30348486" w14:textId="1EBA8368" w:rsidR="00A97415" w:rsidRPr="00D12718" w:rsidRDefault="00C6680E"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C6680E">
        <w:rPr>
          <w:rFonts w:asciiTheme="majorHAnsi" w:eastAsia="MS Mincho" w:hAnsiTheme="majorHAnsi" w:cstheme="minorHAnsi"/>
          <w:color w:val="000000" w:themeColor="text1"/>
          <w:sz w:val="20"/>
          <w:szCs w:val="20"/>
        </w:rPr>
        <w:t xml:space="preserve">On the other hand, </w:t>
      </w:r>
      <w:proofErr w:type="gramStart"/>
      <w:r w:rsidRPr="00C6680E">
        <w:rPr>
          <w:rFonts w:asciiTheme="majorHAnsi" w:eastAsia="MS Mincho" w:hAnsiTheme="majorHAnsi" w:cstheme="minorHAnsi"/>
          <w:color w:val="000000" w:themeColor="text1"/>
          <w:sz w:val="20"/>
          <w:szCs w:val="20"/>
        </w:rPr>
        <w:t>with regard to</w:t>
      </w:r>
      <w:proofErr w:type="gramEnd"/>
      <w:r w:rsidRPr="00C6680E">
        <w:rPr>
          <w:rFonts w:asciiTheme="majorHAnsi" w:eastAsia="MS Mincho" w:hAnsiTheme="majorHAnsi" w:cstheme="minorHAnsi"/>
          <w:color w:val="000000" w:themeColor="text1"/>
          <w:sz w:val="20"/>
          <w:szCs w:val="20"/>
        </w:rPr>
        <w:t xml:space="preserve"> paragraph (ii) of the fifth clause, on the publication of the Article 49 Report on the web page of the National Agency for the Legal Defense of the State, it is noted that this commitment will be enforceable after the present approval, therefore, the Commission considers that this measure is pending compliance and so</w:t>
      </w:r>
      <w:r w:rsidR="008916B6">
        <w:rPr>
          <w:rFonts w:asciiTheme="majorHAnsi" w:eastAsia="MS Mincho" w:hAnsiTheme="majorHAnsi" w:cstheme="minorHAnsi"/>
          <w:color w:val="000000" w:themeColor="text1"/>
          <w:sz w:val="20"/>
          <w:szCs w:val="20"/>
        </w:rPr>
        <w:t xml:space="preserve"> </w:t>
      </w:r>
      <w:r w:rsidRPr="00C6680E">
        <w:rPr>
          <w:rFonts w:asciiTheme="majorHAnsi" w:eastAsia="MS Mincho" w:hAnsiTheme="majorHAnsi" w:cstheme="minorHAnsi"/>
          <w:color w:val="000000" w:themeColor="text1"/>
          <w:sz w:val="20"/>
          <w:szCs w:val="20"/>
        </w:rPr>
        <w:t>declares</w:t>
      </w:r>
      <w:r w:rsidR="008916B6">
        <w:rPr>
          <w:rFonts w:asciiTheme="majorHAnsi" w:eastAsia="MS Mincho" w:hAnsiTheme="majorHAnsi" w:cstheme="minorHAnsi"/>
          <w:color w:val="000000" w:themeColor="text1"/>
          <w:sz w:val="20"/>
          <w:szCs w:val="20"/>
        </w:rPr>
        <w:t xml:space="preserve"> it as such</w:t>
      </w:r>
      <w:r w:rsidR="000A38DA" w:rsidRPr="00D12718">
        <w:rPr>
          <w:rFonts w:asciiTheme="majorHAnsi" w:eastAsia="MS Mincho" w:hAnsiTheme="majorHAnsi" w:cstheme="minorHAnsi"/>
          <w:color w:val="000000" w:themeColor="text1"/>
          <w:sz w:val="20"/>
          <w:szCs w:val="20"/>
        </w:rPr>
        <w:t>.</w:t>
      </w:r>
      <w:r w:rsidR="003B7E63">
        <w:rPr>
          <w:rFonts w:asciiTheme="majorHAnsi" w:eastAsia="MS Mincho" w:hAnsiTheme="majorHAnsi" w:cstheme="minorHAnsi"/>
          <w:color w:val="000000" w:themeColor="text1"/>
          <w:sz w:val="20"/>
          <w:szCs w:val="20"/>
        </w:rPr>
        <w:t xml:space="preserve"> </w:t>
      </w:r>
    </w:p>
    <w:p w14:paraId="69CCCBF7" w14:textId="77777777" w:rsidR="00A97415" w:rsidRPr="00D12718" w:rsidRDefault="00A97415" w:rsidP="00BD4B21">
      <w:pPr>
        <w:pStyle w:val="ListParagraph"/>
        <w:rPr>
          <w:rFonts w:asciiTheme="majorHAnsi" w:eastAsia="MS Mincho" w:hAnsiTheme="majorHAnsi" w:cstheme="minorHAnsi"/>
          <w:color w:val="000000" w:themeColor="text1"/>
          <w:sz w:val="20"/>
          <w:szCs w:val="20"/>
        </w:rPr>
      </w:pPr>
    </w:p>
    <w:p w14:paraId="258F356E" w14:textId="6796F745" w:rsidR="00A97415" w:rsidRPr="00D12718" w:rsidRDefault="003B7E63"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proofErr w:type="gramStart"/>
      <w:r>
        <w:rPr>
          <w:rFonts w:asciiTheme="majorHAnsi" w:eastAsia="MS Mincho" w:hAnsiTheme="majorHAnsi" w:cstheme="minorHAnsi"/>
          <w:color w:val="000000" w:themeColor="text1"/>
          <w:sz w:val="20"/>
          <w:szCs w:val="20"/>
        </w:rPr>
        <w:t>With regard to</w:t>
      </w:r>
      <w:proofErr w:type="gramEnd"/>
      <w:r w:rsidR="00C6680E" w:rsidRPr="00C6680E">
        <w:rPr>
          <w:rFonts w:asciiTheme="majorHAnsi" w:eastAsia="MS Mincho" w:hAnsiTheme="majorHAnsi" w:cstheme="minorHAnsi"/>
          <w:color w:val="000000" w:themeColor="text1"/>
          <w:sz w:val="20"/>
          <w:szCs w:val="20"/>
        </w:rPr>
        <w:t xml:space="preserve"> the sixth clause of the agreement, referring to the compensation measures in favor of the 3 beneficiaries of the FSA, the Commission notes that these measures must be fulfilled once the present approval report has been issued, for which reason the Commission will not issue an opinion on these reparation measures at this stage</w:t>
      </w:r>
      <w:r w:rsidR="00A97415" w:rsidRPr="00D12718">
        <w:rPr>
          <w:rFonts w:asciiTheme="majorHAnsi" w:eastAsia="MS Mincho" w:hAnsiTheme="majorHAnsi" w:cstheme="minorHAnsi"/>
          <w:color w:val="000000" w:themeColor="text1"/>
          <w:sz w:val="20"/>
          <w:szCs w:val="20"/>
        </w:rPr>
        <w:t>.</w:t>
      </w:r>
      <w:r w:rsidR="000A38DA" w:rsidRPr="00D12718">
        <w:rPr>
          <w:rFonts w:asciiTheme="majorHAnsi" w:eastAsia="MS Mincho" w:hAnsiTheme="majorHAnsi" w:cstheme="minorHAnsi"/>
          <w:color w:val="000000" w:themeColor="text1"/>
          <w:sz w:val="20"/>
          <w:szCs w:val="20"/>
        </w:rPr>
        <w:t xml:space="preserve"> </w:t>
      </w:r>
    </w:p>
    <w:p w14:paraId="02019348" w14:textId="77777777" w:rsidR="00A97415" w:rsidRPr="00D12718" w:rsidRDefault="00A97415" w:rsidP="00BD4B21">
      <w:pPr>
        <w:pStyle w:val="ListParagraph"/>
        <w:rPr>
          <w:rFonts w:asciiTheme="majorHAnsi" w:eastAsia="MS Mincho" w:hAnsiTheme="majorHAnsi" w:cstheme="minorHAnsi"/>
          <w:color w:val="000000" w:themeColor="text1"/>
          <w:sz w:val="20"/>
          <w:szCs w:val="20"/>
        </w:rPr>
      </w:pPr>
    </w:p>
    <w:p w14:paraId="75C4B2D0" w14:textId="25554FC9" w:rsidR="006C5C8E" w:rsidRPr="00D12718" w:rsidRDefault="00C6680E" w:rsidP="00BD4B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C6680E">
        <w:rPr>
          <w:rFonts w:asciiTheme="majorHAnsi" w:eastAsia="MS Mincho" w:hAnsiTheme="majorHAnsi" w:cstheme="minorHAnsi"/>
          <w:color w:val="000000" w:themeColor="text1"/>
          <w:sz w:val="20"/>
          <w:szCs w:val="20"/>
        </w:rPr>
        <w:t>Furthermore, the Commission considers that the rest of the content of the agreement is of a declarative nature, and therefore the IACHR would not be responsible for supervising its compliance</w:t>
      </w:r>
      <w:r w:rsidR="006C5C8E" w:rsidRPr="00D12718">
        <w:rPr>
          <w:rFonts w:asciiTheme="majorHAnsi" w:eastAsia="MS Mincho" w:hAnsiTheme="majorHAnsi" w:cstheme="minorHAnsi"/>
          <w:color w:val="000000" w:themeColor="text1"/>
          <w:sz w:val="20"/>
          <w:szCs w:val="20"/>
        </w:rPr>
        <w:t xml:space="preserve">. </w:t>
      </w:r>
    </w:p>
    <w:p w14:paraId="144BAA77" w14:textId="77777777" w:rsidR="003E7EB5" w:rsidRPr="00D12718"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rPr>
      </w:pPr>
    </w:p>
    <w:p w14:paraId="35D75C04" w14:textId="491912ED" w:rsidR="003E7EB5" w:rsidRPr="00D12718" w:rsidRDefault="003E7EB5" w:rsidP="00BD4B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eastAsia="es-ES_tradnl"/>
        </w:rPr>
      </w:pPr>
      <w:r w:rsidRPr="00D12718">
        <w:rPr>
          <w:rFonts w:asciiTheme="majorHAnsi" w:eastAsia="Times New Roman" w:hAnsiTheme="majorHAnsi" w:cstheme="minorHAnsi"/>
          <w:b/>
          <w:bCs/>
          <w:color w:val="000000" w:themeColor="text1"/>
          <w:sz w:val="20"/>
          <w:szCs w:val="20"/>
          <w:bdr w:val="none" w:sz="0" w:space="0" w:color="auto"/>
          <w:lang w:eastAsia="es-ES_tradnl"/>
        </w:rPr>
        <w:t xml:space="preserve">CONCLUSIONS </w:t>
      </w:r>
    </w:p>
    <w:p w14:paraId="21F1D58E" w14:textId="77777777" w:rsidR="003E7EB5" w:rsidRPr="00D12718"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559A62BB" w14:textId="72C3604E" w:rsidR="003E7EB5" w:rsidRPr="00D12718" w:rsidRDefault="00593426"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593426">
        <w:rPr>
          <w:rFonts w:asciiTheme="majorHAnsi" w:eastAsia="Times New Roman" w:hAnsiTheme="majorHAnsi" w:cstheme="minorHAnsi"/>
          <w:color w:val="000000" w:themeColor="text1"/>
          <w:sz w:val="20"/>
          <w:szCs w:val="20"/>
          <w:bdr w:val="none" w:sz="0" w:space="0" w:color="auto"/>
          <w:lang w:eastAsia="es-ES_tradnl"/>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003E7EB5" w:rsidRPr="00D12718">
        <w:rPr>
          <w:rFonts w:asciiTheme="majorHAnsi" w:eastAsia="Times New Roman" w:hAnsiTheme="majorHAnsi" w:cstheme="minorHAnsi"/>
          <w:color w:val="000000" w:themeColor="text1"/>
          <w:sz w:val="20"/>
          <w:szCs w:val="20"/>
          <w:bdr w:val="none" w:sz="0" w:space="0" w:color="auto"/>
          <w:lang w:eastAsia="es-ES_tradnl"/>
        </w:rPr>
        <w:t xml:space="preserve">. </w:t>
      </w:r>
    </w:p>
    <w:p w14:paraId="1ECA77FA" w14:textId="77777777" w:rsidR="003E7EB5" w:rsidRPr="00D12718" w:rsidRDefault="003E7EB5"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p>
    <w:p w14:paraId="59F6F363" w14:textId="158491E4" w:rsidR="00D12718" w:rsidRPr="004C1C8C" w:rsidRDefault="00593426" w:rsidP="004C1C8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dr w:val="none" w:sz="0" w:space="0" w:color="auto"/>
        </w:rPr>
      </w:pPr>
      <w:r w:rsidRPr="00593426">
        <w:rPr>
          <w:rFonts w:asciiTheme="majorHAnsi" w:eastAsia="Times New Roman" w:hAnsiTheme="majorHAnsi" w:cstheme="minorHAnsi"/>
          <w:color w:val="000000" w:themeColor="text1"/>
          <w:sz w:val="20"/>
          <w:szCs w:val="20"/>
          <w:bdr w:val="none" w:sz="0" w:space="0" w:color="auto"/>
          <w:lang w:eastAsia="es-ES_tradnl"/>
        </w:rPr>
        <w:t>By virtue of the considerations and conclusions set forth in this report</w:t>
      </w:r>
      <w:r w:rsidR="003E7EB5" w:rsidRPr="00D12718">
        <w:rPr>
          <w:rFonts w:asciiTheme="majorHAnsi" w:eastAsia="Times New Roman" w:hAnsiTheme="majorHAnsi" w:cstheme="minorHAnsi"/>
          <w:color w:val="000000" w:themeColor="text1"/>
          <w:sz w:val="20"/>
          <w:szCs w:val="20"/>
          <w:bdr w:val="none" w:sz="0" w:space="0" w:color="auto"/>
          <w:lang w:eastAsia="es-ES_tradnl"/>
        </w:rPr>
        <w:t>,</w:t>
      </w:r>
    </w:p>
    <w:p w14:paraId="60D569F5" w14:textId="77777777" w:rsidR="003E7EB5" w:rsidRPr="00D12718"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r w:rsidRPr="00D12718">
        <w:rPr>
          <w:rFonts w:asciiTheme="majorHAnsi" w:eastAsia="Times New Roman" w:hAnsiTheme="majorHAnsi" w:cstheme="minorHAnsi"/>
          <w:color w:val="000000" w:themeColor="text1"/>
          <w:sz w:val="20"/>
          <w:szCs w:val="20"/>
          <w:bdr w:val="none" w:sz="0" w:space="0" w:color="auto"/>
          <w:lang w:eastAsia="es-ES_tradnl"/>
        </w:rPr>
        <w:t xml:space="preserve"> </w:t>
      </w:r>
    </w:p>
    <w:p w14:paraId="1580A829" w14:textId="77777777" w:rsidR="00E93D8D" w:rsidRDefault="00D12718" w:rsidP="001D02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D12718">
        <w:rPr>
          <w:rFonts w:asciiTheme="majorHAnsi" w:eastAsia="Times New Roman" w:hAnsiTheme="majorHAnsi" w:cstheme="minorHAnsi"/>
          <w:b/>
          <w:bCs/>
          <w:color w:val="000000" w:themeColor="text1"/>
          <w:sz w:val="20"/>
          <w:szCs w:val="20"/>
          <w:bdr w:val="none" w:sz="0" w:space="0" w:color="auto"/>
          <w:lang w:eastAsia="es-ES_tradnl"/>
        </w:rPr>
        <w:t xml:space="preserve">THE INTER-AMERICAN COMMISSION ON HUMAN RIGHTS </w:t>
      </w:r>
    </w:p>
    <w:p w14:paraId="5139D3A1" w14:textId="63BC19F3" w:rsidR="003E7EB5" w:rsidRPr="00D12718" w:rsidRDefault="003E7EB5" w:rsidP="0064753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inorHAnsi"/>
          <w:b/>
          <w:bCs/>
          <w:color w:val="000000" w:themeColor="text1"/>
          <w:sz w:val="20"/>
          <w:szCs w:val="20"/>
          <w:bdr w:val="none" w:sz="0" w:space="0" w:color="auto"/>
          <w:lang w:eastAsia="es-ES_tradnl"/>
        </w:rPr>
      </w:pPr>
      <w:r w:rsidRPr="00D12718">
        <w:rPr>
          <w:rFonts w:asciiTheme="majorHAnsi" w:eastAsia="Times New Roman" w:hAnsiTheme="majorHAnsi" w:cstheme="minorHAnsi"/>
          <w:b/>
          <w:bCs/>
          <w:color w:val="000000" w:themeColor="text1"/>
          <w:sz w:val="20"/>
          <w:szCs w:val="20"/>
          <w:bdr w:val="none" w:sz="0" w:space="0" w:color="auto"/>
          <w:lang w:eastAsia="es-ES_tradnl"/>
        </w:rPr>
        <w:t>DECIDE</w:t>
      </w:r>
      <w:r w:rsidR="00D12718" w:rsidRPr="00D12718">
        <w:rPr>
          <w:rFonts w:asciiTheme="majorHAnsi" w:eastAsia="Times New Roman" w:hAnsiTheme="majorHAnsi" w:cstheme="minorHAnsi"/>
          <w:b/>
          <w:bCs/>
          <w:color w:val="000000" w:themeColor="text1"/>
          <w:sz w:val="20"/>
          <w:szCs w:val="20"/>
          <w:bdr w:val="none" w:sz="0" w:space="0" w:color="auto"/>
          <w:lang w:eastAsia="es-ES_tradnl"/>
        </w:rPr>
        <w:t>S</w:t>
      </w:r>
      <w:r w:rsidRPr="00D12718">
        <w:rPr>
          <w:rFonts w:asciiTheme="majorHAnsi" w:eastAsia="Times New Roman" w:hAnsiTheme="majorHAnsi" w:cstheme="minorHAnsi"/>
          <w:b/>
          <w:bCs/>
          <w:color w:val="000000" w:themeColor="text1"/>
          <w:sz w:val="20"/>
          <w:szCs w:val="20"/>
          <w:bdr w:val="none" w:sz="0" w:space="0" w:color="auto"/>
          <w:lang w:eastAsia="es-ES_tradnl"/>
        </w:rPr>
        <w:t>:</w:t>
      </w:r>
    </w:p>
    <w:p w14:paraId="3278A8BF" w14:textId="77777777" w:rsidR="003E7EB5" w:rsidRPr="00D12718" w:rsidRDefault="003E7EB5" w:rsidP="00BD4B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7BAD072F" w14:textId="067D135A" w:rsidR="006C5C8E" w:rsidRPr="00D12718" w:rsidRDefault="00593426" w:rsidP="00BD4B2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eastAsia="Times New Roman" w:hAnsiTheme="majorHAnsi" w:cstheme="minorHAnsi"/>
          <w:color w:val="000000" w:themeColor="text1"/>
          <w:sz w:val="20"/>
          <w:szCs w:val="20"/>
          <w:bdr w:val="none" w:sz="0" w:space="0" w:color="auto" w:frame="1"/>
          <w:lang w:eastAsia="es-ES_tradnl"/>
        </w:rPr>
      </w:pPr>
      <w:r w:rsidRPr="00593426">
        <w:rPr>
          <w:rFonts w:asciiTheme="majorHAnsi" w:eastAsia="Times New Roman" w:hAnsiTheme="majorHAnsi" w:cstheme="minorHAnsi"/>
          <w:color w:val="000000" w:themeColor="text1"/>
          <w:sz w:val="20"/>
          <w:szCs w:val="20"/>
          <w:bdr w:val="none" w:sz="0" w:space="0" w:color="auto" w:frame="1"/>
          <w:lang w:eastAsia="es-ES_tradnl"/>
        </w:rPr>
        <w:t>Approve the terms of the agreement signed by the parties on September 7, 2021</w:t>
      </w:r>
      <w:r w:rsidR="006C5C8E" w:rsidRPr="00D12718">
        <w:rPr>
          <w:rFonts w:asciiTheme="majorHAnsi" w:eastAsia="Times New Roman" w:hAnsiTheme="majorHAnsi" w:cstheme="minorHAnsi"/>
          <w:color w:val="000000" w:themeColor="text1"/>
          <w:sz w:val="20"/>
          <w:szCs w:val="20"/>
          <w:bdr w:val="none" w:sz="0" w:space="0" w:color="auto" w:frame="1"/>
          <w:lang w:eastAsia="es-ES_tradnl"/>
        </w:rPr>
        <w:t xml:space="preserve">. </w:t>
      </w:r>
    </w:p>
    <w:p w14:paraId="15EA9BC8" w14:textId="77777777" w:rsidR="00BD4B21" w:rsidRPr="00D12718"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frame="1"/>
          <w:lang w:eastAsia="es-ES_tradnl"/>
        </w:rPr>
      </w:pPr>
    </w:p>
    <w:p w14:paraId="60F0FA76" w14:textId="19DD84F0" w:rsidR="00A97415" w:rsidRPr="00D12718" w:rsidRDefault="00593426"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593426">
        <w:rPr>
          <w:rFonts w:asciiTheme="majorHAnsi" w:eastAsia="Times New Roman" w:hAnsiTheme="majorHAnsi" w:cstheme="minorHAnsi"/>
          <w:color w:val="000000" w:themeColor="text1"/>
          <w:sz w:val="20"/>
          <w:szCs w:val="20"/>
          <w:bdr w:val="none" w:sz="0" w:space="0" w:color="auto"/>
          <w:lang w:eastAsia="es-ES_tradnl"/>
        </w:rPr>
        <w:lastRenderedPageBreak/>
        <w:t xml:space="preserve">To declare that paragraph (i) (Act of </w:t>
      </w:r>
      <w:r w:rsidR="00063A46">
        <w:rPr>
          <w:rFonts w:asciiTheme="majorHAnsi" w:eastAsia="Times New Roman" w:hAnsiTheme="majorHAnsi" w:cstheme="minorHAnsi"/>
          <w:color w:val="000000" w:themeColor="text1"/>
          <w:sz w:val="20"/>
          <w:szCs w:val="20"/>
          <w:bdr w:val="none" w:sz="0" w:space="0" w:color="auto"/>
          <w:lang w:eastAsia="es-ES_tradnl"/>
        </w:rPr>
        <w:t xml:space="preserve">acknowledgement </w:t>
      </w:r>
      <w:r w:rsidRPr="00593426">
        <w:rPr>
          <w:rFonts w:asciiTheme="majorHAnsi" w:eastAsia="Times New Roman" w:hAnsiTheme="majorHAnsi" w:cstheme="minorHAnsi"/>
          <w:color w:val="000000" w:themeColor="text1"/>
          <w:sz w:val="20"/>
          <w:szCs w:val="20"/>
          <w:bdr w:val="none" w:sz="0" w:space="0" w:color="auto"/>
          <w:lang w:eastAsia="es-ES_tradnl"/>
        </w:rPr>
        <w:t xml:space="preserve">of international responsibility) of the fifth clause is </w:t>
      </w:r>
      <w:r>
        <w:rPr>
          <w:rFonts w:asciiTheme="majorHAnsi" w:eastAsia="Times New Roman" w:hAnsiTheme="majorHAnsi" w:cstheme="minorHAnsi"/>
          <w:color w:val="000000" w:themeColor="text1"/>
          <w:sz w:val="20"/>
          <w:szCs w:val="20"/>
          <w:bdr w:val="none" w:sz="0" w:space="0" w:color="auto"/>
          <w:lang w:eastAsia="es-ES_tradnl"/>
        </w:rPr>
        <w:t>in full compliance</w:t>
      </w:r>
      <w:r w:rsidRPr="00593426">
        <w:rPr>
          <w:rFonts w:asciiTheme="majorHAnsi" w:eastAsia="Times New Roman" w:hAnsiTheme="majorHAnsi" w:cstheme="minorHAnsi"/>
          <w:color w:val="000000" w:themeColor="text1"/>
          <w:sz w:val="20"/>
          <w:szCs w:val="20"/>
          <w:bdr w:val="none" w:sz="0" w:space="0" w:color="auto"/>
          <w:lang w:eastAsia="es-ES_tradnl"/>
        </w:rPr>
        <w:t>, according to the analysis contained in this report</w:t>
      </w:r>
      <w:r w:rsidR="00A97415" w:rsidRPr="00D12718">
        <w:rPr>
          <w:rFonts w:asciiTheme="majorHAnsi" w:eastAsia="Times New Roman" w:hAnsiTheme="majorHAnsi" w:cstheme="minorHAnsi"/>
          <w:color w:val="000000" w:themeColor="text1"/>
          <w:sz w:val="20"/>
          <w:szCs w:val="20"/>
          <w:bdr w:val="none" w:sz="0" w:space="0" w:color="auto"/>
          <w:lang w:eastAsia="es-ES_tradnl"/>
        </w:rPr>
        <w:t xml:space="preserve">. </w:t>
      </w:r>
    </w:p>
    <w:p w14:paraId="5FC8417C" w14:textId="77777777" w:rsidR="00BD4B21" w:rsidRPr="00D12718" w:rsidRDefault="00BD4B21" w:rsidP="00BD4B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highlight w:val="yellow"/>
          <w:bdr w:val="none" w:sz="0" w:space="0" w:color="auto"/>
          <w:lang w:eastAsia="es-ES_tradnl"/>
        </w:rPr>
      </w:pPr>
    </w:p>
    <w:p w14:paraId="17C56C18" w14:textId="4FFFBB6C" w:rsidR="00A97415" w:rsidRPr="00D12718" w:rsidRDefault="00593426" w:rsidP="00BD4B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593426">
        <w:rPr>
          <w:rFonts w:asciiTheme="majorHAnsi" w:eastAsia="Times New Roman" w:hAnsiTheme="majorHAnsi" w:cstheme="minorHAnsi"/>
          <w:color w:val="000000" w:themeColor="text1"/>
          <w:sz w:val="20"/>
          <w:szCs w:val="20"/>
          <w:bdr w:val="none" w:sz="0" w:space="0" w:color="auto"/>
          <w:lang w:eastAsia="es-ES_tradnl"/>
        </w:rPr>
        <w:t>To declare that paragraph (ii) of clause five (Publication of the Article 49 report) and clause six (Financial compensation) are pending compliance, according to the analysis contained in this report</w:t>
      </w:r>
      <w:r w:rsidR="00A97415" w:rsidRPr="00D12718">
        <w:rPr>
          <w:rFonts w:asciiTheme="majorHAnsi" w:eastAsia="Times New Roman" w:hAnsiTheme="majorHAnsi" w:cstheme="minorHAnsi"/>
          <w:color w:val="000000" w:themeColor="text1"/>
          <w:sz w:val="20"/>
          <w:szCs w:val="20"/>
          <w:bdr w:val="none" w:sz="0" w:space="0" w:color="auto"/>
          <w:lang w:eastAsia="es-ES_tradnl"/>
        </w:rPr>
        <w:t xml:space="preserve">. </w:t>
      </w:r>
    </w:p>
    <w:p w14:paraId="2DA9B82B" w14:textId="77777777" w:rsidR="00BD4B21" w:rsidRPr="00D12718" w:rsidRDefault="00BD4B21" w:rsidP="00BD4B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eastAsia="es-ES_tradnl"/>
        </w:rPr>
      </w:pPr>
    </w:p>
    <w:p w14:paraId="3944809F" w14:textId="0BFE8FB6" w:rsidR="00A25A0E" w:rsidRPr="00D12718" w:rsidRDefault="00593426" w:rsidP="00A25A0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593426">
        <w:rPr>
          <w:rFonts w:asciiTheme="majorHAnsi" w:eastAsia="Times New Roman" w:hAnsiTheme="majorHAnsi" w:cstheme="minorHAnsi"/>
          <w:color w:val="000000" w:themeColor="text1"/>
          <w:sz w:val="20"/>
          <w:szCs w:val="20"/>
          <w:bdr w:val="none" w:sz="0" w:space="0" w:color="auto"/>
          <w:lang w:eastAsia="es-ES_tradnl"/>
        </w:rPr>
        <w:t>Continue to monitor the commitments assumed in clause five (ii) (Publication of the Article 49 report) and clause six (Financial compensation) of the friendly settlement agreement until they are fully complied with. To this end, the parties should be reminded of their commitment to report periodically to the IACHR on their compliance</w:t>
      </w:r>
      <w:r w:rsidR="00A97415" w:rsidRPr="00D12718">
        <w:rPr>
          <w:rFonts w:asciiTheme="majorHAnsi" w:eastAsia="Times New Roman" w:hAnsiTheme="majorHAnsi" w:cstheme="minorHAnsi"/>
          <w:color w:val="000000" w:themeColor="text1"/>
          <w:sz w:val="20"/>
          <w:szCs w:val="20"/>
          <w:bdr w:val="none" w:sz="0" w:space="0" w:color="auto"/>
          <w:lang w:eastAsia="es-ES_tradnl"/>
        </w:rPr>
        <w:t xml:space="preserve">. </w:t>
      </w:r>
    </w:p>
    <w:p w14:paraId="14071999" w14:textId="77777777" w:rsidR="00A25A0E" w:rsidRPr="00D12718" w:rsidRDefault="00A25A0E" w:rsidP="00A25A0E">
      <w:pPr>
        <w:pStyle w:val="ListParagraph"/>
        <w:rPr>
          <w:rFonts w:asciiTheme="majorHAnsi" w:eastAsia="Times New Roman" w:hAnsiTheme="majorHAnsi" w:cstheme="minorHAnsi"/>
          <w:color w:val="000000" w:themeColor="text1"/>
          <w:sz w:val="20"/>
          <w:szCs w:val="20"/>
          <w:bdr w:val="none" w:sz="0" w:space="0" w:color="auto" w:frame="1"/>
          <w:lang w:eastAsia="es-ES_tradnl"/>
        </w:rPr>
      </w:pPr>
    </w:p>
    <w:p w14:paraId="2CD88CB6" w14:textId="0E383656" w:rsidR="006C5C8E" w:rsidRPr="00D12718" w:rsidRDefault="00593426" w:rsidP="00A25A0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593426">
        <w:rPr>
          <w:rFonts w:asciiTheme="majorHAnsi" w:eastAsia="Times New Roman" w:hAnsiTheme="majorHAnsi" w:cstheme="minorHAnsi"/>
          <w:color w:val="000000" w:themeColor="text1"/>
          <w:sz w:val="20"/>
          <w:szCs w:val="20"/>
          <w:bdr w:val="none" w:sz="0" w:space="0" w:color="auto" w:frame="1"/>
          <w:lang w:eastAsia="es-ES_tradnl"/>
        </w:rPr>
        <w:t>To make this report public and include it in its Annual Report to the General Assembly of the Organization of American States</w:t>
      </w:r>
      <w:r w:rsidR="006C5C8E" w:rsidRPr="00D12718">
        <w:rPr>
          <w:rFonts w:asciiTheme="majorHAnsi" w:eastAsia="Times New Roman" w:hAnsiTheme="majorHAnsi" w:cstheme="minorHAnsi"/>
          <w:color w:val="000000" w:themeColor="text1"/>
          <w:sz w:val="20"/>
          <w:szCs w:val="20"/>
          <w:bdr w:val="none" w:sz="0" w:space="0" w:color="auto" w:frame="1"/>
          <w:lang w:eastAsia="es-ES_tradnl"/>
        </w:rPr>
        <w:t>.</w:t>
      </w:r>
    </w:p>
    <w:p w14:paraId="0A9AE914" w14:textId="77777777" w:rsidR="006C5C8E" w:rsidRPr="00D12718" w:rsidRDefault="006C5C8E" w:rsidP="00BD4B21">
      <w:pPr>
        <w:ind w:left="720"/>
        <w:jc w:val="both"/>
        <w:rPr>
          <w:rFonts w:asciiTheme="majorHAnsi" w:eastAsia="Times New Roman" w:hAnsiTheme="majorHAnsi" w:cstheme="minorHAnsi"/>
          <w:color w:val="000000" w:themeColor="text1"/>
          <w:sz w:val="20"/>
          <w:szCs w:val="20"/>
          <w:bdr w:val="none" w:sz="0" w:space="0" w:color="auto" w:frame="1"/>
          <w:lang w:eastAsia="es-ES_tradnl"/>
        </w:rPr>
      </w:pPr>
    </w:p>
    <w:p w14:paraId="1E581B26" w14:textId="1D6BAE25" w:rsidR="004F37F3" w:rsidRPr="001D02C5" w:rsidRDefault="00E742E7" w:rsidP="001D02C5">
      <w:pPr>
        <w:ind w:firstLine="720"/>
        <w:jc w:val="both"/>
        <w:rPr>
          <w:rFonts w:eastAsia="Times New Roman" w:cstheme="minorHAnsi"/>
          <w:color w:val="000000" w:themeColor="text1"/>
          <w:sz w:val="20"/>
          <w:szCs w:val="20"/>
          <w:bdr w:val="none" w:sz="0" w:space="0" w:color="auto" w:frame="1"/>
          <w:lang w:eastAsia="es-ES_tradnl"/>
        </w:rPr>
      </w:pPr>
      <w:r w:rsidRPr="00E742E7">
        <w:rPr>
          <w:rFonts w:asciiTheme="majorHAnsi" w:hAnsiTheme="majorHAnsi"/>
          <w:sz w:val="20"/>
          <w:szCs w:val="20"/>
        </w:rPr>
        <w:t>Approved by the Inter-American Commission on Human Rights on Ma</w:t>
      </w:r>
      <w:r>
        <w:rPr>
          <w:rFonts w:asciiTheme="majorHAnsi" w:hAnsiTheme="majorHAnsi"/>
          <w:sz w:val="20"/>
          <w:szCs w:val="20"/>
        </w:rPr>
        <w:t>y</w:t>
      </w:r>
      <w:r w:rsidRPr="00E742E7">
        <w:rPr>
          <w:rFonts w:asciiTheme="majorHAnsi" w:hAnsiTheme="majorHAnsi"/>
          <w:sz w:val="20"/>
          <w:szCs w:val="20"/>
        </w:rPr>
        <w:t xml:space="preserve"> 1</w:t>
      </w:r>
      <w:r>
        <w:rPr>
          <w:rFonts w:asciiTheme="majorHAnsi" w:hAnsiTheme="majorHAnsi"/>
          <w:sz w:val="20"/>
          <w:szCs w:val="20"/>
        </w:rPr>
        <w:t>0</w:t>
      </w:r>
      <w:r w:rsidRPr="00E742E7">
        <w:rPr>
          <w:rFonts w:asciiTheme="majorHAnsi" w:hAnsiTheme="majorHAnsi"/>
          <w:sz w:val="20"/>
          <w:szCs w:val="20"/>
        </w:rPr>
        <w:t xml:space="preserve">, 2022. (Signed): Julissa Mantilla Falcón, President; Edgar </w:t>
      </w:r>
      <w:proofErr w:type="spellStart"/>
      <w:r w:rsidRPr="00E742E7">
        <w:rPr>
          <w:rFonts w:asciiTheme="majorHAnsi" w:hAnsiTheme="majorHAnsi"/>
          <w:sz w:val="20"/>
          <w:szCs w:val="20"/>
        </w:rPr>
        <w:t>Stuardo</w:t>
      </w:r>
      <w:proofErr w:type="spellEnd"/>
      <w:r w:rsidRPr="00E742E7">
        <w:rPr>
          <w:rFonts w:asciiTheme="majorHAnsi" w:hAnsiTheme="majorHAnsi"/>
          <w:sz w:val="20"/>
          <w:szCs w:val="20"/>
        </w:rPr>
        <w:t xml:space="preserve"> </w:t>
      </w:r>
      <w:proofErr w:type="spellStart"/>
      <w:r w:rsidRPr="00E742E7">
        <w:rPr>
          <w:rFonts w:asciiTheme="majorHAnsi" w:hAnsiTheme="majorHAnsi"/>
          <w:sz w:val="20"/>
          <w:szCs w:val="20"/>
        </w:rPr>
        <w:t>Ralón</w:t>
      </w:r>
      <w:proofErr w:type="spellEnd"/>
      <w:r w:rsidRPr="00E742E7">
        <w:rPr>
          <w:rFonts w:asciiTheme="majorHAnsi" w:hAnsiTheme="majorHAnsi"/>
          <w:sz w:val="20"/>
          <w:szCs w:val="20"/>
        </w:rPr>
        <w:t xml:space="preserve"> Orellana, First Vice President; Margarette May Macaulay, Second Vice President; Esmeralda E. </w:t>
      </w:r>
      <w:proofErr w:type="spellStart"/>
      <w:r w:rsidRPr="00E742E7">
        <w:rPr>
          <w:rFonts w:asciiTheme="majorHAnsi" w:hAnsiTheme="majorHAnsi"/>
          <w:sz w:val="20"/>
          <w:szCs w:val="20"/>
        </w:rPr>
        <w:t>Arosemena</w:t>
      </w:r>
      <w:proofErr w:type="spellEnd"/>
      <w:r w:rsidRPr="00E742E7">
        <w:rPr>
          <w:rFonts w:asciiTheme="majorHAnsi" w:hAnsiTheme="majorHAnsi"/>
          <w:sz w:val="20"/>
          <w:szCs w:val="20"/>
        </w:rPr>
        <w:t xml:space="preserve"> de </w:t>
      </w:r>
      <w:proofErr w:type="spellStart"/>
      <w:r w:rsidRPr="00E742E7">
        <w:rPr>
          <w:rFonts w:asciiTheme="majorHAnsi" w:hAnsiTheme="majorHAnsi"/>
          <w:sz w:val="20"/>
          <w:szCs w:val="20"/>
        </w:rPr>
        <w:t>Troitiño</w:t>
      </w:r>
      <w:proofErr w:type="spellEnd"/>
      <w:r w:rsidRPr="00E742E7">
        <w:rPr>
          <w:rFonts w:asciiTheme="majorHAnsi" w:hAnsiTheme="majorHAnsi"/>
          <w:sz w:val="20"/>
          <w:szCs w:val="20"/>
        </w:rPr>
        <w:t>; Joel Hernández Garcia and Roberta Clarke Members of the Commission</w:t>
      </w:r>
      <w:r w:rsidR="004F37F3" w:rsidRPr="00E742E7">
        <w:rPr>
          <w:rFonts w:asciiTheme="majorHAnsi" w:hAnsiTheme="majorHAnsi"/>
          <w:sz w:val="20"/>
          <w:szCs w:val="20"/>
        </w:rPr>
        <w:t>.</w:t>
      </w:r>
    </w:p>
    <w:sectPr w:rsidR="004F37F3" w:rsidRPr="001D02C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9BB6" w14:textId="77777777" w:rsidR="00F27EDE" w:rsidRDefault="00F27EDE">
      <w:r>
        <w:separator/>
      </w:r>
    </w:p>
  </w:endnote>
  <w:endnote w:type="continuationSeparator" w:id="0">
    <w:p w14:paraId="74A60CC1" w14:textId="77777777" w:rsidR="00F27EDE" w:rsidRDefault="00F27EDE">
      <w:r>
        <w:continuationSeparator/>
      </w:r>
    </w:p>
  </w:endnote>
  <w:endnote w:type="continuationNotice" w:id="1">
    <w:p w14:paraId="50D9BCBA" w14:textId="77777777" w:rsidR="00F27EDE" w:rsidRDefault="00F2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1CABBD4"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799475B9"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C07" w14:textId="77777777" w:rsidR="0070697F" w:rsidRPr="00934A2C" w:rsidRDefault="0070697F">
    <w:pPr>
      <w:pStyle w:val="Footer"/>
      <w:jc w:val="center"/>
      <w:rPr>
        <w:sz w:val="16"/>
        <w:szCs w:val="22"/>
      </w:rPr>
    </w:pPr>
  </w:p>
  <w:p w14:paraId="4E6B379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AB03" w14:textId="77777777" w:rsidR="00F27EDE" w:rsidRPr="000F35ED" w:rsidRDefault="00F27E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BCF5A2" w14:textId="77777777" w:rsidR="00F27EDE" w:rsidRPr="000F35ED" w:rsidRDefault="00F27EDE" w:rsidP="000F35ED">
      <w:pPr>
        <w:rPr>
          <w:rFonts w:asciiTheme="majorHAnsi" w:hAnsiTheme="majorHAnsi"/>
          <w:sz w:val="16"/>
          <w:szCs w:val="16"/>
        </w:rPr>
      </w:pPr>
      <w:r w:rsidRPr="000F35ED">
        <w:rPr>
          <w:rFonts w:asciiTheme="majorHAnsi" w:hAnsiTheme="majorHAnsi"/>
          <w:sz w:val="16"/>
          <w:szCs w:val="16"/>
        </w:rPr>
        <w:separator/>
      </w:r>
    </w:p>
    <w:p w14:paraId="2627F509" w14:textId="77777777" w:rsidR="00F27EDE" w:rsidRPr="000F35ED" w:rsidRDefault="00F27ED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8573E04" w14:textId="77777777" w:rsidR="00F27EDE" w:rsidRPr="000F35ED" w:rsidRDefault="00F27E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FED5A8" w14:textId="2E2EA456" w:rsidR="00136060" w:rsidRPr="00032468" w:rsidRDefault="00136060" w:rsidP="00666079">
      <w:pPr>
        <w:pStyle w:val="FootnoteText"/>
        <w:ind w:firstLine="720"/>
        <w:jc w:val="both"/>
        <w:rPr>
          <w:rFonts w:asciiTheme="majorHAnsi" w:hAnsiTheme="majorHAnsi"/>
          <w:sz w:val="16"/>
          <w:szCs w:val="16"/>
        </w:rPr>
      </w:pPr>
      <w:r w:rsidRPr="00032468">
        <w:rPr>
          <w:rStyle w:val="FootnoteReference"/>
          <w:rFonts w:asciiTheme="majorHAnsi" w:hAnsiTheme="majorHAnsi"/>
          <w:sz w:val="16"/>
          <w:szCs w:val="16"/>
        </w:rPr>
        <w:footnoteRef/>
      </w:r>
      <w:r w:rsidRPr="00032468">
        <w:rPr>
          <w:rFonts w:asciiTheme="majorHAnsi" w:hAnsiTheme="majorHAnsi"/>
          <w:sz w:val="16"/>
          <w:szCs w:val="16"/>
        </w:rPr>
        <w:t xml:space="preserve"> </w:t>
      </w:r>
      <w:r w:rsidR="00032468" w:rsidRPr="00032468">
        <w:rPr>
          <w:rFonts w:asciiTheme="majorHAnsi" w:hAnsiTheme="majorHAnsi"/>
          <w:sz w:val="16"/>
          <w:szCs w:val="16"/>
        </w:rPr>
        <w:t>Commissioner Carlos Bernal Pulido, a Colombian national, did not participate in the discussion and decision of this case, pursuant to Article 17.2.a) of the IACHR Rules of Procedure</w:t>
      </w:r>
      <w:r w:rsidRPr="00032468">
        <w:rPr>
          <w:rFonts w:asciiTheme="majorHAnsi" w:hAnsiTheme="majorHAnsi"/>
          <w:sz w:val="16"/>
          <w:szCs w:val="16"/>
        </w:rPr>
        <w:t>.</w:t>
      </w:r>
    </w:p>
  </w:footnote>
  <w:footnote w:id="3">
    <w:p w14:paraId="5E9B3095" w14:textId="519FA647" w:rsidR="00D224F0" w:rsidRPr="00032468" w:rsidRDefault="00D224F0" w:rsidP="00647530">
      <w:pPr>
        <w:pStyle w:val="FootnoteText"/>
        <w:ind w:left="720" w:right="720"/>
        <w:jc w:val="both"/>
        <w:rPr>
          <w:rFonts w:asciiTheme="majorHAnsi" w:hAnsiTheme="majorHAnsi"/>
          <w:sz w:val="16"/>
          <w:szCs w:val="16"/>
        </w:rPr>
      </w:pPr>
      <w:r w:rsidRPr="00032468">
        <w:rPr>
          <w:rStyle w:val="FootnoteReference"/>
          <w:rFonts w:asciiTheme="majorHAnsi" w:hAnsiTheme="majorHAnsi"/>
          <w:sz w:val="16"/>
          <w:szCs w:val="16"/>
        </w:rPr>
        <w:footnoteRef/>
      </w:r>
      <w:r w:rsidRPr="00032468">
        <w:rPr>
          <w:rFonts w:asciiTheme="majorHAnsi" w:hAnsiTheme="majorHAnsi"/>
          <w:sz w:val="16"/>
          <w:szCs w:val="16"/>
        </w:rPr>
        <w:t xml:space="preserve"> </w:t>
      </w:r>
      <w:r w:rsidR="001C3A96" w:rsidRPr="001C3A96">
        <w:rPr>
          <w:rFonts w:asciiTheme="majorHAnsi" w:hAnsiTheme="majorHAnsi"/>
          <w:sz w:val="16"/>
          <w:szCs w:val="16"/>
        </w:rPr>
        <w:t>IHR Court., Case of Caesar vs. Trinidad and Tobago, (Merits, Reparations and Costs). Judgment of March 11, 2005. Series C No. 123, para. 125</w:t>
      </w:r>
      <w:r w:rsidRPr="00032468">
        <w:rPr>
          <w:rFonts w:asciiTheme="majorHAnsi" w:hAnsiTheme="majorHAnsi"/>
          <w:sz w:val="16"/>
          <w:szCs w:val="16"/>
        </w:rPr>
        <w:t>.</w:t>
      </w:r>
    </w:p>
  </w:footnote>
  <w:footnote w:id="4">
    <w:p w14:paraId="02A39E1F" w14:textId="524E1CC8" w:rsidR="00D224F0" w:rsidRPr="00032468" w:rsidRDefault="00D224F0" w:rsidP="00666079">
      <w:pPr>
        <w:pStyle w:val="FootnoteText"/>
        <w:ind w:firstLine="720"/>
        <w:jc w:val="both"/>
        <w:rPr>
          <w:rFonts w:asciiTheme="majorHAnsi" w:hAnsiTheme="majorHAnsi"/>
          <w:sz w:val="16"/>
          <w:szCs w:val="16"/>
        </w:rPr>
      </w:pPr>
      <w:r w:rsidRPr="00032468">
        <w:rPr>
          <w:rStyle w:val="FootnoteReference"/>
          <w:rFonts w:asciiTheme="majorHAnsi" w:hAnsiTheme="majorHAnsi"/>
          <w:sz w:val="16"/>
          <w:szCs w:val="16"/>
        </w:rPr>
        <w:footnoteRef/>
      </w:r>
      <w:r w:rsidRPr="00032468">
        <w:rPr>
          <w:rFonts w:asciiTheme="majorHAnsi" w:hAnsiTheme="majorHAnsi"/>
          <w:sz w:val="16"/>
          <w:szCs w:val="16"/>
        </w:rPr>
        <w:t xml:space="preserve"> </w:t>
      </w:r>
      <w:r w:rsidR="00A22451" w:rsidRPr="00A22451">
        <w:rPr>
          <w:rFonts w:asciiTheme="majorHAnsi" w:hAnsiTheme="majorHAnsi"/>
          <w:sz w:val="16"/>
          <w:szCs w:val="16"/>
        </w:rPr>
        <w:t>Official Communication No 20211700057251 of August 23, 2021 - Office of the Attorney General of the Nation</w:t>
      </w:r>
      <w:r w:rsidRPr="00032468">
        <w:rPr>
          <w:rFonts w:asciiTheme="majorHAnsi" w:hAnsiTheme="majorHAnsi"/>
          <w:sz w:val="16"/>
          <w:szCs w:val="16"/>
        </w:rPr>
        <w:t xml:space="preserve">. </w:t>
      </w:r>
    </w:p>
  </w:footnote>
  <w:footnote w:id="5">
    <w:p w14:paraId="59F5C481" w14:textId="478EBC56" w:rsidR="00D224F0" w:rsidRPr="00032468" w:rsidRDefault="00D224F0" w:rsidP="00666079">
      <w:pPr>
        <w:pStyle w:val="FootnoteText"/>
        <w:ind w:firstLine="720"/>
        <w:jc w:val="both"/>
        <w:rPr>
          <w:rFonts w:asciiTheme="majorHAnsi" w:hAnsiTheme="majorHAnsi"/>
          <w:sz w:val="16"/>
          <w:szCs w:val="16"/>
        </w:rPr>
      </w:pPr>
      <w:r w:rsidRPr="00032468">
        <w:rPr>
          <w:rStyle w:val="FootnoteReference"/>
          <w:rFonts w:asciiTheme="majorHAnsi" w:hAnsiTheme="majorHAnsi"/>
          <w:sz w:val="16"/>
          <w:szCs w:val="16"/>
        </w:rPr>
        <w:footnoteRef/>
      </w:r>
      <w:r w:rsidRPr="00032468">
        <w:rPr>
          <w:rFonts w:asciiTheme="majorHAnsi" w:hAnsiTheme="majorHAnsi"/>
          <w:sz w:val="16"/>
          <w:szCs w:val="16"/>
        </w:rPr>
        <w:t xml:space="preserve"> </w:t>
      </w:r>
      <w:r w:rsidR="00A22451" w:rsidRPr="00A22451">
        <w:rPr>
          <w:rFonts w:asciiTheme="majorHAnsi" w:hAnsiTheme="majorHAnsi"/>
          <w:sz w:val="16"/>
          <w:szCs w:val="16"/>
        </w:rPr>
        <w:t>Official Communication No 20211700057251 of August 23, 2021 - Office of the Attorney General of the Nation</w:t>
      </w:r>
      <w:r w:rsidRPr="00032468">
        <w:rPr>
          <w:rFonts w:asciiTheme="majorHAnsi" w:hAnsiTheme="majorHAnsi"/>
          <w:sz w:val="16"/>
          <w:szCs w:val="16"/>
        </w:rPr>
        <w:t xml:space="preserve">. </w:t>
      </w:r>
    </w:p>
  </w:footnote>
  <w:footnote w:id="6">
    <w:p w14:paraId="44808060" w14:textId="77777777" w:rsidR="00D224F0" w:rsidRPr="00032468" w:rsidRDefault="00D224F0" w:rsidP="00666079">
      <w:pPr>
        <w:pStyle w:val="FootnoteText"/>
        <w:ind w:firstLine="720"/>
        <w:jc w:val="both"/>
        <w:rPr>
          <w:rFonts w:asciiTheme="majorHAnsi" w:hAnsiTheme="majorHAnsi"/>
          <w:sz w:val="16"/>
          <w:szCs w:val="16"/>
        </w:rPr>
      </w:pPr>
      <w:r w:rsidRPr="00032468">
        <w:rPr>
          <w:rStyle w:val="FootnoteReference"/>
          <w:rFonts w:asciiTheme="majorHAnsi" w:hAnsiTheme="majorHAnsi"/>
          <w:sz w:val="16"/>
          <w:szCs w:val="16"/>
        </w:rPr>
        <w:footnoteRef/>
      </w:r>
      <w:r w:rsidRPr="00032468">
        <w:rPr>
          <w:rFonts w:asciiTheme="majorHAnsi" w:hAnsiTheme="majorHAnsi"/>
          <w:sz w:val="16"/>
          <w:szCs w:val="16"/>
        </w:rPr>
        <w:t xml:space="preserve"> Ibidem. </w:t>
      </w:r>
    </w:p>
  </w:footnote>
  <w:footnote w:id="7">
    <w:p w14:paraId="52FE2F56" w14:textId="214AF168" w:rsidR="008952DE" w:rsidRPr="004C1C8C" w:rsidRDefault="008952DE" w:rsidP="00647530">
      <w:pPr>
        <w:pStyle w:val="FootnoteText"/>
        <w:ind w:left="720" w:right="720"/>
        <w:jc w:val="both"/>
        <w:rPr>
          <w:rFonts w:ascii="Cambria" w:hAnsi="Cambria"/>
          <w:sz w:val="16"/>
          <w:szCs w:val="16"/>
        </w:rPr>
      </w:pPr>
      <w:r w:rsidRPr="004C1C8C">
        <w:rPr>
          <w:rStyle w:val="FootnoteReference"/>
          <w:rFonts w:ascii="Cambria" w:hAnsi="Cambria"/>
          <w:sz w:val="16"/>
          <w:szCs w:val="16"/>
        </w:rPr>
        <w:footnoteRef/>
      </w:r>
      <w:r w:rsidRPr="004C1C8C">
        <w:rPr>
          <w:rFonts w:ascii="Cambria" w:hAnsi="Cambria"/>
          <w:sz w:val="16"/>
          <w:szCs w:val="16"/>
        </w:rPr>
        <w:t xml:space="preserve"> </w:t>
      </w:r>
      <w:r w:rsidR="000857A1" w:rsidRPr="004C1C8C">
        <w:rPr>
          <w:rFonts w:ascii="Cambria" w:hAnsi="Cambria"/>
          <w:sz w:val="16"/>
          <w:szCs w:val="16"/>
        </w:rPr>
        <w:t xml:space="preserve">The foregoing, in accordance with the jurisprudence of the Inter-American Court. See, </w:t>
      </w:r>
      <w:r w:rsidR="00182B38">
        <w:rPr>
          <w:rFonts w:ascii="Cambria" w:hAnsi="Cambria"/>
          <w:sz w:val="16"/>
          <w:szCs w:val="16"/>
        </w:rPr>
        <w:t>IHR</w:t>
      </w:r>
      <w:r w:rsidR="000857A1" w:rsidRPr="004C1C8C">
        <w:rPr>
          <w:rFonts w:ascii="Cambria" w:hAnsi="Cambria"/>
          <w:sz w:val="16"/>
          <w:szCs w:val="16"/>
        </w:rPr>
        <w:t xml:space="preserve"> Court. Case of The Afro-descendant Communities Displaced from the </w:t>
      </w:r>
      <w:proofErr w:type="spellStart"/>
      <w:r w:rsidR="000857A1" w:rsidRPr="004C1C8C">
        <w:rPr>
          <w:rFonts w:ascii="Cambria" w:hAnsi="Cambria"/>
          <w:sz w:val="16"/>
          <w:szCs w:val="16"/>
        </w:rPr>
        <w:t>Cacarica</w:t>
      </w:r>
      <w:proofErr w:type="spellEnd"/>
      <w:r w:rsidR="000857A1" w:rsidRPr="004C1C8C">
        <w:rPr>
          <w:rFonts w:ascii="Cambria" w:hAnsi="Cambria"/>
          <w:sz w:val="16"/>
          <w:szCs w:val="16"/>
        </w:rPr>
        <w:t xml:space="preserve"> River Basin (Operation Genesis) v. Colombia. (Preliminary Objections, Merits, Reparations and Costs). Judgment of November 20, 2013. Series C No. 270, para. 425.</w:t>
      </w:r>
    </w:p>
  </w:footnote>
  <w:footnote w:id="8">
    <w:p w14:paraId="20BF65EB" w14:textId="77E03DC1" w:rsidR="00582A18" w:rsidRPr="004C1C8C" w:rsidRDefault="00582A18" w:rsidP="004C1C8C">
      <w:pPr>
        <w:pStyle w:val="FootnoteText"/>
        <w:ind w:firstLine="720"/>
        <w:jc w:val="both"/>
        <w:rPr>
          <w:rFonts w:asciiTheme="majorHAnsi" w:hAnsiTheme="majorHAnsi"/>
          <w:sz w:val="16"/>
          <w:szCs w:val="16"/>
        </w:rPr>
      </w:pPr>
      <w:r w:rsidRPr="004C1C8C">
        <w:rPr>
          <w:rStyle w:val="FootnoteReference"/>
          <w:rFonts w:asciiTheme="majorHAnsi" w:hAnsiTheme="majorHAnsi"/>
          <w:sz w:val="16"/>
          <w:szCs w:val="16"/>
        </w:rPr>
        <w:footnoteRef/>
      </w:r>
      <w:r w:rsidRPr="004C1C8C">
        <w:rPr>
          <w:rFonts w:asciiTheme="majorHAnsi" w:hAnsiTheme="majorHAnsi"/>
          <w:sz w:val="16"/>
          <w:szCs w:val="16"/>
        </w:rPr>
        <w:t xml:space="preserve"> </w:t>
      </w:r>
      <w:r w:rsidR="000F41B2" w:rsidRPr="004C1C8C">
        <w:rPr>
          <w:rFonts w:asciiTheme="majorHAnsi" w:hAnsiTheme="majorHAnsi"/>
          <w:sz w:val="16"/>
          <w:szCs w:val="16"/>
        </w:rPr>
        <w:t>Vienna Convention on the Law of Treaties, U.N. Doc A/CONF.39/27 (1969), Article 26: "</w:t>
      </w:r>
      <w:r w:rsidR="000F41B2" w:rsidRPr="004C1C8C">
        <w:rPr>
          <w:rFonts w:asciiTheme="majorHAnsi" w:hAnsiTheme="majorHAnsi"/>
          <w:b/>
          <w:bCs/>
          <w:sz w:val="16"/>
          <w:szCs w:val="16"/>
        </w:rPr>
        <w:t xml:space="preserve">Pacta sunt </w:t>
      </w:r>
      <w:proofErr w:type="spellStart"/>
      <w:r w:rsidR="000F41B2" w:rsidRPr="004C1C8C">
        <w:rPr>
          <w:rFonts w:asciiTheme="majorHAnsi" w:hAnsiTheme="majorHAnsi"/>
          <w:b/>
          <w:bCs/>
          <w:sz w:val="16"/>
          <w:szCs w:val="16"/>
        </w:rPr>
        <w:t>servanda</w:t>
      </w:r>
      <w:proofErr w:type="spellEnd"/>
      <w:r w:rsidR="000F41B2" w:rsidRPr="004C1C8C">
        <w:rPr>
          <w:rFonts w:asciiTheme="majorHAnsi" w:hAnsiTheme="majorHAnsi"/>
          <w:sz w:val="16"/>
          <w:szCs w:val="16"/>
        </w:rPr>
        <w:t xml:space="preserve">". </w:t>
      </w:r>
      <w:r w:rsidR="000F41B2" w:rsidRPr="004C1C8C">
        <w:rPr>
          <w:rFonts w:asciiTheme="majorHAnsi" w:hAnsiTheme="majorHAnsi"/>
          <w:i/>
          <w:iCs/>
          <w:sz w:val="16"/>
          <w:szCs w:val="16"/>
        </w:rPr>
        <w:t>Every treaty in force is binding upon the parties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3F42" w14:textId="77777777" w:rsidR="00040C3A" w:rsidRDefault="00040C3A" w:rsidP="00382F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8B3A922"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F0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54420E7" wp14:editId="55BB28C7">
          <wp:extent cx="1972235" cy="1047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5" cy="104775"/>
                  </a:xfrm>
                  <a:prstGeom prst="rect">
                    <a:avLst/>
                  </a:prstGeom>
                  <a:noFill/>
                  <a:ln>
                    <a:noFill/>
                  </a:ln>
                </pic:spPr>
              </pic:pic>
            </a:graphicData>
          </a:graphic>
        </wp:inline>
      </w:drawing>
    </w:r>
  </w:p>
  <w:p w14:paraId="627BD932" w14:textId="77777777" w:rsidR="00040C3A" w:rsidRPr="00EC7D62" w:rsidRDefault="00F27EDE" w:rsidP="00A50FCF">
    <w:pPr>
      <w:pStyle w:val="Header"/>
      <w:tabs>
        <w:tab w:val="clear" w:pos="4320"/>
        <w:tab w:val="clear" w:pos="8640"/>
      </w:tabs>
      <w:jc w:val="center"/>
      <w:rPr>
        <w:sz w:val="22"/>
        <w:szCs w:val="22"/>
      </w:rPr>
    </w:pPr>
    <w:r>
      <w:rPr>
        <w:sz w:val="22"/>
        <w:szCs w:val="22"/>
      </w:rPr>
      <w:pict w14:anchorId="70E5308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FE7C970E"/>
    <w:lvl w:ilvl="0" w:tplc="870C3F78">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705009"/>
    <w:multiLevelType w:val="hybridMultilevel"/>
    <w:tmpl w:val="5E7E9234"/>
    <w:lvl w:ilvl="0" w:tplc="080A0001">
      <w:start w:val="1"/>
      <w:numFmt w:val="bullet"/>
      <w:lvlText w:val=""/>
      <w:lvlJc w:val="left"/>
      <w:pPr>
        <w:ind w:left="720" w:hanging="360"/>
      </w:pPr>
      <w:rPr>
        <w:rFonts w:ascii="Symbol" w:hAnsi="Symbol" w:hint="default"/>
      </w:rPr>
    </w:lvl>
    <w:lvl w:ilvl="1" w:tplc="31CA57FC">
      <w:start w:val="1"/>
      <w:numFmt w:val="decimal"/>
      <w:lvlText w:val="%2."/>
      <w:lvlJc w:val="left"/>
      <w:pPr>
        <w:ind w:left="1440" w:hanging="360"/>
      </w:pPr>
      <w:rPr>
        <w:rFonts w:asciiTheme="majorHAnsi" w:eastAsia="Cambria" w:hAnsiTheme="majorHAnsi" w:cs="Cambri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927" w:hanging="360"/>
      </w:pPr>
      <w:rPr>
        <w:b w:val="0"/>
        <w:color w:val="auto"/>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9122915"/>
    <w:multiLevelType w:val="hybridMultilevel"/>
    <w:tmpl w:val="94CE2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81C0378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D4ACC4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65976156">
    <w:abstractNumId w:val="3"/>
  </w:num>
  <w:num w:numId="2" w16cid:durableId="126052340">
    <w:abstractNumId w:val="4"/>
  </w:num>
  <w:num w:numId="3" w16cid:durableId="785268873">
    <w:abstractNumId w:val="54"/>
  </w:num>
  <w:num w:numId="4" w16cid:durableId="1156260156">
    <w:abstractNumId w:val="21"/>
  </w:num>
  <w:num w:numId="5" w16cid:durableId="949167780">
    <w:abstractNumId w:val="46"/>
  </w:num>
  <w:num w:numId="6" w16cid:durableId="1311911019">
    <w:abstractNumId w:val="26"/>
  </w:num>
  <w:num w:numId="7" w16cid:durableId="1986081017">
    <w:abstractNumId w:val="7"/>
  </w:num>
  <w:num w:numId="8" w16cid:durableId="1834908496">
    <w:abstractNumId w:val="17"/>
  </w:num>
  <w:num w:numId="9" w16cid:durableId="1682703211">
    <w:abstractNumId w:val="42"/>
  </w:num>
  <w:num w:numId="10" w16cid:durableId="323167251">
    <w:abstractNumId w:val="0"/>
  </w:num>
  <w:num w:numId="11" w16cid:durableId="313489388">
    <w:abstractNumId w:val="37"/>
  </w:num>
  <w:num w:numId="12" w16cid:durableId="23215207">
    <w:abstractNumId w:val="38"/>
  </w:num>
  <w:num w:numId="13" w16cid:durableId="962228580">
    <w:abstractNumId w:val="43"/>
  </w:num>
  <w:num w:numId="14" w16cid:durableId="2085104664">
    <w:abstractNumId w:val="1"/>
  </w:num>
  <w:num w:numId="15" w16cid:durableId="1799297047">
    <w:abstractNumId w:val="2"/>
  </w:num>
  <w:num w:numId="16" w16cid:durableId="1892035445">
    <w:abstractNumId w:val="8"/>
  </w:num>
  <w:num w:numId="17" w16cid:durableId="271715607">
    <w:abstractNumId w:val="9"/>
  </w:num>
  <w:num w:numId="18" w16cid:durableId="597130753">
    <w:abstractNumId w:val="10"/>
  </w:num>
  <w:num w:numId="19" w16cid:durableId="1569343255">
    <w:abstractNumId w:val="11"/>
  </w:num>
  <w:num w:numId="20" w16cid:durableId="100957096">
    <w:abstractNumId w:val="12"/>
  </w:num>
  <w:num w:numId="21" w16cid:durableId="944313881">
    <w:abstractNumId w:val="13"/>
  </w:num>
  <w:num w:numId="22" w16cid:durableId="2038113143">
    <w:abstractNumId w:val="14"/>
  </w:num>
  <w:num w:numId="23" w16cid:durableId="1424229725">
    <w:abstractNumId w:val="15"/>
  </w:num>
  <w:num w:numId="24" w16cid:durableId="1742092797">
    <w:abstractNumId w:val="16"/>
  </w:num>
  <w:num w:numId="25" w16cid:durableId="264315063">
    <w:abstractNumId w:val="18"/>
  </w:num>
  <w:num w:numId="26" w16cid:durableId="1785228356">
    <w:abstractNumId w:val="19"/>
  </w:num>
  <w:num w:numId="27" w16cid:durableId="622348005">
    <w:abstractNumId w:val="22"/>
  </w:num>
  <w:num w:numId="28" w16cid:durableId="559363194">
    <w:abstractNumId w:val="23"/>
  </w:num>
  <w:num w:numId="29" w16cid:durableId="969751392">
    <w:abstractNumId w:val="24"/>
  </w:num>
  <w:num w:numId="30" w16cid:durableId="770666025">
    <w:abstractNumId w:val="25"/>
  </w:num>
  <w:num w:numId="31" w16cid:durableId="560560028">
    <w:abstractNumId w:val="27"/>
  </w:num>
  <w:num w:numId="32" w16cid:durableId="319427008">
    <w:abstractNumId w:val="29"/>
  </w:num>
  <w:num w:numId="33" w16cid:durableId="250431328">
    <w:abstractNumId w:val="30"/>
  </w:num>
  <w:num w:numId="34" w16cid:durableId="1762600714">
    <w:abstractNumId w:val="31"/>
  </w:num>
  <w:num w:numId="35" w16cid:durableId="291787713">
    <w:abstractNumId w:val="32"/>
  </w:num>
  <w:num w:numId="36" w16cid:durableId="657878819">
    <w:abstractNumId w:val="34"/>
  </w:num>
  <w:num w:numId="37" w16cid:durableId="81802524">
    <w:abstractNumId w:val="35"/>
  </w:num>
  <w:num w:numId="38" w16cid:durableId="1525242130">
    <w:abstractNumId w:val="36"/>
  </w:num>
  <w:num w:numId="39" w16cid:durableId="1320964971">
    <w:abstractNumId w:val="39"/>
  </w:num>
  <w:num w:numId="40" w16cid:durableId="1070080697">
    <w:abstractNumId w:val="40"/>
  </w:num>
  <w:num w:numId="41" w16cid:durableId="1850749559">
    <w:abstractNumId w:val="45"/>
  </w:num>
  <w:num w:numId="42" w16cid:durableId="561133479">
    <w:abstractNumId w:val="48"/>
  </w:num>
  <w:num w:numId="43" w16cid:durableId="1998341714">
    <w:abstractNumId w:val="49"/>
  </w:num>
  <w:num w:numId="44" w16cid:durableId="1329558398">
    <w:abstractNumId w:val="51"/>
  </w:num>
  <w:num w:numId="45" w16cid:durableId="419058078">
    <w:abstractNumId w:val="53"/>
  </w:num>
  <w:num w:numId="46" w16cid:durableId="1817993067">
    <w:abstractNumId w:val="55"/>
  </w:num>
  <w:num w:numId="47" w16cid:durableId="495538383">
    <w:abstractNumId w:val="56"/>
  </w:num>
  <w:num w:numId="48" w16cid:durableId="1856462316">
    <w:abstractNumId w:val="57"/>
  </w:num>
  <w:num w:numId="49" w16cid:durableId="538199109">
    <w:abstractNumId w:val="58"/>
  </w:num>
  <w:num w:numId="50" w16cid:durableId="2016615125">
    <w:abstractNumId w:val="59"/>
  </w:num>
  <w:num w:numId="51" w16cid:durableId="161238244">
    <w:abstractNumId w:val="20"/>
  </w:num>
  <w:num w:numId="52" w16cid:durableId="1982036023">
    <w:abstractNumId w:val="41"/>
  </w:num>
  <w:num w:numId="53" w16cid:durableId="874997714">
    <w:abstractNumId w:val="50"/>
  </w:num>
  <w:num w:numId="54" w16cid:durableId="1309238775">
    <w:abstractNumId w:val="44"/>
  </w:num>
  <w:num w:numId="55" w16cid:durableId="2109301510">
    <w:abstractNumId w:val="52"/>
  </w:num>
  <w:num w:numId="56" w16cid:durableId="1926844144">
    <w:abstractNumId w:val="33"/>
  </w:num>
  <w:num w:numId="57" w16cid:durableId="1796295339">
    <w:abstractNumId w:val="5"/>
  </w:num>
  <w:num w:numId="58" w16cid:durableId="768625759">
    <w:abstractNumId w:val="6"/>
  </w:num>
  <w:num w:numId="59" w16cid:durableId="1688865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1370592">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1DA7"/>
    <w:rsid w:val="0001788C"/>
    <w:rsid w:val="00026448"/>
    <w:rsid w:val="00032468"/>
    <w:rsid w:val="00040C3A"/>
    <w:rsid w:val="00063A46"/>
    <w:rsid w:val="00070E0E"/>
    <w:rsid w:val="000716C5"/>
    <w:rsid w:val="00075E23"/>
    <w:rsid w:val="00081881"/>
    <w:rsid w:val="000857A1"/>
    <w:rsid w:val="000870D3"/>
    <w:rsid w:val="0009344A"/>
    <w:rsid w:val="000A38DA"/>
    <w:rsid w:val="000A392E"/>
    <w:rsid w:val="000A575F"/>
    <w:rsid w:val="000A5C26"/>
    <w:rsid w:val="000B25F0"/>
    <w:rsid w:val="000C510A"/>
    <w:rsid w:val="000D10DB"/>
    <w:rsid w:val="000E13D2"/>
    <w:rsid w:val="000E3B28"/>
    <w:rsid w:val="000E5EB5"/>
    <w:rsid w:val="000F35ED"/>
    <w:rsid w:val="000F41B2"/>
    <w:rsid w:val="000F4851"/>
    <w:rsid w:val="00100BC1"/>
    <w:rsid w:val="0010378E"/>
    <w:rsid w:val="00107131"/>
    <w:rsid w:val="0010736F"/>
    <w:rsid w:val="00113308"/>
    <w:rsid w:val="00113F73"/>
    <w:rsid w:val="0011518A"/>
    <w:rsid w:val="00121CC2"/>
    <w:rsid w:val="00133748"/>
    <w:rsid w:val="00133EE5"/>
    <w:rsid w:val="001344C0"/>
    <w:rsid w:val="00136060"/>
    <w:rsid w:val="00137EC8"/>
    <w:rsid w:val="00142E7F"/>
    <w:rsid w:val="00152F12"/>
    <w:rsid w:val="00167A34"/>
    <w:rsid w:val="001747F8"/>
    <w:rsid w:val="00180E09"/>
    <w:rsid w:val="00182B38"/>
    <w:rsid w:val="001A73DB"/>
    <w:rsid w:val="001A7870"/>
    <w:rsid w:val="001B2153"/>
    <w:rsid w:val="001C1B41"/>
    <w:rsid w:val="001C3A96"/>
    <w:rsid w:val="001D02C5"/>
    <w:rsid w:val="001D1430"/>
    <w:rsid w:val="001D2C83"/>
    <w:rsid w:val="001D6254"/>
    <w:rsid w:val="001D65EF"/>
    <w:rsid w:val="001E7C44"/>
    <w:rsid w:val="002250A3"/>
    <w:rsid w:val="00233439"/>
    <w:rsid w:val="00234F50"/>
    <w:rsid w:val="00235217"/>
    <w:rsid w:val="00246D1F"/>
    <w:rsid w:val="00247403"/>
    <w:rsid w:val="00247542"/>
    <w:rsid w:val="00257420"/>
    <w:rsid w:val="00266B61"/>
    <w:rsid w:val="0026712A"/>
    <w:rsid w:val="002704DB"/>
    <w:rsid w:val="002860CB"/>
    <w:rsid w:val="00293833"/>
    <w:rsid w:val="002A0AAE"/>
    <w:rsid w:val="002A5820"/>
    <w:rsid w:val="002B7632"/>
    <w:rsid w:val="002C27D5"/>
    <w:rsid w:val="002C2CCE"/>
    <w:rsid w:val="002D2B26"/>
    <w:rsid w:val="002D7EA2"/>
    <w:rsid w:val="002E187C"/>
    <w:rsid w:val="002F24FC"/>
    <w:rsid w:val="00302733"/>
    <w:rsid w:val="00314078"/>
    <w:rsid w:val="0031535D"/>
    <w:rsid w:val="00322F0C"/>
    <w:rsid w:val="0033169F"/>
    <w:rsid w:val="00345C81"/>
    <w:rsid w:val="00346C95"/>
    <w:rsid w:val="00356185"/>
    <w:rsid w:val="00360380"/>
    <w:rsid w:val="0037519E"/>
    <w:rsid w:val="00382F9E"/>
    <w:rsid w:val="00386CF0"/>
    <w:rsid w:val="003B7E63"/>
    <w:rsid w:val="003C2894"/>
    <w:rsid w:val="003C5BC1"/>
    <w:rsid w:val="003C676B"/>
    <w:rsid w:val="003D3BC2"/>
    <w:rsid w:val="003E6CA1"/>
    <w:rsid w:val="003E7EB5"/>
    <w:rsid w:val="003F3D55"/>
    <w:rsid w:val="003F5579"/>
    <w:rsid w:val="004165C2"/>
    <w:rsid w:val="004339F4"/>
    <w:rsid w:val="00441ECB"/>
    <w:rsid w:val="004421EA"/>
    <w:rsid w:val="00460971"/>
    <w:rsid w:val="00467B7E"/>
    <w:rsid w:val="00467E6F"/>
    <w:rsid w:val="00476D88"/>
    <w:rsid w:val="00477592"/>
    <w:rsid w:val="0048469A"/>
    <w:rsid w:val="00486F1C"/>
    <w:rsid w:val="0049419D"/>
    <w:rsid w:val="004A2982"/>
    <w:rsid w:val="004A386B"/>
    <w:rsid w:val="004B4A5C"/>
    <w:rsid w:val="004B69B8"/>
    <w:rsid w:val="004C0020"/>
    <w:rsid w:val="004C1C8C"/>
    <w:rsid w:val="004C20D2"/>
    <w:rsid w:val="004C4B62"/>
    <w:rsid w:val="004C54C9"/>
    <w:rsid w:val="004C74B0"/>
    <w:rsid w:val="004D6025"/>
    <w:rsid w:val="004E168D"/>
    <w:rsid w:val="004E2649"/>
    <w:rsid w:val="004E563E"/>
    <w:rsid w:val="004F37F3"/>
    <w:rsid w:val="00501399"/>
    <w:rsid w:val="0050633D"/>
    <w:rsid w:val="00507BC4"/>
    <w:rsid w:val="005128E4"/>
    <w:rsid w:val="005133DB"/>
    <w:rsid w:val="00525560"/>
    <w:rsid w:val="00537E1F"/>
    <w:rsid w:val="00544C49"/>
    <w:rsid w:val="00546C50"/>
    <w:rsid w:val="005516A1"/>
    <w:rsid w:val="00567CA3"/>
    <w:rsid w:val="0057402A"/>
    <w:rsid w:val="005771D0"/>
    <w:rsid w:val="00581A0D"/>
    <w:rsid w:val="00582A18"/>
    <w:rsid w:val="0059191A"/>
    <w:rsid w:val="005921FF"/>
    <w:rsid w:val="00593426"/>
    <w:rsid w:val="005A6D0E"/>
    <w:rsid w:val="005B52B0"/>
    <w:rsid w:val="005B6806"/>
    <w:rsid w:val="005C4225"/>
    <w:rsid w:val="005D130C"/>
    <w:rsid w:val="005F0DAD"/>
    <w:rsid w:val="005F0F33"/>
    <w:rsid w:val="005F7306"/>
    <w:rsid w:val="00600DEB"/>
    <w:rsid w:val="00604651"/>
    <w:rsid w:val="00627C9F"/>
    <w:rsid w:val="006311E9"/>
    <w:rsid w:val="00632354"/>
    <w:rsid w:val="00642810"/>
    <w:rsid w:val="00647530"/>
    <w:rsid w:val="00652333"/>
    <w:rsid w:val="006628EC"/>
    <w:rsid w:val="00666079"/>
    <w:rsid w:val="006673D8"/>
    <w:rsid w:val="00677B96"/>
    <w:rsid w:val="0068009E"/>
    <w:rsid w:val="00685A5D"/>
    <w:rsid w:val="00692219"/>
    <w:rsid w:val="00692909"/>
    <w:rsid w:val="006947DC"/>
    <w:rsid w:val="00696D9D"/>
    <w:rsid w:val="006A07C9"/>
    <w:rsid w:val="006A17D2"/>
    <w:rsid w:val="006A73E6"/>
    <w:rsid w:val="006B1848"/>
    <w:rsid w:val="006B2D5C"/>
    <w:rsid w:val="006C4EB1"/>
    <w:rsid w:val="006C5C8E"/>
    <w:rsid w:val="006D1098"/>
    <w:rsid w:val="006E0166"/>
    <w:rsid w:val="006E7B34"/>
    <w:rsid w:val="006F1A74"/>
    <w:rsid w:val="0070697F"/>
    <w:rsid w:val="007103A8"/>
    <w:rsid w:val="0071194A"/>
    <w:rsid w:val="0072199C"/>
    <w:rsid w:val="00722186"/>
    <w:rsid w:val="00722926"/>
    <w:rsid w:val="00722C9F"/>
    <w:rsid w:val="007253B8"/>
    <w:rsid w:val="0073741F"/>
    <w:rsid w:val="00743682"/>
    <w:rsid w:val="007546CF"/>
    <w:rsid w:val="0076643F"/>
    <w:rsid w:val="00777F63"/>
    <w:rsid w:val="00792E2C"/>
    <w:rsid w:val="007A5817"/>
    <w:rsid w:val="007B60E9"/>
    <w:rsid w:val="007B63BD"/>
    <w:rsid w:val="007B6CC3"/>
    <w:rsid w:val="007C3334"/>
    <w:rsid w:val="007D2B98"/>
    <w:rsid w:val="007E21BC"/>
    <w:rsid w:val="007F3AB6"/>
    <w:rsid w:val="0080071A"/>
    <w:rsid w:val="00803F1C"/>
    <w:rsid w:val="0080600E"/>
    <w:rsid w:val="00811BBF"/>
    <w:rsid w:val="00817612"/>
    <w:rsid w:val="00825F4D"/>
    <w:rsid w:val="0083008B"/>
    <w:rsid w:val="00831F84"/>
    <w:rsid w:val="008338A4"/>
    <w:rsid w:val="00837C45"/>
    <w:rsid w:val="008418D9"/>
    <w:rsid w:val="00844730"/>
    <w:rsid w:val="008457C2"/>
    <w:rsid w:val="00846337"/>
    <w:rsid w:val="00857A82"/>
    <w:rsid w:val="00873836"/>
    <w:rsid w:val="00885737"/>
    <w:rsid w:val="00887B38"/>
    <w:rsid w:val="00890650"/>
    <w:rsid w:val="008916B6"/>
    <w:rsid w:val="008952DE"/>
    <w:rsid w:val="00897E12"/>
    <w:rsid w:val="008A16CE"/>
    <w:rsid w:val="008A7E0F"/>
    <w:rsid w:val="008B12F5"/>
    <w:rsid w:val="008B2D66"/>
    <w:rsid w:val="008C1F08"/>
    <w:rsid w:val="008D768D"/>
    <w:rsid w:val="008E3759"/>
    <w:rsid w:val="008E5814"/>
    <w:rsid w:val="008F0019"/>
    <w:rsid w:val="008F1912"/>
    <w:rsid w:val="0090270B"/>
    <w:rsid w:val="009041DC"/>
    <w:rsid w:val="00917B5A"/>
    <w:rsid w:val="00920A58"/>
    <w:rsid w:val="00920A8C"/>
    <w:rsid w:val="00930207"/>
    <w:rsid w:val="00934A2C"/>
    <w:rsid w:val="0096706E"/>
    <w:rsid w:val="00975C4E"/>
    <w:rsid w:val="00981FBA"/>
    <w:rsid w:val="00991DD1"/>
    <w:rsid w:val="00997BC5"/>
    <w:rsid w:val="009A4F41"/>
    <w:rsid w:val="009A78F7"/>
    <w:rsid w:val="009A7EC0"/>
    <w:rsid w:val="009B381B"/>
    <w:rsid w:val="009B3A94"/>
    <w:rsid w:val="009C0689"/>
    <w:rsid w:val="009C143A"/>
    <w:rsid w:val="009C2470"/>
    <w:rsid w:val="009C7974"/>
    <w:rsid w:val="009D1753"/>
    <w:rsid w:val="009D3091"/>
    <w:rsid w:val="009D45E0"/>
    <w:rsid w:val="009D7611"/>
    <w:rsid w:val="009E0B61"/>
    <w:rsid w:val="009E0E85"/>
    <w:rsid w:val="009E53DE"/>
    <w:rsid w:val="00A114D4"/>
    <w:rsid w:val="00A22451"/>
    <w:rsid w:val="00A24321"/>
    <w:rsid w:val="00A25A0E"/>
    <w:rsid w:val="00A26C8D"/>
    <w:rsid w:val="00A328B3"/>
    <w:rsid w:val="00A40CFE"/>
    <w:rsid w:val="00A50FCF"/>
    <w:rsid w:val="00A51C93"/>
    <w:rsid w:val="00A528D1"/>
    <w:rsid w:val="00A610CD"/>
    <w:rsid w:val="00A97415"/>
    <w:rsid w:val="00AA09A2"/>
    <w:rsid w:val="00AA7996"/>
    <w:rsid w:val="00AB7E07"/>
    <w:rsid w:val="00AC19CB"/>
    <w:rsid w:val="00AE5488"/>
    <w:rsid w:val="00AE6F91"/>
    <w:rsid w:val="00AF5571"/>
    <w:rsid w:val="00B07341"/>
    <w:rsid w:val="00B22D72"/>
    <w:rsid w:val="00B30539"/>
    <w:rsid w:val="00B314DB"/>
    <w:rsid w:val="00B361F2"/>
    <w:rsid w:val="00B3718B"/>
    <w:rsid w:val="00B4632A"/>
    <w:rsid w:val="00B51040"/>
    <w:rsid w:val="00B530F1"/>
    <w:rsid w:val="00B554D4"/>
    <w:rsid w:val="00B65B2A"/>
    <w:rsid w:val="00B75E2E"/>
    <w:rsid w:val="00B9768B"/>
    <w:rsid w:val="00BA276C"/>
    <w:rsid w:val="00BA6DBB"/>
    <w:rsid w:val="00BB306F"/>
    <w:rsid w:val="00BD4B21"/>
    <w:rsid w:val="00BD4B89"/>
    <w:rsid w:val="00BD4F88"/>
    <w:rsid w:val="00BF2807"/>
    <w:rsid w:val="00BF42A0"/>
    <w:rsid w:val="00BF6FD8"/>
    <w:rsid w:val="00C03680"/>
    <w:rsid w:val="00C054DF"/>
    <w:rsid w:val="00C06EDE"/>
    <w:rsid w:val="00C10E17"/>
    <w:rsid w:val="00C13E9A"/>
    <w:rsid w:val="00C17A85"/>
    <w:rsid w:val="00C21762"/>
    <w:rsid w:val="00C24543"/>
    <w:rsid w:val="00C256A2"/>
    <w:rsid w:val="00C34D7B"/>
    <w:rsid w:val="00C50CB2"/>
    <w:rsid w:val="00C51515"/>
    <w:rsid w:val="00C5660B"/>
    <w:rsid w:val="00C6680E"/>
    <w:rsid w:val="00C66B72"/>
    <w:rsid w:val="00C75C5D"/>
    <w:rsid w:val="00C9567A"/>
    <w:rsid w:val="00C95CD7"/>
    <w:rsid w:val="00C96128"/>
    <w:rsid w:val="00CA584F"/>
    <w:rsid w:val="00CB212D"/>
    <w:rsid w:val="00CB2660"/>
    <w:rsid w:val="00CC5E90"/>
    <w:rsid w:val="00CD046C"/>
    <w:rsid w:val="00CD6BF6"/>
    <w:rsid w:val="00CD7435"/>
    <w:rsid w:val="00CE076C"/>
    <w:rsid w:val="00CE5199"/>
    <w:rsid w:val="00CE66D5"/>
    <w:rsid w:val="00CF637A"/>
    <w:rsid w:val="00D03FA4"/>
    <w:rsid w:val="00D059DE"/>
    <w:rsid w:val="00D12718"/>
    <w:rsid w:val="00D13FCE"/>
    <w:rsid w:val="00D224F0"/>
    <w:rsid w:val="00D277FC"/>
    <w:rsid w:val="00D306D1"/>
    <w:rsid w:val="00D34786"/>
    <w:rsid w:val="00D37BFC"/>
    <w:rsid w:val="00D47A8E"/>
    <w:rsid w:val="00D52D14"/>
    <w:rsid w:val="00D53EDE"/>
    <w:rsid w:val="00D702DC"/>
    <w:rsid w:val="00D712D3"/>
    <w:rsid w:val="00D71422"/>
    <w:rsid w:val="00D72DC6"/>
    <w:rsid w:val="00D7558D"/>
    <w:rsid w:val="00D81D92"/>
    <w:rsid w:val="00D97C6F"/>
    <w:rsid w:val="00DA3167"/>
    <w:rsid w:val="00DA7B5F"/>
    <w:rsid w:val="00DC11E7"/>
    <w:rsid w:val="00DC3F6C"/>
    <w:rsid w:val="00DC7023"/>
    <w:rsid w:val="00DC706A"/>
    <w:rsid w:val="00DC769A"/>
    <w:rsid w:val="00DD3D86"/>
    <w:rsid w:val="00DD75B4"/>
    <w:rsid w:val="00DF1EC4"/>
    <w:rsid w:val="00DF48A5"/>
    <w:rsid w:val="00E0340B"/>
    <w:rsid w:val="00E04194"/>
    <w:rsid w:val="00E04A90"/>
    <w:rsid w:val="00E04D02"/>
    <w:rsid w:val="00E219C7"/>
    <w:rsid w:val="00E24274"/>
    <w:rsid w:val="00E43157"/>
    <w:rsid w:val="00E43D50"/>
    <w:rsid w:val="00E461CE"/>
    <w:rsid w:val="00E46D11"/>
    <w:rsid w:val="00E570AF"/>
    <w:rsid w:val="00E65100"/>
    <w:rsid w:val="00E720CA"/>
    <w:rsid w:val="00E73258"/>
    <w:rsid w:val="00E742E7"/>
    <w:rsid w:val="00E75132"/>
    <w:rsid w:val="00E84EB5"/>
    <w:rsid w:val="00E85662"/>
    <w:rsid w:val="00E8789F"/>
    <w:rsid w:val="00E93D8D"/>
    <w:rsid w:val="00E97B71"/>
    <w:rsid w:val="00EA0F18"/>
    <w:rsid w:val="00EA3D34"/>
    <w:rsid w:val="00EB454D"/>
    <w:rsid w:val="00EC2EDB"/>
    <w:rsid w:val="00EC3D39"/>
    <w:rsid w:val="00ED50FD"/>
    <w:rsid w:val="00ED7383"/>
    <w:rsid w:val="00ED76BE"/>
    <w:rsid w:val="00EF2CB5"/>
    <w:rsid w:val="00EF619B"/>
    <w:rsid w:val="00F00B55"/>
    <w:rsid w:val="00F02AD1"/>
    <w:rsid w:val="00F02F7A"/>
    <w:rsid w:val="00F065AC"/>
    <w:rsid w:val="00F12123"/>
    <w:rsid w:val="00F154B1"/>
    <w:rsid w:val="00F253CC"/>
    <w:rsid w:val="00F27EDE"/>
    <w:rsid w:val="00F37106"/>
    <w:rsid w:val="00F44EDA"/>
    <w:rsid w:val="00F519CF"/>
    <w:rsid w:val="00F56BA5"/>
    <w:rsid w:val="00F60E22"/>
    <w:rsid w:val="00F7400E"/>
    <w:rsid w:val="00F81395"/>
    <w:rsid w:val="00F917D1"/>
    <w:rsid w:val="00F9653B"/>
    <w:rsid w:val="00FA5559"/>
    <w:rsid w:val="00FB62CF"/>
    <w:rsid w:val="00FD253D"/>
    <w:rsid w:val="00FD3C3B"/>
    <w:rsid w:val="00FE6B45"/>
    <w:rsid w:val="00FF55F3"/>
    <w:rsid w:val="00FF5851"/>
    <w:rsid w:val="00FF7B79"/>
    <w:rsid w:val="182E8E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D224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C5C8E"/>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CommentTextChar">
    <w:name w:val="Comment Text Char"/>
    <w:basedOn w:val="DefaultParagraphFont"/>
    <w:link w:val="CommentText"/>
    <w:uiPriority w:val="99"/>
    <w:semiHidden/>
    <w:rsid w:val="006C5C8E"/>
    <w:rPr>
      <w:bdr w:val="none" w:sz="0" w:space="0" w:color="auto"/>
      <w:lang w:val="en-US" w:eastAsia="en-US"/>
    </w:rPr>
  </w:style>
  <w:style w:type="character" w:styleId="CommentReference">
    <w:name w:val="annotation reference"/>
    <w:basedOn w:val="DefaultParagraphFont"/>
    <w:uiPriority w:val="99"/>
    <w:semiHidden/>
    <w:unhideWhenUsed/>
    <w:rsid w:val="006C5C8E"/>
    <w:rPr>
      <w:sz w:val="16"/>
      <w:szCs w:val="16"/>
    </w:rPr>
  </w:style>
  <w:style w:type="character" w:styleId="UnresolvedMention">
    <w:name w:val="Unresolved Mention"/>
    <w:basedOn w:val="DefaultParagraphFont"/>
    <w:uiPriority w:val="99"/>
    <w:semiHidden/>
    <w:unhideWhenUsed/>
    <w:rsid w:val="00EF2CB5"/>
    <w:rPr>
      <w:color w:val="605E5C"/>
      <w:shd w:val="clear" w:color="auto" w:fill="E1DFDD"/>
    </w:rPr>
  </w:style>
  <w:style w:type="paragraph" w:styleId="Revision">
    <w:name w:val="Revision"/>
    <w:hidden/>
    <w:uiPriority w:val="99"/>
    <w:semiHidden/>
    <w:rsid w:val="0071194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986">
      <w:bodyDiv w:val="1"/>
      <w:marLeft w:val="0"/>
      <w:marRight w:val="0"/>
      <w:marTop w:val="0"/>
      <w:marBottom w:val="0"/>
      <w:divBdr>
        <w:top w:val="none" w:sz="0" w:space="0" w:color="auto"/>
        <w:left w:val="none" w:sz="0" w:space="0" w:color="auto"/>
        <w:bottom w:val="none" w:sz="0" w:space="0" w:color="auto"/>
        <w:right w:val="none" w:sz="0" w:space="0" w:color="auto"/>
      </w:divBdr>
    </w:div>
    <w:div w:id="11995863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100504">
      <w:bodyDiv w:val="1"/>
      <w:marLeft w:val="0"/>
      <w:marRight w:val="0"/>
      <w:marTop w:val="0"/>
      <w:marBottom w:val="0"/>
      <w:divBdr>
        <w:top w:val="none" w:sz="0" w:space="0" w:color="auto"/>
        <w:left w:val="none" w:sz="0" w:space="0" w:color="auto"/>
        <w:bottom w:val="none" w:sz="0" w:space="0" w:color="auto"/>
        <w:right w:val="none" w:sz="0" w:space="0" w:color="auto"/>
      </w:divBdr>
    </w:div>
    <w:div w:id="1961719599">
      <w:bodyDiv w:val="1"/>
      <w:marLeft w:val="0"/>
      <w:marRight w:val="0"/>
      <w:marTop w:val="0"/>
      <w:marBottom w:val="0"/>
      <w:divBdr>
        <w:top w:val="none" w:sz="0" w:space="0" w:color="auto"/>
        <w:left w:val="none" w:sz="0" w:space="0" w:color="auto"/>
        <w:bottom w:val="none" w:sz="0" w:space="0" w:color="auto"/>
        <w:right w:val="none" w:sz="0" w:space="0" w:color="auto"/>
      </w:divBdr>
    </w:div>
    <w:div w:id="205091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3578</Words>
  <Characters>19255</Characters>
  <Application>Microsoft Office Word</Application>
  <DocSecurity>0</DocSecurity>
  <Lines>437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63/22</dc:title>
  <dc:subject/>
  <dc:creator/>
  <cp:keywords/>
  <cp:lastModifiedBy/>
  <cp:revision>1</cp:revision>
  <dcterms:created xsi:type="dcterms:W3CDTF">2022-06-06T16:56:00Z</dcterms:created>
  <dcterms:modified xsi:type="dcterms:W3CDTF">2022-06-06T16:56:00Z</dcterms:modified>
</cp:coreProperties>
</file>