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14148"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761EB89" wp14:editId="1295B0A7">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17A0E9D8"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3A6ADE5" wp14:editId="7C69D8A5">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0EB79B" w14:textId="77777777" w:rsidR="00CB2660" w:rsidRDefault="002C1641">
                            <w:r>
                              <w:rPr>
                                <w:noProof/>
                              </w:rPr>
                              <w:drawing>
                                <wp:inline distT="0" distB="0" distL="0" distR="0" wp14:anchorId="7C06493E" wp14:editId="1834C7C9">
                                  <wp:extent cx="2522763" cy="485775"/>
                                  <wp:effectExtent l="0" t="0" r="0" b="0"/>
                                  <wp:docPr id="9" name="Picture 9"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13A6ADE5"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" filled="f" stroked="f" strokeweight=".5pt">
                <v:textbox>
                  <w:txbxContent>
                    <w:p w14:paraId="150EB79B" w14:textId="77777777" w:rsidR="00CB2660" w:rsidRDefault="002C1641">
                      <w:r>
                        <w:rPr>
                          <w:noProof/>
                        </w:rPr>
                        <w:drawing>
                          <wp:inline distT="0" distB="0" distL="0" distR="0" wp14:anchorId="7C06493E" wp14:editId="1834C7C9">
                            <wp:extent cx="2522763" cy="485775"/>
                            <wp:effectExtent l="0" t="0" r="0" b="0"/>
                            <wp:docPr id="9" name="Picture 9"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16D22A38"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17AA6FA1"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008927B3" w14:textId="77777777" w:rsidR="005128E4" w:rsidRPr="003C32BC" w:rsidRDefault="005128E4" w:rsidP="00040C3A">
      <w:pPr>
        <w:tabs>
          <w:tab w:val="center" w:pos="5400"/>
        </w:tabs>
        <w:suppressAutoHyphens/>
        <w:rPr>
          <w:rFonts w:asciiTheme="majorHAnsi" w:hAnsiTheme="majorHAnsi"/>
          <w:sz w:val="22"/>
          <w:szCs w:val="22"/>
          <w:lang w:val="es-ES_tradnl"/>
        </w:rPr>
      </w:pPr>
    </w:p>
    <w:p w14:paraId="28C4AA2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1BC0083F" w14:textId="77777777" w:rsidR="005128E4" w:rsidRPr="003C32BC" w:rsidRDefault="005128E4" w:rsidP="00040C3A">
      <w:pPr>
        <w:tabs>
          <w:tab w:val="center" w:pos="5400"/>
        </w:tabs>
        <w:suppressAutoHyphens/>
        <w:rPr>
          <w:rFonts w:asciiTheme="majorHAnsi" w:hAnsiTheme="majorHAnsi"/>
          <w:sz w:val="22"/>
          <w:szCs w:val="22"/>
          <w:lang w:val="es-ES_tradnl"/>
        </w:rPr>
      </w:pPr>
    </w:p>
    <w:p w14:paraId="31090FE3"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43B33761"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4D605BC1"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4ACDAF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76585BF7"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6CCFBB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0E114A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5E2834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DD39D4D"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3A92376" wp14:editId="0AC2208A">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0084D9" w14:textId="017AE6E9"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554EB0">
                              <w:rPr>
                                <w:rFonts w:asciiTheme="majorHAnsi" w:hAnsiTheme="majorHAnsi" w:cs="Arial"/>
                                <w:b/>
                                <w:bCs/>
                                <w:color w:val="0D0D0D" w:themeColor="text1" w:themeTint="F2"/>
                                <w:sz w:val="36"/>
                                <w:szCs w:val="40"/>
                              </w:rPr>
                              <w:t>94</w:t>
                            </w:r>
                            <w:r w:rsidRPr="004B7EB6">
                              <w:rPr>
                                <w:rFonts w:asciiTheme="majorHAnsi" w:hAnsiTheme="majorHAnsi" w:cs="Arial"/>
                                <w:b/>
                                <w:bCs/>
                                <w:color w:val="0D0D0D" w:themeColor="text1" w:themeTint="F2"/>
                                <w:sz w:val="36"/>
                                <w:szCs w:val="40"/>
                              </w:rPr>
                              <w:t>/</w:t>
                            </w:r>
                            <w:r w:rsidR="00A63EC7" w:rsidRPr="00554EB0">
                              <w:rPr>
                                <w:rFonts w:asciiTheme="majorHAnsi" w:hAnsiTheme="majorHAnsi" w:cs="Arial"/>
                                <w:b/>
                                <w:bCs/>
                                <w:color w:val="0D0D0D" w:themeColor="text1" w:themeTint="F2"/>
                                <w:sz w:val="36"/>
                                <w:szCs w:val="40"/>
                              </w:rPr>
                              <w:t>2</w:t>
                            </w:r>
                            <w:r w:rsidR="001B1FC0" w:rsidRPr="00554EB0">
                              <w:rPr>
                                <w:rFonts w:asciiTheme="majorHAnsi" w:hAnsiTheme="majorHAnsi" w:cs="Arial"/>
                                <w:b/>
                                <w:bCs/>
                                <w:color w:val="0D0D0D" w:themeColor="text1" w:themeTint="F2"/>
                                <w:sz w:val="36"/>
                                <w:szCs w:val="40"/>
                              </w:rPr>
                              <w:t>2</w:t>
                            </w:r>
                          </w:p>
                          <w:p w14:paraId="40F555F8" w14:textId="2CA0CE9C" w:rsidR="00322450" w:rsidRPr="004B7EB6" w:rsidRDefault="00613027"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PETITION </w:t>
                            </w:r>
                            <w:r w:rsidR="00A63EC7">
                              <w:rPr>
                                <w:rFonts w:asciiTheme="majorHAnsi" w:hAnsiTheme="majorHAnsi" w:cs="Arial"/>
                                <w:b/>
                                <w:color w:val="0D0D0D" w:themeColor="text1" w:themeTint="F2"/>
                                <w:sz w:val="36"/>
                                <w:szCs w:val="40"/>
                              </w:rPr>
                              <w:t>1391-15</w:t>
                            </w:r>
                          </w:p>
                          <w:p w14:paraId="087001E3" w14:textId="579CA6F6" w:rsidR="00322450" w:rsidRPr="004B7EB6" w:rsidRDefault="00322450"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FRIENDLY SETTLEMENT</w:t>
                            </w:r>
                            <w:r w:rsidR="00450A4A" w:rsidRPr="004B7EB6">
                              <w:rPr>
                                <w:rFonts w:asciiTheme="majorHAnsi" w:hAnsiTheme="majorHAnsi" w:cs="Arial"/>
                                <w:color w:val="0D0D0D" w:themeColor="text1" w:themeTint="F2"/>
                                <w:szCs w:val="22"/>
                              </w:rPr>
                              <w:t xml:space="preserve"> </w:t>
                            </w:r>
                          </w:p>
                          <w:p w14:paraId="4C05055B" w14:textId="77777777" w:rsidR="00450A4A" w:rsidRPr="004B7EB6" w:rsidRDefault="00450A4A" w:rsidP="004B7EB6">
                            <w:pPr>
                              <w:spacing w:line="276" w:lineRule="auto"/>
                              <w:rPr>
                                <w:rFonts w:asciiTheme="majorHAnsi" w:hAnsiTheme="majorHAnsi" w:cs="Arial"/>
                                <w:color w:val="0D0D0D" w:themeColor="text1" w:themeTint="F2"/>
                                <w:szCs w:val="22"/>
                              </w:rPr>
                            </w:pPr>
                          </w:p>
                          <w:p w14:paraId="77AB4E1F" w14:textId="6F09B04B" w:rsidR="00322450" w:rsidRPr="000F62D9" w:rsidRDefault="00A63EC7" w:rsidP="004B7EB6">
                            <w:pPr>
                              <w:spacing w:line="276" w:lineRule="auto"/>
                              <w:rPr>
                                <w:rFonts w:asciiTheme="majorHAnsi" w:hAnsiTheme="majorHAnsi" w:cs="Arial"/>
                                <w:color w:val="0D0D0D" w:themeColor="text1" w:themeTint="F2"/>
                                <w:szCs w:val="22"/>
                              </w:rPr>
                            </w:pPr>
                            <w:r w:rsidRPr="000F62D9">
                              <w:rPr>
                                <w:rFonts w:asciiTheme="majorHAnsi" w:hAnsiTheme="majorHAnsi" w:cs="Arial"/>
                                <w:color w:val="0D0D0D" w:themeColor="text1" w:themeTint="F2"/>
                                <w:szCs w:val="22"/>
                              </w:rPr>
                              <w:t>MARIO ANTONIO CARDONA VARELA AND OTHERS</w:t>
                            </w:r>
                          </w:p>
                          <w:p w14:paraId="01E0E1D8" w14:textId="5F225818" w:rsidR="005B52B0" w:rsidRPr="002B0EDA" w:rsidRDefault="00322450" w:rsidP="004B7EB6">
                            <w:pPr>
                              <w:spacing w:line="276" w:lineRule="auto"/>
                              <w:rPr>
                                <w:rFonts w:asciiTheme="majorHAnsi" w:hAnsiTheme="majorHAnsi"/>
                                <w:color w:val="0D0D0D" w:themeColor="text1" w:themeTint="F2"/>
                                <w:lang w:val="es-ES_tradnl"/>
                              </w:rPr>
                            </w:pPr>
                            <w:r w:rsidRPr="002B0EDA">
                              <w:rPr>
                                <w:rFonts w:asciiTheme="majorHAnsi" w:hAnsiTheme="majorHAnsi" w:cs="Arial"/>
                                <w:color w:val="0D0D0D" w:themeColor="text1" w:themeTint="F2"/>
                                <w:szCs w:val="22"/>
                                <w:lang w:val="es-ES_tradnl"/>
                              </w:rPr>
                              <w:t>CO</w:t>
                            </w:r>
                            <w:r w:rsidR="00A63EC7" w:rsidRPr="002B0EDA">
                              <w:rPr>
                                <w:rFonts w:asciiTheme="majorHAnsi" w:hAnsiTheme="majorHAnsi" w:cs="Arial"/>
                                <w:color w:val="0D0D0D" w:themeColor="text1" w:themeTint="F2"/>
                                <w:szCs w:val="22"/>
                                <w:lang w:val="es-ES_tradnl"/>
                              </w:rPr>
                              <w:t>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03A92376"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" filled="f" stroked="f" strokeweight=".5pt">
                <v:textbox>
                  <w:txbxContent>
                    <w:p w14:paraId="3A0084D9" w14:textId="017AE6E9"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554EB0">
                        <w:rPr>
                          <w:rFonts w:asciiTheme="majorHAnsi" w:hAnsiTheme="majorHAnsi" w:cs="Arial"/>
                          <w:b/>
                          <w:bCs/>
                          <w:color w:val="0D0D0D" w:themeColor="text1" w:themeTint="F2"/>
                          <w:sz w:val="36"/>
                          <w:szCs w:val="40"/>
                        </w:rPr>
                        <w:t>94</w:t>
                      </w:r>
                      <w:r w:rsidRPr="004B7EB6">
                        <w:rPr>
                          <w:rFonts w:asciiTheme="majorHAnsi" w:hAnsiTheme="majorHAnsi" w:cs="Arial"/>
                          <w:b/>
                          <w:bCs/>
                          <w:color w:val="0D0D0D" w:themeColor="text1" w:themeTint="F2"/>
                          <w:sz w:val="36"/>
                          <w:szCs w:val="40"/>
                        </w:rPr>
                        <w:t>/</w:t>
                      </w:r>
                      <w:r w:rsidR="00A63EC7" w:rsidRPr="00554EB0">
                        <w:rPr>
                          <w:rFonts w:asciiTheme="majorHAnsi" w:hAnsiTheme="majorHAnsi" w:cs="Arial"/>
                          <w:b/>
                          <w:bCs/>
                          <w:color w:val="0D0D0D" w:themeColor="text1" w:themeTint="F2"/>
                          <w:sz w:val="36"/>
                          <w:szCs w:val="40"/>
                        </w:rPr>
                        <w:t>2</w:t>
                      </w:r>
                      <w:r w:rsidR="001B1FC0" w:rsidRPr="00554EB0">
                        <w:rPr>
                          <w:rFonts w:asciiTheme="majorHAnsi" w:hAnsiTheme="majorHAnsi" w:cs="Arial"/>
                          <w:b/>
                          <w:bCs/>
                          <w:color w:val="0D0D0D" w:themeColor="text1" w:themeTint="F2"/>
                          <w:sz w:val="36"/>
                          <w:szCs w:val="40"/>
                        </w:rPr>
                        <w:t>2</w:t>
                      </w:r>
                    </w:p>
                    <w:p w14:paraId="40F555F8" w14:textId="2CA0CE9C" w:rsidR="00322450" w:rsidRPr="004B7EB6" w:rsidRDefault="00613027"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PETITION </w:t>
                      </w:r>
                      <w:r w:rsidR="00A63EC7">
                        <w:rPr>
                          <w:rFonts w:asciiTheme="majorHAnsi" w:hAnsiTheme="majorHAnsi" w:cs="Arial"/>
                          <w:b/>
                          <w:color w:val="0D0D0D" w:themeColor="text1" w:themeTint="F2"/>
                          <w:sz w:val="36"/>
                          <w:szCs w:val="40"/>
                        </w:rPr>
                        <w:t>1391-15</w:t>
                      </w:r>
                    </w:p>
                    <w:p w14:paraId="087001E3" w14:textId="579CA6F6" w:rsidR="00322450" w:rsidRPr="004B7EB6" w:rsidRDefault="00322450"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FRIENDLY SETTLEMENT</w:t>
                      </w:r>
                      <w:r w:rsidR="00450A4A" w:rsidRPr="004B7EB6">
                        <w:rPr>
                          <w:rFonts w:asciiTheme="majorHAnsi" w:hAnsiTheme="majorHAnsi" w:cs="Arial"/>
                          <w:color w:val="0D0D0D" w:themeColor="text1" w:themeTint="F2"/>
                          <w:szCs w:val="22"/>
                        </w:rPr>
                        <w:t xml:space="preserve"> </w:t>
                      </w:r>
                    </w:p>
                    <w:p w14:paraId="4C05055B" w14:textId="77777777" w:rsidR="00450A4A" w:rsidRPr="004B7EB6" w:rsidRDefault="00450A4A" w:rsidP="004B7EB6">
                      <w:pPr>
                        <w:spacing w:line="276" w:lineRule="auto"/>
                        <w:rPr>
                          <w:rFonts w:asciiTheme="majorHAnsi" w:hAnsiTheme="majorHAnsi" w:cs="Arial"/>
                          <w:color w:val="0D0D0D" w:themeColor="text1" w:themeTint="F2"/>
                          <w:szCs w:val="22"/>
                        </w:rPr>
                      </w:pPr>
                    </w:p>
                    <w:p w14:paraId="77AB4E1F" w14:textId="6F09B04B" w:rsidR="00322450" w:rsidRPr="000F62D9" w:rsidRDefault="00A63EC7" w:rsidP="004B7EB6">
                      <w:pPr>
                        <w:spacing w:line="276" w:lineRule="auto"/>
                        <w:rPr>
                          <w:rFonts w:asciiTheme="majorHAnsi" w:hAnsiTheme="majorHAnsi" w:cs="Arial"/>
                          <w:color w:val="0D0D0D" w:themeColor="text1" w:themeTint="F2"/>
                          <w:szCs w:val="22"/>
                        </w:rPr>
                      </w:pPr>
                      <w:r w:rsidRPr="000F62D9">
                        <w:rPr>
                          <w:rFonts w:asciiTheme="majorHAnsi" w:hAnsiTheme="majorHAnsi" w:cs="Arial"/>
                          <w:color w:val="0D0D0D" w:themeColor="text1" w:themeTint="F2"/>
                          <w:szCs w:val="22"/>
                        </w:rPr>
                        <w:t>MARIO ANTONIO CARDONA VARELA AND OTHERS</w:t>
                      </w:r>
                    </w:p>
                    <w:p w14:paraId="01E0E1D8" w14:textId="5F225818" w:rsidR="005B52B0" w:rsidRPr="002B0EDA" w:rsidRDefault="00322450" w:rsidP="004B7EB6">
                      <w:pPr>
                        <w:spacing w:line="276" w:lineRule="auto"/>
                        <w:rPr>
                          <w:rFonts w:asciiTheme="majorHAnsi" w:hAnsiTheme="majorHAnsi"/>
                          <w:color w:val="0D0D0D" w:themeColor="text1" w:themeTint="F2"/>
                          <w:lang w:val="es-ES_tradnl"/>
                        </w:rPr>
                      </w:pPr>
                      <w:r w:rsidRPr="002B0EDA">
                        <w:rPr>
                          <w:rFonts w:asciiTheme="majorHAnsi" w:hAnsiTheme="majorHAnsi" w:cs="Arial"/>
                          <w:color w:val="0D0D0D" w:themeColor="text1" w:themeTint="F2"/>
                          <w:szCs w:val="22"/>
                          <w:lang w:val="es-ES_tradnl"/>
                        </w:rPr>
                        <w:t>CO</w:t>
                      </w:r>
                      <w:r w:rsidR="00A63EC7" w:rsidRPr="002B0EDA">
                        <w:rPr>
                          <w:rFonts w:asciiTheme="majorHAnsi" w:hAnsiTheme="majorHAnsi" w:cs="Arial"/>
                          <w:color w:val="0D0D0D" w:themeColor="text1" w:themeTint="F2"/>
                          <w:szCs w:val="22"/>
                          <w:lang w:val="es-ES_tradnl"/>
                        </w:rPr>
                        <w:t>LOMBIA</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54670A39" wp14:editId="10002079">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DB4194" w14:textId="02BF114E"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w:t>
                            </w:r>
                          </w:p>
                          <w:p w14:paraId="016F787A" w14:textId="3F69EE5F"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 xml:space="preserve">Doc. </w:t>
                            </w:r>
                            <w:r w:rsidR="00554EB0">
                              <w:rPr>
                                <w:rFonts w:asciiTheme="minorHAnsi" w:hAnsiTheme="minorHAnsi"/>
                                <w:color w:val="FFFFFF" w:themeColor="background1"/>
                                <w:sz w:val="22"/>
                                <w:lang w:val="pt-BR"/>
                              </w:rPr>
                              <w:t>97</w:t>
                            </w:r>
                          </w:p>
                          <w:p w14:paraId="2C6D8C28" w14:textId="59874ECE" w:rsidR="00627C9F" w:rsidRPr="004B7EB6" w:rsidRDefault="00554EB0" w:rsidP="002C1641">
                            <w:pPr>
                              <w:jc w:val="right"/>
                              <w:rPr>
                                <w:rFonts w:asciiTheme="minorHAnsi" w:hAnsiTheme="minorHAnsi"/>
                                <w:color w:val="FFFFFF" w:themeColor="background1"/>
                                <w:sz w:val="22"/>
                              </w:rPr>
                            </w:pPr>
                            <w:r>
                              <w:rPr>
                                <w:rFonts w:asciiTheme="minorHAnsi" w:hAnsiTheme="minorHAnsi"/>
                                <w:color w:val="FFFFFF" w:themeColor="background1"/>
                                <w:sz w:val="22"/>
                              </w:rPr>
                              <w:t>10</w:t>
                            </w:r>
                            <w:r w:rsidR="00627C9F" w:rsidRPr="00554EB0">
                              <w:rPr>
                                <w:rFonts w:asciiTheme="minorHAnsi" w:hAnsiTheme="minorHAnsi"/>
                                <w:color w:val="FFFFFF" w:themeColor="background1"/>
                                <w:sz w:val="22"/>
                              </w:rPr>
                              <w:t xml:space="preserve"> </w:t>
                            </w:r>
                            <w:r w:rsidR="000F62D9">
                              <w:rPr>
                                <w:rFonts w:asciiTheme="minorHAnsi" w:hAnsiTheme="minorHAnsi"/>
                                <w:color w:val="FFFFFF" w:themeColor="background1"/>
                                <w:sz w:val="22"/>
                              </w:rPr>
                              <w:t>March</w:t>
                            </w:r>
                            <w:r w:rsidR="00A63EC7" w:rsidRPr="00554EB0">
                              <w:rPr>
                                <w:rFonts w:asciiTheme="minorHAnsi" w:hAnsiTheme="minorHAnsi"/>
                                <w:color w:val="FFFFFF" w:themeColor="background1"/>
                                <w:sz w:val="22"/>
                              </w:rPr>
                              <w:t xml:space="preserve"> 202</w:t>
                            </w:r>
                            <w:r>
                              <w:rPr>
                                <w:rFonts w:asciiTheme="minorHAnsi" w:hAnsiTheme="minorHAnsi"/>
                                <w:color w:val="FFFFFF" w:themeColor="background1"/>
                                <w:sz w:val="22"/>
                              </w:rPr>
                              <w:t>2</w:t>
                            </w:r>
                          </w:p>
                          <w:p w14:paraId="01A697FA" w14:textId="3683D2C0"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A63EC7">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670A39" id="_x0000_t202" coordsize="21600,21600" o:spt="202" path="m,l,21600r21600,l21600,xe">
                <v:stroke joinstyle="miter"/>
                <v:path gradientshapeok="t" o:connecttype="rect"/>
              </v:shapetype>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JLz9HW4CAABFBQAADgAAAAAAAAAA&#10;AAAAAAAuAgAAZHJzL2Uyb0RvYy54bWxQSwECLQAUAAYACAAAACEAF2r1N+EAAAAKAQAADwAAAAAA&#10;AAAAAAAAAADIBAAAZHJzL2Rvd25yZXYueG1sUEsFBgAAAAAEAAQA8wAAANYFAAAAAA==&#10;" filled="f" stroked="f" strokeweight=".5pt">
                <v:textbox>
                  <w:txbxContent>
                    <w:p w14:paraId="07DB4194" w14:textId="02BF114E"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w:t>
                      </w:r>
                    </w:p>
                    <w:p w14:paraId="016F787A" w14:textId="3F69EE5F"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 xml:space="preserve">Doc. </w:t>
                      </w:r>
                      <w:r w:rsidR="00554EB0">
                        <w:rPr>
                          <w:rFonts w:asciiTheme="minorHAnsi" w:hAnsiTheme="minorHAnsi"/>
                          <w:color w:val="FFFFFF" w:themeColor="background1"/>
                          <w:sz w:val="22"/>
                          <w:lang w:val="pt-BR"/>
                        </w:rPr>
                        <w:t>97</w:t>
                      </w:r>
                    </w:p>
                    <w:p w14:paraId="2C6D8C28" w14:textId="59874ECE" w:rsidR="00627C9F" w:rsidRPr="004B7EB6" w:rsidRDefault="00554EB0" w:rsidP="002C1641">
                      <w:pPr>
                        <w:jc w:val="right"/>
                        <w:rPr>
                          <w:rFonts w:asciiTheme="minorHAnsi" w:hAnsiTheme="minorHAnsi"/>
                          <w:color w:val="FFFFFF" w:themeColor="background1"/>
                          <w:sz w:val="22"/>
                        </w:rPr>
                      </w:pPr>
                      <w:r>
                        <w:rPr>
                          <w:rFonts w:asciiTheme="minorHAnsi" w:hAnsiTheme="minorHAnsi"/>
                          <w:color w:val="FFFFFF" w:themeColor="background1"/>
                          <w:sz w:val="22"/>
                        </w:rPr>
                        <w:t>10</w:t>
                      </w:r>
                      <w:r w:rsidR="00627C9F" w:rsidRPr="00554EB0">
                        <w:rPr>
                          <w:rFonts w:asciiTheme="minorHAnsi" w:hAnsiTheme="minorHAnsi"/>
                          <w:color w:val="FFFFFF" w:themeColor="background1"/>
                          <w:sz w:val="22"/>
                        </w:rPr>
                        <w:t xml:space="preserve"> </w:t>
                      </w:r>
                      <w:r w:rsidR="000F62D9">
                        <w:rPr>
                          <w:rFonts w:asciiTheme="minorHAnsi" w:hAnsiTheme="minorHAnsi"/>
                          <w:color w:val="FFFFFF" w:themeColor="background1"/>
                          <w:sz w:val="22"/>
                        </w:rPr>
                        <w:t>March</w:t>
                      </w:r>
                      <w:r w:rsidR="00A63EC7" w:rsidRPr="00554EB0">
                        <w:rPr>
                          <w:rFonts w:asciiTheme="minorHAnsi" w:hAnsiTheme="minorHAnsi"/>
                          <w:color w:val="FFFFFF" w:themeColor="background1"/>
                          <w:sz w:val="22"/>
                        </w:rPr>
                        <w:t xml:space="preserve"> 202</w:t>
                      </w:r>
                      <w:r>
                        <w:rPr>
                          <w:rFonts w:asciiTheme="minorHAnsi" w:hAnsiTheme="minorHAnsi"/>
                          <w:color w:val="FFFFFF" w:themeColor="background1"/>
                          <w:sz w:val="22"/>
                        </w:rPr>
                        <w:t>2</w:t>
                      </w:r>
                    </w:p>
                    <w:p w14:paraId="01A697FA" w14:textId="3683D2C0"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A63EC7">
                        <w:rPr>
                          <w:rFonts w:asciiTheme="minorHAnsi" w:hAnsiTheme="minorHAnsi"/>
                          <w:color w:val="FFFFFF" w:themeColor="background1"/>
                          <w:sz w:val="22"/>
                        </w:rPr>
                        <w:t>Spanish</w:t>
                      </w:r>
                    </w:p>
                  </w:txbxContent>
                </v:textbox>
              </v:shape>
            </w:pict>
          </mc:Fallback>
        </mc:AlternateContent>
      </w:r>
    </w:p>
    <w:p w14:paraId="1A4670A3"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B5BD2A4"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2CACA49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633D600"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DA5BC5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A36C5F3"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254B02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45F7915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58F1B55"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E18613A"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28569D4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DDC70E8"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CE42C08"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879E7C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7BD91F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E956D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5A7C61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068214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5D152F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A69CEF0"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8349FE8"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5E77580"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B9390C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725337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934905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092E65F"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6FEA8DC8" wp14:editId="1310D8E0">
                <wp:simplePos x="0" y="0"/>
                <wp:positionH relativeFrom="column">
                  <wp:posOffset>1209675</wp:posOffset>
                </wp:positionH>
                <wp:positionV relativeFrom="paragraph">
                  <wp:posOffset>63858</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E3C666" w14:textId="36E70A70"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Approved electronically by the Commission</w:t>
                            </w:r>
                            <w:r w:rsidR="003F1BBF" w:rsidRPr="003C32BC">
                              <w:rPr>
                                <w:rFonts w:asciiTheme="majorHAnsi" w:hAnsiTheme="majorHAnsi"/>
                                <w:color w:val="0D0D0D" w:themeColor="text1" w:themeTint="F2"/>
                                <w:sz w:val="18"/>
                                <w:szCs w:val="22"/>
                              </w:rPr>
                              <w:t xml:space="preserve"> </w:t>
                            </w:r>
                            <w:r w:rsidRPr="003C32BC">
                              <w:rPr>
                                <w:rFonts w:asciiTheme="majorHAnsi" w:hAnsiTheme="majorHAnsi"/>
                                <w:color w:val="0D0D0D" w:themeColor="text1" w:themeTint="F2"/>
                                <w:sz w:val="18"/>
                                <w:szCs w:val="22"/>
                              </w:rPr>
                              <w:t xml:space="preserve">on </w:t>
                            </w:r>
                            <w:r w:rsidR="00554EB0">
                              <w:rPr>
                                <w:rFonts w:asciiTheme="majorHAnsi" w:hAnsiTheme="majorHAnsi"/>
                                <w:color w:val="0D0D0D" w:themeColor="text1" w:themeTint="F2"/>
                                <w:sz w:val="18"/>
                                <w:szCs w:val="22"/>
                              </w:rPr>
                              <w:t>March 1</w:t>
                            </w:r>
                            <w:r w:rsidR="00554EB0" w:rsidRPr="00554EB0">
                              <w:rPr>
                                <w:rFonts w:asciiTheme="majorHAnsi" w:hAnsiTheme="majorHAnsi"/>
                                <w:color w:val="0D0D0D" w:themeColor="text1" w:themeTint="F2"/>
                                <w:sz w:val="18"/>
                                <w:szCs w:val="22"/>
                              </w:rPr>
                              <w:t>0</w:t>
                            </w:r>
                            <w:r w:rsidRPr="00554EB0">
                              <w:rPr>
                                <w:rFonts w:asciiTheme="majorHAnsi" w:hAnsiTheme="majorHAnsi"/>
                                <w:color w:val="0D0D0D" w:themeColor="text1" w:themeTint="F2"/>
                                <w:sz w:val="18"/>
                                <w:szCs w:val="22"/>
                              </w:rPr>
                              <w:t>, 20</w:t>
                            </w:r>
                            <w:r w:rsidR="00D62FBF" w:rsidRPr="00554EB0">
                              <w:rPr>
                                <w:rFonts w:asciiTheme="majorHAnsi" w:hAnsiTheme="majorHAnsi"/>
                                <w:color w:val="0D0D0D" w:themeColor="text1" w:themeTint="F2"/>
                                <w:sz w:val="18"/>
                                <w:szCs w:val="22"/>
                              </w:rPr>
                              <w:t>2</w:t>
                            </w:r>
                            <w:r w:rsidR="001B1FC0" w:rsidRPr="00554EB0">
                              <w:rPr>
                                <w:rFonts w:asciiTheme="majorHAnsi" w:hAnsiTheme="majorHAnsi"/>
                                <w:color w:val="0D0D0D" w:themeColor="text1" w:themeTint="F2"/>
                                <w:sz w:val="18"/>
                                <w:szCs w:val="22"/>
                              </w:rPr>
                              <w:t>2</w:t>
                            </w:r>
                            <w:r w:rsidR="000F62D9">
                              <w:rPr>
                                <w:rFonts w:asciiTheme="majorHAnsi" w:hAnsiTheme="majorHAnsi"/>
                                <w:color w:val="0D0D0D" w:themeColor="text1" w:themeTint="F2"/>
                                <w:sz w:val="18"/>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FEA8DC8" id="Text Box 7" o:spid="_x0000_s1029" type="#_x0000_t202" style="position:absolute;left:0;text-align:left;margin-left:95.25pt;margin-top:5.05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" filled="f" stroked="f" strokeweight=".5pt">
                <v:textbox>
                  <w:txbxContent>
                    <w:p w14:paraId="76E3C666" w14:textId="36E70A70"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Approved electronically by the Commission</w:t>
                      </w:r>
                      <w:r w:rsidR="003F1BBF" w:rsidRPr="003C32BC">
                        <w:rPr>
                          <w:rFonts w:asciiTheme="majorHAnsi" w:hAnsiTheme="majorHAnsi"/>
                          <w:color w:val="0D0D0D" w:themeColor="text1" w:themeTint="F2"/>
                          <w:sz w:val="18"/>
                          <w:szCs w:val="22"/>
                        </w:rPr>
                        <w:t xml:space="preserve"> </w:t>
                      </w:r>
                      <w:r w:rsidRPr="003C32BC">
                        <w:rPr>
                          <w:rFonts w:asciiTheme="majorHAnsi" w:hAnsiTheme="majorHAnsi"/>
                          <w:color w:val="0D0D0D" w:themeColor="text1" w:themeTint="F2"/>
                          <w:sz w:val="18"/>
                          <w:szCs w:val="22"/>
                        </w:rPr>
                        <w:t xml:space="preserve">on </w:t>
                      </w:r>
                      <w:r w:rsidR="00554EB0">
                        <w:rPr>
                          <w:rFonts w:asciiTheme="majorHAnsi" w:hAnsiTheme="majorHAnsi"/>
                          <w:color w:val="0D0D0D" w:themeColor="text1" w:themeTint="F2"/>
                          <w:sz w:val="18"/>
                          <w:szCs w:val="22"/>
                        </w:rPr>
                        <w:t>March 1</w:t>
                      </w:r>
                      <w:r w:rsidR="00554EB0" w:rsidRPr="00554EB0">
                        <w:rPr>
                          <w:rFonts w:asciiTheme="majorHAnsi" w:hAnsiTheme="majorHAnsi"/>
                          <w:color w:val="0D0D0D" w:themeColor="text1" w:themeTint="F2"/>
                          <w:sz w:val="18"/>
                          <w:szCs w:val="22"/>
                        </w:rPr>
                        <w:t>0</w:t>
                      </w:r>
                      <w:r w:rsidRPr="00554EB0">
                        <w:rPr>
                          <w:rFonts w:asciiTheme="majorHAnsi" w:hAnsiTheme="majorHAnsi"/>
                          <w:color w:val="0D0D0D" w:themeColor="text1" w:themeTint="F2"/>
                          <w:sz w:val="18"/>
                          <w:szCs w:val="22"/>
                        </w:rPr>
                        <w:t>, 20</w:t>
                      </w:r>
                      <w:r w:rsidR="00D62FBF" w:rsidRPr="00554EB0">
                        <w:rPr>
                          <w:rFonts w:asciiTheme="majorHAnsi" w:hAnsiTheme="majorHAnsi"/>
                          <w:color w:val="0D0D0D" w:themeColor="text1" w:themeTint="F2"/>
                          <w:sz w:val="18"/>
                          <w:szCs w:val="22"/>
                        </w:rPr>
                        <w:t>2</w:t>
                      </w:r>
                      <w:r w:rsidR="001B1FC0" w:rsidRPr="00554EB0">
                        <w:rPr>
                          <w:rFonts w:asciiTheme="majorHAnsi" w:hAnsiTheme="majorHAnsi"/>
                          <w:color w:val="0D0D0D" w:themeColor="text1" w:themeTint="F2"/>
                          <w:sz w:val="18"/>
                          <w:szCs w:val="22"/>
                        </w:rPr>
                        <w:t>2</w:t>
                      </w:r>
                      <w:r w:rsidR="000F62D9">
                        <w:rPr>
                          <w:rFonts w:asciiTheme="majorHAnsi" w:hAnsiTheme="majorHAnsi"/>
                          <w:color w:val="0D0D0D" w:themeColor="text1" w:themeTint="F2"/>
                          <w:sz w:val="18"/>
                          <w:szCs w:val="22"/>
                        </w:rPr>
                        <w:t>.</w:t>
                      </w:r>
                    </w:p>
                  </w:txbxContent>
                </v:textbox>
              </v:shape>
            </w:pict>
          </mc:Fallback>
        </mc:AlternateContent>
      </w:r>
    </w:p>
    <w:p w14:paraId="4E9CB955"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D7EBE3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54BAC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78EE42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FD45170"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5D32292" wp14:editId="5FE1F089">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43B2A9" w14:textId="301D2831"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IACHR, Report N</w:t>
                            </w:r>
                            <w:r w:rsidR="00554EB0">
                              <w:rPr>
                                <w:rFonts w:asciiTheme="majorHAnsi" w:hAnsiTheme="majorHAnsi"/>
                                <w:color w:val="595959" w:themeColor="text1" w:themeTint="A6"/>
                                <w:sz w:val="18"/>
                              </w:rPr>
                              <w:t>o</w:t>
                            </w:r>
                            <w:r w:rsidRPr="003C32BC">
                              <w:rPr>
                                <w:rFonts w:asciiTheme="majorHAnsi" w:hAnsiTheme="majorHAnsi"/>
                                <w:color w:val="595959" w:themeColor="text1" w:themeTint="A6"/>
                                <w:sz w:val="18"/>
                              </w:rPr>
                              <w:t xml:space="preserve">. </w:t>
                            </w:r>
                            <w:r w:rsidR="00554EB0">
                              <w:rPr>
                                <w:rFonts w:asciiTheme="majorHAnsi" w:hAnsiTheme="majorHAnsi"/>
                                <w:color w:val="595959" w:themeColor="text1" w:themeTint="A6"/>
                                <w:sz w:val="18"/>
                              </w:rPr>
                              <w:t>94</w:t>
                            </w:r>
                            <w:r w:rsidRPr="00554EB0">
                              <w:rPr>
                                <w:rFonts w:asciiTheme="majorHAnsi" w:hAnsiTheme="majorHAnsi"/>
                                <w:color w:val="595959" w:themeColor="text1" w:themeTint="A6"/>
                                <w:sz w:val="18"/>
                              </w:rPr>
                              <w:t>/</w:t>
                            </w:r>
                            <w:r w:rsidR="00D62FBF" w:rsidRPr="00554EB0">
                              <w:rPr>
                                <w:rFonts w:asciiTheme="majorHAnsi" w:hAnsiTheme="majorHAnsi"/>
                                <w:color w:val="595959" w:themeColor="text1" w:themeTint="A6"/>
                                <w:sz w:val="18"/>
                              </w:rPr>
                              <w:t>2</w:t>
                            </w:r>
                            <w:r w:rsidR="002E7A73" w:rsidRPr="00554EB0">
                              <w:rPr>
                                <w:rFonts w:asciiTheme="majorHAnsi" w:hAnsiTheme="majorHAnsi"/>
                                <w:color w:val="595959" w:themeColor="text1" w:themeTint="A6"/>
                                <w:sz w:val="18"/>
                              </w:rPr>
                              <w:t>2</w:t>
                            </w:r>
                            <w:r w:rsidRPr="00554EB0">
                              <w:rPr>
                                <w:rFonts w:asciiTheme="majorHAnsi" w:hAnsiTheme="majorHAnsi"/>
                                <w:color w:val="595959" w:themeColor="text1" w:themeTint="A6"/>
                                <w:sz w:val="18"/>
                              </w:rPr>
                              <w:t xml:space="preserve">, Petition </w:t>
                            </w:r>
                            <w:r w:rsidR="00D62FBF" w:rsidRPr="00554EB0">
                              <w:rPr>
                                <w:rFonts w:asciiTheme="majorHAnsi" w:hAnsiTheme="majorHAnsi"/>
                                <w:color w:val="595959" w:themeColor="text1" w:themeTint="A6"/>
                                <w:sz w:val="18"/>
                              </w:rPr>
                              <w:t>1391-15</w:t>
                            </w:r>
                            <w:r w:rsidRPr="00554EB0">
                              <w:rPr>
                                <w:rFonts w:asciiTheme="majorHAnsi" w:hAnsiTheme="majorHAnsi"/>
                                <w:color w:val="595959" w:themeColor="text1" w:themeTint="A6"/>
                                <w:sz w:val="18"/>
                              </w:rPr>
                              <w:t>. Friendly Settlement</w:t>
                            </w:r>
                            <w:r w:rsidR="00D01328" w:rsidRPr="00554EB0">
                              <w:rPr>
                                <w:rFonts w:asciiTheme="majorHAnsi" w:hAnsiTheme="majorHAnsi"/>
                                <w:color w:val="595959" w:themeColor="text1" w:themeTint="A6"/>
                                <w:sz w:val="18"/>
                              </w:rPr>
                              <w:t>. Mar</w:t>
                            </w:r>
                            <w:r w:rsidR="000F62D9">
                              <w:rPr>
                                <w:rFonts w:asciiTheme="majorHAnsi" w:hAnsiTheme="majorHAnsi"/>
                                <w:color w:val="595959" w:themeColor="text1" w:themeTint="A6"/>
                                <w:sz w:val="18"/>
                              </w:rPr>
                              <w:t>i</w:t>
                            </w:r>
                            <w:r w:rsidR="00D01328" w:rsidRPr="00554EB0">
                              <w:rPr>
                                <w:rFonts w:asciiTheme="majorHAnsi" w:hAnsiTheme="majorHAnsi"/>
                                <w:color w:val="595959" w:themeColor="text1" w:themeTint="A6"/>
                                <w:sz w:val="18"/>
                              </w:rPr>
                              <w:t xml:space="preserve">o Antonio Cardona Varela. </w:t>
                            </w:r>
                            <w:r w:rsidR="00554EB0" w:rsidRPr="00554EB0">
                              <w:rPr>
                                <w:rFonts w:asciiTheme="majorHAnsi" w:hAnsiTheme="majorHAnsi"/>
                                <w:color w:val="595959" w:themeColor="text1" w:themeTint="A6"/>
                                <w:sz w:val="18"/>
                              </w:rPr>
                              <w:t>March 10</w:t>
                            </w:r>
                            <w:r w:rsidR="00D01328" w:rsidRPr="00554EB0">
                              <w:rPr>
                                <w:rFonts w:asciiTheme="majorHAnsi" w:hAnsiTheme="majorHAnsi"/>
                                <w:color w:val="595959" w:themeColor="text1" w:themeTint="A6"/>
                                <w:sz w:val="18"/>
                              </w:rPr>
                              <w:t>, 202</w:t>
                            </w:r>
                            <w:r w:rsidR="001B1FC0" w:rsidRPr="00554EB0">
                              <w:rPr>
                                <w:rFonts w:asciiTheme="majorHAnsi" w:hAnsiTheme="majorHAnsi"/>
                                <w:color w:val="595959" w:themeColor="text1" w:themeTint="A6"/>
                                <w:sz w:val="18"/>
                              </w:rPr>
                              <w:t>2</w:t>
                            </w:r>
                            <w:r w:rsidR="00D01328" w:rsidRPr="00554EB0">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5D32292"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" filled="f" stroked="f" strokeweight=".5pt">
                <v:textbox>
                  <w:txbxContent>
                    <w:p w14:paraId="6043B2A9" w14:textId="301D2831"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IACHR, Report N</w:t>
                      </w:r>
                      <w:r w:rsidR="00554EB0">
                        <w:rPr>
                          <w:rFonts w:asciiTheme="majorHAnsi" w:hAnsiTheme="majorHAnsi"/>
                          <w:color w:val="595959" w:themeColor="text1" w:themeTint="A6"/>
                          <w:sz w:val="18"/>
                        </w:rPr>
                        <w:t>o</w:t>
                      </w:r>
                      <w:r w:rsidRPr="003C32BC">
                        <w:rPr>
                          <w:rFonts w:asciiTheme="majorHAnsi" w:hAnsiTheme="majorHAnsi"/>
                          <w:color w:val="595959" w:themeColor="text1" w:themeTint="A6"/>
                          <w:sz w:val="18"/>
                        </w:rPr>
                        <w:t xml:space="preserve">. </w:t>
                      </w:r>
                      <w:r w:rsidR="00554EB0">
                        <w:rPr>
                          <w:rFonts w:asciiTheme="majorHAnsi" w:hAnsiTheme="majorHAnsi"/>
                          <w:color w:val="595959" w:themeColor="text1" w:themeTint="A6"/>
                          <w:sz w:val="18"/>
                        </w:rPr>
                        <w:t>94</w:t>
                      </w:r>
                      <w:r w:rsidRPr="00554EB0">
                        <w:rPr>
                          <w:rFonts w:asciiTheme="majorHAnsi" w:hAnsiTheme="majorHAnsi"/>
                          <w:color w:val="595959" w:themeColor="text1" w:themeTint="A6"/>
                          <w:sz w:val="18"/>
                        </w:rPr>
                        <w:t>/</w:t>
                      </w:r>
                      <w:r w:rsidR="00D62FBF" w:rsidRPr="00554EB0">
                        <w:rPr>
                          <w:rFonts w:asciiTheme="majorHAnsi" w:hAnsiTheme="majorHAnsi"/>
                          <w:color w:val="595959" w:themeColor="text1" w:themeTint="A6"/>
                          <w:sz w:val="18"/>
                        </w:rPr>
                        <w:t>2</w:t>
                      </w:r>
                      <w:r w:rsidR="002E7A73" w:rsidRPr="00554EB0">
                        <w:rPr>
                          <w:rFonts w:asciiTheme="majorHAnsi" w:hAnsiTheme="majorHAnsi"/>
                          <w:color w:val="595959" w:themeColor="text1" w:themeTint="A6"/>
                          <w:sz w:val="18"/>
                        </w:rPr>
                        <w:t>2</w:t>
                      </w:r>
                      <w:r w:rsidRPr="00554EB0">
                        <w:rPr>
                          <w:rFonts w:asciiTheme="majorHAnsi" w:hAnsiTheme="majorHAnsi"/>
                          <w:color w:val="595959" w:themeColor="text1" w:themeTint="A6"/>
                          <w:sz w:val="18"/>
                        </w:rPr>
                        <w:t xml:space="preserve">, Petition </w:t>
                      </w:r>
                      <w:r w:rsidR="00D62FBF" w:rsidRPr="00554EB0">
                        <w:rPr>
                          <w:rFonts w:asciiTheme="majorHAnsi" w:hAnsiTheme="majorHAnsi"/>
                          <w:color w:val="595959" w:themeColor="text1" w:themeTint="A6"/>
                          <w:sz w:val="18"/>
                        </w:rPr>
                        <w:t>1391-15</w:t>
                      </w:r>
                      <w:r w:rsidRPr="00554EB0">
                        <w:rPr>
                          <w:rFonts w:asciiTheme="majorHAnsi" w:hAnsiTheme="majorHAnsi"/>
                          <w:color w:val="595959" w:themeColor="text1" w:themeTint="A6"/>
                          <w:sz w:val="18"/>
                        </w:rPr>
                        <w:t>. Friendly Settlement</w:t>
                      </w:r>
                      <w:r w:rsidR="00D01328" w:rsidRPr="00554EB0">
                        <w:rPr>
                          <w:rFonts w:asciiTheme="majorHAnsi" w:hAnsiTheme="majorHAnsi"/>
                          <w:color w:val="595959" w:themeColor="text1" w:themeTint="A6"/>
                          <w:sz w:val="18"/>
                        </w:rPr>
                        <w:t>. Mar</w:t>
                      </w:r>
                      <w:r w:rsidR="000F62D9">
                        <w:rPr>
                          <w:rFonts w:asciiTheme="majorHAnsi" w:hAnsiTheme="majorHAnsi"/>
                          <w:color w:val="595959" w:themeColor="text1" w:themeTint="A6"/>
                          <w:sz w:val="18"/>
                        </w:rPr>
                        <w:t>i</w:t>
                      </w:r>
                      <w:r w:rsidR="00D01328" w:rsidRPr="00554EB0">
                        <w:rPr>
                          <w:rFonts w:asciiTheme="majorHAnsi" w:hAnsiTheme="majorHAnsi"/>
                          <w:color w:val="595959" w:themeColor="text1" w:themeTint="A6"/>
                          <w:sz w:val="18"/>
                        </w:rPr>
                        <w:t xml:space="preserve">o Antonio Cardona Varela. </w:t>
                      </w:r>
                      <w:r w:rsidR="00554EB0" w:rsidRPr="00554EB0">
                        <w:rPr>
                          <w:rFonts w:asciiTheme="majorHAnsi" w:hAnsiTheme="majorHAnsi"/>
                          <w:color w:val="595959" w:themeColor="text1" w:themeTint="A6"/>
                          <w:sz w:val="18"/>
                        </w:rPr>
                        <w:t>March 10</w:t>
                      </w:r>
                      <w:r w:rsidR="00D01328" w:rsidRPr="00554EB0">
                        <w:rPr>
                          <w:rFonts w:asciiTheme="majorHAnsi" w:hAnsiTheme="majorHAnsi"/>
                          <w:color w:val="595959" w:themeColor="text1" w:themeTint="A6"/>
                          <w:sz w:val="18"/>
                        </w:rPr>
                        <w:t>, 202</w:t>
                      </w:r>
                      <w:r w:rsidR="001B1FC0" w:rsidRPr="00554EB0">
                        <w:rPr>
                          <w:rFonts w:asciiTheme="majorHAnsi" w:hAnsiTheme="majorHAnsi"/>
                          <w:color w:val="595959" w:themeColor="text1" w:themeTint="A6"/>
                          <w:sz w:val="18"/>
                        </w:rPr>
                        <w:t>2</w:t>
                      </w:r>
                      <w:r w:rsidR="00D01328" w:rsidRPr="00554EB0">
                        <w:rPr>
                          <w:rFonts w:asciiTheme="majorHAnsi" w:hAnsiTheme="majorHAnsi"/>
                          <w:color w:val="595959" w:themeColor="text1" w:themeTint="A6"/>
                          <w:sz w:val="18"/>
                        </w:rPr>
                        <w:t>.</w:t>
                      </w:r>
                    </w:p>
                  </w:txbxContent>
                </v:textbox>
              </v:shape>
            </w:pict>
          </mc:Fallback>
        </mc:AlternateContent>
      </w:r>
    </w:p>
    <w:p w14:paraId="4F450D6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21035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889D3EF" w14:textId="77777777" w:rsidR="003C32BC" w:rsidRPr="003C32BC" w:rsidRDefault="003C32BC" w:rsidP="003C32BC">
      <w:pPr>
        <w:tabs>
          <w:tab w:val="center" w:pos="5400"/>
        </w:tabs>
        <w:suppressAutoHyphens/>
        <w:jc w:val="center"/>
        <w:rPr>
          <w:rFonts w:asciiTheme="majorHAnsi" w:hAnsiTheme="majorHAnsi"/>
          <w:sz w:val="18"/>
          <w:szCs w:val="22"/>
        </w:rPr>
      </w:pPr>
    </w:p>
    <w:p w14:paraId="1A943B90"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79D5AC21" wp14:editId="15397191">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947A91"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79D5AC21"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" filled="f" stroked="f" strokeweight=".5pt">
                <v:textbox>
                  <w:txbxContent>
                    <w:p w14:paraId="01947A91"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57C679A7" wp14:editId="7435DB6C">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43D8B6" w14:textId="77777777" w:rsidR="003C32BC" w:rsidRDefault="003815A8">
                            <w:r>
                              <w:rPr>
                                <w:noProof/>
                              </w:rPr>
                              <w:drawing>
                                <wp:inline distT="0" distB="0" distL="0" distR="0" wp14:anchorId="3BE13207" wp14:editId="4948FF5F">
                                  <wp:extent cx="1581150" cy="400050"/>
                                  <wp:effectExtent l="0" t="0" r="0" b="0"/>
                                  <wp:docPr id="10" name="Picture 10"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7C679A7"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" fillcolor="white [3201]" stroked="f" strokeweight=".5pt">
                <v:textbox>
                  <w:txbxContent>
                    <w:p w14:paraId="7343D8B6" w14:textId="77777777" w:rsidR="003C32BC" w:rsidRDefault="003815A8">
                      <w:r>
                        <w:rPr>
                          <w:noProof/>
                        </w:rPr>
                        <w:drawing>
                          <wp:inline distT="0" distB="0" distL="0" distR="0" wp14:anchorId="3BE13207" wp14:editId="4948FF5F">
                            <wp:extent cx="1581150" cy="400050"/>
                            <wp:effectExtent l="0" t="0" r="0" b="0"/>
                            <wp:docPr id="10" name="Picture 10"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v:textbox>
              </v:shape>
            </w:pict>
          </mc:Fallback>
        </mc:AlternateContent>
      </w:r>
    </w:p>
    <w:p w14:paraId="43BDBE95"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4"/>
          <w:headerReference w:type="default" r:id="rId15"/>
          <w:footerReference w:type="default" r:id="rId16"/>
          <w:footerReference w:type="first" r:id="rId17"/>
          <w:type w:val="oddPage"/>
          <w:pgSz w:w="12240" w:h="15840"/>
          <w:pgMar w:top="1440" w:right="1440" w:bottom="1440" w:left="1440" w:header="720" w:footer="720" w:gutter="0"/>
          <w:pgNumType w:start="0"/>
          <w:cols w:space="720"/>
          <w:titlePg/>
          <w:docGrid w:linePitch="326"/>
        </w:sectPr>
      </w:pPr>
    </w:p>
    <w:p w14:paraId="6145279A" w14:textId="69BBA6F1" w:rsidR="006311DA" w:rsidRPr="00FC3EB4" w:rsidRDefault="006311DA" w:rsidP="00145EDC">
      <w:pPr>
        <w:tabs>
          <w:tab w:val="center" w:pos="5400"/>
        </w:tabs>
        <w:suppressAutoHyphens/>
        <w:spacing w:line="276" w:lineRule="auto"/>
        <w:jc w:val="center"/>
        <w:rPr>
          <w:rFonts w:asciiTheme="majorHAnsi" w:hAnsiTheme="majorHAnsi"/>
          <w:b/>
          <w:sz w:val="18"/>
          <w:szCs w:val="20"/>
        </w:rPr>
      </w:pPr>
      <w:r w:rsidRPr="00FC3EB4">
        <w:rPr>
          <w:rFonts w:asciiTheme="majorHAnsi" w:hAnsiTheme="majorHAnsi"/>
          <w:b/>
          <w:sz w:val="18"/>
          <w:szCs w:val="20"/>
        </w:rPr>
        <w:lastRenderedPageBreak/>
        <w:t xml:space="preserve">REPORT No. </w:t>
      </w:r>
      <w:r w:rsidR="00554EB0">
        <w:rPr>
          <w:rFonts w:asciiTheme="majorHAnsi" w:hAnsiTheme="majorHAnsi"/>
          <w:b/>
          <w:sz w:val="18"/>
          <w:szCs w:val="20"/>
        </w:rPr>
        <w:t>94</w:t>
      </w:r>
      <w:r w:rsidRPr="00554EB0">
        <w:rPr>
          <w:rFonts w:asciiTheme="majorHAnsi" w:hAnsiTheme="majorHAnsi"/>
          <w:b/>
          <w:sz w:val="18"/>
          <w:szCs w:val="20"/>
        </w:rPr>
        <w:t>/</w:t>
      </w:r>
      <w:r w:rsidR="00D01328" w:rsidRPr="00554EB0">
        <w:rPr>
          <w:rFonts w:asciiTheme="majorHAnsi" w:hAnsiTheme="majorHAnsi"/>
          <w:b/>
          <w:sz w:val="18"/>
          <w:szCs w:val="20"/>
        </w:rPr>
        <w:t>2</w:t>
      </w:r>
      <w:r w:rsidR="00506A97" w:rsidRPr="00554EB0">
        <w:rPr>
          <w:rFonts w:asciiTheme="majorHAnsi" w:hAnsiTheme="majorHAnsi"/>
          <w:b/>
          <w:sz w:val="18"/>
          <w:szCs w:val="20"/>
        </w:rPr>
        <w:t>2</w:t>
      </w:r>
    </w:p>
    <w:p w14:paraId="350D381B" w14:textId="512A7E8A" w:rsidR="006311DA" w:rsidRPr="00FC3EB4" w:rsidRDefault="006311DA" w:rsidP="00145EDC">
      <w:pPr>
        <w:tabs>
          <w:tab w:val="center" w:pos="5400"/>
        </w:tabs>
        <w:suppressAutoHyphens/>
        <w:spacing w:line="276" w:lineRule="auto"/>
        <w:jc w:val="center"/>
        <w:rPr>
          <w:rFonts w:asciiTheme="majorHAnsi" w:hAnsiTheme="majorHAnsi"/>
          <w:b/>
          <w:sz w:val="18"/>
          <w:szCs w:val="20"/>
        </w:rPr>
      </w:pPr>
      <w:r w:rsidRPr="00FC3EB4">
        <w:rPr>
          <w:rFonts w:asciiTheme="majorHAnsi" w:hAnsiTheme="majorHAnsi"/>
          <w:b/>
          <w:sz w:val="18"/>
          <w:szCs w:val="20"/>
        </w:rPr>
        <w:t xml:space="preserve">PETITION </w:t>
      </w:r>
      <w:r w:rsidR="00D01328">
        <w:rPr>
          <w:rFonts w:asciiTheme="majorHAnsi" w:hAnsiTheme="majorHAnsi"/>
          <w:b/>
          <w:sz w:val="18"/>
          <w:szCs w:val="20"/>
        </w:rPr>
        <w:t>1391-15</w:t>
      </w:r>
    </w:p>
    <w:p w14:paraId="5711B448" w14:textId="0F605D5A" w:rsidR="006311DA" w:rsidRPr="00FC3EB4" w:rsidRDefault="006311DA" w:rsidP="00145EDC">
      <w:pPr>
        <w:tabs>
          <w:tab w:val="center" w:pos="5400"/>
        </w:tabs>
        <w:suppressAutoHyphens/>
        <w:spacing w:line="276" w:lineRule="auto"/>
        <w:jc w:val="center"/>
        <w:rPr>
          <w:rFonts w:asciiTheme="majorHAnsi" w:hAnsiTheme="majorHAnsi"/>
          <w:sz w:val="18"/>
          <w:szCs w:val="20"/>
        </w:rPr>
      </w:pPr>
      <w:r w:rsidRPr="00FC3EB4">
        <w:rPr>
          <w:rFonts w:asciiTheme="majorHAnsi" w:hAnsiTheme="majorHAnsi"/>
          <w:sz w:val="18"/>
          <w:szCs w:val="20"/>
        </w:rPr>
        <w:t>FRIENDLY SETTLEMENT</w:t>
      </w:r>
    </w:p>
    <w:p w14:paraId="5D3E1209" w14:textId="0CB2B565" w:rsidR="006311DA" w:rsidRPr="000F62D9" w:rsidRDefault="00D01328" w:rsidP="00145EDC">
      <w:pPr>
        <w:tabs>
          <w:tab w:val="center" w:pos="5400"/>
        </w:tabs>
        <w:suppressAutoHyphens/>
        <w:spacing w:line="276" w:lineRule="auto"/>
        <w:jc w:val="center"/>
        <w:rPr>
          <w:rFonts w:asciiTheme="majorHAnsi" w:hAnsiTheme="majorHAnsi"/>
          <w:sz w:val="18"/>
          <w:szCs w:val="20"/>
        </w:rPr>
      </w:pPr>
      <w:r w:rsidRPr="000F62D9">
        <w:rPr>
          <w:rFonts w:asciiTheme="majorHAnsi" w:hAnsiTheme="majorHAnsi"/>
          <w:sz w:val="18"/>
          <w:szCs w:val="20"/>
        </w:rPr>
        <w:t>MARIO ANTONIO CARDONA VARELA AND OTHERS</w:t>
      </w:r>
    </w:p>
    <w:p w14:paraId="68A6B0AC" w14:textId="54C4D416" w:rsidR="00D01328" w:rsidRDefault="006311DA" w:rsidP="00D01328">
      <w:pPr>
        <w:tabs>
          <w:tab w:val="center" w:pos="5400"/>
        </w:tabs>
        <w:suppressAutoHyphens/>
        <w:spacing w:line="276" w:lineRule="auto"/>
        <w:jc w:val="center"/>
        <w:rPr>
          <w:rFonts w:asciiTheme="majorHAnsi" w:hAnsiTheme="majorHAnsi"/>
          <w:sz w:val="18"/>
          <w:szCs w:val="20"/>
          <w:lang w:val="es-ES"/>
        </w:rPr>
      </w:pPr>
      <w:r w:rsidRPr="00554EB0">
        <w:rPr>
          <w:rFonts w:asciiTheme="majorHAnsi" w:hAnsiTheme="majorHAnsi"/>
          <w:sz w:val="18"/>
          <w:szCs w:val="20"/>
          <w:lang w:val="es-ES"/>
        </w:rPr>
        <w:t>C</w:t>
      </w:r>
      <w:r w:rsidR="00D01328" w:rsidRPr="00554EB0">
        <w:rPr>
          <w:rFonts w:asciiTheme="majorHAnsi" w:hAnsiTheme="majorHAnsi"/>
          <w:sz w:val="18"/>
          <w:szCs w:val="20"/>
          <w:lang w:val="es-ES"/>
        </w:rPr>
        <w:t>OLOMBIA</w:t>
      </w:r>
      <w:r w:rsidR="001B1FC0">
        <w:rPr>
          <w:rStyle w:val="FootnoteReference"/>
          <w:rFonts w:asciiTheme="majorHAnsi" w:hAnsiTheme="majorHAnsi"/>
          <w:sz w:val="18"/>
          <w:szCs w:val="20"/>
        </w:rPr>
        <w:footnoteReference w:id="2"/>
      </w:r>
      <w:r w:rsidR="003414AC" w:rsidRPr="00554EB0">
        <w:rPr>
          <w:rFonts w:asciiTheme="majorHAnsi" w:hAnsiTheme="majorHAnsi"/>
          <w:sz w:val="18"/>
          <w:szCs w:val="20"/>
          <w:lang w:val="es-ES"/>
        </w:rPr>
        <w:br/>
      </w:r>
      <w:r w:rsidR="00554EB0">
        <w:rPr>
          <w:rFonts w:asciiTheme="majorHAnsi" w:hAnsiTheme="majorHAnsi"/>
          <w:sz w:val="18"/>
          <w:szCs w:val="20"/>
          <w:lang w:val="es-ES"/>
        </w:rPr>
        <w:t>MARCH 10, 2022</w:t>
      </w:r>
    </w:p>
    <w:p w14:paraId="5B057CD7" w14:textId="77777777" w:rsidR="00F550C2" w:rsidRPr="00554EB0" w:rsidRDefault="00F550C2" w:rsidP="00D01328">
      <w:pPr>
        <w:tabs>
          <w:tab w:val="center" w:pos="5400"/>
        </w:tabs>
        <w:suppressAutoHyphens/>
        <w:spacing w:line="276" w:lineRule="auto"/>
        <w:jc w:val="center"/>
        <w:rPr>
          <w:rFonts w:asciiTheme="majorHAnsi" w:hAnsiTheme="majorHAnsi"/>
          <w:sz w:val="18"/>
          <w:szCs w:val="20"/>
          <w:lang w:val="es-ES"/>
        </w:rPr>
      </w:pPr>
    </w:p>
    <w:p w14:paraId="1DBF11B8" w14:textId="085CC925" w:rsidR="00C55560" w:rsidRPr="00554EB0" w:rsidRDefault="000111A8" w:rsidP="001741A1">
      <w:pPr>
        <w:tabs>
          <w:tab w:val="center" w:pos="5400"/>
        </w:tabs>
        <w:suppressAutoHyphens/>
        <w:spacing w:line="276" w:lineRule="auto"/>
        <w:jc w:val="center"/>
        <w:rPr>
          <w:rFonts w:asciiTheme="majorHAnsi" w:hAnsiTheme="majorHAnsi"/>
          <w:sz w:val="18"/>
          <w:szCs w:val="20"/>
          <w:lang w:val="es-ES"/>
        </w:rPr>
      </w:pPr>
      <w:r w:rsidRPr="00554EB0">
        <w:rPr>
          <w:rFonts w:asciiTheme="majorHAnsi" w:hAnsiTheme="majorHAnsi"/>
          <w:sz w:val="20"/>
          <w:szCs w:val="20"/>
          <w:lang w:val="es-ES"/>
        </w:rPr>
        <w:tab/>
      </w:r>
    </w:p>
    <w:p w14:paraId="461785D4" w14:textId="77777777" w:rsidR="00FA675D" w:rsidRPr="00506A97" w:rsidRDefault="00FA675D" w:rsidP="00DA37B6">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eastAsia="MS Mincho" w:cstheme="minorHAnsi"/>
          <w:b/>
          <w:color w:val="000000" w:themeColor="text1"/>
          <w:sz w:val="20"/>
          <w:szCs w:val="20"/>
        </w:rPr>
      </w:pPr>
      <w:r w:rsidRPr="00506A97">
        <w:rPr>
          <w:rFonts w:eastAsia="Times New Roman"/>
          <w:b/>
          <w:bCs/>
          <w:kern w:val="36"/>
          <w:sz w:val="20"/>
          <w:szCs w:val="20"/>
          <w:lang w:eastAsia="es-BO"/>
        </w:rPr>
        <w:t xml:space="preserve">SUMMARY </w:t>
      </w:r>
      <w:r w:rsidRPr="00506A97">
        <w:rPr>
          <w:b/>
          <w:bCs/>
          <w:sz w:val="20"/>
          <w:szCs w:val="20"/>
        </w:rPr>
        <w:t>AND RELEVANT PROCEEDINGS OF THE FRIENDLY SETTLEMENT PROCESS</w:t>
      </w:r>
      <w:r w:rsidRPr="00506A97">
        <w:rPr>
          <w:rFonts w:eastAsia="MS Mincho" w:cstheme="minorHAnsi"/>
          <w:b/>
          <w:color w:val="000000" w:themeColor="text1"/>
          <w:sz w:val="20"/>
          <w:szCs w:val="20"/>
        </w:rPr>
        <w:t xml:space="preserve"> </w:t>
      </w:r>
    </w:p>
    <w:p w14:paraId="0F75E285" w14:textId="77777777" w:rsidR="00DA37B6" w:rsidRPr="00506A97"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b/>
          <w:color w:val="000000" w:themeColor="text1"/>
          <w:sz w:val="20"/>
          <w:szCs w:val="20"/>
        </w:rPr>
      </w:pPr>
    </w:p>
    <w:p w14:paraId="40E84ACD" w14:textId="1D2E6986" w:rsidR="00D01328" w:rsidRPr="00506A97" w:rsidRDefault="00D01328" w:rsidP="00D01328">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Times New Roman" w:hAnsi="Cambria" w:cstheme="minorBidi"/>
          <w:color w:val="000000" w:themeColor="text1"/>
          <w:sz w:val="20"/>
          <w:szCs w:val="20"/>
        </w:rPr>
      </w:pPr>
      <w:r w:rsidRPr="00506A97">
        <w:rPr>
          <w:rFonts w:ascii="Cambria" w:eastAsia="Times New Roman" w:hAnsi="Cambria" w:cstheme="minorBidi"/>
          <w:color w:val="000000" w:themeColor="text1"/>
          <w:sz w:val="20"/>
          <w:szCs w:val="20"/>
        </w:rPr>
        <w:t>On September 4, 2015, the Inter-American Commission on Human Rights (hereinafter “the Commission” or “IACHR”), received a petition presented by Luis Felipe Viveros Montoya, representative of the Legal Center for Human Rights of Antioquia (hereinafter “The petitioners” or “the petition</w:t>
      </w:r>
      <w:r w:rsidR="00A80B07" w:rsidRPr="00506A97">
        <w:rPr>
          <w:rFonts w:ascii="Cambria" w:eastAsia="Times New Roman" w:hAnsi="Cambria" w:cstheme="minorBidi"/>
          <w:color w:val="000000" w:themeColor="text1"/>
          <w:sz w:val="20"/>
          <w:szCs w:val="20"/>
        </w:rPr>
        <w:t>er</w:t>
      </w:r>
      <w:r w:rsidRPr="00506A97">
        <w:rPr>
          <w:rFonts w:ascii="Cambria" w:eastAsia="Times New Roman" w:hAnsi="Cambria" w:cstheme="minorBidi"/>
          <w:color w:val="000000" w:themeColor="text1"/>
          <w:sz w:val="20"/>
          <w:szCs w:val="20"/>
        </w:rPr>
        <w:t xml:space="preserve"> party”) in which the international responsibility of the Colombian State was alleged for the violation of the rights enshrined in Articles 4 (right to life), 5 (</w:t>
      </w:r>
      <w:r w:rsidR="00A80B07" w:rsidRPr="00506A97">
        <w:rPr>
          <w:rFonts w:ascii="Cambria" w:eastAsia="Times New Roman" w:hAnsi="Cambria" w:cstheme="minorBidi"/>
          <w:color w:val="000000" w:themeColor="text1"/>
          <w:sz w:val="20"/>
          <w:szCs w:val="20"/>
        </w:rPr>
        <w:t>humane treatment</w:t>
      </w:r>
      <w:r w:rsidRPr="00506A97">
        <w:rPr>
          <w:rFonts w:ascii="Cambria" w:eastAsia="Times New Roman" w:hAnsi="Cambria" w:cstheme="minorBidi"/>
          <w:color w:val="000000" w:themeColor="text1"/>
          <w:sz w:val="20"/>
          <w:szCs w:val="20"/>
        </w:rPr>
        <w:t xml:space="preserve">), 7 (personal </w:t>
      </w:r>
      <w:r w:rsidR="00A80B07" w:rsidRPr="00506A97">
        <w:rPr>
          <w:rFonts w:ascii="Cambria" w:eastAsia="Times New Roman" w:hAnsi="Cambria" w:cstheme="minorBidi"/>
          <w:color w:val="000000" w:themeColor="text1"/>
          <w:sz w:val="20"/>
          <w:szCs w:val="20"/>
        </w:rPr>
        <w:t>liberty</w:t>
      </w:r>
      <w:r w:rsidRPr="00506A97">
        <w:rPr>
          <w:rFonts w:ascii="Cambria" w:eastAsia="Times New Roman" w:hAnsi="Cambria" w:cstheme="minorBidi"/>
          <w:color w:val="000000" w:themeColor="text1"/>
          <w:sz w:val="20"/>
          <w:szCs w:val="20"/>
        </w:rPr>
        <w:t>), 8 (</w:t>
      </w:r>
      <w:r w:rsidR="00A80B07" w:rsidRPr="00506A97">
        <w:rPr>
          <w:rFonts w:ascii="Cambria" w:eastAsia="Times New Roman" w:hAnsi="Cambria" w:cstheme="minorBidi"/>
          <w:color w:val="000000" w:themeColor="text1"/>
          <w:sz w:val="20"/>
          <w:szCs w:val="20"/>
        </w:rPr>
        <w:t>fair trial</w:t>
      </w:r>
      <w:r w:rsidRPr="00506A97">
        <w:rPr>
          <w:rFonts w:ascii="Cambria" w:eastAsia="Times New Roman" w:hAnsi="Cambria" w:cstheme="minorBidi"/>
          <w:color w:val="000000" w:themeColor="text1"/>
          <w:sz w:val="20"/>
          <w:szCs w:val="20"/>
        </w:rPr>
        <w:t>) and 25 (</w:t>
      </w:r>
      <w:r w:rsidR="00A80B07" w:rsidRPr="00506A97">
        <w:rPr>
          <w:rFonts w:ascii="Cambria" w:eastAsia="Times New Roman" w:hAnsi="Cambria" w:cstheme="minorBidi"/>
          <w:color w:val="000000" w:themeColor="text1"/>
          <w:sz w:val="20"/>
          <w:szCs w:val="20"/>
        </w:rPr>
        <w:t>judicial protection</w:t>
      </w:r>
      <w:r w:rsidRPr="00506A97">
        <w:rPr>
          <w:rFonts w:ascii="Cambria" w:eastAsia="Times New Roman" w:hAnsi="Cambria" w:cstheme="minorBidi"/>
          <w:color w:val="000000" w:themeColor="text1"/>
          <w:sz w:val="20"/>
          <w:szCs w:val="20"/>
        </w:rPr>
        <w:t>) of the American Convention on Human Rights (hereinafter “the Convention” or the “American Convention”) in accordance with the obligation to respect established in Article 1 of the same instrument, to the detriment of Mr. Mario Antonio Cardona Varela (hereinafter “the alleged victim”) derived from his forced disappearance on October 31, 1988 in the municipality of Tierra Alta Córdoba, allegedly at the hands of State agents, and the subsequent failure to investigate and punish those responsible for the events.</w:t>
      </w:r>
    </w:p>
    <w:p w14:paraId="2A8A5FA2" w14:textId="77777777" w:rsidR="00D01328" w:rsidRPr="00506A97" w:rsidRDefault="00D01328" w:rsidP="00D0132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Times New Roman" w:hAnsi="Cambria" w:cstheme="minorBidi"/>
          <w:color w:val="000000" w:themeColor="text1"/>
          <w:sz w:val="20"/>
          <w:szCs w:val="20"/>
        </w:rPr>
      </w:pPr>
    </w:p>
    <w:p w14:paraId="1983966E" w14:textId="65E8F747" w:rsidR="00D01328" w:rsidRPr="00506A97" w:rsidRDefault="00D01328" w:rsidP="00D01328">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Times New Roman" w:hAnsi="Cambria" w:cstheme="minorBidi"/>
          <w:color w:val="000000" w:themeColor="text1"/>
          <w:sz w:val="20"/>
          <w:szCs w:val="20"/>
        </w:rPr>
      </w:pPr>
      <w:r w:rsidRPr="00506A97">
        <w:rPr>
          <w:rFonts w:ascii="Cambria" w:eastAsia="Times New Roman" w:hAnsi="Cambria" w:cstheme="minorBidi"/>
          <w:color w:val="000000" w:themeColor="text1"/>
          <w:sz w:val="20"/>
          <w:szCs w:val="20"/>
        </w:rPr>
        <w:t xml:space="preserve">On July 26, 2021, in the city of Bogotá DC, representatives of the Colombian State and the petitioners signed a memorandum of understanding </w:t>
      </w:r>
      <w:r w:rsidR="006B5CB4" w:rsidRPr="00506A97">
        <w:rPr>
          <w:rFonts w:ascii="Cambria" w:eastAsia="Times New Roman" w:hAnsi="Cambria" w:cstheme="minorBidi"/>
          <w:color w:val="000000" w:themeColor="text1"/>
          <w:sz w:val="20"/>
          <w:szCs w:val="20"/>
        </w:rPr>
        <w:t>seeking</w:t>
      </w:r>
      <w:r w:rsidRPr="00506A97">
        <w:rPr>
          <w:rFonts w:ascii="Cambria" w:eastAsia="Times New Roman" w:hAnsi="Cambria" w:cstheme="minorBidi"/>
          <w:color w:val="000000" w:themeColor="text1"/>
          <w:sz w:val="20"/>
          <w:szCs w:val="20"/>
        </w:rPr>
        <w:t xml:space="preserve"> a friendly s</w:t>
      </w:r>
      <w:r w:rsidR="00A80B07" w:rsidRPr="00506A97">
        <w:rPr>
          <w:rFonts w:ascii="Cambria" w:eastAsia="Times New Roman" w:hAnsi="Cambria" w:cstheme="minorBidi"/>
          <w:color w:val="000000" w:themeColor="text1"/>
          <w:sz w:val="20"/>
          <w:szCs w:val="20"/>
        </w:rPr>
        <w:t>ettlement</w:t>
      </w:r>
      <w:r w:rsidRPr="00506A97">
        <w:rPr>
          <w:rFonts w:ascii="Cambria" w:eastAsia="Times New Roman" w:hAnsi="Cambria" w:cstheme="minorBidi"/>
          <w:color w:val="000000" w:themeColor="text1"/>
          <w:sz w:val="20"/>
          <w:szCs w:val="20"/>
        </w:rPr>
        <w:t xml:space="preserve"> in the present case, together with a work schedule to advance in the negotiations, which materialized with the signing of a friendly settlement agreement on September 23, 2021.</w:t>
      </w:r>
    </w:p>
    <w:p w14:paraId="682EC5DC" w14:textId="77777777" w:rsidR="00D01328" w:rsidRPr="00506A97" w:rsidRDefault="00D01328" w:rsidP="00D0132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Times New Roman" w:hAnsi="Cambria" w:cstheme="minorBidi"/>
          <w:color w:val="000000" w:themeColor="text1"/>
          <w:sz w:val="20"/>
          <w:szCs w:val="20"/>
        </w:rPr>
      </w:pPr>
    </w:p>
    <w:p w14:paraId="65698932" w14:textId="65705664" w:rsidR="00D01328" w:rsidRPr="00506A97" w:rsidRDefault="00D01328" w:rsidP="00D01328">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Times New Roman" w:hAnsi="Cambria" w:cstheme="minorBidi"/>
          <w:color w:val="000000" w:themeColor="text1"/>
          <w:sz w:val="20"/>
          <w:szCs w:val="20"/>
        </w:rPr>
      </w:pPr>
      <w:r w:rsidRPr="00506A97">
        <w:rPr>
          <w:rFonts w:ascii="Cambria" w:eastAsia="Times New Roman" w:hAnsi="Cambria" w:cstheme="minorBidi"/>
          <w:color w:val="000000" w:themeColor="text1"/>
          <w:sz w:val="20"/>
          <w:szCs w:val="20"/>
        </w:rPr>
        <w:t xml:space="preserve">On </w:t>
      </w:r>
      <w:r w:rsidR="0074122B" w:rsidRPr="00506A97">
        <w:rPr>
          <w:rFonts w:ascii="Cambria" w:eastAsia="Times New Roman" w:hAnsi="Cambria" w:cstheme="minorBidi"/>
          <w:color w:val="000000" w:themeColor="text1"/>
          <w:sz w:val="20"/>
          <w:szCs w:val="20"/>
        </w:rPr>
        <w:t>December 16, 2021, the parties jointly submitted a report giving account of the advances in the implementation of the agreement and requested its homologation</w:t>
      </w:r>
      <w:r w:rsidRPr="00506A97">
        <w:rPr>
          <w:rFonts w:ascii="Cambria" w:eastAsia="Times New Roman" w:hAnsi="Cambria" w:cstheme="minorBidi"/>
          <w:color w:val="000000" w:themeColor="text1"/>
          <w:sz w:val="20"/>
          <w:szCs w:val="20"/>
        </w:rPr>
        <w:t>.</w:t>
      </w:r>
    </w:p>
    <w:p w14:paraId="1CC1422C" w14:textId="77777777" w:rsidR="00D01328" w:rsidRPr="00506A97" w:rsidRDefault="00D01328" w:rsidP="00D0132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Times New Roman" w:hAnsi="Cambria" w:cstheme="minorBidi"/>
          <w:color w:val="000000" w:themeColor="text1"/>
          <w:sz w:val="20"/>
          <w:szCs w:val="20"/>
        </w:rPr>
      </w:pPr>
    </w:p>
    <w:p w14:paraId="387FCD40" w14:textId="659A27C3" w:rsidR="00DA37B6" w:rsidRPr="00506A97" w:rsidRDefault="00D01328" w:rsidP="00D01328">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Times New Roman" w:hAnsi="Cambria" w:cstheme="minorBidi"/>
          <w:color w:val="000000" w:themeColor="text1"/>
          <w:sz w:val="20"/>
          <w:szCs w:val="20"/>
        </w:rPr>
      </w:pPr>
      <w:r w:rsidRPr="00506A97">
        <w:rPr>
          <w:rFonts w:ascii="Cambria" w:eastAsia="Times New Roman" w:hAnsi="Cambria" w:cstheme="minorBidi"/>
          <w:color w:val="000000" w:themeColor="text1"/>
          <w:sz w:val="20"/>
          <w:szCs w:val="20"/>
        </w:rPr>
        <w:t>In this friendly settlement report, as established in Article 49 of the Convention and in Article 40.5 of the Commission</w:t>
      </w:r>
      <w:r w:rsidR="006B5CB4" w:rsidRPr="00506A97">
        <w:rPr>
          <w:rFonts w:ascii="Cambria" w:eastAsia="Times New Roman" w:hAnsi="Cambria" w:cstheme="minorBidi"/>
          <w:color w:val="000000" w:themeColor="text1"/>
          <w:sz w:val="20"/>
          <w:szCs w:val="20"/>
        </w:rPr>
        <w:t>’</w:t>
      </w:r>
      <w:r w:rsidRPr="00506A97">
        <w:rPr>
          <w:rFonts w:ascii="Cambria" w:eastAsia="Times New Roman" w:hAnsi="Cambria" w:cstheme="minorBidi"/>
          <w:color w:val="000000" w:themeColor="text1"/>
          <w:sz w:val="20"/>
          <w:szCs w:val="20"/>
        </w:rPr>
        <w:t>s Rules of Procedure, a review of the facts alleged by the petitioner is made and the friendly settlement agreement, signed on September 23, 2021</w:t>
      </w:r>
      <w:r w:rsidR="00D81AB6" w:rsidRPr="00506A97">
        <w:rPr>
          <w:rFonts w:ascii="Cambria" w:eastAsia="Times New Roman" w:hAnsi="Cambria" w:cstheme="minorBidi"/>
          <w:color w:val="000000" w:themeColor="text1"/>
          <w:sz w:val="20"/>
          <w:szCs w:val="20"/>
        </w:rPr>
        <w:t>,</w:t>
      </w:r>
      <w:r w:rsidRPr="00506A97">
        <w:rPr>
          <w:rFonts w:ascii="Cambria" w:eastAsia="Times New Roman" w:hAnsi="Cambria" w:cstheme="minorBidi"/>
          <w:color w:val="000000" w:themeColor="text1"/>
          <w:sz w:val="20"/>
          <w:szCs w:val="20"/>
        </w:rPr>
        <w:t xml:space="preserve"> by the petitioner and representatives of the Colombian State</w:t>
      </w:r>
      <w:r w:rsidR="006E59F2" w:rsidRPr="00506A97">
        <w:rPr>
          <w:rFonts w:ascii="Cambria" w:eastAsia="Times New Roman" w:hAnsi="Cambria" w:cstheme="minorBidi"/>
          <w:color w:val="000000" w:themeColor="text1"/>
          <w:sz w:val="20"/>
          <w:szCs w:val="20"/>
        </w:rPr>
        <w:t xml:space="preserve"> is transcribed</w:t>
      </w:r>
      <w:r w:rsidRPr="00506A97">
        <w:rPr>
          <w:rFonts w:ascii="Cambria" w:eastAsia="Times New Roman" w:hAnsi="Cambria" w:cstheme="minorBidi"/>
          <w:color w:val="000000" w:themeColor="text1"/>
          <w:sz w:val="20"/>
          <w:szCs w:val="20"/>
        </w:rPr>
        <w:t>. Likewise, the agreement signed between the parties is approved and the publication of this report in the Annual Report of the IACHR to the General Assembly of the Organization of American States is agreed</w:t>
      </w:r>
      <w:r w:rsidR="006E59F2" w:rsidRPr="00506A97">
        <w:rPr>
          <w:rFonts w:ascii="Cambria" w:eastAsia="Times New Roman" w:hAnsi="Cambria" w:cstheme="minorBidi"/>
          <w:color w:val="000000" w:themeColor="text1"/>
          <w:sz w:val="20"/>
          <w:szCs w:val="20"/>
        </w:rPr>
        <w:t xml:space="preserve"> upon</w:t>
      </w:r>
      <w:r w:rsidRPr="00506A97">
        <w:rPr>
          <w:rFonts w:ascii="Cambria" w:eastAsia="Times New Roman" w:hAnsi="Cambria" w:cstheme="minorBidi"/>
          <w:color w:val="000000" w:themeColor="text1"/>
          <w:sz w:val="20"/>
          <w:szCs w:val="20"/>
        </w:rPr>
        <w:t>.</w:t>
      </w:r>
    </w:p>
    <w:p w14:paraId="08287DD0" w14:textId="77777777" w:rsidR="00DA37B6" w:rsidRPr="00506A97" w:rsidRDefault="00DA37B6" w:rsidP="001B1FC0">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eastAsia="MS Mincho" w:cstheme="minorHAnsi"/>
          <w:color w:val="000000" w:themeColor="text1"/>
          <w:sz w:val="20"/>
          <w:szCs w:val="20"/>
        </w:rPr>
      </w:pPr>
    </w:p>
    <w:p w14:paraId="146F517B" w14:textId="77777777" w:rsidR="00FA675D" w:rsidRPr="00506A97" w:rsidRDefault="00FA675D" w:rsidP="00DA37B6">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eastAsia="MS Mincho" w:cstheme="minorHAnsi"/>
          <w:b/>
          <w:color w:val="000000" w:themeColor="text1"/>
          <w:sz w:val="20"/>
          <w:szCs w:val="20"/>
        </w:rPr>
      </w:pPr>
      <w:r w:rsidRPr="00506A97">
        <w:rPr>
          <w:rFonts w:eastAsia="Times New Roman"/>
          <w:b/>
          <w:bCs/>
          <w:kern w:val="36"/>
          <w:sz w:val="20"/>
          <w:szCs w:val="20"/>
          <w:lang w:eastAsia="es-BO"/>
        </w:rPr>
        <w:t>THE FACTS ALLEGED</w:t>
      </w:r>
      <w:r w:rsidRPr="00506A97">
        <w:rPr>
          <w:rFonts w:eastAsia="MS Mincho" w:cstheme="minorHAnsi"/>
          <w:b/>
          <w:color w:val="000000" w:themeColor="text1"/>
          <w:sz w:val="20"/>
          <w:szCs w:val="20"/>
        </w:rPr>
        <w:t xml:space="preserve"> </w:t>
      </w:r>
    </w:p>
    <w:p w14:paraId="0D95A903" w14:textId="77777777" w:rsidR="00DA37B6" w:rsidRPr="00506A97"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color w:val="000000" w:themeColor="text1"/>
          <w:sz w:val="20"/>
          <w:szCs w:val="20"/>
        </w:rPr>
      </w:pPr>
    </w:p>
    <w:p w14:paraId="004F1F5E" w14:textId="0588FD22" w:rsidR="006E59F2" w:rsidRPr="00506A97" w:rsidRDefault="006E59F2" w:rsidP="00D85EFA">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Times New Roman" w:hAnsi="Cambria" w:cstheme="minorBidi"/>
          <w:color w:val="000000" w:themeColor="text1"/>
          <w:sz w:val="20"/>
          <w:szCs w:val="20"/>
        </w:rPr>
      </w:pPr>
      <w:r w:rsidRPr="00506A97">
        <w:rPr>
          <w:rFonts w:ascii="Cambria" w:eastAsia="Times New Roman" w:hAnsi="Cambria" w:cstheme="minorBidi"/>
          <w:color w:val="000000" w:themeColor="text1"/>
          <w:sz w:val="20"/>
          <w:szCs w:val="20"/>
        </w:rPr>
        <w:t>According to the petition</w:t>
      </w:r>
      <w:r w:rsidR="006B5CB4" w:rsidRPr="00506A97">
        <w:rPr>
          <w:rFonts w:ascii="Cambria" w:eastAsia="Times New Roman" w:hAnsi="Cambria" w:cstheme="minorBidi"/>
          <w:color w:val="000000" w:themeColor="text1"/>
          <w:sz w:val="20"/>
          <w:szCs w:val="20"/>
        </w:rPr>
        <w:t>er party’s</w:t>
      </w:r>
      <w:r w:rsidRPr="00506A97">
        <w:rPr>
          <w:rFonts w:ascii="Cambria" w:eastAsia="Times New Roman" w:hAnsi="Cambria" w:cstheme="minorBidi"/>
          <w:color w:val="000000" w:themeColor="text1"/>
          <w:sz w:val="20"/>
          <w:szCs w:val="20"/>
        </w:rPr>
        <w:t xml:space="preserve"> allegations, on October 31, 1988, Mr. Mario Antonio Cardona </w:t>
      </w:r>
      <w:r w:rsidR="00E42C76" w:rsidRPr="00506A97">
        <w:rPr>
          <w:rFonts w:ascii="Cambria" w:eastAsia="Times New Roman" w:hAnsi="Cambria" w:cstheme="minorBidi"/>
          <w:color w:val="000000" w:themeColor="text1"/>
          <w:sz w:val="20"/>
          <w:szCs w:val="20"/>
        </w:rPr>
        <w:t>allegedly went</w:t>
      </w:r>
      <w:r w:rsidRPr="00506A97">
        <w:rPr>
          <w:rFonts w:ascii="Cambria" w:eastAsia="Times New Roman" w:hAnsi="Cambria" w:cstheme="minorBidi"/>
          <w:color w:val="000000" w:themeColor="text1"/>
          <w:sz w:val="20"/>
          <w:szCs w:val="20"/>
        </w:rPr>
        <w:t xml:space="preserve"> to the market with his brothers and</w:t>
      </w:r>
      <w:r w:rsidR="007E26F7" w:rsidRPr="00506A97">
        <w:rPr>
          <w:rFonts w:ascii="Cambria" w:eastAsia="Times New Roman" w:hAnsi="Cambria" w:cstheme="minorBidi"/>
          <w:color w:val="000000" w:themeColor="text1"/>
          <w:sz w:val="20"/>
          <w:szCs w:val="20"/>
        </w:rPr>
        <w:t>,</w:t>
      </w:r>
      <w:r w:rsidRPr="00506A97">
        <w:rPr>
          <w:rFonts w:ascii="Cambria" w:eastAsia="Times New Roman" w:hAnsi="Cambria" w:cstheme="minorBidi"/>
          <w:color w:val="000000" w:themeColor="text1"/>
          <w:sz w:val="20"/>
          <w:szCs w:val="20"/>
        </w:rPr>
        <w:t xml:space="preserve"> when he was returning to his plot </w:t>
      </w:r>
      <w:r w:rsidR="00E42C76" w:rsidRPr="00506A97">
        <w:rPr>
          <w:rFonts w:ascii="Cambria" w:eastAsia="Times New Roman" w:hAnsi="Cambria" w:cstheme="minorBidi"/>
          <w:color w:val="000000" w:themeColor="text1"/>
          <w:sz w:val="20"/>
          <w:szCs w:val="20"/>
        </w:rPr>
        <w:t xml:space="preserve">of land </w:t>
      </w:r>
      <w:r w:rsidRPr="00506A97">
        <w:rPr>
          <w:rFonts w:ascii="Cambria" w:eastAsia="Times New Roman" w:hAnsi="Cambria" w:cstheme="minorBidi"/>
          <w:color w:val="000000" w:themeColor="text1"/>
          <w:sz w:val="20"/>
          <w:szCs w:val="20"/>
        </w:rPr>
        <w:t xml:space="preserve">in the village of La Estrella, he was detained by members of the National Army, who allegedly forced him to get off the mule he was on and accompany them. Supposedly, the State agents had indicated to Mr. Cardona's companions not to look for the alleged victim again and that </w:t>
      </w:r>
      <w:r w:rsidR="00E42C76" w:rsidRPr="00506A97">
        <w:rPr>
          <w:rFonts w:ascii="Cambria" w:eastAsia="Times New Roman" w:hAnsi="Cambria" w:cstheme="minorBidi"/>
          <w:color w:val="000000" w:themeColor="text1"/>
          <w:sz w:val="20"/>
          <w:szCs w:val="20"/>
        </w:rPr>
        <w:t>was</w:t>
      </w:r>
      <w:r w:rsidRPr="00506A97">
        <w:rPr>
          <w:rFonts w:ascii="Cambria" w:eastAsia="Times New Roman" w:hAnsi="Cambria" w:cstheme="minorBidi"/>
          <w:color w:val="000000" w:themeColor="text1"/>
          <w:sz w:val="20"/>
          <w:szCs w:val="20"/>
        </w:rPr>
        <w:t xml:space="preserve"> the last time that Mr. Cardona was seen alive.</w:t>
      </w:r>
    </w:p>
    <w:p w14:paraId="76730F9E" w14:textId="77777777" w:rsidR="006E59F2" w:rsidRPr="00506A97" w:rsidRDefault="006E59F2" w:rsidP="00D85EF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Times New Roman" w:hAnsi="Cambria" w:cstheme="minorBidi"/>
          <w:color w:val="000000" w:themeColor="text1"/>
          <w:sz w:val="20"/>
          <w:szCs w:val="20"/>
        </w:rPr>
      </w:pPr>
    </w:p>
    <w:p w14:paraId="372B22A0" w14:textId="7363A8B0" w:rsidR="006E59F2" w:rsidRPr="00506A97" w:rsidRDefault="006E59F2" w:rsidP="00D85EFA">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Times New Roman" w:hAnsi="Cambria" w:cstheme="minorBidi"/>
          <w:color w:val="000000" w:themeColor="text1"/>
          <w:sz w:val="20"/>
          <w:szCs w:val="20"/>
        </w:rPr>
      </w:pPr>
      <w:r w:rsidRPr="00506A97">
        <w:rPr>
          <w:rFonts w:ascii="Cambria" w:eastAsia="Times New Roman" w:hAnsi="Cambria" w:cstheme="minorBidi"/>
          <w:color w:val="000000" w:themeColor="text1"/>
          <w:sz w:val="20"/>
          <w:szCs w:val="20"/>
        </w:rPr>
        <w:t>According to what was reported by the petitioners, the following day, November 1, 1988, Mr. Joaquín Emilio Cardona Torres visited the scene of the events to look for Mr. Mario Antonio Cardona, and found cans of food labeled with the name of “NATIONAL ARMY</w:t>
      </w:r>
      <w:r w:rsidR="00E42C76" w:rsidRPr="00506A97">
        <w:rPr>
          <w:rFonts w:ascii="Cambria" w:eastAsia="Times New Roman" w:hAnsi="Cambria" w:cstheme="minorBidi"/>
          <w:color w:val="000000" w:themeColor="text1"/>
          <w:sz w:val="20"/>
          <w:szCs w:val="20"/>
        </w:rPr>
        <w:t xml:space="preserve"> REVOLVING FUND</w:t>
      </w:r>
      <w:r w:rsidRPr="00506A97">
        <w:rPr>
          <w:rFonts w:ascii="Cambria" w:eastAsia="Times New Roman" w:hAnsi="Cambria" w:cstheme="minorBidi"/>
          <w:color w:val="000000" w:themeColor="text1"/>
          <w:sz w:val="20"/>
          <w:szCs w:val="20"/>
        </w:rPr>
        <w:t>”.</w:t>
      </w:r>
    </w:p>
    <w:p w14:paraId="0CDC3084" w14:textId="77777777" w:rsidR="006E59F2" w:rsidRPr="00506A97" w:rsidRDefault="006E59F2" w:rsidP="00D85EF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Times New Roman" w:hAnsi="Cambria" w:cstheme="minorBidi"/>
          <w:color w:val="000000" w:themeColor="text1"/>
          <w:sz w:val="20"/>
          <w:szCs w:val="20"/>
        </w:rPr>
      </w:pPr>
    </w:p>
    <w:p w14:paraId="763DEA01" w14:textId="60D6A2E4" w:rsidR="006E59F2" w:rsidRPr="00506A97" w:rsidRDefault="006E59F2" w:rsidP="00D85EFA">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Times New Roman" w:hAnsi="Cambria" w:cstheme="minorBidi"/>
          <w:color w:val="000000" w:themeColor="text1"/>
          <w:sz w:val="20"/>
          <w:szCs w:val="20"/>
        </w:rPr>
      </w:pPr>
      <w:r w:rsidRPr="00506A97">
        <w:rPr>
          <w:rFonts w:ascii="Cambria" w:eastAsia="Times New Roman" w:hAnsi="Cambria" w:cstheme="minorBidi"/>
          <w:color w:val="000000" w:themeColor="text1"/>
          <w:sz w:val="20"/>
          <w:szCs w:val="20"/>
        </w:rPr>
        <w:t>The petitioners alleged that they had gone to the battalion in the area where the colonel in charge accused them of belonging to</w:t>
      </w:r>
      <w:r w:rsidR="00E42C76" w:rsidRPr="00506A97">
        <w:rPr>
          <w:rFonts w:ascii="Cambria" w:eastAsia="Times New Roman" w:hAnsi="Cambria" w:cstheme="minorBidi"/>
          <w:color w:val="000000" w:themeColor="text1"/>
          <w:sz w:val="20"/>
          <w:szCs w:val="20"/>
        </w:rPr>
        <w:t xml:space="preserve"> illegal</w:t>
      </w:r>
      <w:r w:rsidRPr="00506A97">
        <w:rPr>
          <w:rFonts w:ascii="Cambria" w:eastAsia="Times New Roman" w:hAnsi="Cambria" w:cstheme="minorBidi"/>
          <w:color w:val="000000" w:themeColor="text1"/>
          <w:sz w:val="20"/>
          <w:szCs w:val="20"/>
        </w:rPr>
        <w:t xml:space="preserve"> groups. Similarly, the story </w:t>
      </w:r>
      <w:r w:rsidR="00E42C76" w:rsidRPr="00506A97">
        <w:rPr>
          <w:rFonts w:ascii="Cambria" w:eastAsia="Times New Roman" w:hAnsi="Cambria" w:cstheme="minorBidi"/>
          <w:color w:val="000000" w:themeColor="text1"/>
          <w:sz w:val="20"/>
          <w:szCs w:val="20"/>
        </w:rPr>
        <w:t>was allegedly</w:t>
      </w:r>
      <w:r w:rsidRPr="00506A97">
        <w:rPr>
          <w:rFonts w:ascii="Cambria" w:eastAsia="Times New Roman" w:hAnsi="Cambria" w:cstheme="minorBidi"/>
          <w:color w:val="000000" w:themeColor="text1"/>
          <w:sz w:val="20"/>
          <w:szCs w:val="20"/>
        </w:rPr>
        <w:t xml:space="preserve"> corroborated by Mr. Luis Albeiro Goez Cardona, who indicated that the colonel had mistreated them and accused them of allegedly belonging to an illegal group.</w:t>
      </w:r>
    </w:p>
    <w:p w14:paraId="40470F17" w14:textId="77777777" w:rsidR="006E59F2" w:rsidRPr="00506A97" w:rsidRDefault="006E59F2" w:rsidP="00D85EF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Times New Roman" w:hAnsi="Cambria" w:cstheme="minorBidi"/>
          <w:color w:val="000000" w:themeColor="text1"/>
          <w:sz w:val="20"/>
          <w:szCs w:val="20"/>
        </w:rPr>
      </w:pPr>
    </w:p>
    <w:p w14:paraId="011AC066" w14:textId="54D7B66D" w:rsidR="006E59F2" w:rsidRPr="00506A97" w:rsidRDefault="006E59F2" w:rsidP="00D85EFA">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Times New Roman" w:hAnsi="Cambria" w:cstheme="minorBidi"/>
          <w:color w:val="000000" w:themeColor="text1"/>
          <w:sz w:val="20"/>
          <w:szCs w:val="20"/>
        </w:rPr>
      </w:pPr>
      <w:r w:rsidRPr="00506A97">
        <w:rPr>
          <w:rFonts w:ascii="Cambria" w:eastAsia="Times New Roman" w:hAnsi="Cambria" w:cstheme="minorBidi"/>
          <w:color w:val="000000" w:themeColor="text1"/>
          <w:sz w:val="20"/>
          <w:szCs w:val="20"/>
        </w:rPr>
        <w:t>According to what was reported by the petitioners, the victim</w:t>
      </w:r>
      <w:r w:rsidR="006B5CB4" w:rsidRPr="00506A97">
        <w:rPr>
          <w:rFonts w:ascii="Cambria" w:eastAsia="Times New Roman" w:hAnsi="Cambria" w:cstheme="minorBidi"/>
          <w:color w:val="000000" w:themeColor="text1"/>
          <w:sz w:val="20"/>
          <w:szCs w:val="20"/>
        </w:rPr>
        <w:t>’</w:t>
      </w:r>
      <w:r w:rsidRPr="00506A97">
        <w:rPr>
          <w:rFonts w:ascii="Cambria" w:eastAsia="Times New Roman" w:hAnsi="Cambria" w:cstheme="minorBidi"/>
          <w:color w:val="000000" w:themeColor="text1"/>
          <w:sz w:val="20"/>
          <w:szCs w:val="20"/>
        </w:rPr>
        <w:t xml:space="preserve">s next of kin had gone to the Office of the Public Prosecutor of Apartadó to file the corresponding complaint, and in this </w:t>
      </w:r>
      <w:r w:rsidR="00E42C76" w:rsidRPr="00506A97">
        <w:rPr>
          <w:rFonts w:ascii="Cambria" w:eastAsia="Times New Roman" w:hAnsi="Cambria" w:cstheme="minorBidi"/>
          <w:color w:val="000000" w:themeColor="text1"/>
          <w:sz w:val="20"/>
          <w:szCs w:val="20"/>
        </w:rPr>
        <w:t>regard,</w:t>
      </w:r>
      <w:r w:rsidRPr="00506A97">
        <w:rPr>
          <w:rFonts w:ascii="Cambria" w:eastAsia="Times New Roman" w:hAnsi="Cambria" w:cstheme="minorBidi"/>
          <w:color w:val="000000" w:themeColor="text1"/>
          <w:sz w:val="20"/>
          <w:szCs w:val="20"/>
        </w:rPr>
        <w:t xml:space="preserve"> they indicated</w:t>
      </w:r>
      <w:r w:rsidR="00E42C76" w:rsidRPr="00506A97">
        <w:rPr>
          <w:rFonts w:ascii="Cambria" w:eastAsia="Times New Roman" w:hAnsi="Cambria" w:cstheme="minorBidi"/>
          <w:color w:val="000000" w:themeColor="text1"/>
          <w:sz w:val="20"/>
          <w:szCs w:val="20"/>
        </w:rPr>
        <w:t xml:space="preserve"> that</w:t>
      </w:r>
      <w:r w:rsidRPr="00506A97">
        <w:rPr>
          <w:rFonts w:ascii="Cambria" w:eastAsia="Times New Roman" w:hAnsi="Cambria" w:cstheme="minorBidi"/>
          <w:color w:val="000000" w:themeColor="text1"/>
          <w:sz w:val="20"/>
          <w:szCs w:val="20"/>
        </w:rPr>
        <w:t xml:space="preserve"> </w:t>
      </w:r>
      <w:r w:rsidR="006B5CB4" w:rsidRPr="00506A97">
        <w:rPr>
          <w:rFonts w:ascii="Cambria" w:eastAsia="Times New Roman" w:hAnsi="Cambria" w:cstheme="minorBidi"/>
          <w:color w:val="000000" w:themeColor="text1"/>
          <w:sz w:val="20"/>
          <w:szCs w:val="20"/>
        </w:rPr>
        <w:t>“</w:t>
      </w:r>
      <w:r w:rsidR="00E42C76" w:rsidRPr="00506A97">
        <w:rPr>
          <w:rFonts w:ascii="Cambria" w:eastAsia="Times New Roman" w:hAnsi="Cambria" w:cstheme="minorBidi"/>
          <w:color w:val="000000" w:themeColor="text1"/>
          <w:sz w:val="20"/>
          <w:szCs w:val="20"/>
        </w:rPr>
        <w:t>they were not given much attention</w:t>
      </w:r>
      <w:r w:rsidRPr="00506A97">
        <w:rPr>
          <w:rFonts w:ascii="Cambria" w:eastAsia="Times New Roman" w:hAnsi="Cambria" w:cstheme="minorBidi"/>
          <w:color w:val="000000" w:themeColor="text1"/>
          <w:sz w:val="20"/>
          <w:szCs w:val="20"/>
        </w:rPr>
        <w:t>.</w:t>
      </w:r>
      <w:r w:rsidR="006B5CB4" w:rsidRPr="00506A97">
        <w:rPr>
          <w:rFonts w:ascii="Cambria" w:eastAsia="Times New Roman" w:hAnsi="Cambria" w:cstheme="minorBidi"/>
          <w:color w:val="000000" w:themeColor="text1"/>
          <w:sz w:val="20"/>
          <w:szCs w:val="20"/>
        </w:rPr>
        <w:t>”</w:t>
      </w:r>
    </w:p>
    <w:p w14:paraId="7A53B0C3" w14:textId="77777777" w:rsidR="006E59F2" w:rsidRPr="00506A97" w:rsidRDefault="006E59F2" w:rsidP="00D85EF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Times New Roman" w:hAnsi="Cambria" w:cstheme="minorBidi"/>
          <w:color w:val="000000" w:themeColor="text1"/>
          <w:sz w:val="20"/>
          <w:szCs w:val="20"/>
        </w:rPr>
      </w:pPr>
    </w:p>
    <w:p w14:paraId="41819CF3" w14:textId="74000140" w:rsidR="00DA37B6" w:rsidRPr="00506A97" w:rsidRDefault="006E59F2" w:rsidP="00D85EFA">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Times New Roman" w:hAnsi="Cambria" w:cstheme="minorBidi"/>
          <w:color w:val="000000" w:themeColor="text1"/>
          <w:sz w:val="20"/>
          <w:szCs w:val="20"/>
        </w:rPr>
      </w:pPr>
      <w:r w:rsidRPr="00506A97">
        <w:rPr>
          <w:rFonts w:ascii="Cambria" w:eastAsia="Times New Roman" w:hAnsi="Cambria" w:cstheme="minorBidi"/>
          <w:color w:val="000000" w:themeColor="text1"/>
          <w:sz w:val="20"/>
          <w:szCs w:val="20"/>
        </w:rPr>
        <w:t>The petitioners argued that the 12th Sectional Prosecutor's Office of Montería had initiated a criminal investigation, which was later transferred to the 13th Prosecutor Delegate before the Tribunal of the National Specialized Prosecutor's Office for Transnational Justice; however, there had been no positive progress on the</w:t>
      </w:r>
      <w:r w:rsidR="00D85EFA" w:rsidRPr="00506A97">
        <w:rPr>
          <w:rFonts w:ascii="Cambria" w:eastAsia="Times New Roman" w:hAnsi="Cambria" w:cstheme="minorBidi"/>
          <w:color w:val="000000" w:themeColor="text1"/>
          <w:sz w:val="20"/>
          <w:szCs w:val="20"/>
        </w:rPr>
        <w:t xml:space="preserve"> initiated</w:t>
      </w:r>
      <w:r w:rsidRPr="00506A97">
        <w:rPr>
          <w:rFonts w:ascii="Cambria" w:eastAsia="Times New Roman" w:hAnsi="Cambria" w:cstheme="minorBidi"/>
          <w:color w:val="000000" w:themeColor="text1"/>
          <w:sz w:val="20"/>
          <w:szCs w:val="20"/>
        </w:rPr>
        <w:t xml:space="preserve"> investigation and the whereabouts of the alleged victim and those responsible for the events </w:t>
      </w:r>
      <w:r w:rsidR="00490289" w:rsidRPr="00506A97">
        <w:rPr>
          <w:rFonts w:ascii="Cambria" w:eastAsia="Times New Roman" w:hAnsi="Cambria" w:cstheme="minorBidi"/>
          <w:color w:val="000000" w:themeColor="text1"/>
          <w:sz w:val="20"/>
          <w:szCs w:val="20"/>
        </w:rPr>
        <w:t>remained</w:t>
      </w:r>
      <w:r w:rsidR="00193D15" w:rsidRPr="00506A97">
        <w:rPr>
          <w:rFonts w:ascii="Cambria" w:eastAsia="Times New Roman" w:hAnsi="Cambria" w:cstheme="minorBidi"/>
          <w:color w:val="000000" w:themeColor="text1"/>
          <w:sz w:val="20"/>
          <w:szCs w:val="20"/>
        </w:rPr>
        <w:t xml:space="preserve"> unk</w:t>
      </w:r>
      <w:r w:rsidRPr="00506A97">
        <w:rPr>
          <w:rFonts w:ascii="Cambria" w:eastAsia="Times New Roman" w:hAnsi="Cambria" w:cstheme="minorBidi"/>
          <w:color w:val="000000" w:themeColor="text1"/>
          <w:sz w:val="20"/>
          <w:szCs w:val="20"/>
        </w:rPr>
        <w:t>nown.</w:t>
      </w:r>
    </w:p>
    <w:p w14:paraId="246EED59" w14:textId="77777777" w:rsidR="00DA37B6" w:rsidRPr="00506A97"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b/>
          <w:color w:val="000000" w:themeColor="text1"/>
          <w:sz w:val="20"/>
          <w:szCs w:val="20"/>
        </w:rPr>
      </w:pPr>
    </w:p>
    <w:p w14:paraId="4E94255B" w14:textId="77777777" w:rsidR="00FA675D" w:rsidRPr="00506A97" w:rsidRDefault="00FA675D" w:rsidP="00DA37B6">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Cambria" w:eastAsia="MS Mincho" w:hAnsi="Cambria" w:cstheme="minorHAnsi"/>
          <w:b/>
          <w:color w:val="000000" w:themeColor="text1"/>
          <w:sz w:val="20"/>
          <w:szCs w:val="20"/>
          <w:lang w:val="es-CO"/>
        </w:rPr>
      </w:pPr>
      <w:r w:rsidRPr="00506A97">
        <w:rPr>
          <w:rFonts w:ascii="Cambria" w:eastAsia="MS Mincho" w:hAnsi="Cambria" w:cstheme="minorHAnsi"/>
          <w:b/>
          <w:color w:val="000000" w:themeColor="text1"/>
          <w:sz w:val="20"/>
          <w:szCs w:val="20"/>
          <w:lang w:val="es-CO"/>
        </w:rPr>
        <w:t>FRIENDLY SETTLEMENT</w:t>
      </w:r>
    </w:p>
    <w:p w14:paraId="2469EC7A" w14:textId="77777777" w:rsidR="00DA37B6" w:rsidRPr="00506A97"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Cambria" w:eastAsia="MS Mincho" w:hAnsi="Cambria" w:cstheme="minorHAnsi"/>
          <w:color w:val="000000" w:themeColor="text1"/>
          <w:sz w:val="20"/>
          <w:szCs w:val="20"/>
          <w:lang w:val="es-CO"/>
        </w:rPr>
      </w:pPr>
    </w:p>
    <w:p w14:paraId="0EA1C4B0" w14:textId="74621518" w:rsidR="00DA37B6" w:rsidRPr="00506A97" w:rsidRDefault="006C32C4" w:rsidP="006C32C4">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Times New Roman" w:hAnsi="Cambria" w:cstheme="minorBidi"/>
          <w:color w:val="000000" w:themeColor="text1"/>
          <w:sz w:val="20"/>
          <w:szCs w:val="20"/>
        </w:rPr>
      </w:pPr>
      <w:r w:rsidRPr="00506A97">
        <w:rPr>
          <w:rFonts w:ascii="Cambria" w:eastAsia="Times New Roman" w:hAnsi="Cambria" w:cstheme="minorBidi"/>
          <w:color w:val="000000" w:themeColor="text1"/>
          <w:sz w:val="20"/>
          <w:szCs w:val="20"/>
        </w:rPr>
        <w:t>On September 23, 2021, the parties signed a friendly settlement agreement, the text of which establishes the following:</w:t>
      </w:r>
    </w:p>
    <w:p w14:paraId="71D0295C" w14:textId="59CFA123" w:rsidR="006C32C4" w:rsidRPr="00506A97" w:rsidRDefault="006C32C4" w:rsidP="001B1FC0">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810" w:right="720"/>
        <w:jc w:val="both"/>
        <w:rPr>
          <w:rFonts w:ascii="Cambria" w:eastAsia="Times New Roman" w:hAnsi="Cambria" w:cstheme="minorBidi"/>
          <w:color w:val="000000" w:themeColor="text1"/>
          <w:sz w:val="20"/>
          <w:szCs w:val="20"/>
        </w:rPr>
      </w:pPr>
    </w:p>
    <w:p w14:paraId="0D659927" w14:textId="15CCB191" w:rsidR="006C32C4" w:rsidRPr="00506A97" w:rsidRDefault="006C32C4" w:rsidP="0074122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810" w:right="720"/>
        <w:jc w:val="center"/>
        <w:rPr>
          <w:rFonts w:ascii="Cambria" w:eastAsia="Times New Roman" w:hAnsi="Cambria" w:cstheme="minorBidi"/>
          <w:b/>
          <w:bCs/>
          <w:color w:val="000000" w:themeColor="text1"/>
          <w:sz w:val="20"/>
          <w:szCs w:val="20"/>
        </w:rPr>
      </w:pPr>
      <w:r w:rsidRPr="00506A97">
        <w:rPr>
          <w:rFonts w:ascii="Cambria" w:eastAsia="Times New Roman" w:hAnsi="Cambria" w:cstheme="minorBidi"/>
          <w:b/>
          <w:bCs/>
          <w:color w:val="000000" w:themeColor="text1"/>
          <w:sz w:val="20"/>
          <w:szCs w:val="20"/>
        </w:rPr>
        <w:t>FRIENDLY SETTLEMENT AGREEMENT</w:t>
      </w:r>
    </w:p>
    <w:p w14:paraId="68C4CB7C" w14:textId="5A98AE0C" w:rsidR="006C32C4" w:rsidRPr="00506A97" w:rsidRDefault="006C32C4" w:rsidP="0074122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810" w:right="720"/>
        <w:jc w:val="center"/>
        <w:rPr>
          <w:rFonts w:ascii="Cambria" w:eastAsia="Times New Roman" w:hAnsi="Cambria" w:cstheme="minorBidi"/>
          <w:b/>
          <w:bCs/>
          <w:color w:val="000000" w:themeColor="text1"/>
          <w:sz w:val="20"/>
          <w:szCs w:val="20"/>
        </w:rPr>
      </w:pPr>
      <w:r w:rsidRPr="00506A97">
        <w:rPr>
          <w:rFonts w:ascii="Cambria" w:eastAsia="Times New Roman" w:hAnsi="Cambria" w:cstheme="minorBidi"/>
          <w:b/>
          <w:bCs/>
          <w:color w:val="000000" w:themeColor="text1"/>
          <w:sz w:val="20"/>
          <w:szCs w:val="20"/>
        </w:rPr>
        <w:t>PETITION N. 1391-15, MARIO ANTONIO CARDONA VARELA AND OTHERS</w:t>
      </w:r>
    </w:p>
    <w:p w14:paraId="2E59E9E9" w14:textId="4A6F6A88" w:rsidR="006C32C4" w:rsidRPr="00506A97" w:rsidRDefault="006C32C4" w:rsidP="001B1FC0">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810" w:right="720"/>
        <w:jc w:val="both"/>
        <w:rPr>
          <w:rFonts w:ascii="Cambria" w:eastAsia="Times New Roman" w:hAnsi="Cambria" w:cstheme="minorBidi"/>
          <w:color w:val="000000" w:themeColor="text1"/>
          <w:sz w:val="20"/>
          <w:szCs w:val="20"/>
        </w:rPr>
      </w:pPr>
    </w:p>
    <w:p w14:paraId="2F56C9E9" w14:textId="09B82B3B" w:rsidR="006C32C4" w:rsidRPr="00506A97" w:rsidRDefault="006C32C4" w:rsidP="001B1FC0">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810" w:right="720"/>
        <w:jc w:val="both"/>
        <w:rPr>
          <w:rFonts w:ascii="Cambria" w:eastAsia="Times New Roman" w:hAnsi="Cambria" w:cstheme="minorBidi"/>
          <w:color w:val="000000" w:themeColor="text1"/>
          <w:sz w:val="20"/>
          <w:szCs w:val="20"/>
        </w:rPr>
      </w:pPr>
      <w:r w:rsidRPr="00506A97">
        <w:rPr>
          <w:rFonts w:ascii="Cambria" w:eastAsia="Times New Roman" w:hAnsi="Cambria" w:cstheme="minorBidi"/>
          <w:color w:val="000000" w:themeColor="text1"/>
          <w:sz w:val="20"/>
          <w:szCs w:val="20"/>
        </w:rPr>
        <w:t xml:space="preserve">On September </w:t>
      </w:r>
      <w:r w:rsidR="006B5CB4" w:rsidRPr="00506A97">
        <w:rPr>
          <w:rFonts w:ascii="Cambria" w:eastAsia="Times New Roman" w:hAnsi="Cambria" w:cstheme="minorBidi"/>
          <w:color w:val="000000" w:themeColor="text1"/>
          <w:sz w:val="20"/>
          <w:szCs w:val="20"/>
        </w:rPr>
        <w:t>twenty three</w:t>
      </w:r>
      <w:r w:rsidRPr="00506A97">
        <w:rPr>
          <w:rFonts w:ascii="Cambria" w:eastAsia="Times New Roman" w:hAnsi="Cambria" w:cstheme="minorBidi"/>
          <w:color w:val="000000" w:themeColor="text1"/>
          <w:sz w:val="20"/>
          <w:szCs w:val="20"/>
        </w:rPr>
        <w:t xml:space="preserve"> (23), 2021, on the one hand, Ana María Ordoñez Puentes, Director of the International Legal Defense Directorate of the National Agency for Legal Defense of the State, who acts with the due authorization in the name and representation of the Colombian State, hereinafter the </w:t>
      </w:r>
      <w:r w:rsidR="006B5CB4" w:rsidRPr="00506A97">
        <w:rPr>
          <w:rFonts w:ascii="Cambria" w:eastAsia="Times New Roman" w:hAnsi="Cambria" w:cstheme="minorBidi"/>
          <w:color w:val="000000" w:themeColor="text1"/>
          <w:sz w:val="20"/>
          <w:szCs w:val="20"/>
        </w:rPr>
        <w:t>“</w:t>
      </w:r>
      <w:r w:rsidRPr="00506A97">
        <w:rPr>
          <w:rFonts w:ascii="Cambria" w:eastAsia="Times New Roman" w:hAnsi="Cambria" w:cstheme="minorBidi"/>
          <w:color w:val="000000" w:themeColor="text1"/>
          <w:sz w:val="20"/>
          <w:szCs w:val="20"/>
        </w:rPr>
        <w:t>State</w:t>
      </w:r>
      <w:r w:rsidR="006B5CB4" w:rsidRPr="00506A97">
        <w:rPr>
          <w:rFonts w:ascii="Cambria" w:eastAsia="Times New Roman" w:hAnsi="Cambria" w:cstheme="minorBidi"/>
          <w:color w:val="000000" w:themeColor="text1"/>
          <w:sz w:val="20"/>
          <w:szCs w:val="20"/>
        </w:rPr>
        <w:t>”</w:t>
      </w:r>
      <w:r w:rsidRPr="00506A97">
        <w:rPr>
          <w:rFonts w:ascii="Cambria" w:eastAsia="Times New Roman" w:hAnsi="Cambria" w:cstheme="minorBidi"/>
          <w:color w:val="000000" w:themeColor="text1"/>
          <w:sz w:val="20"/>
          <w:szCs w:val="20"/>
        </w:rPr>
        <w:t xml:space="preserve"> or the </w:t>
      </w:r>
      <w:r w:rsidR="006B5CB4" w:rsidRPr="00506A97">
        <w:rPr>
          <w:rFonts w:ascii="Cambria" w:eastAsia="Times New Roman" w:hAnsi="Cambria" w:cstheme="minorBidi"/>
          <w:color w:val="000000" w:themeColor="text1"/>
          <w:sz w:val="20"/>
          <w:szCs w:val="20"/>
        </w:rPr>
        <w:t>“</w:t>
      </w:r>
      <w:r w:rsidRPr="00506A97">
        <w:rPr>
          <w:rFonts w:ascii="Cambria" w:eastAsia="Times New Roman" w:hAnsi="Cambria" w:cstheme="minorBidi"/>
          <w:color w:val="000000" w:themeColor="text1"/>
          <w:sz w:val="20"/>
          <w:szCs w:val="20"/>
        </w:rPr>
        <w:t>Colombian State</w:t>
      </w:r>
      <w:r w:rsidR="006B5CB4" w:rsidRPr="00506A97">
        <w:rPr>
          <w:rFonts w:ascii="Cambria" w:eastAsia="Times New Roman" w:hAnsi="Cambria" w:cstheme="minorBidi"/>
          <w:color w:val="000000" w:themeColor="text1"/>
          <w:sz w:val="20"/>
          <w:szCs w:val="20"/>
        </w:rPr>
        <w:t>”</w:t>
      </w:r>
      <w:r w:rsidRPr="00506A97">
        <w:rPr>
          <w:rFonts w:ascii="Cambria" w:eastAsia="Times New Roman" w:hAnsi="Cambria" w:cstheme="minorBidi"/>
          <w:color w:val="000000" w:themeColor="text1"/>
          <w:sz w:val="20"/>
          <w:szCs w:val="20"/>
        </w:rPr>
        <w:t xml:space="preserve"> and, on the other hand, the Legal Center</w:t>
      </w:r>
      <w:r w:rsidR="006B5CB4" w:rsidRPr="00506A97">
        <w:rPr>
          <w:rFonts w:ascii="Cambria" w:eastAsia="Times New Roman" w:hAnsi="Cambria" w:cstheme="minorBidi"/>
          <w:color w:val="000000" w:themeColor="text1"/>
          <w:sz w:val="20"/>
          <w:szCs w:val="20"/>
        </w:rPr>
        <w:t xml:space="preserve"> for Human Rights Defense of Antioquia</w:t>
      </w:r>
      <w:r w:rsidRPr="00506A97">
        <w:rPr>
          <w:rFonts w:ascii="Cambria" w:eastAsia="Times New Roman" w:hAnsi="Cambria" w:cstheme="minorBidi"/>
          <w:color w:val="000000" w:themeColor="text1"/>
          <w:sz w:val="20"/>
          <w:szCs w:val="20"/>
        </w:rPr>
        <w:t>, represented in this act by Luis Felipe Viveros Montoya, who will be called “</w:t>
      </w:r>
      <w:r w:rsidR="006E69CA" w:rsidRPr="00506A97">
        <w:rPr>
          <w:rFonts w:ascii="Cambria" w:eastAsia="Times New Roman" w:hAnsi="Cambria" w:cstheme="minorBidi"/>
          <w:color w:val="000000" w:themeColor="text1"/>
          <w:sz w:val="20"/>
          <w:szCs w:val="20"/>
        </w:rPr>
        <w:t>T</w:t>
      </w:r>
      <w:r w:rsidRPr="00506A97">
        <w:rPr>
          <w:rFonts w:ascii="Cambria" w:eastAsia="Times New Roman" w:hAnsi="Cambria" w:cstheme="minorBidi"/>
          <w:color w:val="000000" w:themeColor="text1"/>
          <w:sz w:val="20"/>
          <w:szCs w:val="20"/>
        </w:rPr>
        <w:t xml:space="preserve">he petitioner”, </w:t>
      </w:r>
      <w:r w:rsidR="006E69CA" w:rsidRPr="00506A97">
        <w:rPr>
          <w:rFonts w:ascii="Cambria" w:eastAsia="Times New Roman" w:hAnsi="Cambria" w:cstheme="minorBidi"/>
          <w:color w:val="000000" w:themeColor="text1"/>
          <w:sz w:val="20"/>
          <w:szCs w:val="20"/>
        </w:rPr>
        <w:t>met in the city of Bogotá DC, and</w:t>
      </w:r>
      <w:r w:rsidRPr="00506A97">
        <w:rPr>
          <w:rFonts w:ascii="Cambria" w:eastAsia="Times New Roman" w:hAnsi="Cambria" w:cstheme="minorBidi"/>
          <w:color w:val="000000" w:themeColor="text1"/>
          <w:sz w:val="20"/>
          <w:szCs w:val="20"/>
        </w:rPr>
        <w:t xml:space="preserve"> decided to sign this Friendly Settlement Agreement within the framework of Petition No. 1391-15 Mario Antonio Cardona Varela </w:t>
      </w:r>
      <w:r w:rsidR="006E69CA" w:rsidRPr="00506A97">
        <w:rPr>
          <w:rFonts w:ascii="Cambria" w:eastAsia="Times New Roman" w:hAnsi="Cambria" w:cstheme="minorBidi"/>
          <w:color w:val="000000" w:themeColor="text1"/>
          <w:sz w:val="20"/>
          <w:szCs w:val="20"/>
        </w:rPr>
        <w:t>and others</w:t>
      </w:r>
      <w:r w:rsidRPr="00506A97">
        <w:rPr>
          <w:rFonts w:ascii="Cambria" w:eastAsia="Times New Roman" w:hAnsi="Cambria" w:cstheme="minorBidi"/>
          <w:color w:val="000000" w:themeColor="text1"/>
          <w:sz w:val="20"/>
          <w:szCs w:val="20"/>
        </w:rPr>
        <w:t xml:space="preserve">, </w:t>
      </w:r>
      <w:r w:rsidR="006E69CA" w:rsidRPr="00506A97">
        <w:rPr>
          <w:rFonts w:ascii="Cambria" w:eastAsia="Times New Roman" w:hAnsi="Cambria" w:cstheme="minorBidi"/>
          <w:color w:val="000000" w:themeColor="text1"/>
          <w:sz w:val="20"/>
          <w:szCs w:val="20"/>
        </w:rPr>
        <w:t>p</w:t>
      </w:r>
      <w:r w:rsidRPr="00506A97">
        <w:rPr>
          <w:rFonts w:ascii="Cambria" w:eastAsia="Times New Roman" w:hAnsi="Cambria" w:cstheme="minorBidi"/>
          <w:color w:val="000000" w:themeColor="text1"/>
          <w:sz w:val="20"/>
          <w:szCs w:val="20"/>
        </w:rPr>
        <w:t>ending before the Inter-American Commission on Human Rights.</w:t>
      </w:r>
    </w:p>
    <w:p w14:paraId="3ACA7B34" w14:textId="04E554DC" w:rsidR="006E69CA" w:rsidRPr="00506A97" w:rsidRDefault="006E69CA" w:rsidP="001B1FC0">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810" w:right="720"/>
        <w:jc w:val="both"/>
        <w:rPr>
          <w:rFonts w:ascii="Cambria" w:eastAsia="Times New Roman" w:hAnsi="Cambria" w:cstheme="minorBidi"/>
          <w:color w:val="000000" w:themeColor="text1"/>
          <w:sz w:val="20"/>
          <w:szCs w:val="20"/>
        </w:rPr>
      </w:pPr>
    </w:p>
    <w:p w14:paraId="12598E10" w14:textId="218F6343" w:rsidR="006E69CA" w:rsidRPr="00506A97" w:rsidRDefault="006E69CA" w:rsidP="0074122B">
      <w:pPr>
        <w:tabs>
          <w:tab w:val="center" w:pos="720"/>
        </w:tabs>
        <w:suppressAutoHyphens/>
        <w:ind w:left="810" w:right="720"/>
        <w:jc w:val="center"/>
        <w:rPr>
          <w:rFonts w:asciiTheme="majorHAnsi" w:hAnsiTheme="majorHAnsi" w:cstheme="minorHAnsi"/>
          <w:b/>
          <w:bCs/>
          <w:sz w:val="20"/>
          <w:szCs w:val="20"/>
        </w:rPr>
      </w:pPr>
      <w:r w:rsidRPr="00506A97">
        <w:rPr>
          <w:rFonts w:asciiTheme="majorHAnsi" w:hAnsiTheme="majorHAnsi" w:cstheme="minorHAnsi"/>
          <w:b/>
          <w:bCs/>
          <w:sz w:val="20"/>
          <w:szCs w:val="20"/>
        </w:rPr>
        <w:t>FIRST PART: CONCEPTS</w:t>
      </w:r>
    </w:p>
    <w:p w14:paraId="14DFBEA2" w14:textId="66A116A7" w:rsidR="006E69CA" w:rsidRPr="00506A97" w:rsidRDefault="006E69CA" w:rsidP="001B1FC0">
      <w:pPr>
        <w:tabs>
          <w:tab w:val="center" w:pos="720"/>
        </w:tabs>
        <w:suppressAutoHyphens/>
        <w:ind w:left="810" w:right="720"/>
        <w:jc w:val="both"/>
        <w:rPr>
          <w:rFonts w:asciiTheme="majorHAnsi" w:hAnsiTheme="majorHAnsi" w:cstheme="minorHAnsi"/>
          <w:b/>
          <w:bCs/>
          <w:sz w:val="20"/>
          <w:szCs w:val="20"/>
        </w:rPr>
      </w:pPr>
    </w:p>
    <w:p w14:paraId="081F1640" w14:textId="77777777" w:rsidR="006E69CA" w:rsidRPr="00506A97" w:rsidRDefault="006E69CA" w:rsidP="001B1FC0">
      <w:pPr>
        <w:tabs>
          <w:tab w:val="center" w:pos="720"/>
        </w:tabs>
        <w:suppressAutoHyphens/>
        <w:ind w:left="810" w:right="720"/>
        <w:jc w:val="both"/>
        <w:rPr>
          <w:rFonts w:asciiTheme="majorHAnsi" w:hAnsiTheme="majorHAnsi" w:cstheme="minorHAnsi"/>
          <w:sz w:val="20"/>
          <w:szCs w:val="20"/>
        </w:rPr>
      </w:pPr>
      <w:r w:rsidRPr="00506A97">
        <w:rPr>
          <w:rFonts w:asciiTheme="majorHAnsi" w:hAnsiTheme="majorHAnsi" w:cstheme="minorHAnsi"/>
          <w:sz w:val="20"/>
          <w:szCs w:val="20"/>
        </w:rPr>
        <w:t>For the purposes of this Agreement, it will be understood by:</w:t>
      </w:r>
    </w:p>
    <w:p w14:paraId="2BA539AB" w14:textId="77777777" w:rsidR="006E69CA" w:rsidRPr="00506A97" w:rsidRDefault="006E69CA" w:rsidP="001B1FC0">
      <w:pPr>
        <w:tabs>
          <w:tab w:val="center" w:pos="720"/>
        </w:tabs>
        <w:suppressAutoHyphens/>
        <w:ind w:left="810" w:right="720"/>
        <w:jc w:val="both"/>
        <w:rPr>
          <w:rFonts w:asciiTheme="majorHAnsi" w:hAnsiTheme="majorHAnsi" w:cstheme="minorHAnsi"/>
          <w:b/>
          <w:bCs/>
          <w:sz w:val="20"/>
          <w:szCs w:val="20"/>
        </w:rPr>
      </w:pPr>
    </w:p>
    <w:p w14:paraId="7CA2133C" w14:textId="32EA9FBD" w:rsidR="006E69CA" w:rsidRPr="00506A97" w:rsidRDefault="006E69CA" w:rsidP="001B1FC0">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810" w:right="720"/>
        <w:jc w:val="both"/>
        <w:rPr>
          <w:rFonts w:ascii="Cambria" w:eastAsia="Times New Roman" w:hAnsi="Cambria" w:cstheme="minorHAnsi"/>
          <w:color w:val="000000" w:themeColor="text1"/>
          <w:sz w:val="20"/>
          <w:szCs w:val="20"/>
        </w:rPr>
      </w:pPr>
      <w:r w:rsidRPr="00506A97">
        <w:rPr>
          <w:rFonts w:ascii="Cambria" w:eastAsia="Times New Roman" w:hAnsi="Cambria" w:cstheme="minorHAnsi"/>
          <w:b/>
          <w:bCs/>
          <w:color w:val="000000" w:themeColor="text1"/>
          <w:sz w:val="20"/>
          <w:szCs w:val="20"/>
          <w:u w:val="single"/>
        </w:rPr>
        <w:t>IACHR or Inter-American Commission:</w:t>
      </w:r>
      <w:r w:rsidRPr="00506A97">
        <w:rPr>
          <w:rFonts w:ascii="Cambria" w:eastAsia="Times New Roman" w:hAnsi="Cambria" w:cstheme="minorHAnsi"/>
          <w:color w:val="000000" w:themeColor="text1"/>
          <w:sz w:val="20"/>
          <w:szCs w:val="20"/>
        </w:rPr>
        <w:t xml:space="preserve"> Inter-American Commission on Human Rights.</w:t>
      </w:r>
    </w:p>
    <w:p w14:paraId="6DFEDBA4" w14:textId="653D1571" w:rsidR="006E69CA" w:rsidRPr="00506A97" w:rsidRDefault="006E69CA" w:rsidP="001B1FC0">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810" w:right="720"/>
        <w:jc w:val="both"/>
        <w:rPr>
          <w:rFonts w:ascii="Cambria" w:eastAsia="Times New Roman" w:hAnsi="Cambria" w:cstheme="minorHAnsi"/>
          <w:color w:val="000000" w:themeColor="text1"/>
          <w:sz w:val="20"/>
          <w:szCs w:val="20"/>
        </w:rPr>
      </w:pPr>
    </w:p>
    <w:p w14:paraId="1DED0EAB" w14:textId="6132E06D" w:rsidR="000C30FB" w:rsidRPr="00506A97" w:rsidRDefault="006E69CA" w:rsidP="001B1FC0">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810" w:right="720"/>
        <w:jc w:val="both"/>
        <w:rPr>
          <w:rFonts w:ascii="Cambria" w:eastAsia="Times New Roman" w:hAnsi="Cambria" w:cstheme="minorHAnsi"/>
          <w:color w:val="000000" w:themeColor="text1"/>
          <w:sz w:val="20"/>
          <w:szCs w:val="20"/>
        </w:rPr>
      </w:pPr>
      <w:r w:rsidRPr="00506A97">
        <w:rPr>
          <w:rFonts w:ascii="Cambria" w:eastAsia="Times New Roman" w:hAnsi="Cambria" w:cstheme="minorHAnsi"/>
          <w:b/>
          <w:bCs/>
          <w:color w:val="000000" w:themeColor="text1"/>
          <w:sz w:val="20"/>
          <w:szCs w:val="20"/>
          <w:u w:val="single"/>
        </w:rPr>
        <w:t>Non-pecuniary damage:</w:t>
      </w:r>
      <w:r w:rsidRPr="00506A97">
        <w:rPr>
          <w:rFonts w:ascii="Cambria" w:eastAsia="Times New Roman" w:hAnsi="Cambria" w:cstheme="minorHAnsi"/>
          <w:color w:val="000000" w:themeColor="text1"/>
          <w:sz w:val="20"/>
          <w:szCs w:val="20"/>
        </w:rPr>
        <w:t xml:space="preserve"> </w:t>
      </w:r>
      <w:r w:rsidR="000C30FB" w:rsidRPr="00506A97">
        <w:rPr>
          <w:rFonts w:ascii="Cambria" w:eastAsia="Times New Roman" w:hAnsi="Cambria" w:cstheme="minorHAnsi"/>
          <w:color w:val="000000" w:themeColor="text1"/>
          <w:sz w:val="20"/>
          <w:szCs w:val="20"/>
        </w:rPr>
        <w:t>It includes both the sufferings and afflictions caused to the victims, the impairment of very significant values for people, as well as the non-pecuniary alterations in the living conditions of the victim or his family.</w:t>
      </w:r>
      <w:r w:rsidR="000C30FB" w:rsidRPr="00506A97">
        <w:rPr>
          <w:rStyle w:val="FootnoteReference"/>
          <w:rFonts w:ascii="Cambria" w:eastAsia="Times New Roman" w:hAnsi="Cambria"/>
          <w:color w:val="000000" w:themeColor="text1"/>
          <w:sz w:val="20"/>
          <w:szCs w:val="20"/>
        </w:rPr>
        <w:footnoteReference w:id="3"/>
      </w:r>
    </w:p>
    <w:p w14:paraId="7777A0B5" w14:textId="435D2E46" w:rsidR="006B4024" w:rsidRPr="00506A97" w:rsidRDefault="006B4024" w:rsidP="001B1FC0">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810" w:right="720"/>
        <w:jc w:val="both"/>
        <w:rPr>
          <w:rFonts w:ascii="Cambria" w:eastAsia="Times New Roman" w:hAnsi="Cambria" w:cstheme="minorHAnsi"/>
          <w:color w:val="000000" w:themeColor="text1"/>
          <w:sz w:val="20"/>
          <w:szCs w:val="20"/>
        </w:rPr>
      </w:pPr>
    </w:p>
    <w:p w14:paraId="68C50A45" w14:textId="58EBA2F0" w:rsidR="006B4024" w:rsidRPr="00506A97" w:rsidRDefault="006B4024" w:rsidP="001B1FC0">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810" w:right="720"/>
        <w:jc w:val="both"/>
        <w:rPr>
          <w:rFonts w:ascii="Cambria" w:eastAsia="Times New Roman" w:hAnsi="Cambria" w:cstheme="minorHAnsi"/>
          <w:color w:val="000000" w:themeColor="text1"/>
          <w:sz w:val="20"/>
          <w:szCs w:val="20"/>
        </w:rPr>
      </w:pPr>
      <w:r w:rsidRPr="00506A97">
        <w:rPr>
          <w:rFonts w:ascii="Cambria" w:eastAsia="Times New Roman" w:hAnsi="Cambria" w:cstheme="minorHAnsi"/>
          <w:b/>
          <w:bCs/>
          <w:color w:val="000000" w:themeColor="text1"/>
          <w:sz w:val="20"/>
          <w:szCs w:val="20"/>
          <w:u w:val="single"/>
        </w:rPr>
        <w:t>Material damage:</w:t>
      </w:r>
      <w:r w:rsidR="000C30FB" w:rsidRPr="00506A97">
        <w:rPr>
          <w:rFonts w:ascii="Cambria" w:eastAsia="Times New Roman" w:hAnsi="Cambria" w:cstheme="minorHAnsi"/>
          <w:b/>
          <w:bCs/>
          <w:color w:val="000000" w:themeColor="text1"/>
          <w:sz w:val="20"/>
          <w:szCs w:val="20"/>
          <w:u w:val="single"/>
        </w:rPr>
        <w:t xml:space="preserve"> </w:t>
      </w:r>
      <w:r w:rsidR="000C30FB" w:rsidRPr="00506A97">
        <w:rPr>
          <w:rFonts w:ascii="Cambria" w:eastAsia="Times New Roman" w:hAnsi="Cambria" w:cstheme="minorHAnsi"/>
          <w:color w:val="000000" w:themeColor="text1"/>
          <w:sz w:val="20"/>
          <w:szCs w:val="20"/>
        </w:rPr>
        <w:t>Includes the loss of income of the victims, the expenses incurred on the occasion of the victimizing events</w:t>
      </w:r>
      <w:r w:rsidR="000C30FB" w:rsidRPr="00506A97">
        <w:rPr>
          <w:rStyle w:val="FootnoteReference"/>
          <w:rFonts w:ascii="Cambria" w:eastAsia="Times New Roman" w:hAnsi="Cambria"/>
          <w:color w:val="000000" w:themeColor="text1"/>
          <w:sz w:val="20"/>
          <w:szCs w:val="20"/>
        </w:rPr>
        <w:footnoteReference w:id="4"/>
      </w:r>
      <w:r w:rsidR="000C30FB" w:rsidRPr="00506A97">
        <w:rPr>
          <w:rFonts w:ascii="Cambria" w:eastAsia="Times New Roman" w:hAnsi="Cambria" w:cstheme="minorHAnsi"/>
          <w:color w:val="000000" w:themeColor="text1"/>
          <w:sz w:val="20"/>
          <w:szCs w:val="20"/>
        </w:rPr>
        <w:t xml:space="preserve"> and the economic consequences resulting from those events. The Council of State distinguishes this damage under the modalities of actual damage and loss of earnings.</w:t>
      </w:r>
      <w:r w:rsidR="000C30FB" w:rsidRPr="00506A97">
        <w:rPr>
          <w:rStyle w:val="FootnoteReference"/>
          <w:rFonts w:ascii="Cambria" w:eastAsia="Times New Roman" w:hAnsi="Cambria"/>
          <w:color w:val="000000" w:themeColor="text1"/>
          <w:sz w:val="20"/>
          <w:szCs w:val="20"/>
        </w:rPr>
        <w:footnoteReference w:id="5"/>
      </w:r>
    </w:p>
    <w:p w14:paraId="40DD0F1B" w14:textId="7B9961EF" w:rsidR="000C30FB" w:rsidRPr="00506A97" w:rsidRDefault="000C30FB" w:rsidP="001B1FC0">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810" w:right="720"/>
        <w:jc w:val="both"/>
        <w:rPr>
          <w:rFonts w:ascii="Cambria" w:eastAsia="Times New Roman" w:hAnsi="Cambria" w:cstheme="minorHAnsi"/>
          <w:b/>
          <w:bCs/>
          <w:color w:val="000000" w:themeColor="text1"/>
          <w:sz w:val="20"/>
          <w:szCs w:val="20"/>
          <w:u w:val="single"/>
        </w:rPr>
      </w:pPr>
    </w:p>
    <w:p w14:paraId="63A2FFCD" w14:textId="22B53E39" w:rsidR="000C30FB" w:rsidRPr="00506A97" w:rsidRDefault="000C30FB" w:rsidP="001B1FC0">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810" w:right="720"/>
        <w:jc w:val="both"/>
        <w:rPr>
          <w:rFonts w:ascii="Cambria" w:eastAsia="Times New Roman" w:hAnsi="Cambria" w:cstheme="minorHAnsi"/>
          <w:color w:val="000000" w:themeColor="text1"/>
          <w:sz w:val="20"/>
          <w:szCs w:val="20"/>
        </w:rPr>
      </w:pPr>
      <w:r w:rsidRPr="00506A97">
        <w:rPr>
          <w:rFonts w:ascii="Cambria" w:eastAsia="Times New Roman" w:hAnsi="Cambria" w:cstheme="minorHAnsi"/>
          <w:b/>
          <w:bCs/>
          <w:color w:val="000000" w:themeColor="text1"/>
          <w:sz w:val="20"/>
          <w:szCs w:val="20"/>
          <w:u w:val="single"/>
        </w:rPr>
        <w:t>State or Colombia</w:t>
      </w:r>
      <w:r w:rsidRPr="00506A97">
        <w:rPr>
          <w:rFonts w:ascii="Cambria" w:eastAsia="Times New Roman" w:hAnsi="Cambria" w:cstheme="minorHAnsi"/>
          <w:b/>
          <w:bCs/>
          <w:color w:val="000000" w:themeColor="text1"/>
          <w:sz w:val="20"/>
          <w:szCs w:val="20"/>
        </w:rPr>
        <w:t>:</w:t>
      </w:r>
      <w:r w:rsidRPr="00506A97">
        <w:rPr>
          <w:rFonts w:ascii="Cambria" w:eastAsia="Times New Roman" w:hAnsi="Cambria" w:cstheme="minorHAnsi"/>
          <w:color w:val="000000" w:themeColor="text1"/>
          <w:sz w:val="20"/>
          <w:szCs w:val="20"/>
        </w:rPr>
        <w:t xml:space="preserve"> In accordance with Public International Law, it will be understood that it is the signatory of the American Convention on Human Rights (hereinafter “Convention” or “ACHR”); the Colombian State.</w:t>
      </w:r>
    </w:p>
    <w:p w14:paraId="1E20E6BA" w14:textId="6F403520" w:rsidR="00BA142D" w:rsidRPr="00506A97" w:rsidRDefault="00BA142D" w:rsidP="001B1FC0">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810" w:right="720"/>
        <w:jc w:val="both"/>
        <w:rPr>
          <w:rFonts w:ascii="Cambria" w:eastAsia="Times New Roman" w:hAnsi="Cambria" w:cstheme="minorHAnsi"/>
          <w:color w:val="000000" w:themeColor="text1"/>
          <w:sz w:val="20"/>
          <w:szCs w:val="20"/>
        </w:rPr>
      </w:pPr>
    </w:p>
    <w:p w14:paraId="5D3F3624" w14:textId="06C5BF3F" w:rsidR="00BA142D" w:rsidRPr="00506A97" w:rsidRDefault="00BA142D" w:rsidP="001B1FC0">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810" w:right="720"/>
        <w:jc w:val="both"/>
        <w:rPr>
          <w:rFonts w:ascii="Cambria" w:eastAsia="Times New Roman" w:hAnsi="Cambria" w:cstheme="minorHAnsi"/>
          <w:color w:val="000000" w:themeColor="text1"/>
          <w:sz w:val="20"/>
          <w:szCs w:val="20"/>
        </w:rPr>
      </w:pPr>
      <w:r w:rsidRPr="00506A97">
        <w:rPr>
          <w:rFonts w:ascii="Cambria" w:eastAsia="Times New Roman" w:hAnsi="Cambria" w:cstheme="minorHAnsi"/>
          <w:b/>
          <w:bCs/>
          <w:color w:val="000000" w:themeColor="text1"/>
          <w:sz w:val="20"/>
          <w:szCs w:val="20"/>
          <w:u w:val="single"/>
        </w:rPr>
        <w:lastRenderedPageBreak/>
        <w:t>Measures of satisfaction:</w:t>
      </w:r>
      <w:r w:rsidRPr="00506A97">
        <w:rPr>
          <w:rFonts w:ascii="Cambria" w:eastAsia="Times New Roman" w:hAnsi="Cambria" w:cstheme="minorHAnsi"/>
          <w:color w:val="000000" w:themeColor="text1"/>
          <w:sz w:val="20"/>
          <w:szCs w:val="20"/>
        </w:rPr>
        <w:t xml:space="preserve"> Non-pecuniary measures whose purpose is to seek the recovery of the victims of the damage that has been caused to them. Some examples of these types of measure are: public knowledge of the truth and acts of redress.</w:t>
      </w:r>
    </w:p>
    <w:p w14:paraId="6B4694EC" w14:textId="0DCC150D" w:rsidR="00BA142D" w:rsidRPr="00506A97" w:rsidRDefault="00BA142D" w:rsidP="001B1FC0">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810" w:right="720"/>
        <w:jc w:val="both"/>
        <w:rPr>
          <w:rFonts w:ascii="Cambria" w:eastAsia="Times New Roman" w:hAnsi="Cambria" w:cstheme="minorHAnsi"/>
          <w:color w:val="000000" w:themeColor="text1"/>
          <w:sz w:val="20"/>
          <w:szCs w:val="20"/>
          <w:u w:val="single"/>
        </w:rPr>
      </w:pPr>
    </w:p>
    <w:p w14:paraId="4AED1CFD" w14:textId="544DBDBA" w:rsidR="00BA142D" w:rsidRPr="00506A97" w:rsidRDefault="00BA142D" w:rsidP="001B1FC0">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810" w:right="720"/>
        <w:jc w:val="both"/>
        <w:rPr>
          <w:rFonts w:ascii="Cambria" w:eastAsia="Times New Roman" w:hAnsi="Cambria" w:cstheme="minorHAnsi"/>
          <w:color w:val="000000" w:themeColor="text1"/>
          <w:sz w:val="20"/>
          <w:szCs w:val="20"/>
        </w:rPr>
      </w:pPr>
      <w:r w:rsidRPr="00506A97">
        <w:rPr>
          <w:rFonts w:ascii="Cambria" w:eastAsia="Times New Roman" w:hAnsi="Cambria" w:cstheme="minorHAnsi"/>
          <w:b/>
          <w:bCs/>
          <w:color w:val="000000" w:themeColor="text1"/>
          <w:sz w:val="20"/>
          <w:szCs w:val="20"/>
          <w:u w:val="single"/>
        </w:rPr>
        <w:t>Parties:</w:t>
      </w:r>
      <w:r w:rsidRPr="00506A97">
        <w:rPr>
          <w:rFonts w:ascii="Cambria" w:eastAsia="Times New Roman" w:hAnsi="Cambria" w:cstheme="minorHAnsi"/>
          <w:color w:val="000000" w:themeColor="text1"/>
          <w:sz w:val="20"/>
          <w:szCs w:val="20"/>
        </w:rPr>
        <w:t xml:space="preserve"> State of Colombia, next of kin of the victim, as well as the representatives of the victims.</w:t>
      </w:r>
    </w:p>
    <w:p w14:paraId="45746D93" w14:textId="1E9C748D" w:rsidR="00BA142D" w:rsidRPr="00506A97" w:rsidRDefault="00BA142D" w:rsidP="001B1FC0">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810" w:right="720"/>
        <w:jc w:val="both"/>
        <w:rPr>
          <w:rFonts w:ascii="Cambria" w:eastAsia="Times New Roman" w:hAnsi="Cambria" w:cstheme="minorHAnsi"/>
          <w:color w:val="000000" w:themeColor="text1"/>
          <w:sz w:val="20"/>
          <w:szCs w:val="20"/>
        </w:rPr>
      </w:pPr>
    </w:p>
    <w:p w14:paraId="124ADDDE" w14:textId="22BE2388" w:rsidR="00BA142D" w:rsidRPr="00506A97" w:rsidRDefault="00BA142D" w:rsidP="001B1FC0">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810" w:right="720"/>
        <w:jc w:val="both"/>
        <w:rPr>
          <w:rFonts w:ascii="Cambria" w:eastAsia="Times New Roman" w:hAnsi="Cambria" w:cstheme="minorHAnsi"/>
          <w:color w:val="000000" w:themeColor="text1"/>
          <w:sz w:val="20"/>
          <w:szCs w:val="20"/>
        </w:rPr>
      </w:pPr>
      <w:r w:rsidRPr="00506A97">
        <w:rPr>
          <w:rFonts w:ascii="Cambria" w:eastAsia="Times New Roman" w:hAnsi="Cambria" w:cstheme="minorHAnsi"/>
          <w:b/>
          <w:bCs/>
          <w:color w:val="000000" w:themeColor="text1"/>
          <w:sz w:val="20"/>
          <w:szCs w:val="20"/>
          <w:u w:val="single"/>
        </w:rPr>
        <w:t>Acknowledgment of responsibility:</w:t>
      </w:r>
      <w:r w:rsidRPr="00506A97">
        <w:rPr>
          <w:rFonts w:ascii="Cambria" w:eastAsia="Times New Roman" w:hAnsi="Cambria" w:cstheme="minorHAnsi"/>
          <w:color w:val="000000" w:themeColor="text1"/>
          <w:sz w:val="20"/>
          <w:szCs w:val="20"/>
        </w:rPr>
        <w:t xml:space="preserve"> Acceptance of the facts and human rights violations attributed to the State.</w:t>
      </w:r>
    </w:p>
    <w:p w14:paraId="7365E787" w14:textId="27701F0E" w:rsidR="00BA142D" w:rsidRPr="00506A97" w:rsidRDefault="00BA142D" w:rsidP="001B1FC0">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810" w:right="720"/>
        <w:jc w:val="both"/>
        <w:rPr>
          <w:rFonts w:ascii="Cambria" w:eastAsia="Times New Roman" w:hAnsi="Cambria" w:cstheme="minorHAnsi"/>
          <w:color w:val="000000" w:themeColor="text1"/>
          <w:sz w:val="20"/>
          <w:szCs w:val="20"/>
        </w:rPr>
      </w:pPr>
    </w:p>
    <w:p w14:paraId="02BB41B6" w14:textId="59602AB7" w:rsidR="00BA142D" w:rsidRPr="00506A97" w:rsidRDefault="00BA142D" w:rsidP="001B1FC0">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810" w:right="720"/>
        <w:jc w:val="both"/>
        <w:rPr>
          <w:rFonts w:ascii="Cambria" w:eastAsia="Times New Roman" w:hAnsi="Cambria" w:cstheme="minorHAnsi"/>
          <w:color w:val="000000" w:themeColor="text1"/>
          <w:sz w:val="20"/>
          <w:szCs w:val="20"/>
        </w:rPr>
      </w:pPr>
      <w:r w:rsidRPr="00506A97">
        <w:rPr>
          <w:rFonts w:ascii="Cambria" w:eastAsia="Times New Roman" w:hAnsi="Cambria" w:cstheme="minorHAnsi"/>
          <w:b/>
          <w:bCs/>
          <w:color w:val="000000" w:themeColor="text1"/>
          <w:sz w:val="20"/>
          <w:szCs w:val="20"/>
          <w:u w:val="single"/>
        </w:rPr>
        <w:t>Comprehensive reparation:</w:t>
      </w:r>
      <w:r w:rsidRPr="00506A97">
        <w:rPr>
          <w:rFonts w:ascii="Cambria" w:eastAsia="Times New Roman" w:hAnsi="Cambria" w:cstheme="minorHAnsi"/>
          <w:color w:val="000000" w:themeColor="text1"/>
          <w:sz w:val="20"/>
          <w:szCs w:val="20"/>
        </w:rPr>
        <w:t xml:space="preserve"> All those measures that objectively and symbolically restore the victim to the previous state of the commission of the damage.</w:t>
      </w:r>
    </w:p>
    <w:p w14:paraId="5953A564" w14:textId="78FCD148" w:rsidR="00BA142D" w:rsidRPr="00506A97" w:rsidRDefault="00BA142D" w:rsidP="001B1FC0">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810" w:right="720"/>
        <w:jc w:val="both"/>
        <w:rPr>
          <w:rFonts w:ascii="Cambria" w:eastAsia="Times New Roman" w:hAnsi="Cambria" w:cstheme="minorHAnsi"/>
          <w:color w:val="000000" w:themeColor="text1"/>
          <w:sz w:val="20"/>
          <w:szCs w:val="20"/>
        </w:rPr>
      </w:pPr>
    </w:p>
    <w:p w14:paraId="15F59CD6" w14:textId="6E9DB077" w:rsidR="00BA142D" w:rsidRPr="00506A97" w:rsidRDefault="00BA142D" w:rsidP="001B1FC0">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810" w:right="720"/>
        <w:jc w:val="both"/>
        <w:rPr>
          <w:rFonts w:ascii="Cambria" w:eastAsia="Times New Roman" w:hAnsi="Cambria" w:cstheme="minorBidi"/>
          <w:color w:val="000000" w:themeColor="text1"/>
          <w:sz w:val="20"/>
          <w:szCs w:val="20"/>
        </w:rPr>
      </w:pPr>
      <w:r w:rsidRPr="00506A97">
        <w:rPr>
          <w:rFonts w:ascii="Cambria" w:eastAsia="Times New Roman" w:hAnsi="Cambria" w:cstheme="minorHAnsi"/>
          <w:b/>
          <w:bCs/>
          <w:color w:val="000000" w:themeColor="text1"/>
          <w:sz w:val="20"/>
          <w:szCs w:val="20"/>
          <w:u w:val="single"/>
        </w:rPr>
        <w:t xml:space="preserve">Representatives of the victims: </w:t>
      </w:r>
      <w:r w:rsidR="006B5CB4" w:rsidRPr="00506A97">
        <w:rPr>
          <w:rFonts w:ascii="Cambria" w:eastAsia="Times New Roman" w:hAnsi="Cambria" w:cstheme="minorBidi"/>
          <w:color w:val="000000" w:themeColor="text1"/>
          <w:sz w:val="20"/>
          <w:szCs w:val="20"/>
        </w:rPr>
        <w:t>Legal Center for Human Rights of Antioquia</w:t>
      </w:r>
      <w:r w:rsidRPr="00506A97">
        <w:rPr>
          <w:rFonts w:ascii="Cambria" w:eastAsia="Times New Roman" w:hAnsi="Cambria" w:cstheme="minorBidi"/>
          <w:color w:val="000000" w:themeColor="text1"/>
          <w:sz w:val="20"/>
          <w:szCs w:val="20"/>
        </w:rPr>
        <w:t>, represe</w:t>
      </w:r>
      <w:r w:rsidR="006B5CB4" w:rsidRPr="00506A97">
        <w:rPr>
          <w:rFonts w:ascii="Cambria" w:eastAsia="Times New Roman" w:hAnsi="Cambria" w:cstheme="minorBidi"/>
          <w:color w:val="000000" w:themeColor="text1"/>
          <w:sz w:val="20"/>
          <w:szCs w:val="20"/>
        </w:rPr>
        <w:t>nted in this act by</w:t>
      </w:r>
      <w:r w:rsidRPr="00506A97">
        <w:rPr>
          <w:rFonts w:ascii="Cambria" w:eastAsia="Times New Roman" w:hAnsi="Cambria" w:cstheme="minorBidi"/>
          <w:color w:val="000000" w:themeColor="text1"/>
          <w:sz w:val="20"/>
          <w:szCs w:val="20"/>
        </w:rPr>
        <w:t xml:space="preserve"> Luis Felipe Viveros Montoya</w:t>
      </w:r>
    </w:p>
    <w:p w14:paraId="776BB773" w14:textId="7A69B34E" w:rsidR="00BA142D" w:rsidRPr="00506A97" w:rsidRDefault="00BA142D" w:rsidP="001B1FC0">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810" w:right="720"/>
        <w:jc w:val="both"/>
        <w:rPr>
          <w:rFonts w:ascii="Cambria" w:eastAsia="Times New Roman" w:hAnsi="Cambria" w:cstheme="minorHAnsi"/>
          <w:color w:val="000000" w:themeColor="text1"/>
          <w:sz w:val="20"/>
          <w:szCs w:val="20"/>
          <w:u w:val="single"/>
        </w:rPr>
      </w:pPr>
    </w:p>
    <w:p w14:paraId="4FBD021F" w14:textId="77777777" w:rsidR="00BA142D" w:rsidRPr="00506A97" w:rsidRDefault="00BA142D" w:rsidP="001B1FC0">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810" w:right="720"/>
        <w:jc w:val="both"/>
        <w:rPr>
          <w:rFonts w:ascii="Cambria" w:eastAsia="Times New Roman" w:hAnsi="Cambria" w:cstheme="minorHAnsi"/>
          <w:color w:val="000000" w:themeColor="text1"/>
          <w:sz w:val="20"/>
          <w:szCs w:val="20"/>
        </w:rPr>
      </w:pPr>
      <w:r w:rsidRPr="00506A97">
        <w:rPr>
          <w:rFonts w:ascii="Cambria" w:eastAsia="Times New Roman" w:hAnsi="Cambria" w:cstheme="minorHAnsi"/>
          <w:b/>
          <w:bCs/>
          <w:color w:val="000000" w:themeColor="text1"/>
          <w:sz w:val="20"/>
          <w:szCs w:val="20"/>
        </w:rPr>
        <w:t>Friendly Settlement:</w:t>
      </w:r>
      <w:r w:rsidRPr="00506A97">
        <w:rPr>
          <w:rFonts w:ascii="Cambria" w:eastAsia="Times New Roman" w:hAnsi="Cambria" w:cstheme="minorHAnsi"/>
          <w:color w:val="000000" w:themeColor="text1"/>
          <w:sz w:val="20"/>
          <w:szCs w:val="20"/>
        </w:rPr>
        <w:t xml:space="preserve"> Alternative conflict resolution mechanism, used for a peaceful settlement and agreed upon before the Inter-American Commission.</w:t>
      </w:r>
    </w:p>
    <w:p w14:paraId="21074039" w14:textId="77777777" w:rsidR="00BA142D" w:rsidRPr="00506A97" w:rsidRDefault="00BA142D" w:rsidP="001B1FC0">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810" w:right="720"/>
        <w:jc w:val="both"/>
        <w:rPr>
          <w:rFonts w:ascii="Cambria" w:eastAsia="Times New Roman" w:hAnsi="Cambria" w:cstheme="minorHAnsi"/>
          <w:color w:val="000000" w:themeColor="text1"/>
          <w:sz w:val="20"/>
          <w:szCs w:val="20"/>
        </w:rPr>
      </w:pPr>
    </w:p>
    <w:p w14:paraId="736C7B6C" w14:textId="17774639" w:rsidR="006E69CA" w:rsidRPr="00506A97" w:rsidRDefault="00BA142D" w:rsidP="001B1FC0">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810" w:right="720"/>
        <w:jc w:val="both"/>
        <w:rPr>
          <w:rFonts w:ascii="Cambria" w:eastAsia="Times New Roman" w:hAnsi="Cambria" w:cstheme="minorHAnsi"/>
          <w:color w:val="000000" w:themeColor="text1"/>
          <w:sz w:val="20"/>
          <w:szCs w:val="20"/>
        </w:rPr>
      </w:pPr>
      <w:r w:rsidRPr="00506A97">
        <w:rPr>
          <w:rFonts w:ascii="Cambria" w:eastAsia="Times New Roman" w:hAnsi="Cambria" w:cstheme="minorHAnsi"/>
          <w:b/>
          <w:bCs/>
          <w:color w:val="000000" w:themeColor="text1"/>
          <w:sz w:val="20"/>
          <w:szCs w:val="20"/>
        </w:rPr>
        <w:t>Victims:</w:t>
      </w:r>
      <w:r w:rsidRPr="00506A97">
        <w:rPr>
          <w:rFonts w:ascii="Cambria" w:eastAsia="Times New Roman" w:hAnsi="Cambria" w:cstheme="minorHAnsi"/>
          <w:color w:val="000000" w:themeColor="text1"/>
          <w:sz w:val="20"/>
          <w:szCs w:val="20"/>
        </w:rPr>
        <w:t xml:space="preserve"> Family members of Mr. Mario Antonio Cardona Varela.</w:t>
      </w:r>
    </w:p>
    <w:p w14:paraId="4CEF01A6" w14:textId="77777777" w:rsidR="006E69CA" w:rsidRPr="00506A97" w:rsidRDefault="006E69CA" w:rsidP="001B1FC0">
      <w:pPr>
        <w:tabs>
          <w:tab w:val="center" w:pos="720"/>
        </w:tabs>
        <w:suppressAutoHyphens/>
        <w:ind w:left="810" w:right="720"/>
        <w:jc w:val="both"/>
        <w:rPr>
          <w:rFonts w:asciiTheme="majorHAnsi" w:hAnsiTheme="majorHAnsi" w:cstheme="minorHAnsi"/>
          <w:b/>
          <w:bCs/>
          <w:sz w:val="20"/>
          <w:szCs w:val="20"/>
        </w:rPr>
      </w:pPr>
    </w:p>
    <w:p w14:paraId="6CF51CAA" w14:textId="7140BA6A" w:rsidR="006E69CA" w:rsidRPr="00506A97" w:rsidRDefault="00BA142D" w:rsidP="002D614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810" w:right="720"/>
        <w:jc w:val="center"/>
        <w:rPr>
          <w:rFonts w:ascii="Cambria" w:eastAsia="Times New Roman" w:hAnsi="Cambria" w:cstheme="minorBidi"/>
          <w:b/>
          <w:bCs/>
          <w:color w:val="000000" w:themeColor="text1"/>
          <w:sz w:val="20"/>
          <w:szCs w:val="20"/>
        </w:rPr>
      </w:pPr>
      <w:r w:rsidRPr="00506A97">
        <w:rPr>
          <w:rFonts w:ascii="Cambria" w:eastAsia="Times New Roman" w:hAnsi="Cambria" w:cstheme="minorBidi"/>
          <w:b/>
          <w:bCs/>
          <w:color w:val="000000" w:themeColor="text1"/>
          <w:sz w:val="20"/>
          <w:szCs w:val="20"/>
        </w:rPr>
        <w:t>SECOND PART: BACKGROUND</w:t>
      </w:r>
    </w:p>
    <w:p w14:paraId="5B3C58C3" w14:textId="35260C2E" w:rsidR="00BA142D" w:rsidRPr="00506A97" w:rsidRDefault="00BA142D" w:rsidP="001B1FC0">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810" w:right="720"/>
        <w:jc w:val="both"/>
        <w:rPr>
          <w:rFonts w:ascii="Cambria" w:eastAsia="Times New Roman" w:hAnsi="Cambria" w:cstheme="minorBidi"/>
          <w:color w:val="000000" w:themeColor="text1"/>
          <w:sz w:val="20"/>
          <w:szCs w:val="20"/>
        </w:rPr>
      </w:pPr>
    </w:p>
    <w:p w14:paraId="0FAE044D" w14:textId="1412A736" w:rsidR="00BA142D" w:rsidRPr="00506A97" w:rsidRDefault="00BA142D" w:rsidP="001B1FC0">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810" w:right="720"/>
        <w:jc w:val="both"/>
        <w:rPr>
          <w:rFonts w:ascii="Cambria" w:eastAsia="Times New Roman" w:hAnsi="Cambria" w:cstheme="minorBidi"/>
          <w:b/>
          <w:bCs/>
          <w:color w:val="000000" w:themeColor="text1"/>
          <w:sz w:val="20"/>
          <w:szCs w:val="20"/>
        </w:rPr>
      </w:pPr>
      <w:r w:rsidRPr="00506A97">
        <w:rPr>
          <w:rFonts w:ascii="Cambria" w:eastAsia="Times New Roman" w:hAnsi="Cambria" w:cstheme="minorBidi"/>
          <w:b/>
          <w:bCs/>
          <w:color w:val="000000" w:themeColor="text1"/>
          <w:sz w:val="20"/>
          <w:szCs w:val="20"/>
        </w:rPr>
        <w:t>BEFORE THE INTER-AMERICAN SYSTEM OF HUMAN RIGHTS</w:t>
      </w:r>
    </w:p>
    <w:p w14:paraId="2AA5768B" w14:textId="28C1879E" w:rsidR="00BA142D" w:rsidRPr="00506A97" w:rsidRDefault="00BA142D" w:rsidP="001B1FC0">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810" w:right="720"/>
        <w:jc w:val="both"/>
        <w:rPr>
          <w:rFonts w:ascii="Cambria" w:eastAsia="Times New Roman" w:hAnsi="Cambria" w:cstheme="minorBidi"/>
          <w:b/>
          <w:bCs/>
          <w:color w:val="000000" w:themeColor="text1"/>
          <w:sz w:val="20"/>
          <w:szCs w:val="20"/>
        </w:rPr>
      </w:pPr>
    </w:p>
    <w:p w14:paraId="4B8C9900" w14:textId="352FD368" w:rsidR="00BA142D" w:rsidRPr="00506A97" w:rsidRDefault="00BA142D" w:rsidP="001B1FC0">
      <w:pPr>
        <w:pStyle w:val="ListParagraph"/>
        <w:numPr>
          <w:ilvl w:val="0"/>
          <w:numId w:val="107"/>
        </w:numPr>
        <w:ind w:left="810" w:right="720" w:firstLine="0"/>
        <w:jc w:val="both"/>
        <w:rPr>
          <w:rFonts w:eastAsia="Times New Roman" w:cstheme="minorBidi"/>
          <w:color w:val="000000" w:themeColor="text1"/>
          <w:sz w:val="20"/>
          <w:szCs w:val="20"/>
        </w:rPr>
      </w:pPr>
      <w:r w:rsidRPr="00506A97">
        <w:rPr>
          <w:rFonts w:eastAsia="Times New Roman" w:cstheme="minorBidi"/>
          <w:color w:val="000000" w:themeColor="text1"/>
          <w:sz w:val="20"/>
          <w:szCs w:val="20"/>
        </w:rPr>
        <w:t xml:space="preserve">On September 4, 2014, the Inter-American Commission on Human Rights received a petition </w:t>
      </w:r>
      <w:r w:rsidR="004B1601" w:rsidRPr="00506A97">
        <w:rPr>
          <w:rFonts w:eastAsia="Times New Roman" w:cstheme="minorBidi"/>
          <w:color w:val="000000" w:themeColor="text1"/>
          <w:sz w:val="20"/>
          <w:szCs w:val="20"/>
        </w:rPr>
        <w:t>submitted</w:t>
      </w:r>
      <w:r w:rsidRPr="00506A97">
        <w:rPr>
          <w:rFonts w:eastAsia="Times New Roman" w:cstheme="minorBidi"/>
          <w:color w:val="000000" w:themeColor="text1"/>
          <w:sz w:val="20"/>
          <w:szCs w:val="20"/>
        </w:rPr>
        <w:t xml:space="preserve"> by Dr. Luis Felipe Viveros Montoya, in which the events that occurred on October 31, 1988, in the municipality of Tierra Alta Córdoba, </w:t>
      </w:r>
      <w:r w:rsidR="00D71E95" w:rsidRPr="00506A97">
        <w:rPr>
          <w:rFonts w:eastAsia="Times New Roman" w:cstheme="minorBidi"/>
          <w:color w:val="000000" w:themeColor="text1"/>
          <w:sz w:val="20"/>
          <w:szCs w:val="20"/>
        </w:rPr>
        <w:t xml:space="preserve">which led to the disappearance of Mr. Mario Antonio Cardona Varela </w:t>
      </w:r>
      <w:r w:rsidRPr="00506A97">
        <w:rPr>
          <w:rFonts w:eastAsia="Times New Roman" w:cstheme="minorBidi"/>
          <w:color w:val="000000" w:themeColor="text1"/>
          <w:sz w:val="20"/>
          <w:szCs w:val="20"/>
        </w:rPr>
        <w:t xml:space="preserve">were denounced. </w:t>
      </w:r>
    </w:p>
    <w:p w14:paraId="6BD66120" w14:textId="77777777" w:rsidR="00BA142D" w:rsidRPr="00506A97" w:rsidRDefault="00BA142D" w:rsidP="001B1FC0">
      <w:pPr>
        <w:pStyle w:val="ListParagraph"/>
        <w:ind w:left="810" w:right="720"/>
        <w:jc w:val="both"/>
        <w:rPr>
          <w:rFonts w:eastAsia="Times New Roman" w:cstheme="minorBidi"/>
          <w:color w:val="000000" w:themeColor="text1"/>
          <w:sz w:val="20"/>
          <w:szCs w:val="20"/>
        </w:rPr>
      </w:pPr>
    </w:p>
    <w:p w14:paraId="1A58F772" w14:textId="7D4BAA92" w:rsidR="00BA142D" w:rsidRPr="00506A97" w:rsidRDefault="00BA142D" w:rsidP="001B1FC0">
      <w:pPr>
        <w:pStyle w:val="ListParagraph"/>
        <w:numPr>
          <w:ilvl w:val="0"/>
          <w:numId w:val="107"/>
        </w:numPr>
        <w:ind w:left="810" w:right="720" w:firstLine="0"/>
        <w:jc w:val="both"/>
        <w:rPr>
          <w:rFonts w:eastAsia="Times New Roman" w:cstheme="minorBidi"/>
          <w:color w:val="000000" w:themeColor="text1"/>
          <w:sz w:val="20"/>
          <w:szCs w:val="20"/>
        </w:rPr>
      </w:pPr>
      <w:r w:rsidRPr="00506A97">
        <w:rPr>
          <w:rFonts w:eastAsia="Times New Roman" w:cstheme="minorBidi"/>
          <w:color w:val="000000" w:themeColor="text1"/>
          <w:sz w:val="20"/>
          <w:szCs w:val="20"/>
        </w:rPr>
        <w:t xml:space="preserve">Due to the facts of the case, a criminal investigation was carried out, which was assumed by the 12th </w:t>
      </w:r>
      <w:r w:rsidR="004B1601" w:rsidRPr="00506A97">
        <w:rPr>
          <w:rFonts w:eastAsia="Times New Roman" w:cstheme="minorBidi"/>
          <w:color w:val="000000" w:themeColor="text1"/>
          <w:sz w:val="20"/>
          <w:szCs w:val="20"/>
        </w:rPr>
        <w:t>Sectional Prosecutor's Office of Montería</w:t>
      </w:r>
      <w:r w:rsidRPr="00506A97">
        <w:rPr>
          <w:rFonts w:eastAsia="Times New Roman" w:cstheme="minorBidi"/>
          <w:color w:val="000000" w:themeColor="text1"/>
          <w:sz w:val="20"/>
          <w:szCs w:val="20"/>
        </w:rPr>
        <w:t>, under file number 114955, for the crime of forced disappearance.</w:t>
      </w:r>
    </w:p>
    <w:p w14:paraId="62199CC4" w14:textId="77777777" w:rsidR="00BA142D" w:rsidRPr="00506A97" w:rsidRDefault="00BA142D" w:rsidP="001B1FC0">
      <w:pPr>
        <w:pStyle w:val="ListParagraph"/>
        <w:ind w:left="810" w:right="720"/>
        <w:jc w:val="both"/>
        <w:rPr>
          <w:rFonts w:eastAsia="Times New Roman" w:cstheme="minorBidi"/>
          <w:color w:val="000000" w:themeColor="text1"/>
          <w:sz w:val="20"/>
          <w:szCs w:val="20"/>
        </w:rPr>
      </w:pPr>
    </w:p>
    <w:p w14:paraId="0B9FE891" w14:textId="7B6A855F" w:rsidR="00BA142D" w:rsidRPr="00506A97" w:rsidRDefault="00BA142D" w:rsidP="001B1FC0">
      <w:pPr>
        <w:pStyle w:val="ListParagraph"/>
        <w:numPr>
          <w:ilvl w:val="0"/>
          <w:numId w:val="107"/>
        </w:numPr>
        <w:ind w:left="810" w:right="720" w:firstLine="0"/>
        <w:jc w:val="both"/>
        <w:rPr>
          <w:rFonts w:eastAsia="Times New Roman" w:cstheme="minorBidi"/>
          <w:color w:val="000000" w:themeColor="text1"/>
          <w:sz w:val="20"/>
          <w:szCs w:val="20"/>
        </w:rPr>
      </w:pPr>
      <w:r w:rsidRPr="00506A97">
        <w:rPr>
          <w:rFonts w:eastAsia="Times New Roman" w:cstheme="minorBidi"/>
          <w:color w:val="000000" w:themeColor="text1"/>
          <w:sz w:val="20"/>
          <w:szCs w:val="20"/>
        </w:rPr>
        <w:t xml:space="preserve">On July 26, 2019, the parties decided to sign a memorandum of understanding to </w:t>
      </w:r>
      <w:r w:rsidR="00425A11" w:rsidRPr="00506A97">
        <w:rPr>
          <w:rFonts w:eastAsia="Times New Roman" w:cstheme="minorBidi"/>
          <w:color w:val="000000" w:themeColor="text1"/>
          <w:sz w:val="20"/>
          <w:szCs w:val="20"/>
        </w:rPr>
        <w:t>reach</w:t>
      </w:r>
      <w:r w:rsidRPr="00506A97">
        <w:rPr>
          <w:rFonts w:eastAsia="Times New Roman" w:cstheme="minorBidi"/>
          <w:color w:val="000000" w:themeColor="text1"/>
          <w:sz w:val="20"/>
          <w:szCs w:val="20"/>
        </w:rPr>
        <w:t xml:space="preserve"> a friendly settlement in this case.</w:t>
      </w:r>
    </w:p>
    <w:p w14:paraId="10A9C298" w14:textId="77777777" w:rsidR="00BA142D" w:rsidRPr="00506A97" w:rsidRDefault="00BA142D" w:rsidP="001B1FC0">
      <w:pPr>
        <w:pStyle w:val="ListParagraph"/>
        <w:ind w:left="810" w:right="720"/>
        <w:jc w:val="both"/>
        <w:rPr>
          <w:rFonts w:eastAsia="Times New Roman" w:cstheme="minorBidi"/>
          <w:color w:val="000000" w:themeColor="text1"/>
          <w:sz w:val="20"/>
          <w:szCs w:val="20"/>
        </w:rPr>
      </w:pPr>
    </w:p>
    <w:p w14:paraId="5B9AF25F" w14:textId="2A40D610" w:rsidR="00BA142D" w:rsidRPr="00506A97" w:rsidRDefault="00BA142D" w:rsidP="001B1FC0">
      <w:pPr>
        <w:pStyle w:val="ListParagraph"/>
        <w:numPr>
          <w:ilvl w:val="0"/>
          <w:numId w:val="107"/>
        </w:numPr>
        <w:ind w:left="810" w:right="720" w:firstLine="0"/>
        <w:jc w:val="both"/>
        <w:rPr>
          <w:rFonts w:eastAsia="Times New Roman" w:cstheme="minorBidi"/>
          <w:color w:val="000000" w:themeColor="text1"/>
          <w:sz w:val="20"/>
          <w:szCs w:val="20"/>
        </w:rPr>
      </w:pPr>
      <w:r w:rsidRPr="00506A97">
        <w:rPr>
          <w:rFonts w:eastAsia="Times New Roman" w:cstheme="minorBidi"/>
          <w:color w:val="000000" w:themeColor="text1"/>
          <w:sz w:val="20"/>
          <w:szCs w:val="20"/>
        </w:rPr>
        <w:t xml:space="preserve">In order to </w:t>
      </w:r>
      <w:r w:rsidR="00425A11" w:rsidRPr="00506A97">
        <w:rPr>
          <w:rFonts w:eastAsia="Times New Roman" w:cstheme="minorBidi"/>
          <w:color w:val="000000" w:themeColor="text1"/>
          <w:sz w:val="20"/>
          <w:szCs w:val="20"/>
        </w:rPr>
        <w:t>get to know</w:t>
      </w:r>
      <w:r w:rsidRPr="00506A97">
        <w:rPr>
          <w:rFonts w:eastAsia="Times New Roman" w:cstheme="minorBidi"/>
          <w:color w:val="000000" w:themeColor="text1"/>
          <w:sz w:val="20"/>
          <w:szCs w:val="20"/>
        </w:rPr>
        <w:t xml:space="preserve"> the progress in the investigation, on May 2, 2021, a meeting was held, in which the Attorney General</w:t>
      </w:r>
      <w:r w:rsidR="00EC3A79" w:rsidRPr="00506A97">
        <w:rPr>
          <w:rFonts w:eastAsia="Times New Roman" w:cstheme="minorBidi"/>
          <w:color w:val="000000" w:themeColor="text1"/>
          <w:sz w:val="20"/>
          <w:szCs w:val="20"/>
        </w:rPr>
        <w:t>’s Office</w:t>
      </w:r>
      <w:r w:rsidRPr="00506A97">
        <w:rPr>
          <w:rFonts w:eastAsia="Times New Roman" w:cstheme="minorBidi"/>
          <w:color w:val="000000" w:themeColor="text1"/>
          <w:sz w:val="20"/>
          <w:szCs w:val="20"/>
        </w:rPr>
        <w:t xml:space="preserve"> of the Nation and the National Agency for Legal Defense of the State participated.</w:t>
      </w:r>
      <w:r w:rsidR="00D71E95" w:rsidRPr="00506A97">
        <w:rPr>
          <w:rStyle w:val="FootnoteReference"/>
          <w:rFonts w:eastAsia="Times New Roman"/>
          <w:color w:val="000000" w:themeColor="text1"/>
          <w:sz w:val="20"/>
          <w:szCs w:val="20"/>
        </w:rPr>
        <w:footnoteReference w:id="6"/>
      </w:r>
    </w:p>
    <w:p w14:paraId="62510658" w14:textId="77777777" w:rsidR="00BA142D" w:rsidRPr="00506A97" w:rsidRDefault="00BA142D" w:rsidP="001B1FC0">
      <w:pPr>
        <w:pStyle w:val="ListParagraph"/>
        <w:ind w:left="810" w:right="720"/>
        <w:jc w:val="both"/>
        <w:rPr>
          <w:rFonts w:eastAsia="Times New Roman" w:cstheme="minorBidi"/>
          <w:color w:val="000000" w:themeColor="text1"/>
          <w:sz w:val="20"/>
          <w:szCs w:val="20"/>
        </w:rPr>
      </w:pPr>
    </w:p>
    <w:p w14:paraId="596D4405" w14:textId="6651D3F6" w:rsidR="00BA142D" w:rsidRPr="00506A97" w:rsidRDefault="00BA142D" w:rsidP="001B1FC0">
      <w:pPr>
        <w:pStyle w:val="ListParagraph"/>
        <w:numPr>
          <w:ilvl w:val="0"/>
          <w:numId w:val="107"/>
        </w:numPr>
        <w:ind w:left="810" w:right="720" w:firstLine="0"/>
        <w:jc w:val="both"/>
        <w:rPr>
          <w:rFonts w:eastAsia="Times New Roman" w:cstheme="minorBidi"/>
          <w:color w:val="000000" w:themeColor="text1"/>
          <w:sz w:val="20"/>
          <w:szCs w:val="20"/>
        </w:rPr>
      </w:pPr>
      <w:r w:rsidRPr="00506A97">
        <w:rPr>
          <w:rFonts w:eastAsia="Times New Roman" w:cstheme="minorBidi"/>
          <w:color w:val="000000" w:themeColor="text1"/>
          <w:sz w:val="20"/>
          <w:szCs w:val="20"/>
        </w:rPr>
        <w:t>Within the framework of the meeting, the Attorney General</w:t>
      </w:r>
      <w:r w:rsidR="00EC3A79" w:rsidRPr="00506A97">
        <w:rPr>
          <w:rFonts w:eastAsia="Times New Roman" w:cstheme="minorBidi"/>
          <w:color w:val="000000" w:themeColor="text1"/>
          <w:sz w:val="20"/>
          <w:szCs w:val="20"/>
        </w:rPr>
        <w:t xml:space="preserve">’s Office </w:t>
      </w:r>
      <w:r w:rsidRPr="00506A97">
        <w:rPr>
          <w:rFonts w:eastAsia="Times New Roman" w:cstheme="minorBidi"/>
          <w:color w:val="000000" w:themeColor="text1"/>
          <w:sz w:val="20"/>
          <w:szCs w:val="20"/>
        </w:rPr>
        <w:t>reported the investigative work that the Office was carrying out, in order to advance in the identification and individualization of the perpetrators of the forced disappearance of Mr. Mario Antonio Cardona Varela.</w:t>
      </w:r>
      <w:r w:rsidR="00425A11" w:rsidRPr="00506A97">
        <w:rPr>
          <w:rStyle w:val="FootnoteReference"/>
          <w:rFonts w:eastAsia="Times New Roman"/>
          <w:color w:val="000000" w:themeColor="text1"/>
          <w:sz w:val="20"/>
          <w:szCs w:val="20"/>
        </w:rPr>
        <w:footnoteReference w:id="7"/>
      </w:r>
    </w:p>
    <w:p w14:paraId="4FD75CCA" w14:textId="77777777" w:rsidR="00BA142D" w:rsidRPr="00506A97" w:rsidRDefault="00BA142D" w:rsidP="001B1FC0">
      <w:pPr>
        <w:pStyle w:val="ListParagraph"/>
        <w:ind w:left="810" w:right="720"/>
        <w:jc w:val="both"/>
        <w:rPr>
          <w:rFonts w:eastAsia="Times New Roman" w:cstheme="minorBidi"/>
          <w:color w:val="000000" w:themeColor="text1"/>
          <w:sz w:val="20"/>
          <w:szCs w:val="20"/>
        </w:rPr>
      </w:pPr>
    </w:p>
    <w:p w14:paraId="237C7910" w14:textId="6C3D6FBD" w:rsidR="00BA142D" w:rsidRPr="00506A97" w:rsidRDefault="00BA142D" w:rsidP="001B1FC0">
      <w:pPr>
        <w:pStyle w:val="ListParagraph"/>
        <w:numPr>
          <w:ilvl w:val="0"/>
          <w:numId w:val="107"/>
        </w:numPr>
        <w:ind w:left="810" w:right="720" w:firstLine="0"/>
        <w:jc w:val="both"/>
        <w:rPr>
          <w:rFonts w:eastAsia="Times New Roman" w:cstheme="minorBidi"/>
          <w:color w:val="000000" w:themeColor="text1"/>
          <w:sz w:val="20"/>
          <w:szCs w:val="20"/>
        </w:rPr>
      </w:pPr>
      <w:r w:rsidRPr="00506A97">
        <w:rPr>
          <w:rFonts w:eastAsia="Times New Roman" w:cstheme="minorBidi"/>
          <w:color w:val="000000" w:themeColor="text1"/>
          <w:sz w:val="20"/>
          <w:szCs w:val="20"/>
        </w:rPr>
        <w:t>In subsequent months, joint meetings were held between the parties to analyze the reparation measures to be included in the Friendly Settlement Agreement signed on the date.</w:t>
      </w:r>
    </w:p>
    <w:p w14:paraId="79A33C74" w14:textId="77777777" w:rsidR="00797EF7" w:rsidRPr="00506A97" w:rsidRDefault="00797EF7" w:rsidP="001B1FC0">
      <w:pPr>
        <w:pStyle w:val="ListParagraph"/>
        <w:ind w:left="810" w:right="720"/>
        <w:jc w:val="both"/>
        <w:rPr>
          <w:rFonts w:eastAsia="Times New Roman" w:cstheme="minorBidi"/>
          <w:color w:val="000000" w:themeColor="text1"/>
          <w:sz w:val="20"/>
          <w:szCs w:val="20"/>
        </w:rPr>
      </w:pPr>
    </w:p>
    <w:p w14:paraId="6B6C94AB" w14:textId="77777777" w:rsidR="00FC7827" w:rsidRDefault="00FC7827" w:rsidP="001B1FC0">
      <w:pPr>
        <w:ind w:left="810" w:right="720"/>
        <w:jc w:val="both"/>
        <w:rPr>
          <w:rFonts w:ascii="Cambria" w:eastAsia="Times New Roman" w:hAnsi="Cambria" w:cstheme="minorBidi"/>
          <w:b/>
          <w:bCs/>
          <w:color w:val="000000" w:themeColor="text1"/>
          <w:sz w:val="20"/>
          <w:szCs w:val="20"/>
        </w:rPr>
      </w:pPr>
    </w:p>
    <w:p w14:paraId="1E4959CD" w14:textId="77777777" w:rsidR="00FC7827" w:rsidRDefault="00FC7827" w:rsidP="001B1FC0">
      <w:pPr>
        <w:ind w:left="810" w:right="720"/>
        <w:jc w:val="both"/>
        <w:rPr>
          <w:rFonts w:ascii="Cambria" w:eastAsia="Times New Roman" w:hAnsi="Cambria" w:cstheme="minorBidi"/>
          <w:b/>
          <w:bCs/>
          <w:color w:val="000000" w:themeColor="text1"/>
          <w:sz w:val="20"/>
          <w:szCs w:val="20"/>
        </w:rPr>
      </w:pPr>
    </w:p>
    <w:p w14:paraId="41C314D6" w14:textId="77777777" w:rsidR="00FC7827" w:rsidRDefault="00FC7827" w:rsidP="001B1FC0">
      <w:pPr>
        <w:ind w:left="810" w:right="720"/>
        <w:jc w:val="both"/>
        <w:rPr>
          <w:rFonts w:ascii="Cambria" w:eastAsia="Times New Roman" w:hAnsi="Cambria" w:cstheme="minorBidi"/>
          <w:b/>
          <w:bCs/>
          <w:color w:val="000000" w:themeColor="text1"/>
          <w:sz w:val="20"/>
          <w:szCs w:val="20"/>
        </w:rPr>
      </w:pPr>
    </w:p>
    <w:p w14:paraId="43380550" w14:textId="7F06C511" w:rsidR="00797EF7" w:rsidRPr="00506A97" w:rsidRDefault="00797EF7" w:rsidP="001B1FC0">
      <w:pPr>
        <w:ind w:left="810" w:right="720"/>
        <w:jc w:val="both"/>
        <w:rPr>
          <w:rFonts w:ascii="Cambria" w:eastAsia="Times New Roman" w:hAnsi="Cambria" w:cstheme="minorBidi"/>
          <w:b/>
          <w:bCs/>
          <w:color w:val="000000" w:themeColor="text1"/>
          <w:sz w:val="20"/>
          <w:szCs w:val="20"/>
        </w:rPr>
      </w:pPr>
      <w:r w:rsidRPr="00506A97">
        <w:rPr>
          <w:rFonts w:ascii="Cambria" w:eastAsia="Times New Roman" w:hAnsi="Cambria" w:cstheme="minorBidi"/>
          <w:b/>
          <w:bCs/>
          <w:color w:val="000000" w:themeColor="text1"/>
          <w:sz w:val="20"/>
          <w:szCs w:val="20"/>
        </w:rPr>
        <w:lastRenderedPageBreak/>
        <w:t>THIRD PART: BENEFICIARIES</w:t>
      </w:r>
    </w:p>
    <w:p w14:paraId="1ADF96D8" w14:textId="0EAA9545" w:rsidR="00797EF7" w:rsidRPr="00506A97" w:rsidRDefault="00797EF7" w:rsidP="001B1FC0">
      <w:pPr>
        <w:ind w:left="810" w:right="720"/>
        <w:jc w:val="both"/>
        <w:rPr>
          <w:rFonts w:ascii="Cambria" w:eastAsia="Times New Roman" w:hAnsi="Cambria" w:cstheme="minorBidi"/>
          <w:b/>
          <w:bCs/>
          <w:color w:val="000000" w:themeColor="text1"/>
          <w:sz w:val="20"/>
          <w:szCs w:val="20"/>
        </w:rPr>
      </w:pPr>
    </w:p>
    <w:p w14:paraId="412D1F67" w14:textId="43755292" w:rsidR="00797EF7" w:rsidRPr="00506A97" w:rsidRDefault="00797EF7" w:rsidP="001B1FC0">
      <w:pPr>
        <w:ind w:left="810" w:right="720" w:firstLine="720"/>
        <w:jc w:val="both"/>
        <w:rPr>
          <w:rFonts w:ascii="Cambria" w:eastAsia="Times New Roman" w:hAnsi="Cambria" w:cstheme="minorBidi"/>
          <w:color w:val="000000" w:themeColor="text1"/>
          <w:sz w:val="20"/>
          <w:szCs w:val="20"/>
        </w:rPr>
      </w:pPr>
      <w:r w:rsidRPr="00506A97">
        <w:rPr>
          <w:rFonts w:ascii="Cambria" w:eastAsia="Times New Roman" w:hAnsi="Cambria" w:cstheme="minorBidi"/>
          <w:color w:val="000000" w:themeColor="text1"/>
          <w:sz w:val="20"/>
          <w:szCs w:val="20"/>
        </w:rPr>
        <w:t>The Colombian state acknowledges as victims of the present agreement, the following persons:</w:t>
      </w:r>
    </w:p>
    <w:p w14:paraId="06ED7F56" w14:textId="603AC6FB" w:rsidR="00797EF7" w:rsidRPr="00506A97" w:rsidRDefault="00797EF7" w:rsidP="001B1FC0">
      <w:pPr>
        <w:ind w:left="810" w:right="720" w:firstLine="720"/>
        <w:jc w:val="both"/>
        <w:rPr>
          <w:rFonts w:ascii="Cambria" w:eastAsia="Times New Roman" w:hAnsi="Cambria" w:cstheme="minorBidi"/>
          <w:color w:val="000000" w:themeColor="text1"/>
          <w:sz w:val="20"/>
          <w:szCs w:val="20"/>
        </w:rPr>
      </w:pPr>
    </w:p>
    <w:tbl>
      <w:tblPr>
        <w:tblStyle w:val="TableGrid"/>
        <w:tblpPr w:leftFromText="180" w:rightFromText="180" w:vertAnchor="text" w:horzAnchor="margin" w:tblpXSpec="center" w:tblpY="219"/>
        <w:tblW w:w="8095" w:type="dxa"/>
        <w:tblLayout w:type="fixed"/>
        <w:tblLook w:val="06A0" w:firstRow="1" w:lastRow="0" w:firstColumn="1" w:lastColumn="0" w:noHBand="1" w:noVBand="1"/>
      </w:tblPr>
      <w:tblGrid>
        <w:gridCol w:w="3055"/>
        <w:gridCol w:w="2165"/>
        <w:gridCol w:w="2875"/>
      </w:tblGrid>
      <w:tr w:rsidR="00797EF7" w:rsidRPr="00506A97" w14:paraId="15E146CB" w14:textId="77777777" w:rsidTr="00BD3C72">
        <w:trPr>
          <w:trHeight w:val="254"/>
        </w:trPr>
        <w:tc>
          <w:tcPr>
            <w:tcW w:w="3055" w:type="dxa"/>
            <w:shd w:val="clear" w:color="auto" w:fill="BFBFBF" w:themeFill="background1" w:themeFillShade="BF"/>
          </w:tcPr>
          <w:p w14:paraId="26046CFE" w14:textId="57F48779" w:rsidR="00797EF7" w:rsidRPr="00506A97" w:rsidRDefault="00797EF7" w:rsidP="001B1FC0">
            <w:pPr>
              <w:ind w:left="810" w:right="720"/>
              <w:jc w:val="both"/>
              <w:rPr>
                <w:rFonts w:ascii="Cambria" w:eastAsia="Times New Roman" w:hAnsi="Cambria" w:cstheme="minorBidi"/>
                <w:color w:val="000000" w:themeColor="text1"/>
                <w:sz w:val="20"/>
                <w:szCs w:val="20"/>
                <w:lang w:val="es-CO"/>
              </w:rPr>
            </w:pPr>
            <w:bookmarkStart w:id="0" w:name="_Hlk85626009"/>
            <w:r w:rsidRPr="00506A97">
              <w:rPr>
                <w:rFonts w:ascii="Cambria" w:eastAsia="Times New Roman" w:hAnsi="Cambria" w:cstheme="minorBidi"/>
                <w:color w:val="000000" w:themeColor="text1"/>
                <w:sz w:val="20"/>
                <w:szCs w:val="20"/>
                <w:lang w:val="es-CO"/>
              </w:rPr>
              <w:t>Name</w:t>
            </w:r>
          </w:p>
        </w:tc>
        <w:tc>
          <w:tcPr>
            <w:tcW w:w="2165" w:type="dxa"/>
            <w:shd w:val="clear" w:color="auto" w:fill="BFBFBF" w:themeFill="background1" w:themeFillShade="BF"/>
          </w:tcPr>
          <w:p w14:paraId="12D61016" w14:textId="4EA010CA" w:rsidR="00797EF7" w:rsidRPr="00506A97" w:rsidRDefault="00797EF7" w:rsidP="00BD3C72">
            <w:pPr>
              <w:ind w:left="524" w:right="720"/>
              <w:jc w:val="center"/>
              <w:rPr>
                <w:rFonts w:ascii="Cambria" w:eastAsia="Times New Roman" w:hAnsi="Cambria" w:cstheme="minorBidi"/>
                <w:color w:val="000000" w:themeColor="text1"/>
                <w:sz w:val="20"/>
                <w:szCs w:val="20"/>
                <w:lang w:val="es-CO"/>
              </w:rPr>
            </w:pPr>
            <w:r w:rsidRPr="00506A97">
              <w:rPr>
                <w:rFonts w:ascii="Cambria" w:eastAsia="Times New Roman" w:hAnsi="Cambria" w:cstheme="minorBidi"/>
                <w:color w:val="000000" w:themeColor="text1"/>
                <w:sz w:val="20"/>
                <w:szCs w:val="20"/>
                <w:lang w:val="es-CO"/>
              </w:rPr>
              <w:t>ID Number</w:t>
            </w:r>
          </w:p>
        </w:tc>
        <w:tc>
          <w:tcPr>
            <w:tcW w:w="2875" w:type="dxa"/>
            <w:shd w:val="clear" w:color="auto" w:fill="BFBFBF" w:themeFill="background1" w:themeFillShade="BF"/>
          </w:tcPr>
          <w:p w14:paraId="3933DE3B" w14:textId="41FA47FC" w:rsidR="00797EF7" w:rsidRPr="00506A97" w:rsidRDefault="00797EF7" w:rsidP="001B1FC0">
            <w:pPr>
              <w:ind w:left="810" w:right="720"/>
              <w:jc w:val="both"/>
              <w:rPr>
                <w:rFonts w:ascii="Cambria" w:eastAsia="Times New Roman" w:hAnsi="Cambria" w:cstheme="minorBidi"/>
                <w:color w:val="000000" w:themeColor="text1"/>
                <w:sz w:val="20"/>
                <w:szCs w:val="20"/>
                <w:lang w:val="es-CO"/>
              </w:rPr>
            </w:pPr>
            <w:r w:rsidRPr="00506A97">
              <w:rPr>
                <w:rFonts w:ascii="Cambria" w:eastAsia="Times New Roman" w:hAnsi="Cambria" w:cstheme="minorBidi"/>
                <w:color w:val="000000" w:themeColor="text1"/>
                <w:sz w:val="20"/>
                <w:szCs w:val="20"/>
                <w:lang w:val="es-CO"/>
              </w:rPr>
              <w:t>Relationship</w:t>
            </w:r>
          </w:p>
        </w:tc>
      </w:tr>
      <w:tr w:rsidR="00797EF7" w:rsidRPr="00506A97" w14:paraId="10F3838B" w14:textId="77777777" w:rsidTr="00BD3C72">
        <w:trPr>
          <w:trHeight w:val="424"/>
        </w:trPr>
        <w:tc>
          <w:tcPr>
            <w:tcW w:w="3055" w:type="dxa"/>
          </w:tcPr>
          <w:p w14:paraId="7E65868D" w14:textId="77777777" w:rsidR="00797EF7" w:rsidRPr="00506A97" w:rsidRDefault="00797EF7" w:rsidP="00BD3C72">
            <w:pPr>
              <w:ind w:left="163" w:right="-38"/>
              <w:rPr>
                <w:rFonts w:ascii="Cambria" w:eastAsia="Times New Roman" w:hAnsi="Cambria" w:cstheme="minorBidi"/>
                <w:color w:val="000000" w:themeColor="text1"/>
                <w:sz w:val="20"/>
                <w:szCs w:val="20"/>
                <w:lang w:val="es-CO"/>
              </w:rPr>
            </w:pPr>
            <w:r w:rsidRPr="00506A97">
              <w:rPr>
                <w:rFonts w:ascii="Cambria" w:eastAsia="Times New Roman" w:hAnsi="Cambria" w:cstheme="minorBidi"/>
                <w:color w:val="000000" w:themeColor="text1"/>
                <w:sz w:val="20"/>
                <w:szCs w:val="20"/>
                <w:lang w:val="es-CO"/>
              </w:rPr>
              <w:t>Dioselina Posso Goez</w:t>
            </w:r>
          </w:p>
        </w:tc>
        <w:tc>
          <w:tcPr>
            <w:tcW w:w="2165" w:type="dxa"/>
          </w:tcPr>
          <w:p w14:paraId="17E7C0E4" w14:textId="77777777" w:rsidR="00797EF7" w:rsidRPr="00506A97" w:rsidRDefault="00797EF7" w:rsidP="001B1FC0">
            <w:pPr>
              <w:ind w:left="810" w:right="720"/>
              <w:jc w:val="both"/>
              <w:rPr>
                <w:rFonts w:ascii="Cambria" w:eastAsia="Times New Roman" w:hAnsi="Cambria" w:cstheme="minorBidi"/>
                <w:color w:val="000000" w:themeColor="text1"/>
                <w:sz w:val="20"/>
                <w:szCs w:val="20"/>
              </w:rPr>
            </w:pPr>
            <w:r w:rsidRPr="00506A97">
              <w:rPr>
                <w:rFonts w:ascii="Cambria" w:eastAsia="Times New Roman" w:hAnsi="Cambria" w:cstheme="minorBidi"/>
                <w:color w:val="000000" w:themeColor="text1"/>
                <w:sz w:val="20"/>
                <w:szCs w:val="20"/>
              </w:rPr>
              <w:t>[…]</w:t>
            </w:r>
          </w:p>
        </w:tc>
        <w:tc>
          <w:tcPr>
            <w:tcW w:w="2875" w:type="dxa"/>
          </w:tcPr>
          <w:p w14:paraId="30DFB36F" w14:textId="04C18336" w:rsidR="00797EF7" w:rsidRPr="00506A97" w:rsidRDefault="00797EF7" w:rsidP="001B1FC0">
            <w:pPr>
              <w:ind w:left="810" w:right="720"/>
              <w:jc w:val="both"/>
              <w:rPr>
                <w:rFonts w:ascii="Cambria" w:eastAsia="Times New Roman" w:hAnsi="Cambria" w:cstheme="minorBidi"/>
                <w:color w:val="000000" w:themeColor="text1"/>
                <w:sz w:val="20"/>
                <w:szCs w:val="20"/>
                <w:lang w:val="es-CO"/>
              </w:rPr>
            </w:pPr>
            <w:r w:rsidRPr="00506A97">
              <w:rPr>
                <w:rFonts w:ascii="Cambria" w:eastAsia="Times New Roman" w:hAnsi="Cambria" w:cstheme="minorBidi"/>
                <w:color w:val="000000" w:themeColor="text1"/>
                <w:sz w:val="20"/>
                <w:szCs w:val="20"/>
                <w:lang w:val="es-CO"/>
              </w:rPr>
              <w:t>Permanent partner</w:t>
            </w:r>
          </w:p>
        </w:tc>
      </w:tr>
      <w:tr w:rsidR="00797EF7" w:rsidRPr="00506A97" w14:paraId="7C4C7ED4" w14:textId="77777777" w:rsidTr="00BD3C72">
        <w:trPr>
          <w:trHeight w:val="434"/>
        </w:trPr>
        <w:tc>
          <w:tcPr>
            <w:tcW w:w="3055" w:type="dxa"/>
          </w:tcPr>
          <w:p w14:paraId="690A1348" w14:textId="77777777" w:rsidR="00797EF7" w:rsidRPr="00506A97" w:rsidRDefault="00797EF7" w:rsidP="00BD3C72">
            <w:pPr>
              <w:ind w:left="163" w:right="-38"/>
              <w:rPr>
                <w:rFonts w:ascii="Cambria" w:eastAsia="Times New Roman" w:hAnsi="Cambria" w:cstheme="minorBidi"/>
                <w:color w:val="000000" w:themeColor="text1"/>
                <w:sz w:val="20"/>
                <w:szCs w:val="20"/>
                <w:lang w:val="es-CO"/>
              </w:rPr>
            </w:pPr>
            <w:r w:rsidRPr="00506A97">
              <w:rPr>
                <w:rFonts w:ascii="Cambria" w:eastAsia="Times New Roman" w:hAnsi="Cambria" w:cstheme="minorBidi"/>
                <w:color w:val="000000" w:themeColor="text1"/>
                <w:sz w:val="20"/>
                <w:szCs w:val="20"/>
                <w:lang w:val="es-CO"/>
              </w:rPr>
              <w:t>Sonia Patricia Cardona Posso</w:t>
            </w:r>
          </w:p>
        </w:tc>
        <w:tc>
          <w:tcPr>
            <w:tcW w:w="2165" w:type="dxa"/>
          </w:tcPr>
          <w:p w14:paraId="42929C4E" w14:textId="77777777" w:rsidR="00797EF7" w:rsidRPr="00506A97" w:rsidRDefault="00797EF7" w:rsidP="001B1FC0">
            <w:pPr>
              <w:ind w:left="810" w:right="720"/>
              <w:jc w:val="both"/>
              <w:rPr>
                <w:rFonts w:ascii="Cambria" w:eastAsia="Times New Roman" w:hAnsi="Cambria" w:cstheme="minorBidi"/>
                <w:color w:val="000000" w:themeColor="text1"/>
                <w:sz w:val="20"/>
                <w:szCs w:val="20"/>
                <w:lang w:val="es-CO"/>
              </w:rPr>
            </w:pPr>
            <w:r w:rsidRPr="00506A97">
              <w:rPr>
                <w:rFonts w:ascii="Cambria" w:eastAsia="Times New Roman" w:hAnsi="Cambria" w:cstheme="minorBidi"/>
                <w:color w:val="000000" w:themeColor="text1"/>
                <w:sz w:val="20"/>
                <w:szCs w:val="20"/>
                <w:lang w:val="es-CO"/>
              </w:rPr>
              <w:t>[…]</w:t>
            </w:r>
          </w:p>
        </w:tc>
        <w:tc>
          <w:tcPr>
            <w:tcW w:w="2875" w:type="dxa"/>
          </w:tcPr>
          <w:p w14:paraId="0D832C70" w14:textId="5AA75666" w:rsidR="00797EF7" w:rsidRPr="00506A97" w:rsidRDefault="00797EF7" w:rsidP="001B1FC0">
            <w:pPr>
              <w:ind w:left="810" w:right="720"/>
              <w:jc w:val="both"/>
              <w:rPr>
                <w:rFonts w:ascii="Cambria" w:eastAsia="Times New Roman" w:hAnsi="Cambria" w:cstheme="minorBidi"/>
                <w:color w:val="000000" w:themeColor="text1"/>
                <w:sz w:val="20"/>
                <w:szCs w:val="20"/>
                <w:lang w:val="es-CO"/>
              </w:rPr>
            </w:pPr>
            <w:r w:rsidRPr="00506A97">
              <w:rPr>
                <w:rFonts w:ascii="Cambria" w:eastAsia="Times New Roman" w:hAnsi="Cambria" w:cstheme="minorBidi"/>
                <w:color w:val="000000" w:themeColor="text1"/>
                <w:sz w:val="20"/>
                <w:szCs w:val="20"/>
                <w:lang w:val="es-CO"/>
              </w:rPr>
              <w:t>Daughter</w:t>
            </w:r>
          </w:p>
        </w:tc>
      </w:tr>
      <w:tr w:rsidR="00797EF7" w:rsidRPr="00506A97" w14:paraId="258C98B8" w14:textId="77777777" w:rsidTr="00BD3C72">
        <w:trPr>
          <w:trHeight w:val="643"/>
        </w:trPr>
        <w:tc>
          <w:tcPr>
            <w:tcW w:w="3055" w:type="dxa"/>
          </w:tcPr>
          <w:p w14:paraId="1DAA896C" w14:textId="77777777" w:rsidR="00797EF7" w:rsidRPr="00506A97" w:rsidRDefault="00797EF7" w:rsidP="00BD3C72">
            <w:pPr>
              <w:ind w:left="163" w:right="-38"/>
              <w:rPr>
                <w:rFonts w:ascii="Cambria" w:eastAsia="Times New Roman" w:hAnsi="Cambria" w:cstheme="minorBidi"/>
                <w:color w:val="000000" w:themeColor="text1"/>
                <w:sz w:val="20"/>
                <w:szCs w:val="20"/>
                <w:lang w:val="es-CO"/>
              </w:rPr>
            </w:pPr>
            <w:r w:rsidRPr="00506A97">
              <w:rPr>
                <w:rFonts w:ascii="Cambria" w:eastAsia="Times New Roman" w:hAnsi="Cambria" w:cstheme="minorBidi"/>
                <w:color w:val="000000" w:themeColor="text1"/>
                <w:sz w:val="20"/>
                <w:szCs w:val="20"/>
                <w:lang w:val="es-CO"/>
              </w:rPr>
              <w:t>Francisco Antonio Cardona Varelas</w:t>
            </w:r>
          </w:p>
        </w:tc>
        <w:tc>
          <w:tcPr>
            <w:tcW w:w="2165" w:type="dxa"/>
          </w:tcPr>
          <w:p w14:paraId="3266B832" w14:textId="77777777" w:rsidR="00797EF7" w:rsidRPr="00506A97" w:rsidRDefault="00797EF7" w:rsidP="001B1FC0">
            <w:pPr>
              <w:ind w:left="810" w:right="720"/>
              <w:jc w:val="both"/>
              <w:rPr>
                <w:rFonts w:ascii="Cambria" w:eastAsia="Times New Roman" w:hAnsi="Cambria" w:cstheme="minorBidi"/>
                <w:color w:val="000000" w:themeColor="text1"/>
                <w:sz w:val="20"/>
                <w:szCs w:val="20"/>
                <w:lang w:val="es-CO"/>
              </w:rPr>
            </w:pPr>
            <w:r w:rsidRPr="00506A97">
              <w:rPr>
                <w:rFonts w:ascii="Cambria" w:eastAsia="Times New Roman" w:hAnsi="Cambria" w:cstheme="minorBidi"/>
                <w:color w:val="000000" w:themeColor="text1"/>
                <w:sz w:val="20"/>
                <w:szCs w:val="20"/>
                <w:lang w:val="es-CO"/>
              </w:rPr>
              <w:t>[…]</w:t>
            </w:r>
          </w:p>
        </w:tc>
        <w:tc>
          <w:tcPr>
            <w:tcW w:w="2875" w:type="dxa"/>
          </w:tcPr>
          <w:p w14:paraId="29B52657" w14:textId="5D5B3473" w:rsidR="00797EF7" w:rsidRPr="00506A97" w:rsidRDefault="00797EF7" w:rsidP="001B1FC0">
            <w:pPr>
              <w:ind w:left="810" w:right="720"/>
              <w:jc w:val="both"/>
              <w:rPr>
                <w:rFonts w:ascii="Cambria" w:eastAsia="Times New Roman" w:hAnsi="Cambria" w:cstheme="minorBidi"/>
                <w:color w:val="000000" w:themeColor="text1"/>
                <w:sz w:val="20"/>
                <w:szCs w:val="20"/>
                <w:lang w:val="es-CO"/>
              </w:rPr>
            </w:pPr>
            <w:r w:rsidRPr="00506A97">
              <w:rPr>
                <w:rFonts w:ascii="Cambria" w:eastAsia="Times New Roman" w:hAnsi="Cambria" w:cstheme="minorBidi"/>
                <w:color w:val="000000" w:themeColor="text1"/>
                <w:sz w:val="20"/>
                <w:szCs w:val="20"/>
                <w:lang w:val="es-CO"/>
              </w:rPr>
              <w:t>Brother</w:t>
            </w:r>
          </w:p>
        </w:tc>
      </w:tr>
      <w:tr w:rsidR="00797EF7" w:rsidRPr="00506A97" w14:paraId="6F806AFF" w14:textId="77777777" w:rsidTr="00BD3C72">
        <w:trPr>
          <w:trHeight w:val="424"/>
        </w:trPr>
        <w:tc>
          <w:tcPr>
            <w:tcW w:w="3055" w:type="dxa"/>
          </w:tcPr>
          <w:p w14:paraId="1DCB9EC4" w14:textId="77777777" w:rsidR="00797EF7" w:rsidRPr="00506A97" w:rsidRDefault="00797EF7" w:rsidP="00BD3C72">
            <w:pPr>
              <w:ind w:left="163" w:right="-38"/>
              <w:rPr>
                <w:rFonts w:ascii="Cambria" w:eastAsia="Times New Roman" w:hAnsi="Cambria" w:cstheme="minorBidi"/>
                <w:color w:val="000000" w:themeColor="text1"/>
                <w:sz w:val="20"/>
                <w:szCs w:val="20"/>
                <w:lang w:val="es-CO"/>
              </w:rPr>
            </w:pPr>
            <w:r w:rsidRPr="00506A97">
              <w:rPr>
                <w:rFonts w:ascii="Cambria" w:eastAsia="Times New Roman" w:hAnsi="Cambria" w:cstheme="minorBidi"/>
                <w:color w:val="000000" w:themeColor="text1"/>
                <w:sz w:val="20"/>
                <w:szCs w:val="20"/>
                <w:lang w:val="es-CO"/>
              </w:rPr>
              <w:t>Ovidio Antonio Cardona Varela</w:t>
            </w:r>
          </w:p>
        </w:tc>
        <w:tc>
          <w:tcPr>
            <w:tcW w:w="2165" w:type="dxa"/>
          </w:tcPr>
          <w:p w14:paraId="27968977" w14:textId="77777777" w:rsidR="00797EF7" w:rsidRPr="00506A97" w:rsidRDefault="00797EF7" w:rsidP="001B1FC0">
            <w:pPr>
              <w:ind w:left="810" w:right="720"/>
              <w:jc w:val="both"/>
              <w:rPr>
                <w:rFonts w:ascii="Cambria" w:eastAsia="Times New Roman" w:hAnsi="Cambria" w:cstheme="minorBidi"/>
                <w:color w:val="000000" w:themeColor="text1"/>
                <w:sz w:val="20"/>
                <w:szCs w:val="20"/>
                <w:lang w:val="es-CO"/>
              </w:rPr>
            </w:pPr>
            <w:r w:rsidRPr="00506A97">
              <w:rPr>
                <w:rFonts w:ascii="Cambria" w:eastAsia="Times New Roman" w:hAnsi="Cambria" w:cstheme="minorBidi"/>
                <w:color w:val="000000" w:themeColor="text1"/>
                <w:sz w:val="20"/>
                <w:szCs w:val="20"/>
                <w:lang w:val="es-CO"/>
              </w:rPr>
              <w:t>[…]</w:t>
            </w:r>
          </w:p>
        </w:tc>
        <w:tc>
          <w:tcPr>
            <w:tcW w:w="2875" w:type="dxa"/>
          </w:tcPr>
          <w:p w14:paraId="55245FEA" w14:textId="3BF897DD" w:rsidR="00797EF7" w:rsidRPr="00506A97" w:rsidRDefault="00797EF7" w:rsidP="001B1FC0">
            <w:pPr>
              <w:ind w:left="810" w:right="720"/>
              <w:jc w:val="both"/>
              <w:rPr>
                <w:rFonts w:ascii="Cambria" w:eastAsia="Times New Roman" w:hAnsi="Cambria" w:cstheme="minorBidi"/>
                <w:color w:val="000000" w:themeColor="text1"/>
                <w:sz w:val="20"/>
                <w:szCs w:val="20"/>
                <w:lang w:val="es-CO"/>
              </w:rPr>
            </w:pPr>
            <w:r w:rsidRPr="00506A97">
              <w:rPr>
                <w:rFonts w:ascii="Cambria" w:eastAsia="Times New Roman" w:hAnsi="Cambria" w:cstheme="minorBidi"/>
                <w:color w:val="000000" w:themeColor="text1"/>
                <w:sz w:val="20"/>
                <w:szCs w:val="20"/>
                <w:lang w:val="es-CO"/>
              </w:rPr>
              <w:t>Brother</w:t>
            </w:r>
          </w:p>
        </w:tc>
      </w:tr>
      <w:tr w:rsidR="00797EF7" w:rsidRPr="00506A97" w14:paraId="582053D6" w14:textId="77777777" w:rsidTr="00BD3C72">
        <w:trPr>
          <w:trHeight w:val="434"/>
        </w:trPr>
        <w:tc>
          <w:tcPr>
            <w:tcW w:w="3055" w:type="dxa"/>
          </w:tcPr>
          <w:p w14:paraId="2C95B46B" w14:textId="77777777" w:rsidR="00797EF7" w:rsidRPr="00506A97" w:rsidRDefault="00797EF7" w:rsidP="00BD3C72">
            <w:pPr>
              <w:ind w:left="163" w:right="-38"/>
              <w:rPr>
                <w:rFonts w:ascii="Cambria" w:eastAsia="Times New Roman" w:hAnsi="Cambria" w:cstheme="minorBidi"/>
                <w:color w:val="000000" w:themeColor="text1"/>
                <w:sz w:val="20"/>
                <w:szCs w:val="20"/>
                <w:lang w:val="es-CO"/>
              </w:rPr>
            </w:pPr>
            <w:r w:rsidRPr="00506A97">
              <w:rPr>
                <w:rFonts w:ascii="Cambria" w:eastAsia="Times New Roman" w:hAnsi="Cambria" w:cstheme="minorBidi"/>
                <w:color w:val="000000" w:themeColor="text1"/>
                <w:sz w:val="20"/>
                <w:szCs w:val="20"/>
                <w:lang w:val="es-CO"/>
              </w:rPr>
              <w:t>Luis Alfredo Cardona Varelas</w:t>
            </w:r>
          </w:p>
        </w:tc>
        <w:tc>
          <w:tcPr>
            <w:tcW w:w="2165" w:type="dxa"/>
          </w:tcPr>
          <w:p w14:paraId="06374969" w14:textId="77777777" w:rsidR="00797EF7" w:rsidRPr="00506A97" w:rsidRDefault="00797EF7" w:rsidP="001B1FC0">
            <w:pPr>
              <w:ind w:left="810" w:right="720"/>
              <w:jc w:val="both"/>
              <w:rPr>
                <w:rFonts w:ascii="Cambria" w:eastAsia="Times New Roman" w:hAnsi="Cambria" w:cstheme="minorBidi"/>
                <w:color w:val="000000" w:themeColor="text1"/>
                <w:sz w:val="20"/>
                <w:szCs w:val="20"/>
                <w:lang w:val="es-CO"/>
              </w:rPr>
            </w:pPr>
            <w:r w:rsidRPr="00506A97">
              <w:rPr>
                <w:rFonts w:ascii="Cambria" w:eastAsia="Times New Roman" w:hAnsi="Cambria" w:cstheme="minorBidi"/>
                <w:color w:val="000000" w:themeColor="text1"/>
                <w:sz w:val="20"/>
                <w:szCs w:val="20"/>
                <w:lang w:val="es-CO"/>
              </w:rPr>
              <w:t>[…]</w:t>
            </w:r>
          </w:p>
        </w:tc>
        <w:tc>
          <w:tcPr>
            <w:tcW w:w="2875" w:type="dxa"/>
          </w:tcPr>
          <w:p w14:paraId="12080123" w14:textId="664DE54B" w:rsidR="00797EF7" w:rsidRPr="00506A97" w:rsidRDefault="00797EF7" w:rsidP="001B1FC0">
            <w:pPr>
              <w:ind w:left="810" w:right="720"/>
              <w:jc w:val="both"/>
              <w:rPr>
                <w:rFonts w:ascii="Cambria" w:eastAsia="Times New Roman" w:hAnsi="Cambria" w:cstheme="minorBidi"/>
                <w:color w:val="000000" w:themeColor="text1"/>
                <w:sz w:val="20"/>
                <w:szCs w:val="20"/>
                <w:lang w:val="es-CO"/>
              </w:rPr>
            </w:pPr>
            <w:r w:rsidRPr="00506A97">
              <w:rPr>
                <w:rFonts w:ascii="Cambria" w:eastAsia="Times New Roman" w:hAnsi="Cambria" w:cstheme="minorBidi"/>
                <w:color w:val="000000" w:themeColor="text1"/>
                <w:sz w:val="20"/>
                <w:szCs w:val="20"/>
                <w:lang w:val="es-CO"/>
              </w:rPr>
              <w:t>Brother</w:t>
            </w:r>
          </w:p>
        </w:tc>
      </w:tr>
      <w:tr w:rsidR="00797EF7" w:rsidRPr="00506A97" w14:paraId="4428B573" w14:textId="77777777" w:rsidTr="00BD3C72">
        <w:trPr>
          <w:trHeight w:val="434"/>
        </w:trPr>
        <w:tc>
          <w:tcPr>
            <w:tcW w:w="3055" w:type="dxa"/>
          </w:tcPr>
          <w:p w14:paraId="6B3D1474" w14:textId="77777777" w:rsidR="00797EF7" w:rsidRPr="00506A97" w:rsidRDefault="00797EF7" w:rsidP="00BD3C72">
            <w:pPr>
              <w:ind w:left="163" w:right="-38"/>
              <w:rPr>
                <w:rFonts w:ascii="Cambria" w:eastAsia="Times New Roman" w:hAnsi="Cambria" w:cstheme="minorBidi"/>
                <w:color w:val="000000" w:themeColor="text1"/>
                <w:sz w:val="20"/>
                <w:szCs w:val="20"/>
                <w:lang w:val="es-CO"/>
              </w:rPr>
            </w:pPr>
            <w:r w:rsidRPr="00506A97">
              <w:rPr>
                <w:rFonts w:ascii="Cambria" w:eastAsia="Times New Roman" w:hAnsi="Cambria" w:cstheme="minorBidi"/>
                <w:color w:val="000000" w:themeColor="text1"/>
                <w:sz w:val="20"/>
                <w:szCs w:val="20"/>
                <w:lang w:val="es-CO"/>
              </w:rPr>
              <w:t>Maria Ninfa Cardona Varela</w:t>
            </w:r>
          </w:p>
        </w:tc>
        <w:tc>
          <w:tcPr>
            <w:tcW w:w="2165" w:type="dxa"/>
          </w:tcPr>
          <w:p w14:paraId="21468C92" w14:textId="77777777" w:rsidR="00797EF7" w:rsidRPr="00506A97" w:rsidRDefault="00797EF7" w:rsidP="001B1FC0">
            <w:pPr>
              <w:ind w:left="810" w:right="720"/>
              <w:jc w:val="both"/>
              <w:rPr>
                <w:rFonts w:ascii="Cambria" w:eastAsia="Times New Roman" w:hAnsi="Cambria" w:cstheme="minorBidi"/>
                <w:color w:val="000000" w:themeColor="text1"/>
                <w:sz w:val="20"/>
                <w:szCs w:val="20"/>
                <w:lang w:val="es-CO"/>
              </w:rPr>
            </w:pPr>
            <w:r w:rsidRPr="00506A97">
              <w:rPr>
                <w:rFonts w:ascii="Cambria" w:eastAsia="Times New Roman" w:hAnsi="Cambria" w:cstheme="minorBidi"/>
                <w:color w:val="000000" w:themeColor="text1"/>
                <w:sz w:val="20"/>
                <w:szCs w:val="20"/>
                <w:lang w:val="es-CO"/>
              </w:rPr>
              <w:t>[…]</w:t>
            </w:r>
          </w:p>
        </w:tc>
        <w:tc>
          <w:tcPr>
            <w:tcW w:w="2875" w:type="dxa"/>
          </w:tcPr>
          <w:p w14:paraId="2A8B7C35" w14:textId="1F52029F" w:rsidR="00797EF7" w:rsidRPr="00506A97" w:rsidRDefault="00797EF7" w:rsidP="001B1FC0">
            <w:pPr>
              <w:ind w:left="810" w:right="720"/>
              <w:jc w:val="both"/>
              <w:rPr>
                <w:rFonts w:ascii="Cambria" w:eastAsia="Times New Roman" w:hAnsi="Cambria" w:cstheme="minorBidi"/>
                <w:color w:val="000000" w:themeColor="text1"/>
                <w:sz w:val="20"/>
                <w:szCs w:val="20"/>
                <w:lang w:val="es-CO"/>
              </w:rPr>
            </w:pPr>
            <w:r w:rsidRPr="00506A97">
              <w:rPr>
                <w:rFonts w:ascii="Cambria" w:eastAsia="Times New Roman" w:hAnsi="Cambria" w:cstheme="minorBidi"/>
                <w:color w:val="000000" w:themeColor="text1"/>
                <w:sz w:val="20"/>
                <w:szCs w:val="20"/>
                <w:lang w:val="es-CO"/>
              </w:rPr>
              <w:t>Daughter</w:t>
            </w:r>
          </w:p>
        </w:tc>
      </w:tr>
      <w:tr w:rsidR="00797EF7" w:rsidRPr="00506A97" w14:paraId="431CD49D" w14:textId="77777777" w:rsidTr="00BD3C72">
        <w:trPr>
          <w:trHeight w:val="424"/>
        </w:trPr>
        <w:tc>
          <w:tcPr>
            <w:tcW w:w="3055" w:type="dxa"/>
          </w:tcPr>
          <w:p w14:paraId="68C5DF75" w14:textId="77777777" w:rsidR="00797EF7" w:rsidRPr="00506A97" w:rsidRDefault="00797EF7" w:rsidP="00BD3C72">
            <w:pPr>
              <w:ind w:left="163" w:right="-38"/>
              <w:rPr>
                <w:rFonts w:ascii="Cambria" w:eastAsia="Times New Roman" w:hAnsi="Cambria" w:cstheme="minorBidi"/>
                <w:color w:val="000000" w:themeColor="text1"/>
                <w:sz w:val="20"/>
                <w:szCs w:val="20"/>
                <w:lang w:val="es-CO"/>
              </w:rPr>
            </w:pPr>
            <w:r w:rsidRPr="00506A97">
              <w:rPr>
                <w:rFonts w:ascii="Cambria" w:eastAsia="Times New Roman" w:hAnsi="Cambria" w:cstheme="minorBidi"/>
                <w:color w:val="000000" w:themeColor="text1"/>
                <w:sz w:val="20"/>
                <w:szCs w:val="20"/>
                <w:lang w:val="es-CO"/>
              </w:rPr>
              <w:t>Luz Erlina Cardona Varela</w:t>
            </w:r>
          </w:p>
        </w:tc>
        <w:tc>
          <w:tcPr>
            <w:tcW w:w="2165" w:type="dxa"/>
          </w:tcPr>
          <w:p w14:paraId="0A1A6DD0" w14:textId="77777777" w:rsidR="00797EF7" w:rsidRPr="00506A97" w:rsidRDefault="00797EF7" w:rsidP="001B1FC0">
            <w:pPr>
              <w:ind w:left="810" w:right="720"/>
              <w:jc w:val="both"/>
              <w:rPr>
                <w:rFonts w:ascii="Cambria" w:eastAsia="Times New Roman" w:hAnsi="Cambria" w:cstheme="minorBidi"/>
                <w:color w:val="000000" w:themeColor="text1"/>
                <w:sz w:val="20"/>
                <w:szCs w:val="20"/>
                <w:lang w:val="es-CO"/>
              </w:rPr>
            </w:pPr>
            <w:r w:rsidRPr="00506A97">
              <w:rPr>
                <w:rFonts w:ascii="Cambria" w:eastAsia="Times New Roman" w:hAnsi="Cambria" w:cstheme="minorBidi"/>
                <w:color w:val="000000" w:themeColor="text1"/>
                <w:sz w:val="20"/>
                <w:szCs w:val="20"/>
                <w:lang w:val="es-CO"/>
              </w:rPr>
              <w:t>[…]</w:t>
            </w:r>
          </w:p>
        </w:tc>
        <w:tc>
          <w:tcPr>
            <w:tcW w:w="2875" w:type="dxa"/>
          </w:tcPr>
          <w:p w14:paraId="32F38407" w14:textId="1FEE807D" w:rsidR="00797EF7" w:rsidRPr="00506A97" w:rsidRDefault="00797EF7" w:rsidP="001B1FC0">
            <w:pPr>
              <w:ind w:left="810" w:right="720"/>
              <w:jc w:val="both"/>
              <w:rPr>
                <w:rFonts w:ascii="Cambria" w:eastAsia="Times New Roman" w:hAnsi="Cambria" w:cstheme="minorBidi"/>
                <w:color w:val="000000" w:themeColor="text1"/>
                <w:sz w:val="20"/>
                <w:szCs w:val="20"/>
                <w:lang w:val="es-CO"/>
              </w:rPr>
            </w:pPr>
            <w:r w:rsidRPr="00506A97">
              <w:rPr>
                <w:rFonts w:ascii="Cambria" w:eastAsia="Times New Roman" w:hAnsi="Cambria" w:cstheme="minorBidi"/>
                <w:color w:val="000000" w:themeColor="text1"/>
                <w:sz w:val="20"/>
                <w:szCs w:val="20"/>
                <w:lang w:val="es-CO"/>
              </w:rPr>
              <w:t>Daughter</w:t>
            </w:r>
          </w:p>
        </w:tc>
      </w:tr>
      <w:tr w:rsidR="00797EF7" w:rsidRPr="00506A97" w14:paraId="359F3F4C" w14:textId="77777777" w:rsidTr="00BD3C72">
        <w:trPr>
          <w:trHeight w:val="434"/>
        </w:trPr>
        <w:tc>
          <w:tcPr>
            <w:tcW w:w="3055" w:type="dxa"/>
          </w:tcPr>
          <w:p w14:paraId="44155D3B" w14:textId="77777777" w:rsidR="00797EF7" w:rsidRPr="00506A97" w:rsidRDefault="00797EF7" w:rsidP="00BD3C72">
            <w:pPr>
              <w:ind w:left="163" w:right="-38"/>
              <w:rPr>
                <w:rFonts w:ascii="Cambria" w:eastAsia="Times New Roman" w:hAnsi="Cambria" w:cstheme="minorBidi"/>
                <w:color w:val="000000" w:themeColor="text1"/>
                <w:sz w:val="20"/>
                <w:szCs w:val="20"/>
                <w:lang w:val="es-CO"/>
              </w:rPr>
            </w:pPr>
            <w:r w:rsidRPr="00506A97">
              <w:rPr>
                <w:rFonts w:ascii="Cambria" w:eastAsia="Times New Roman" w:hAnsi="Cambria" w:cstheme="minorBidi"/>
                <w:color w:val="000000" w:themeColor="text1"/>
                <w:sz w:val="20"/>
                <w:szCs w:val="20"/>
                <w:lang w:val="es-CO"/>
              </w:rPr>
              <w:t>Edilma Varela Cardona</w:t>
            </w:r>
          </w:p>
        </w:tc>
        <w:tc>
          <w:tcPr>
            <w:tcW w:w="2165" w:type="dxa"/>
          </w:tcPr>
          <w:p w14:paraId="02A6843E" w14:textId="77777777" w:rsidR="00797EF7" w:rsidRPr="00506A97" w:rsidRDefault="00797EF7" w:rsidP="001B1FC0">
            <w:pPr>
              <w:ind w:left="810" w:right="720"/>
              <w:jc w:val="both"/>
              <w:rPr>
                <w:rFonts w:ascii="Cambria" w:eastAsia="Times New Roman" w:hAnsi="Cambria" w:cstheme="minorBidi"/>
                <w:color w:val="000000" w:themeColor="text1"/>
                <w:sz w:val="20"/>
                <w:szCs w:val="20"/>
                <w:lang w:val="es-CO"/>
              </w:rPr>
            </w:pPr>
            <w:r w:rsidRPr="00506A97">
              <w:rPr>
                <w:rFonts w:ascii="Cambria" w:eastAsia="Times New Roman" w:hAnsi="Cambria" w:cstheme="minorBidi"/>
                <w:color w:val="000000" w:themeColor="text1"/>
                <w:sz w:val="20"/>
                <w:szCs w:val="20"/>
                <w:lang w:val="es-CO"/>
              </w:rPr>
              <w:t>[…]</w:t>
            </w:r>
          </w:p>
        </w:tc>
        <w:tc>
          <w:tcPr>
            <w:tcW w:w="2875" w:type="dxa"/>
          </w:tcPr>
          <w:p w14:paraId="492BEFE7" w14:textId="79BD3A3A" w:rsidR="00797EF7" w:rsidRPr="00506A97" w:rsidRDefault="00797EF7" w:rsidP="001B1FC0">
            <w:pPr>
              <w:ind w:left="810" w:right="720"/>
              <w:jc w:val="both"/>
              <w:rPr>
                <w:rFonts w:ascii="Cambria" w:eastAsia="Times New Roman" w:hAnsi="Cambria" w:cstheme="minorBidi"/>
                <w:color w:val="000000" w:themeColor="text1"/>
                <w:sz w:val="20"/>
                <w:szCs w:val="20"/>
                <w:lang w:val="es-CO"/>
              </w:rPr>
            </w:pPr>
            <w:r w:rsidRPr="00506A97">
              <w:rPr>
                <w:rFonts w:ascii="Cambria" w:eastAsia="Times New Roman" w:hAnsi="Cambria" w:cstheme="minorBidi"/>
                <w:color w:val="000000" w:themeColor="text1"/>
                <w:sz w:val="20"/>
                <w:szCs w:val="20"/>
                <w:lang w:val="es-CO"/>
              </w:rPr>
              <w:t>Daughter</w:t>
            </w:r>
          </w:p>
        </w:tc>
      </w:tr>
      <w:tr w:rsidR="00797EF7" w:rsidRPr="00506A97" w14:paraId="6617DBDF" w14:textId="77777777" w:rsidTr="00BD3C72">
        <w:trPr>
          <w:trHeight w:val="434"/>
        </w:trPr>
        <w:tc>
          <w:tcPr>
            <w:tcW w:w="3055" w:type="dxa"/>
          </w:tcPr>
          <w:p w14:paraId="394C10F0" w14:textId="77777777" w:rsidR="00797EF7" w:rsidRPr="00506A97" w:rsidRDefault="00797EF7" w:rsidP="00BD3C72">
            <w:pPr>
              <w:ind w:left="163" w:right="-38"/>
              <w:rPr>
                <w:rFonts w:ascii="Cambria" w:eastAsia="Times New Roman" w:hAnsi="Cambria" w:cstheme="minorBidi"/>
                <w:color w:val="000000" w:themeColor="text1"/>
                <w:sz w:val="20"/>
                <w:szCs w:val="20"/>
                <w:lang w:val="es-CO"/>
              </w:rPr>
            </w:pPr>
            <w:r w:rsidRPr="00506A97">
              <w:rPr>
                <w:rFonts w:ascii="Cambria" w:eastAsia="Times New Roman" w:hAnsi="Cambria" w:cstheme="minorBidi"/>
                <w:color w:val="000000" w:themeColor="text1"/>
                <w:sz w:val="20"/>
                <w:szCs w:val="20"/>
                <w:lang w:val="es-CO"/>
              </w:rPr>
              <w:t>Rosalba Varela Correa</w:t>
            </w:r>
          </w:p>
        </w:tc>
        <w:tc>
          <w:tcPr>
            <w:tcW w:w="2165" w:type="dxa"/>
          </w:tcPr>
          <w:p w14:paraId="3632A838" w14:textId="77777777" w:rsidR="00797EF7" w:rsidRPr="00506A97" w:rsidRDefault="00797EF7" w:rsidP="001B1FC0">
            <w:pPr>
              <w:ind w:left="810" w:right="720"/>
              <w:jc w:val="both"/>
              <w:rPr>
                <w:rFonts w:ascii="Cambria" w:eastAsia="Times New Roman" w:hAnsi="Cambria" w:cstheme="minorBidi"/>
                <w:color w:val="000000" w:themeColor="text1"/>
                <w:sz w:val="20"/>
                <w:szCs w:val="20"/>
                <w:lang w:val="es-CO"/>
              </w:rPr>
            </w:pPr>
            <w:r w:rsidRPr="00506A97">
              <w:rPr>
                <w:rFonts w:ascii="Cambria" w:eastAsia="Times New Roman" w:hAnsi="Cambria" w:cstheme="minorBidi"/>
                <w:color w:val="000000" w:themeColor="text1"/>
                <w:sz w:val="20"/>
                <w:szCs w:val="20"/>
                <w:lang w:val="es-CO"/>
              </w:rPr>
              <w:t>[…]</w:t>
            </w:r>
          </w:p>
        </w:tc>
        <w:tc>
          <w:tcPr>
            <w:tcW w:w="2875" w:type="dxa"/>
          </w:tcPr>
          <w:p w14:paraId="506C4ECD" w14:textId="160DC592" w:rsidR="00797EF7" w:rsidRPr="00506A97" w:rsidRDefault="00797EF7" w:rsidP="001B1FC0">
            <w:pPr>
              <w:ind w:left="810" w:right="720"/>
              <w:jc w:val="both"/>
              <w:rPr>
                <w:rFonts w:ascii="Cambria" w:eastAsia="Times New Roman" w:hAnsi="Cambria" w:cstheme="minorBidi"/>
                <w:color w:val="000000" w:themeColor="text1"/>
                <w:sz w:val="20"/>
                <w:szCs w:val="20"/>
                <w:lang w:val="es-CO"/>
              </w:rPr>
            </w:pPr>
            <w:r w:rsidRPr="00506A97">
              <w:rPr>
                <w:rFonts w:ascii="Cambria" w:eastAsia="Times New Roman" w:hAnsi="Cambria" w:cstheme="minorBidi"/>
                <w:color w:val="000000" w:themeColor="text1"/>
                <w:sz w:val="20"/>
                <w:szCs w:val="20"/>
                <w:lang w:val="es-CO"/>
              </w:rPr>
              <w:t>Daughter</w:t>
            </w:r>
          </w:p>
        </w:tc>
      </w:tr>
      <w:tr w:rsidR="00797EF7" w:rsidRPr="00506A97" w14:paraId="7E0580C1" w14:textId="77777777" w:rsidTr="00BD3C72">
        <w:trPr>
          <w:trHeight w:val="424"/>
        </w:trPr>
        <w:tc>
          <w:tcPr>
            <w:tcW w:w="3055" w:type="dxa"/>
          </w:tcPr>
          <w:p w14:paraId="3C5AEC34" w14:textId="77777777" w:rsidR="00797EF7" w:rsidRPr="00506A97" w:rsidRDefault="00797EF7" w:rsidP="00BD3C72">
            <w:pPr>
              <w:ind w:left="163" w:right="-38"/>
              <w:rPr>
                <w:rFonts w:ascii="Cambria" w:eastAsia="Times New Roman" w:hAnsi="Cambria" w:cstheme="minorBidi"/>
                <w:color w:val="000000" w:themeColor="text1"/>
                <w:sz w:val="20"/>
                <w:szCs w:val="20"/>
                <w:lang w:val="es-CO"/>
              </w:rPr>
            </w:pPr>
            <w:r w:rsidRPr="00506A97">
              <w:rPr>
                <w:rFonts w:ascii="Cambria" w:eastAsia="Times New Roman" w:hAnsi="Cambria" w:cstheme="minorBidi"/>
                <w:color w:val="000000" w:themeColor="text1"/>
                <w:sz w:val="20"/>
                <w:szCs w:val="20"/>
                <w:lang w:val="es-CO"/>
              </w:rPr>
              <w:t xml:space="preserve">Maria Oliva Varela </w:t>
            </w:r>
          </w:p>
        </w:tc>
        <w:tc>
          <w:tcPr>
            <w:tcW w:w="2165" w:type="dxa"/>
          </w:tcPr>
          <w:p w14:paraId="072459D7" w14:textId="77777777" w:rsidR="00797EF7" w:rsidRPr="00506A97" w:rsidRDefault="00797EF7" w:rsidP="001B1FC0">
            <w:pPr>
              <w:ind w:left="810" w:right="720"/>
              <w:jc w:val="both"/>
              <w:rPr>
                <w:rFonts w:ascii="Cambria" w:eastAsia="Times New Roman" w:hAnsi="Cambria" w:cstheme="minorBidi"/>
                <w:color w:val="000000" w:themeColor="text1"/>
                <w:sz w:val="20"/>
                <w:szCs w:val="20"/>
                <w:lang w:val="es-CO"/>
              </w:rPr>
            </w:pPr>
            <w:r w:rsidRPr="00506A97">
              <w:rPr>
                <w:rFonts w:ascii="Cambria" w:eastAsia="Times New Roman" w:hAnsi="Cambria" w:cstheme="minorBidi"/>
                <w:color w:val="000000" w:themeColor="text1"/>
                <w:sz w:val="20"/>
                <w:szCs w:val="20"/>
                <w:lang w:val="es-CO"/>
              </w:rPr>
              <w:t>[…]</w:t>
            </w:r>
          </w:p>
        </w:tc>
        <w:tc>
          <w:tcPr>
            <w:tcW w:w="2875" w:type="dxa"/>
          </w:tcPr>
          <w:p w14:paraId="18974382" w14:textId="50862894" w:rsidR="00797EF7" w:rsidRPr="00506A97" w:rsidRDefault="00797EF7" w:rsidP="001B1FC0">
            <w:pPr>
              <w:ind w:left="810" w:right="720"/>
              <w:jc w:val="both"/>
              <w:rPr>
                <w:rFonts w:ascii="Cambria" w:eastAsia="Times New Roman" w:hAnsi="Cambria" w:cstheme="minorBidi"/>
                <w:color w:val="000000" w:themeColor="text1"/>
                <w:sz w:val="20"/>
                <w:szCs w:val="20"/>
                <w:lang w:val="es-CO"/>
              </w:rPr>
            </w:pPr>
            <w:r w:rsidRPr="00506A97">
              <w:rPr>
                <w:rFonts w:ascii="Cambria" w:eastAsia="Times New Roman" w:hAnsi="Cambria" w:cstheme="minorBidi"/>
                <w:color w:val="000000" w:themeColor="text1"/>
                <w:sz w:val="20"/>
                <w:szCs w:val="20"/>
                <w:lang w:val="es-CO"/>
              </w:rPr>
              <w:t>Daughter</w:t>
            </w:r>
          </w:p>
        </w:tc>
      </w:tr>
      <w:bookmarkEnd w:id="0"/>
    </w:tbl>
    <w:p w14:paraId="49F062A0" w14:textId="77777777" w:rsidR="00797EF7" w:rsidRPr="00506A97" w:rsidRDefault="00797EF7" w:rsidP="001B1FC0">
      <w:pPr>
        <w:ind w:left="810" w:right="720" w:firstLine="720"/>
        <w:jc w:val="both"/>
        <w:rPr>
          <w:rFonts w:ascii="Cambria" w:eastAsia="Times New Roman" w:hAnsi="Cambria" w:cstheme="minorBidi"/>
          <w:color w:val="000000" w:themeColor="text1"/>
          <w:sz w:val="20"/>
          <w:szCs w:val="20"/>
        </w:rPr>
      </w:pPr>
    </w:p>
    <w:p w14:paraId="46A4DBD4" w14:textId="259C5013" w:rsidR="00797EF7" w:rsidRPr="00506A97" w:rsidRDefault="00797EF7" w:rsidP="001B1FC0">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810" w:right="720"/>
        <w:jc w:val="both"/>
        <w:rPr>
          <w:rFonts w:ascii="Cambria" w:eastAsia="MS Mincho" w:hAnsi="Cambria" w:cstheme="minorHAnsi"/>
          <w:bCs/>
          <w:color w:val="000000" w:themeColor="text1"/>
          <w:sz w:val="20"/>
          <w:szCs w:val="20"/>
        </w:rPr>
      </w:pPr>
      <w:r w:rsidRPr="00506A97">
        <w:rPr>
          <w:rFonts w:ascii="Cambria" w:eastAsia="MS Mincho" w:hAnsi="Cambria" w:cstheme="minorHAnsi"/>
          <w:bCs/>
          <w:color w:val="000000" w:themeColor="text1"/>
          <w:sz w:val="20"/>
          <w:szCs w:val="20"/>
        </w:rPr>
        <w:t xml:space="preserve">The victims recognized in this Friendly Settlement Agreement will benefit as long as they prove their </w:t>
      </w:r>
      <w:r w:rsidR="004B1601" w:rsidRPr="00506A97">
        <w:rPr>
          <w:rFonts w:ascii="Cambria" w:eastAsia="MS Mincho" w:hAnsi="Cambria" w:cstheme="minorHAnsi"/>
          <w:bCs/>
          <w:color w:val="000000" w:themeColor="text1"/>
          <w:sz w:val="20"/>
          <w:szCs w:val="20"/>
        </w:rPr>
        <w:t>consanguinity</w:t>
      </w:r>
      <w:r w:rsidRPr="00506A97">
        <w:rPr>
          <w:rFonts w:ascii="Cambria" w:eastAsia="MS Mincho" w:hAnsi="Cambria" w:cstheme="minorHAnsi"/>
          <w:bCs/>
          <w:color w:val="000000" w:themeColor="text1"/>
          <w:sz w:val="20"/>
          <w:szCs w:val="20"/>
        </w:rPr>
        <w:t xml:space="preserve"> to Mr. Mario Antonio Cardona Varela</w:t>
      </w:r>
    </w:p>
    <w:p w14:paraId="3D923D11" w14:textId="77777777" w:rsidR="00797EF7" w:rsidRPr="00506A97" w:rsidRDefault="00797EF7" w:rsidP="001B1FC0">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810" w:right="720" w:firstLine="720"/>
        <w:jc w:val="both"/>
        <w:rPr>
          <w:rFonts w:ascii="Cambria" w:eastAsia="MS Mincho" w:hAnsi="Cambria" w:cstheme="minorHAnsi"/>
          <w:bCs/>
          <w:color w:val="000000" w:themeColor="text1"/>
          <w:sz w:val="20"/>
          <w:szCs w:val="20"/>
        </w:rPr>
      </w:pPr>
    </w:p>
    <w:p w14:paraId="2F112DDF" w14:textId="6DEA5EF1" w:rsidR="00797EF7" w:rsidRPr="00506A97" w:rsidRDefault="00797EF7" w:rsidP="001B1FC0">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810" w:right="720"/>
        <w:jc w:val="both"/>
        <w:rPr>
          <w:rFonts w:ascii="Cambria" w:eastAsia="MS Mincho" w:hAnsi="Cambria" w:cstheme="minorHAnsi"/>
          <w:bCs/>
          <w:color w:val="000000" w:themeColor="text1"/>
          <w:sz w:val="20"/>
          <w:szCs w:val="20"/>
        </w:rPr>
      </w:pPr>
      <w:r w:rsidRPr="00506A97">
        <w:rPr>
          <w:rFonts w:ascii="Cambria" w:eastAsia="MS Mincho" w:hAnsi="Cambria" w:cstheme="minorHAnsi"/>
          <w:bCs/>
          <w:color w:val="000000" w:themeColor="text1"/>
          <w:sz w:val="20"/>
          <w:szCs w:val="20"/>
        </w:rPr>
        <w:t>Additionally, the victims who will benefit from this Friendly Settlement Agreement will be those who were alive at the time of the victimizing act.</w:t>
      </w:r>
      <w:r w:rsidRPr="00506A97">
        <w:rPr>
          <w:rStyle w:val="FootnoteReference"/>
          <w:rFonts w:ascii="Cambria" w:eastAsia="MS Mincho" w:hAnsi="Cambria"/>
          <w:bCs/>
          <w:color w:val="000000" w:themeColor="text1"/>
          <w:sz w:val="20"/>
          <w:szCs w:val="20"/>
        </w:rPr>
        <w:footnoteReference w:id="8"/>
      </w:r>
    </w:p>
    <w:p w14:paraId="53493597" w14:textId="3A99CD61" w:rsidR="00797EF7" w:rsidRPr="00506A97" w:rsidRDefault="00797EF7" w:rsidP="001B1FC0">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810" w:right="720"/>
        <w:jc w:val="both"/>
        <w:rPr>
          <w:rFonts w:ascii="Cambria" w:eastAsia="MS Mincho" w:hAnsi="Cambria" w:cstheme="minorHAnsi"/>
          <w:bCs/>
          <w:color w:val="000000" w:themeColor="text1"/>
          <w:sz w:val="20"/>
          <w:szCs w:val="20"/>
        </w:rPr>
      </w:pPr>
    </w:p>
    <w:p w14:paraId="3968CED1" w14:textId="1608F0BE" w:rsidR="00797EF7" w:rsidRPr="00506A97" w:rsidRDefault="00797EF7" w:rsidP="002D6143">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810" w:right="720"/>
        <w:jc w:val="center"/>
        <w:rPr>
          <w:rFonts w:ascii="Cambria" w:eastAsia="MS Mincho" w:hAnsi="Cambria" w:cstheme="minorHAnsi"/>
          <w:b/>
          <w:color w:val="000000" w:themeColor="text1"/>
          <w:sz w:val="20"/>
          <w:szCs w:val="20"/>
        </w:rPr>
      </w:pPr>
      <w:r w:rsidRPr="00506A97">
        <w:rPr>
          <w:rFonts w:ascii="Cambria" w:eastAsia="MS Mincho" w:hAnsi="Cambria" w:cstheme="minorHAnsi"/>
          <w:b/>
          <w:color w:val="000000" w:themeColor="text1"/>
          <w:sz w:val="20"/>
          <w:szCs w:val="20"/>
        </w:rPr>
        <w:t>FOURTH PART: ACKNOWLEDGMENT OF RESPONSIBILITY</w:t>
      </w:r>
    </w:p>
    <w:p w14:paraId="70086ABC" w14:textId="0DF3939A" w:rsidR="000A73FE" w:rsidRPr="00506A97" w:rsidRDefault="000A73FE" w:rsidP="001B1FC0">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810" w:right="720"/>
        <w:jc w:val="both"/>
        <w:rPr>
          <w:rFonts w:ascii="Cambria" w:eastAsia="MS Mincho" w:hAnsi="Cambria" w:cstheme="minorHAnsi"/>
          <w:b/>
          <w:color w:val="000000" w:themeColor="text1"/>
          <w:sz w:val="20"/>
          <w:szCs w:val="20"/>
        </w:rPr>
      </w:pPr>
    </w:p>
    <w:p w14:paraId="54724499" w14:textId="400A4F08" w:rsidR="000A73FE" w:rsidRPr="00506A97" w:rsidRDefault="000A73FE" w:rsidP="001B1FC0">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810" w:right="720"/>
        <w:jc w:val="both"/>
        <w:rPr>
          <w:rFonts w:ascii="Cambria" w:eastAsia="MS Mincho" w:hAnsi="Cambria" w:cstheme="minorHAnsi"/>
          <w:bCs/>
          <w:color w:val="000000" w:themeColor="text1"/>
          <w:sz w:val="20"/>
          <w:szCs w:val="20"/>
        </w:rPr>
      </w:pPr>
      <w:r w:rsidRPr="00506A97">
        <w:rPr>
          <w:rFonts w:ascii="Cambria" w:eastAsia="MS Mincho" w:hAnsi="Cambria" w:cstheme="minorHAnsi"/>
          <w:bCs/>
          <w:color w:val="000000" w:themeColor="text1"/>
          <w:sz w:val="20"/>
          <w:szCs w:val="20"/>
        </w:rPr>
        <w:t>The Colombian State recognizes its international responsibility for the violation of the rights recognized in articles 4 (life), 5 (humane treatment) and 7 (personal liberty), in relation to the rights recognized in articles 8 (fair trial), 25 (judicial protection) and 1.1 (obligation to respect) of the ACHR, due to the lack of due diligence in the clarification of the facts, to the detriment of the next of kin of Mr. Mario Antonio Cardona Varela.</w:t>
      </w:r>
    </w:p>
    <w:p w14:paraId="6686B70D" w14:textId="5929630F" w:rsidR="000A73FE" w:rsidRPr="00506A97" w:rsidRDefault="000A73FE" w:rsidP="001B1FC0">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810" w:right="720"/>
        <w:jc w:val="both"/>
        <w:rPr>
          <w:rFonts w:ascii="Cambria" w:eastAsia="MS Mincho" w:hAnsi="Cambria" w:cstheme="minorHAnsi"/>
          <w:bCs/>
          <w:color w:val="000000" w:themeColor="text1"/>
          <w:sz w:val="20"/>
          <w:szCs w:val="20"/>
        </w:rPr>
      </w:pPr>
    </w:p>
    <w:p w14:paraId="23CA2186" w14:textId="2B398D65" w:rsidR="000A73FE" w:rsidRPr="00506A97" w:rsidRDefault="000A73FE" w:rsidP="002D6143">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810" w:right="720"/>
        <w:jc w:val="center"/>
        <w:rPr>
          <w:rFonts w:ascii="Cambria" w:eastAsia="MS Mincho" w:hAnsi="Cambria" w:cstheme="minorHAnsi"/>
          <w:b/>
          <w:color w:val="000000" w:themeColor="text1"/>
          <w:sz w:val="20"/>
          <w:szCs w:val="20"/>
        </w:rPr>
      </w:pPr>
      <w:r w:rsidRPr="00506A97">
        <w:rPr>
          <w:rFonts w:ascii="Cambria" w:eastAsia="MS Mincho" w:hAnsi="Cambria" w:cstheme="minorHAnsi"/>
          <w:b/>
          <w:color w:val="000000" w:themeColor="text1"/>
          <w:sz w:val="20"/>
          <w:szCs w:val="20"/>
        </w:rPr>
        <w:t>FIFTH PART: MEASURES OF SATISFACTION</w:t>
      </w:r>
    </w:p>
    <w:p w14:paraId="59F226B2" w14:textId="39C34DAF" w:rsidR="000A73FE" w:rsidRPr="00506A97" w:rsidRDefault="000A73FE" w:rsidP="001B1FC0">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810" w:right="720"/>
        <w:jc w:val="both"/>
        <w:rPr>
          <w:rFonts w:ascii="Cambria" w:eastAsia="MS Mincho" w:hAnsi="Cambria" w:cstheme="minorHAnsi"/>
          <w:b/>
          <w:color w:val="000000" w:themeColor="text1"/>
          <w:sz w:val="20"/>
          <w:szCs w:val="20"/>
        </w:rPr>
      </w:pPr>
    </w:p>
    <w:p w14:paraId="1488164F" w14:textId="05A18D17" w:rsidR="000A73FE" w:rsidRPr="00506A97" w:rsidRDefault="000A73FE" w:rsidP="001B1FC0">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810" w:right="720"/>
        <w:jc w:val="both"/>
        <w:rPr>
          <w:rFonts w:ascii="Cambria" w:eastAsia="MS Mincho" w:hAnsi="Cambria" w:cstheme="minorHAnsi"/>
          <w:bCs/>
          <w:color w:val="000000" w:themeColor="text1"/>
          <w:sz w:val="20"/>
          <w:szCs w:val="20"/>
        </w:rPr>
      </w:pPr>
      <w:r w:rsidRPr="00506A97">
        <w:rPr>
          <w:rFonts w:ascii="Cambria" w:eastAsia="MS Mincho" w:hAnsi="Cambria" w:cstheme="minorHAnsi"/>
          <w:bCs/>
          <w:color w:val="000000" w:themeColor="text1"/>
          <w:sz w:val="20"/>
          <w:szCs w:val="20"/>
        </w:rPr>
        <w:t>The Colombian state commits to carry out the following measures of satisfaction:</w:t>
      </w:r>
    </w:p>
    <w:p w14:paraId="21AE52FF" w14:textId="73ABAA0F" w:rsidR="000A73FE" w:rsidRPr="00506A97" w:rsidRDefault="000A73FE" w:rsidP="001B1FC0">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810" w:right="720"/>
        <w:jc w:val="both"/>
        <w:rPr>
          <w:rFonts w:ascii="Cambria" w:eastAsia="MS Mincho" w:hAnsi="Cambria" w:cstheme="minorHAnsi"/>
          <w:bCs/>
          <w:color w:val="000000" w:themeColor="text1"/>
          <w:sz w:val="20"/>
          <w:szCs w:val="20"/>
        </w:rPr>
      </w:pPr>
    </w:p>
    <w:p w14:paraId="1714F843" w14:textId="77777777" w:rsidR="002C5A17" w:rsidRPr="00506A97" w:rsidRDefault="002C5A17" w:rsidP="001B1FC0">
      <w:pPr>
        <w:pBdr>
          <w:top w:val="none" w:sz="0" w:space="0" w:color="auto"/>
          <w:left w:val="none" w:sz="0" w:space="0" w:color="auto"/>
          <w:bottom w:val="none" w:sz="0" w:space="0" w:color="auto"/>
          <w:right w:val="none" w:sz="0" w:space="0" w:color="auto"/>
          <w:between w:val="none" w:sz="0" w:space="0" w:color="auto"/>
          <w:bar w:val="none" w:sz="0" w:color="auto"/>
        </w:pBdr>
        <w:spacing w:after="240"/>
        <w:ind w:left="810" w:right="720"/>
        <w:jc w:val="both"/>
        <w:rPr>
          <w:rFonts w:asciiTheme="majorHAnsi" w:eastAsia="MS Mincho" w:hAnsiTheme="majorHAnsi"/>
          <w:b/>
          <w:bCs/>
          <w:sz w:val="20"/>
          <w:szCs w:val="20"/>
        </w:rPr>
      </w:pPr>
      <w:r w:rsidRPr="00506A97">
        <w:rPr>
          <w:rFonts w:asciiTheme="majorHAnsi" w:eastAsia="MS Mincho" w:hAnsiTheme="majorHAnsi"/>
          <w:b/>
          <w:bCs/>
          <w:sz w:val="20"/>
          <w:szCs w:val="20"/>
        </w:rPr>
        <w:t>1.1. Act of redress</w:t>
      </w:r>
    </w:p>
    <w:p w14:paraId="0D3C8677" w14:textId="350BC30B" w:rsidR="002C5A17" w:rsidRPr="00506A97" w:rsidRDefault="002C5A17" w:rsidP="001B1FC0">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810" w:right="720"/>
        <w:jc w:val="both"/>
        <w:rPr>
          <w:rFonts w:ascii="Cambria" w:eastAsia="MS Mincho" w:hAnsi="Cambria" w:cstheme="minorHAnsi"/>
          <w:bCs/>
          <w:color w:val="000000" w:themeColor="text1"/>
          <w:sz w:val="20"/>
          <w:szCs w:val="20"/>
        </w:rPr>
      </w:pPr>
      <w:r w:rsidRPr="00506A97">
        <w:rPr>
          <w:rFonts w:ascii="Cambria" w:eastAsia="MS Mincho" w:hAnsi="Cambria" w:cstheme="minorHAnsi"/>
          <w:bCs/>
          <w:color w:val="000000" w:themeColor="text1"/>
          <w:sz w:val="20"/>
          <w:szCs w:val="20"/>
        </w:rPr>
        <w:t xml:space="preserve">The Colombian State will carry out a Private Act of Acknowledgment of Responsibility, which </w:t>
      </w:r>
      <w:r w:rsidR="00EC3A79" w:rsidRPr="00506A97">
        <w:rPr>
          <w:rFonts w:ascii="Cambria" w:eastAsia="MS Mincho" w:hAnsi="Cambria" w:cstheme="minorHAnsi"/>
          <w:bCs/>
          <w:color w:val="000000" w:themeColor="text1"/>
          <w:sz w:val="20"/>
          <w:szCs w:val="20"/>
        </w:rPr>
        <w:t>shall be held</w:t>
      </w:r>
      <w:r w:rsidRPr="00506A97">
        <w:rPr>
          <w:rFonts w:ascii="Cambria" w:eastAsia="MS Mincho" w:hAnsi="Cambria" w:cstheme="minorHAnsi"/>
          <w:bCs/>
          <w:color w:val="000000" w:themeColor="text1"/>
          <w:sz w:val="20"/>
          <w:szCs w:val="20"/>
        </w:rPr>
        <w:t xml:space="preserve"> virtually with the participation of the next of kin of Mr. Mario Antonio Cardona </w:t>
      </w:r>
      <w:r w:rsidRPr="00506A97">
        <w:rPr>
          <w:rFonts w:ascii="Cambria" w:eastAsia="MS Mincho" w:hAnsi="Cambria" w:cstheme="minorHAnsi"/>
          <w:bCs/>
          <w:color w:val="000000" w:themeColor="text1"/>
          <w:sz w:val="20"/>
          <w:szCs w:val="20"/>
        </w:rPr>
        <w:lastRenderedPageBreak/>
        <w:t>Varela and his representatives. The act will be carried out in accordance with the acknowledgment of responsibility indicated in this Agreement.</w:t>
      </w:r>
    </w:p>
    <w:p w14:paraId="65FF32E2" w14:textId="77777777" w:rsidR="002C5A17" w:rsidRPr="00506A97" w:rsidRDefault="002C5A17" w:rsidP="001B1FC0">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810" w:right="720"/>
        <w:jc w:val="both"/>
        <w:rPr>
          <w:rFonts w:ascii="Cambria" w:eastAsia="MS Mincho" w:hAnsi="Cambria" w:cstheme="minorHAnsi"/>
          <w:bCs/>
          <w:color w:val="000000" w:themeColor="text1"/>
          <w:sz w:val="20"/>
          <w:szCs w:val="20"/>
        </w:rPr>
      </w:pPr>
    </w:p>
    <w:p w14:paraId="1BA80001" w14:textId="7C85299A" w:rsidR="002C5A17" w:rsidRPr="00506A97" w:rsidRDefault="002C5A17" w:rsidP="001B1FC0">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810" w:right="720"/>
        <w:jc w:val="both"/>
        <w:rPr>
          <w:rFonts w:ascii="Cambria" w:eastAsia="MS Mincho" w:hAnsi="Cambria" w:cstheme="minorHAnsi"/>
          <w:bCs/>
          <w:color w:val="000000" w:themeColor="text1"/>
          <w:sz w:val="20"/>
          <w:szCs w:val="20"/>
        </w:rPr>
      </w:pPr>
      <w:r w:rsidRPr="00506A97">
        <w:rPr>
          <w:rFonts w:ascii="Cambria" w:eastAsia="MS Mincho" w:hAnsi="Cambria" w:cstheme="minorHAnsi"/>
          <w:bCs/>
          <w:color w:val="000000" w:themeColor="text1"/>
          <w:sz w:val="20"/>
          <w:szCs w:val="20"/>
        </w:rPr>
        <w:t>This measure will be in charge of the National Agency for Legal Defense of the State.</w:t>
      </w:r>
    </w:p>
    <w:p w14:paraId="1B99E3A5" w14:textId="79BEFD97" w:rsidR="00201DCC" w:rsidRPr="00506A97" w:rsidRDefault="00201DCC" w:rsidP="001B1FC0">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810" w:right="720"/>
        <w:jc w:val="both"/>
        <w:rPr>
          <w:rFonts w:ascii="Cambria" w:eastAsia="MS Mincho" w:hAnsi="Cambria" w:cstheme="minorHAnsi"/>
          <w:bCs/>
          <w:color w:val="000000" w:themeColor="text1"/>
          <w:sz w:val="20"/>
          <w:szCs w:val="20"/>
        </w:rPr>
      </w:pPr>
    </w:p>
    <w:p w14:paraId="1A98DF4D" w14:textId="0EB0C0CD" w:rsidR="00201DCC" w:rsidRPr="00506A97" w:rsidRDefault="00201DCC" w:rsidP="001B1FC0">
      <w:pPr>
        <w:pBdr>
          <w:top w:val="none" w:sz="0" w:space="0" w:color="auto"/>
          <w:left w:val="none" w:sz="0" w:space="0" w:color="auto"/>
          <w:bottom w:val="none" w:sz="0" w:space="0" w:color="auto"/>
          <w:right w:val="none" w:sz="0" w:space="0" w:color="auto"/>
          <w:between w:val="none" w:sz="0" w:space="0" w:color="auto"/>
          <w:bar w:val="none" w:sz="0" w:color="auto"/>
        </w:pBdr>
        <w:spacing w:after="240"/>
        <w:ind w:left="810" w:right="720"/>
        <w:jc w:val="both"/>
        <w:rPr>
          <w:rFonts w:asciiTheme="majorHAnsi" w:eastAsia="MS Mincho" w:hAnsiTheme="majorHAnsi"/>
          <w:b/>
          <w:bCs/>
          <w:sz w:val="20"/>
          <w:szCs w:val="20"/>
        </w:rPr>
      </w:pPr>
      <w:r w:rsidRPr="00506A97">
        <w:rPr>
          <w:rFonts w:asciiTheme="majorHAnsi" w:eastAsia="MS Mincho" w:hAnsiTheme="majorHAnsi"/>
          <w:b/>
          <w:bCs/>
          <w:sz w:val="20"/>
          <w:szCs w:val="20"/>
        </w:rPr>
        <w:t>1.2. Publication of th</w:t>
      </w:r>
      <w:r w:rsidR="004965C5" w:rsidRPr="00506A97">
        <w:rPr>
          <w:rFonts w:asciiTheme="majorHAnsi" w:eastAsia="MS Mincho" w:hAnsiTheme="majorHAnsi"/>
          <w:b/>
          <w:bCs/>
          <w:sz w:val="20"/>
          <w:szCs w:val="20"/>
        </w:rPr>
        <w:t>e Art. 49 report:</w:t>
      </w:r>
    </w:p>
    <w:p w14:paraId="2DE142A7" w14:textId="2A84DCC9" w:rsidR="004965C5" w:rsidRPr="00506A97" w:rsidRDefault="004965C5" w:rsidP="001B1FC0">
      <w:pPr>
        <w:pBdr>
          <w:top w:val="none" w:sz="0" w:space="0" w:color="auto"/>
          <w:left w:val="none" w:sz="0" w:space="0" w:color="auto"/>
          <w:bottom w:val="none" w:sz="0" w:space="0" w:color="auto"/>
          <w:right w:val="none" w:sz="0" w:space="0" w:color="auto"/>
          <w:between w:val="none" w:sz="0" w:space="0" w:color="auto"/>
          <w:bar w:val="none" w:sz="0" w:color="auto"/>
        </w:pBdr>
        <w:spacing w:after="240"/>
        <w:ind w:left="810" w:right="720"/>
        <w:jc w:val="both"/>
        <w:rPr>
          <w:rFonts w:asciiTheme="majorHAnsi" w:eastAsia="MS Mincho" w:hAnsiTheme="majorHAnsi"/>
          <w:sz w:val="20"/>
          <w:szCs w:val="20"/>
        </w:rPr>
      </w:pPr>
      <w:r w:rsidRPr="00506A97">
        <w:rPr>
          <w:rFonts w:asciiTheme="majorHAnsi" w:eastAsia="MS Mincho" w:hAnsiTheme="majorHAnsi"/>
          <w:sz w:val="20"/>
          <w:szCs w:val="20"/>
        </w:rPr>
        <w:t xml:space="preserve">The Colombian State will publish the Report on Article 49 of the ACHR, once it is issued by the Inter-American Commission on Human Rights, on the website of the National Agency for Legal Defense of the State, for a term of six (6) months. </w:t>
      </w:r>
    </w:p>
    <w:p w14:paraId="2F138317" w14:textId="05514CE5" w:rsidR="00201DCC" w:rsidRPr="00506A97" w:rsidRDefault="004965C5" w:rsidP="002D6143">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810" w:right="720"/>
        <w:jc w:val="center"/>
        <w:rPr>
          <w:rFonts w:ascii="Cambria" w:eastAsia="MS Mincho" w:hAnsi="Cambria" w:cstheme="minorHAnsi"/>
          <w:b/>
          <w:color w:val="000000" w:themeColor="text1"/>
          <w:sz w:val="20"/>
          <w:szCs w:val="20"/>
        </w:rPr>
      </w:pPr>
      <w:r w:rsidRPr="00506A97">
        <w:rPr>
          <w:rFonts w:ascii="Cambria" w:eastAsia="MS Mincho" w:hAnsi="Cambria" w:cstheme="minorHAnsi"/>
          <w:b/>
          <w:color w:val="000000" w:themeColor="text1"/>
          <w:sz w:val="20"/>
          <w:szCs w:val="20"/>
        </w:rPr>
        <w:t>SIXTH PART: REPARATION MEASURES</w:t>
      </w:r>
    </w:p>
    <w:p w14:paraId="1AFFA34B" w14:textId="5C282D44" w:rsidR="004965C5" w:rsidRPr="00506A97" w:rsidRDefault="004965C5" w:rsidP="001B1FC0">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810" w:right="720"/>
        <w:jc w:val="both"/>
        <w:rPr>
          <w:rFonts w:ascii="Cambria" w:eastAsia="MS Mincho" w:hAnsi="Cambria" w:cstheme="minorHAnsi"/>
          <w:b/>
          <w:color w:val="000000" w:themeColor="text1"/>
          <w:sz w:val="20"/>
          <w:szCs w:val="20"/>
        </w:rPr>
      </w:pPr>
    </w:p>
    <w:p w14:paraId="5D239CC3" w14:textId="191763B8" w:rsidR="004965C5" w:rsidRPr="00506A97" w:rsidRDefault="004965C5" w:rsidP="001B1FC0">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810" w:right="720"/>
        <w:jc w:val="both"/>
        <w:rPr>
          <w:rFonts w:ascii="Cambria" w:eastAsia="MS Mincho" w:hAnsi="Cambria" w:cstheme="minorHAnsi"/>
          <w:bCs/>
          <w:color w:val="000000" w:themeColor="text1"/>
          <w:sz w:val="20"/>
          <w:szCs w:val="20"/>
        </w:rPr>
      </w:pPr>
      <w:r w:rsidRPr="00506A97">
        <w:rPr>
          <w:rFonts w:ascii="Cambria" w:eastAsia="MS Mincho" w:hAnsi="Cambria" w:cstheme="minorHAnsi"/>
          <w:bCs/>
          <w:color w:val="000000" w:themeColor="text1"/>
          <w:sz w:val="20"/>
          <w:szCs w:val="20"/>
        </w:rPr>
        <w:t xml:space="preserve">The State undertakes to initiate the processing of Law 288 of 1996 “By means of which instruments are established for the compensation of non-pecuniary and material damages to the victims of human rights violations by virtue of the provisions of certain international organs of Human Rights”, once this friendly settlement agreement is approved through the issuance of the Report </w:t>
      </w:r>
      <w:r w:rsidR="00EE3AEF" w:rsidRPr="00506A97">
        <w:rPr>
          <w:rFonts w:ascii="Cambria" w:eastAsia="MS Mincho" w:hAnsi="Cambria" w:cstheme="minorHAnsi"/>
          <w:bCs/>
          <w:color w:val="000000" w:themeColor="text1"/>
          <w:sz w:val="20"/>
          <w:szCs w:val="20"/>
        </w:rPr>
        <w:t>of</w:t>
      </w:r>
      <w:r w:rsidRPr="00506A97">
        <w:rPr>
          <w:rFonts w:ascii="Cambria" w:eastAsia="MS Mincho" w:hAnsi="Cambria" w:cstheme="minorHAnsi"/>
          <w:bCs/>
          <w:color w:val="000000" w:themeColor="text1"/>
          <w:sz w:val="20"/>
          <w:szCs w:val="20"/>
        </w:rPr>
        <w:t xml:space="preserve"> Article 49 of the American Convention on Human Rights, with the purpose of repairing the damages caused to the next of kin of the victims </w:t>
      </w:r>
      <w:r w:rsidR="00EE3AEF" w:rsidRPr="00506A97">
        <w:rPr>
          <w:rFonts w:ascii="Cambria" w:eastAsia="MS Mincho" w:hAnsi="Cambria" w:cstheme="minorHAnsi"/>
          <w:bCs/>
          <w:color w:val="000000" w:themeColor="text1"/>
          <w:sz w:val="20"/>
          <w:szCs w:val="20"/>
        </w:rPr>
        <w:t>resulting from</w:t>
      </w:r>
      <w:r w:rsidRPr="00506A97">
        <w:rPr>
          <w:rFonts w:ascii="Cambria" w:eastAsia="MS Mincho" w:hAnsi="Cambria" w:cstheme="minorHAnsi"/>
          <w:bCs/>
          <w:color w:val="000000" w:themeColor="text1"/>
          <w:sz w:val="20"/>
          <w:szCs w:val="20"/>
        </w:rPr>
        <w:t xml:space="preserve"> the damages generated by the facts of this case.</w:t>
      </w:r>
    </w:p>
    <w:p w14:paraId="3A41C32D" w14:textId="77777777" w:rsidR="004965C5" w:rsidRPr="00506A97" w:rsidRDefault="004965C5" w:rsidP="001B1FC0">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810" w:right="720"/>
        <w:jc w:val="both"/>
        <w:rPr>
          <w:rFonts w:ascii="Cambria" w:eastAsia="MS Mincho" w:hAnsi="Cambria" w:cstheme="minorHAnsi"/>
          <w:bCs/>
          <w:color w:val="000000" w:themeColor="text1"/>
          <w:sz w:val="20"/>
          <w:szCs w:val="20"/>
        </w:rPr>
      </w:pPr>
    </w:p>
    <w:p w14:paraId="07E96321" w14:textId="1553D647" w:rsidR="004965C5" w:rsidRPr="00506A97" w:rsidRDefault="004965C5" w:rsidP="001B1FC0">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810" w:right="720"/>
        <w:jc w:val="both"/>
        <w:rPr>
          <w:rFonts w:ascii="Cambria" w:eastAsia="MS Mincho" w:hAnsi="Cambria" w:cstheme="minorHAnsi"/>
          <w:bCs/>
          <w:color w:val="000000" w:themeColor="text1"/>
          <w:sz w:val="20"/>
          <w:szCs w:val="20"/>
        </w:rPr>
      </w:pPr>
      <w:r w:rsidRPr="00506A97">
        <w:rPr>
          <w:rFonts w:ascii="Cambria" w:eastAsia="MS Mincho" w:hAnsi="Cambria" w:cstheme="minorHAnsi"/>
          <w:bCs/>
          <w:color w:val="000000" w:themeColor="text1"/>
          <w:sz w:val="20"/>
          <w:szCs w:val="20"/>
        </w:rPr>
        <w:t xml:space="preserve">The National Agency for Legal Defense of the State will be the entity in charge of </w:t>
      </w:r>
      <w:r w:rsidR="00EE3AEF" w:rsidRPr="00506A97">
        <w:rPr>
          <w:rFonts w:ascii="Cambria" w:eastAsia="MS Mincho" w:hAnsi="Cambria" w:cstheme="minorHAnsi"/>
          <w:bCs/>
          <w:color w:val="000000" w:themeColor="text1"/>
          <w:sz w:val="20"/>
          <w:szCs w:val="20"/>
        </w:rPr>
        <w:t xml:space="preserve">carrying out </w:t>
      </w:r>
      <w:r w:rsidRPr="00506A97">
        <w:rPr>
          <w:rFonts w:ascii="Cambria" w:eastAsia="MS Mincho" w:hAnsi="Cambria" w:cstheme="minorHAnsi"/>
          <w:bCs/>
          <w:color w:val="000000" w:themeColor="text1"/>
          <w:sz w:val="20"/>
          <w:szCs w:val="20"/>
        </w:rPr>
        <w:t>the process of Law 288 of 1996.</w:t>
      </w:r>
    </w:p>
    <w:p w14:paraId="1F8C8AEF" w14:textId="77777777" w:rsidR="004965C5" w:rsidRPr="00506A97" w:rsidRDefault="004965C5" w:rsidP="001B1FC0">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810" w:right="720"/>
        <w:jc w:val="both"/>
        <w:rPr>
          <w:rFonts w:ascii="Cambria" w:eastAsia="MS Mincho" w:hAnsi="Cambria" w:cstheme="minorHAnsi"/>
          <w:bCs/>
          <w:color w:val="000000" w:themeColor="text1"/>
          <w:sz w:val="20"/>
          <w:szCs w:val="20"/>
        </w:rPr>
      </w:pPr>
    </w:p>
    <w:p w14:paraId="0C5D6C50" w14:textId="4C501485" w:rsidR="004965C5" w:rsidRPr="00506A97" w:rsidRDefault="004965C5" w:rsidP="001B1FC0">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810" w:right="720"/>
        <w:jc w:val="both"/>
        <w:rPr>
          <w:rFonts w:ascii="Cambria" w:eastAsia="MS Mincho" w:hAnsi="Cambria" w:cstheme="minorHAnsi"/>
          <w:bCs/>
          <w:color w:val="000000" w:themeColor="text1"/>
          <w:sz w:val="20"/>
          <w:szCs w:val="20"/>
        </w:rPr>
      </w:pPr>
      <w:r w:rsidRPr="00506A97">
        <w:rPr>
          <w:rFonts w:ascii="Cambria" w:eastAsia="MS Mincho" w:hAnsi="Cambria" w:cstheme="minorHAnsi"/>
          <w:bCs/>
          <w:color w:val="000000" w:themeColor="text1"/>
          <w:sz w:val="20"/>
          <w:szCs w:val="20"/>
        </w:rPr>
        <w:t>For compensation purposes, the criteria and amounts recognized by the current jurisprudence of the Council of State will be used.</w:t>
      </w:r>
    </w:p>
    <w:p w14:paraId="37300B08" w14:textId="49240E25" w:rsidR="00EE3AEF" w:rsidRPr="00506A97" w:rsidRDefault="00EE3AEF" w:rsidP="001B1FC0">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810" w:right="720"/>
        <w:jc w:val="both"/>
        <w:rPr>
          <w:rFonts w:ascii="Cambria" w:eastAsia="MS Mincho" w:hAnsi="Cambria" w:cstheme="minorHAnsi"/>
          <w:bCs/>
          <w:color w:val="000000" w:themeColor="text1"/>
          <w:sz w:val="20"/>
          <w:szCs w:val="20"/>
        </w:rPr>
      </w:pPr>
    </w:p>
    <w:p w14:paraId="073F6BED" w14:textId="7C271F7D" w:rsidR="00EE3AEF" w:rsidRPr="00506A97" w:rsidRDefault="00EE3AEF" w:rsidP="002D6143">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810" w:right="720"/>
        <w:jc w:val="center"/>
        <w:rPr>
          <w:rFonts w:ascii="Cambria" w:eastAsia="MS Mincho" w:hAnsi="Cambria" w:cstheme="minorHAnsi"/>
          <w:b/>
          <w:color w:val="000000" w:themeColor="text1"/>
          <w:sz w:val="20"/>
          <w:szCs w:val="20"/>
        </w:rPr>
      </w:pPr>
      <w:r w:rsidRPr="00506A97">
        <w:rPr>
          <w:rFonts w:ascii="Cambria" w:eastAsia="MS Mincho" w:hAnsi="Cambria" w:cstheme="minorHAnsi"/>
          <w:b/>
          <w:color w:val="000000" w:themeColor="text1"/>
          <w:sz w:val="20"/>
          <w:szCs w:val="20"/>
        </w:rPr>
        <w:t>SEVENTH PART: APPROVAL AND MONITORING</w:t>
      </w:r>
    </w:p>
    <w:p w14:paraId="03F004C3" w14:textId="29F3542E" w:rsidR="00EE3AEF" w:rsidRPr="00506A97" w:rsidRDefault="00EE3AEF" w:rsidP="001B1FC0">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810" w:right="720"/>
        <w:jc w:val="both"/>
        <w:rPr>
          <w:rFonts w:ascii="Cambria" w:eastAsia="MS Mincho" w:hAnsi="Cambria" w:cstheme="minorHAnsi"/>
          <w:b/>
          <w:color w:val="000000" w:themeColor="text1"/>
          <w:sz w:val="20"/>
          <w:szCs w:val="20"/>
        </w:rPr>
      </w:pPr>
    </w:p>
    <w:p w14:paraId="76F12A0C" w14:textId="0EB74B1A" w:rsidR="00EE3AEF" w:rsidRPr="00506A97" w:rsidRDefault="00EE3AEF" w:rsidP="001B1FC0">
      <w:pPr>
        <w:pBdr>
          <w:top w:val="none" w:sz="0" w:space="0" w:color="auto"/>
          <w:left w:val="none" w:sz="0" w:space="0" w:color="auto"/>
          <w:bottom w:val="none" w:sz="0" w:space="0" w:color="auto"/>
          <w:right w:val="none" w:sz="0" w:space="0" w:color="auto"/>
          <w:between w:val="none" w:sz="0" w:space="0" w:color="auto"/>
          <w:bar w:val="none" w:sz="0" w:color="auto"/>
        </w:pBdr>
        <w:spacing w:after="240"/>
        <w:ind w:left="810" w:right="720"/>
        <w:jc w:val="both"/>
        <w:rPr>
          <w:rFonts w:asciiTheme="majorHAnsi" w:eastAsia="MS Mincho" w:hAnsiTheme="majorHAnsi"/>
          <w:sz w:val="20"/>
          <w:szCs w:val="20"/>
        </w:rPr>
      </w:pPr>
      <w:r w:rsidRPr="00506A97">
        <w:rPr>
          <w:rFonts w:asciiTheme="majorHAnsi" w:eastAsia="MS Mincho" w:hAnsiTheme="majorHAnsi"/>
          <w:sz w:val="20"/>
          <w:szCs w:val="20"/>
        </w:rPr>
        <w:t>The parties request that the Inter-American Commission on Human Rights approves this agreement and supervises its implementation.</w:t>
      </w:r>
    </w:p>
    <w:p w14:paraId="0D39F7D9" w14:textId="77777777" w:rsidR="00797EF7" w:rsidRPr="00506A97" w:rsidRDefault="00797EF7"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Cambria" w:eastAsia="MS Mincho" w:hAnsi="Cambria" w:cstheme="minorHAnsi"/>
          <w:b/>
          <w:color w:val="000000" w:themeColor="text1"/>
          <w:sz w:val="20"/>
          <w:szCs w:val="20"/>
        </w:rPr>
      </w:pPr>
    </w:p>
    <w:p w14:paraId="6C029D3D" w14:textId="77777777" w:rsidR="002A65AC" w:rsidRPr="00506A97" w:rsidRDefault="00FA675D" w:rsidP="00DA37B6">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Times New Roman" w:cstheme="minorHAnsi"/>
          <w:b/>
          <w:bCs/>
          <w:color w:val="000000" w:themeColor="text1"/>
          <w:sz w:val="20"/>
          <w:szCs w:val="20"/>
          <w:lang w:eastAsia="es-ES_tradnl"/>
        </w:rPr>
      </w:pPr>
      <w:r w:rsidRPr="00506A97">
        <w:rPr>
          <w:rFonts w:eastAsia="MS Mincho" w:cstheme="minorHAnsi"/>
          <w:b/>
          <w:color w:val="000000" w:themeColor="text1"/>
          <w:sz w:val="20"/>
          <w:szCs w:val="20"/>
        </w:rPr>
        <w:t xml:space="preserve">DETERMINATION OF COMPATIBILITY AND COMPLIANCE </w:t>
      </w:r>
    </w:p>
    <w:p w14:paraId="3B571589" w14:textId="77777777" w:rsidR="002A65AC" w:rsidRPr="00506A97" w:rsidRDefault="002A65AC" w:rsidP="002A65AC">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MS Mincho" w:cstheme="minorHAnsi"/>
          <w:b/>
          <w:color w:val="000000" w:themeColor="text1"/>
          <w:sz w:val="20"/>
          <w:szCs w:val="20"/>
        </w:rPr>
      </w:pPr>
    </w:p>
    <w:p w14:paraId="6F28C327" w14:textId="5341AF35" w:rsidR="00EE3AEF" w:rsidRPr="00506A97" w:rsidRDefault="00EE3AEF" w:rsidP="00EE3AEF">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MS Mincho" w:cstheme="minorBidi"/>
          <w:color w:val="000000" w:themeColor="text1"/>
          <w:sz w:val="20"/>
          <w:szCs w:val="20"/>
          <w:bdr w:val="none" w:sz="0" w:space="0" w:color="auto" w:frame="1"/>
        </w:rPr>
      </w:pPr>
      <w:r w:rsidRPr="00506A97">
        <w:rPr>
          <w:rFonts w:eastAsia="MS Mincho" w:cstheme="minorBidi"/>
          <w:color w:val="000000" w:themeColor="text1"/>
          <w:sz w:val="20"/>
          <w:szCs w:val="20"/>
          <w:bdr w:val="none" w:sz="0" w:space="0" w:color="auto" w:frame="1"/>
        </w:rPr>
        <w:t xml:space="preserve">The IACHR reiterates that according to Articles 48.1.f and 49 of the American Convention, the purpose of this procedure is “to reach a friendly settlement of the matter based on respect for the human rights recognized in the Convention.” The acceptance of carrying out this procedure expresses the good faith of the State to comply with the purposes and objectives of the Convention by virtue of the principle </w:t>
      </w:r>
      <w:r w:rsidRPr="00506A97">
        <w:rPr>
          <w:rFonts w:eastAsia="MS Mincho" w:cstheme="minorBidi"/>
          <w:i/>
          <w:iCs/>
          <w:color w:val="000000" w:themeColor="text1"/>
          <w:sz w:val="20"/>
          <w:szCs w:val="20"/>
          <w:bdr w:val="none" w:sz="0" w:space="0" w:color="auto" w:frame="1"/>
        </w:rPr>
        <w:t>pacta sunt servanda</w:t>
      </w:r>
      <w:r w:rsidRPr="00506A97">
        <w:rPr>
          <w:rFonts w:eastAsia="MS Mincho" w:cstheme="minorBidi"/>
          <w:color w:val="000000" w:themeColor="text1"/>
          <w:sz w:val="20"/>
          <w:szCs w:val="20"/>
          <w:bdr w:val="none" w:sz="0" w:space="0" w:color="auto" w:frame="1"/>
        </w:rPr>
        <w:t>, by which the States must comply in good faith with the obligations assumed in the treaties.</w:t>
      </w:r>
      <w:r w:rsidRPr="00506A97">
        <w:rPr>
          <w:rStyle w:val="FootnoteReference"/>
          <w:rFonts w:eastAsia="MS Mincho"/>
          <w:color w:val="000000" w:themeColor="text1"/>
          <w:sz w:val="20"/>
          <w:szCs w:val="20"/>
          <w:bdr w:val="none" w:sz="0" w:space="0" w:color="auto" w:frame="1"/>
        </w:rPr>
        <w:footnoteReference w:id="9"/>
      </w:r>
      <w:r w:rsidRPr="00506A97">
        <w:rPr>
          <w:rFonts w:eastAsia="MS Mincho" w:cstheme="minorBidi"/>
          <w:color w:val="000000" w:themeColor="text1"/>
          <w:sz w:val="20"/>
          <w:szCs w:val="20"/>
          <w:bdr w:val="none" w:sz="0" w:space="0" w:color="auto" w:frame="1"/>
        </w:rPr>
        <w:t xml:space="preserve"> The Commission also wishes to reiterate that the friendly settlement procedure contemplated in the Convention allows the termination of individual cases in a non-contentious manner, and has shown, in cases involving various countries, to offer an important vehicle for settlement, which can be used by both parties.</w:t>
      </w:r>
    </w:p>
    <w:p w14:paraId="09D3966C" w14:textId="77777777" w:rsidR="00EE3AEF" w:rsidRPr="00506A97" w:rsidRDefault="00EE3AEF" w:rsidP="00EE3AEF">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eastAsia="MS Mincho" w:cstheme="minorBidi"/>
          <w:color w:val="000000" w:themeColor="text1"/>
          <w:sz w:val="20"/>
          <w:szCs w:val="20"/>
          <w:bdr w:val="none" w:sz="0" w:space="0" w:color="auto" w:frame="1"/>
        </w:rPr>
      </w:pPr>
    </w:p>
    <w:p w14:paraId="77B32A88" w14:textId="1F464E98" w:rsidR="002A65AC" w:rsidRPr="00506A97" w:rsidRDefault="00EE3AEF" w:rsidP="002A65AC">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MS Mincho" w:cstheme="minorBidi"/>
          <w:color w:val="000000" w:themeColor="text1"/>
          <w:sz w:val="20"/>
          <w:szCs w:val="20"/>
          <w:bdr w:val="none" w:sz="0" w:space="0" w:color="auto" w:frame="1"/>
        </w:rPr>
      </w:pPr>
      <w:r w:rsidRPr="00506A97">
        <w:rPr>
          <w:rFonts w:eastAsia="MS Mincho" w:cstheme="minorBidi"/>
          <w:color w:val="000000" w:themeColor="text1"/>
          <w:sz w:val="20"/>
          <w:szCs w:val="20"/>
          <w:bdr w:val="none" w:sz="0" w:space="0" w:color="auto" w:frame="1"/>
        </w:rPr>
        <w:t>The Inter-American Commission has closely followed the development of the friendly settlement reached in the</w:t>
      </w:r>
      <w:r w:rsidR="0099658A" w:rsidRPr="00506A97">
        <w:rPr>
          <w:rFonts w:eastAsia="MS Mincho" w:cstheme="minorBidi"/>
          <w:color w:val="000000" w:themeColor="text1"/>
          <w:sz w:val="20"/>
          <w:szCs w:val="20"/>
          <w:bdr w:val="none" w:sz="0" w:space="0" w:color="auto" w:frame="1"/>
        </w:rPr>
        <w:t xml:space="preserve"> present</w:t>
      </w:r>
      <w:r w:rsidRPr="00506A97">
        <w:rPr>
          <w:rFonts w:eastAsia="MS Mincho" w:cstheme="minorBidi"/>
          <w:color w:val="000000" w:themeColor="text1"/>
          <w:sz w:val="20"/>
          <w:szCs w:val="20"/>
          <w:bdr w:val="none" w:sz="0" w:space="0" w:color="auto" w:frame="1"/>
        </w:rPr>
        <w:t xml:space="preserve"> case and highly values ​​the efforts made by both parties during the negotiation of the agreement to reach this friendly settlement, which is compatible with the object and purpose of the Convention. </w:t>
      </w:r>
    </w:p>
    <w:p w14:paraId="43A67B39" w14:textId="77777777" w:rsidR="002D716C" w:rsidRPr="00506A97" w:rsidRDefault="002D716C" w:rsidP="002D716C">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eastAsia="MS Mincho" w:cstheme="minorBidi"/>
          <w:color w:val="000000" w:themeColor="text1"/>
          <w:sz w:val="20"/>
          <w:szCs w:val="20"/>
          <w:bdr w:val="none" w:sz="0" w:space="0" w:color="auto" w:frame="1"/>
        </w:rPr>
      </w:pPr>
    </w:p>
    <w:p w14:paraId="209FB0C4" w14:textId="77777777" w:rsidR="002D716C" w:rsidRPr="00506A97" w:rsidRDefault="002D716C" w:rsidP="002D716C">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MS Mincho" w:cstheme="minorBidi"/>
          <w:color w:val="000000" w:themeColor="text1"/>
          <w:sz w:val="20"/>
          <w:szCs w:val="20"/>
          <w:bdr w:val="none" w:sz="0" w:space="0" w:color="auto" w:frame="1"/>
        </w:rPr>
      </w:pPr>
      <w:r w:rsidRPr="00506A97">
        <w:rPr>
          <w:rFonts w:eastAsia="MS Mincho" w:cstheme="minorBidi"/>
          <w:color w:val="000000" w:themeColor="text1"/>
          <w:sz w:val="20"/>
          <w:szCs w:val="20"/>
          <w:bdr w:val="none" w:sz="0" w:space="0" w:color="auto" w:frame="1"/>
        </w:rPr>
        <w:t>Likewise, in accordance with the provisions of clause seven of the Friendly Settlement Agreement, the parties requested its approval, as established in Article 49 of the American Convention.</w:t>
      </w:r>
    </w:p>
    <w:p w14:paraId="294D211A" w14:textId="77777777" w:rsidR="002D716C" w:rsidRPr="00506A97" w:rsidRDefault="002D716C" w:rsidP="002D716C">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eastAsia="MS Mincho" w:cstheme="minorBidi"/>
          <w:color w:val="000000" w:themeColor="text1"/>
          <w:sz w:val="20"/>
          <w:szCs w:val="20"/>
          <w:bdr w:val="none" w:sz="0" w:space="0" w:color="auto" w:frame="1"/>
        </w:rPr>
      </w:pPr>
    </w:p>
    <w:p w14:paraId="0EFBAA61" w14:textId="7C1B6B29" w:rsidR="002D716C" w:rsidRPr="00506A97" w:rsidRDefault="002D716C" w:rsidP="002D716C">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MS Mincho" w:cstheme="minorBidi"/>
          <w:color w:val="000000" w:themeColor="text1"/>
          <w:sz w:val="20"/>
          <w:szCs w:val="20"/>
          <w:bdr w:val="none" w:sz="0" w:space="0" w:color="auto" w:frame="1"/>
        </w:rPr>
      </w:pPr>
      <w:r w:rsidRPr="00506A97">
        <w:rPr>
          <w:rFonts w:eastAsia="MS Mincho" w:cstheme="minorBidi"/>
          <w:color w:val="000000" w:themeColor="text1"/>
          <w:sz w:val="20"/>
          <w:szCs w:val="20"/>
          <w:bdr w:val="none" w:sz="0" w:space="0" w:color="auto" w:frame="1"/>
        </w:rPr>
        <w:lastRenderedPageBreak/>
        <w:t>The IACHR observes that, given the information provided by the parties up to that point and the request for approval of the FSA submitted by the parties to the Commission, it is appropriate to assess compliance with the commitments established in the friendly settlement agreement.</w:t>
      </w:r>
    </w:p>
    <w:p w14:paraId="67C40D19" w14:textId="77777777" w:rsidR="002D716C" w:rsidRPr="00506A97" w:rsidRDefault="002D716C" w:rsidP="002D716C">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eastAsia="MS Mincho" w:cstheme="minorBidi"/>
          <w:color w:val="000000" w:themeColor="text1"/>
          <w:sz w:val="20"/>
          <w:szCs w:val="20"/>
          <w:bdr w:val="none" w:sz="0" w:space="0" w:color="auto" w:frame="1"/>
        </w:rPr>
      </w:pPr>
    </w:p>
    <w:p w14:paraId="67376B52" w14:textId="4F8E5C5A" w:rsidR="002D716C" w:rsidRPr="00506A97" w:rsidRDefault="002D716C" w:rsidP="002D716C">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MS Mincho" w:cstheme="minorBidi"/>
          <w:color w:val="000000" w:themeColor="text1"/>
          <w:sz w:val="20"/>
          <w:szCs w:val="20"/>
          <w:bdr w:val="none" w:sz="0" w:space="0" w:color="auto" w:frame="1"/>
        </w:rPr>
      </w:pPr>
      <w:r w:rsidRPr="00506A97">
        <w:rPr>
          <w:rFonts w:eastAsia="MS Mincho" w:cstheme="minorBidi"/>
          <w:color w:val="000000" w:themeColor="text1"/>
          <w:sz w:val="20"/>
          <w:szCs w:val="20"/>
          <w:bdr w:val="none" w:sz="0" w:space="0" w:color="auto" w:frame="1"/>
        </w:rPr>
        <w:t xml:space="preserve">The Commission considers that </w:t>
      </w:r>
      <w:r w:rsidR="002D6143" w:rsidRPr="00506A97">
        <w:rPr>
          <w:rFonts w:eastAsia="MS Mincho" w:cstheme="minorBidi"/>
          <w:color w:val="000000" w:themeColor="text1"/>
          <w:sz w:val="20"/>
          <w:szCs w:val="20"/>
          <w:bdr w:val="none" w:sz="0" w:space="0" w:color="auto" w:frame="1"/>
        </w:rPr>
        <w:t>clauses</w:t>
      </w:r>
      <w:r w:rsidRPr="00506A97">
        <w:rPr>
          <w:rFonts w:eastAsia="MS Mincho" w:cstheme="minorBidi"/>
          <w:color w:val="000000" w:themeColor="text1"/>
          <w:sz w:val="20"/>
          <w:szCs w:val="20"/>
          <w:bdr w:val="none" w:sz="0" w:space="0" w:color="auto" w:frame="1"/>
        </w:rPr>
        <w:t xml:space="preserve"> first (Concepts), second (Background), third (Beneficiaries) and fourth (Acknowledgment of Responsibility) of the agreement are declarative in nature, so it is not appropriate to monitor their execution. In this regard, the IACHR values ​​the fourth declarative clause, in which the Colombian State recognizes its international responsibility for the violation of the rights enshrined in articles 8 (fair trial) and 25 (judicial protection) of the American Convention on Human Rights, in relation to Article 1.1 (obligation to respect) of the same instrument, due to the lack of investigation of the truth and the determination and punishment of those responsible for the facts.</w:t>
      </w:r>
    </w:p>
    <w:p w14:paraId="7C1C5A78" w14:textId="77777777" w:rsidR="002B0EDA" w:rsidRPr="00506A97" w:rsidRDefault="002B0EDA" w:rsidP="002B0EDA">
      <w:pPr>
        <w:pStyle w:val="ListParagraph"/>
        <w:rPr>
          <w:rFonts w:eastAsia="MS Mincho" w:cstheme="minorBidi"/>
          <w:color w:val="000000" w:themeColor="text1"/>
          <w:sz w:val="20"/>
          <w:szCs w:val="20"/>
          <w:bdr w:val="none" w:sz="0" w:space="0" w:color="auto" w:frame="1"/>
        </w:rPr>
      </w:pPr>
    </w:p>
    <w:p w14:paraId="54FBF39D" w14:textId="15FBA77A" w:rsidR="002B0EDA" w:rsidRPr="00506A97" w:rsidRDefault="002B0EDA" w:rsidP="002B0EDA">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MS Mincho" w:cstheme="minorBidi"/>
          <w:color w:val="000000" w:themeColor="text1"/>
          <w:sz w:val="20"/>
          <w:szCs w:val="20"/>
          <w:bdr w:val="none" w:sz="0" w:space="0" w:color="auto" w:frame="1"/>
        </w:rPr>
      </w:pPr>
      <w:r w:rsidRPr="00506A97">
        <w:rPr>
          <w:rFonts w:eastAsia="MS Mincho" w:cstheme="minorBidi"/>
          <w:color w:val="000000" w:themeColor="text1"/>
          <w:sz w:val="20"/>
          <w:szCs w:val="20"/>
          <w:bdr w:val="none" w:sz="0" w:space="0" w:color="auto" w:frame="1"/>
        </w:rPr>
        <w:t xml:space="preserve">In relation to point 1 of the fifth clause of the </w:t>
      </w:r>
      <w:r w:rsidR="004E5285" w:rsidRPr="00506A97">
        <w:rPr>
          <w:rFonts w:eastAsia="MS Mincho" w:cstheme="minorBidi"/>
          <w:color w:val="000000" w:themeColor="text1"/>
          <w:sz w:val="20"/>
          <w:szCs w:val="20"/>
          <w:bdr w:val="none" w:sz="0" w:space="0" w:color="auto" w:frame="1"/>
        </w:rPr>
        <w:t>F</w:t>
      </w:r>
      <w:r w:rsidRPr="00506A97">
        <w:rPr>
          <w:rFonts w:eastAsia="MS Mincho" w:cstheme="minorBidi"/>
          <w:color w:val="000000" w:themeColor="text1"/>
          <w:sz w:val="20"/>
          <w:szCs w:val="20"/>
          <w:bdr w:val="none" w:sz="0" w:space="0" w:color="auto" w:frame="1"/>
        </w:rPr>
        <w:t xml:space="preserve">SA, related to the </w:t>
      </w:r>
      <w:r w:rsidR="00ED77B4" w:rsidRPr="00506A97">
        <w:rPr>
          <w:rFonts w:eastAsia="MS Mincho" w:cstheme="minorBidi"/>
          <w:color w:val="000000" w:themeColor="text1"/>
          <w:sz w:val="20"/>
          <w:szCs w:val="20"/>
          <w:bdr w:val="none" w:sz="0" w:space="0" w:color="auto" w:frame="1"/>
        </w:rPr>
        <w:t xml:space="preserve">private </w:t>
      </w:r>
      <w:r w:rsidRPr="00506A97">
        <w:rPr>
          <w:rFonts w:eastAsia="MS Mincho" w:cstheme="minorBidi"/>
          <w:color w:val="000000" w:themeColor="text1"/>
          <w:sz w:val="20"/>
          <w:szCs w:val="20"/>
          <w:bdr w:val="none" w:sz="0" w:space="0" w:color="auto" w:frame="1"/>
        </w:rPr>
        <w:t xml:space="preserve">act of atonement, as jointly reported by the parties on December 20, 2021, both parties emphasized that there was permanent communication between the State, the victims, and their representatives, who agreed on the details for the compliance of the measure, such as date, time, </w:t>
      </w:r>
      <w:r w:rsidR="002942D7" w:rsidRPr="00506A97">
        <w:rPr>
          <w:rFonts w:eastAsia="MS Mincho" w:cstheme="minorBidi"/>
          <w:color w:val="000000" w:themeColor="text1"/>
          <w:sz w:val="20"/>
          <w:szCs w:val="20"/>
          <w:bdr w:val="none" w:sz="0" w:space="0" w:color="auto" w:frame="1"/>
        </w:rPr>
        <w:t>agenda,</w:t>
      </w:r>
      <w:r w:rsidRPr="00506A97">
        <w:rPr>
          <w:rFonts w:eastAsia="MS Mincho" w:cstheme="minorBidi"/>
          <w:color w:val="000000" w:themeColor="text1"/>
          <w:sz w:val="20"/>
          <w:szCs w:val="20"/>
          <w:bdr w:val="none" w:sz="0" w:space="0" w:color="auto" w:frame="1"/>
        </w:rPr>
        <w:t xml:space="preserve"> and logistics required for </w:t>
      </w:r>
      <w:r w:rsidR="0099658A" w:rsidRPr="00506A97">
        <w:rPr>
          <w:rFonts w:eastAsia="MS Mincho" w:cstheme="minorBidi"/>
          <w:color w:val="000000" w:themeColor="text1"/>
          <w:sz w:val="20"/>
          <w:szCs w:val="20"/>
          <w:bdr w:val="none" w:sz="0" w:space="0" w:color="auto" w:frame="1"/>
        </w:rPr>
        <w:t>the event to take place</w:t>
      </w:r>
      <w:r w:rsidRPr="00506A97">
        <w:rPr>
          <w:rFonts w:eastAsia="MS Mincho" w:cstheme="minorBidi"/>
          <w:color w:val="000000" w:themeColor="text1"/>
          <w:sz w:val="20"/>
          <w:szCs w:val="20"/>
          <w:bdr w:val="none" w:sz="0" w:space="0" w:color="auto" w:frame="1"/>
        </w:rPr>
        <w:t>. The private act of acknowledgment of responsibility was held on November 9, 2021, at 8:30 a.m. through the Streamyard platform and</w:t>
      </w:r>
      <w:r w:rsidR="0099658A" w:rsidRPr="00506A97">
        <w:rPr>
          <w:rFonts w:eastAsia="MS Mincho" w:cstheme="minorBidi"/>
          <w:color w:val="000000" w:themeColor="text1"/>
          <w:sz w:val="20"/>
          <w:szCs w:val="20"/>
          <w:bdr w:val="none" w:sz="0" w:space="0" w:color="auto" w:frame="1"/>
        </w:rPr>
        <w:t>, at the request of the family,</w:t>
      </w:r>
      <w:r w:rsidRPr="00506A97">
        <w:rPr>
          <w:rFonts w:eastAsia="MS Mincho" w:cstheme="minorBidi"/>
          <w:color w:val="000000" w:themeColor="text1"/>
          <w:sz w:val="20"/>
          <w:szCs w:val="20"/>
          <w:bdr w:val="none" w:sz="0" w:space="0" w:color="auto" w:frame="1"/>
        </w:rPr>
        <w:t xml:space="preserve"> the transmission was made in hidden mode through the YouTube channel of the National Agency of Legal Defense of the State. In this regard, the parties provided a simple copy of the invitations circulated for said event, in which the family members of Mr. Mario Antonio Cardona Varela</w:t>
      </w:r>
      <w:r w:rsidR="00936D98" w:rsidRPr="00506A97">
        <w:rPr>
          <w:rFonts w:eastAsia="MS Mincho" w:cstheme="minorBidi"/>
          <w:color w:val="000000" w:themeColor="text1"/>
          <w:sz w:val="20"/>
          <w:szCs w:val="20"/>
          <w:bdr w:val="none" w:sz="0" w:space="0" w:color="auto" w:frame="1"/>
        </w:rPr>
        <w:t xml:space="preserve">, </w:t>
      </w:r>
      <w:r w:rsidRPr="00506A97">
        <w:rPr>
          <w:rFonts w:eastAsia="MS Mincho" w:cstheme="minorBidi"/>
          <w:color w:val="000000" w:themeColor="text1"/>
          <w:sz w:val="20"/>
          <w:szCs w:val="20"/>
          <w:bdr w:val="none" w:sz="0" w:space="0" w:color="auto" w:frame="1"/>
        </w:rPr>
        <w:t>their representatives, the National Agency for the Legal Defense of the State and the Executive Secretariat of the IACHR participated.</w:t>
      </w:r>
    </w:p>
    <w:p w14:paraId="60BDA267" w14:textId="77777777" w:rsidR="002B0EDA" w:rsidRPr="00506A97" w:rsidRDefault="002B0EDA" w:rsidP="002B0EDA">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MS Mincho" w:cstheme="minorBidi"/>
          <w:color w:val="000000" w:themeColor="text1"/>
          <w:sz w:val="20"/>
          <w:szCs w:val="20"/>
          <w:bdr w:val="none" w:sz="0" w:space="0" w:color="auto" w:frame="1"/>
        </w:rPr>
      </w:pPr>
    </w:p>
    <w:p w14:paraId="660C377C" w14:textId="4AA67132" w:rsidR="002B0EDA" w:rsidRPr="00506A97" w:rsidRDefault="002B0EDA" w:rsidP="002B0EDA">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MS Mincho" w:cstheme="minorBidi"/>
          <w:color w:val="000000" w:themeColor="text1"/>
          <w:sz w:val="20"/>
          <w:szCs w:val="20"/>
          <w:bdr w:val="none" w:sz="0" w:space="0" w:color="auto" w:frame="1"/>
        </w:rPr>
      </w:pPr>
      <w:r w:rsidRPr="00506A97">
        <w:rPr>
          <w:rFonts w:eastAsia="MS Mincho" w:cstheme="minorBidi"/>
          <w:color w:val="000000" w:themeColor="text1"/>
          <w:sz w:val="20"/>
          <w:szCs w:val="20"/>
          <w:bdr w:val="none" w:sz="0" w:space="0" w:color="auto" w:frame="1"/>
        </w:rPr>
        <w:t xml:space="preserve">The parties also reported on the contents of the agenda, which included the opening and installation of the event, the projection of the National Anthem, a video in memory of Mr. Mario Antonio Cardona Varela, followed by a video prepared by the victim's family. The representative of the victims </w:t>
      </w:r>
      <w:r w:rsidR="005627B3" w:rsidRPr="00506A97">
        <w:rPr>
          <w:rFonts w:eastAsia="MS Mincho" w:cstheme="minorBidi"/>
          <w:color w:val="000000" w:themeColor="text1"/>
          <w:sz w:val="20"/>
          <w:szCs w:val="20"/>
          <w:bdr w:val="none" w:sz="0" w:space="0" w:color="auto" w:frame="1"/>
        </w:rPr>
        <w:t>addressed the event</w:t>
      </w:r>
      <w:r w:rsidRPr="00506A97">
        <w:rPr>
          <w:rFonts w:eastAsia="MS Mincho" w:cstheme="minorBidi"/>
          <w:color w:val="000000" w:themeColor="text1"/>
          <w:sz w:val="20"/>
          <w:szCs w:val="20"/>
          <w:bdr w:val="none" w:sz="0" w:space="0" w:color="auto" w:frame="1"/>
        </w:rPr>
        <w:t>, followed by an apology from the Advisor of the International Legal Defense Directorate of</w:t>
      </w:r>
      <w:r w:rsidR="002942D7" w:rsidRPr="00506A97">
        <w:rPr>
          <w:rFonts w:eastAsia="MS Mincho" w:cstheme="minorBidi"/>
          <w:color w:val="000000" w:themeColor="text1"/>
          <w:sz w:val="20"/>
          <w:szCs w:val="20"/>
          <w:bdr w:val="none" w:sz="0" w:space="0" w:color="auto" w:frame="1"/>
        </w:rPr>
        <w:t xml:space="preserve"> the National Agency of Legal Defense of the State</w:t>
      </w:r>
      <w:r w:rsidRPr="00506A97">
        <w:rPr>
          <w:rFonts w:eastAsia="MS Mincho" w:cstheme="minorBidi"/>
          <w:color w:val="000000" w:themeColor="text1"/>
          <w:sz w:val="20"/>
          <w:szCs w:val="20"/>
          <w:bdr w:val="none" w:sz="0" w:space="0" w:color="auto" w:frame="1"/>
        </w:rPr>
        <w:t xml:space="preserve">, who acknowledged the international responsibility of the State under the terms of the friendly settlement agreement. Finally, the Deputy Executive Secretary of the IACHR, participated in the closing remarks. </w:t>
      </w:r>
    </w:p>
    <w:p w14:paraId="7DB989BA" w14:textId="77777777" w:rsidR="002B0EDA" w:rsidRPr="00506A97" w:rsidRDefault="002B0EDA" w:rsidP="002B0EDA">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MS Mincho" w:cstheme="minorBidi"/>
          <w:color w:val="000000" w:themeColor="text1"/>
          <w:sz w:val="20"/>
          <w:szCs w:val="20"/>
          <w:bdr w:val="none" w:sz="0" w:space="0" w:color="auto" w:frame="1"/>
        </w:rPr>
      </w:pPr>
    </w:p>
    <w:p w14:paraId="51E5A42C" w14:textId="7066D48F" w:rsidR="002B0EDA" w:rsidRPr="00506A97" w:rsidRDefault="002B0EDA" w:rsidP="002B0EDA">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MS Mincho" w:cstheme="minorBidi"/>
          <w:color w:val="000000" w:themeColor="text1"/>
          <w:sz w:val="20"/>
          <w:szCs w:val="20"/>
          <w:bdr w:val="none" w:sz="0" w:space="0" w:color="auto" w:frame="1"/>
        </w:rPr>
      </w:pPr>
      <w:r w:rsidRPr="00506A97">
        <w:rPr>
          <w:rFonts w:eastAsia="MS Mincho" w:cstheme="minorBidi"/>
          <w:color w:val="000000" w:themeColor="text1"/>
          <w:sz w:val="20"/>
          <w:szCs w:val="20"/>
          <w:bdr w:val="none" w:sz="0" w:space="0" w:color="auto" w:frame="1"/>
        </w:rPr>
        <w:t>In this regard, the Commission received the photographic record of the act</w:t>
      </w:r>
      <w:r w:rsidR="004479CD" w:rsidRPr="00506A97">
        <w:rPr>
          <w:rFonts w:eastAsia="MS Mincho" w:cstheme="minorBidi"/>
          <w:color w:val="000000" w:themeColor="text1"/>
          <w:sz w:val="20"/>
          <w:szCs w:val="20"/>
          <w:bdr w:val="none" w:sz="0" w:space="0" w:color="auto" w:frame="1"/>
        </w:rPr>
        <w:t xml:space="preserve"> as well as other means of verification of the implementation of this part of the agreement</w:t>
      </w:r>
      <w:r w:rsidRPr="00506A97">
        <w:rPr>
          <w:rFonts w:eastAsia="MS Mincho" w:cstheme="minorBidi"/>
          <w:color w:val="000000" w:themeColor="text1"/>
          <w:sz w:val="20"/>
          <w:szCs w:val="20"/>
          <w:bdr w:val="none" w:sz="0" w:space="0" w:color="auto" w:frame="1"/>
        </w:rPr>
        <w:t xml:space="preserve">, and therefore, </w:t>
      </w:r>
      <w:r w:rsidR="004479CD" w:rsidRPr="00506A97">
        <w:rPr>
          <w:rFonts w:eastAsia="MS Mincho" w:cstheme="minorBidi"/>
          <w:color w:val="000000" w:themeColor="text1"/>
          <w:sz w:val="20"/>
          <w:szCs w:val="20"/>
          <w:bdr w:val="none" w:sz="0" w:space="0" w:color="auto" w:frame="1"/>
        </w:rPr>
        <w:t>taking into consideration</w:t>
      </w:r>
      <w:r w:rsidRPr="00506A97">
        <w:rPr>
          <w:rFonts w:eastAsia="MS Mincho" w:cstheme="minorBidi"/>
          <w:color w:val="000000" w:themeColor="text1"/>
          <w:sz w:val="20"/>
          <w:szCs w:val="20"/>
          <w:bdr w:val="none" w:sz="0" w:space="0" w:color="auto" w:frame="1"/>
        </w:rPr>
        <w:t xml:space="preserve"> the information provided jointly by the parties, </w:t>
      </w:r>
      <w:r w:rsidR="004479CD" w:rsidRPr="00506A97">
        <w:rPr>
          <w:rFonts w:eastAsia="MS Mincho" w:cstheme="minorBidi"/>
          <w:color w:val="000000" w:themeColor="text1"/>
          <w:sz w:val="20"/>
          <w:szCs w:val="20"/>
          <w:bdr w:val="none" w:sz="0" w:space="0" w:color="auto" w:frame="1"/>
        </w:rPr>
        <w:t>the Commission</w:t>
      </w:r>
      <w:r w:rsidRPr="00506A97">
        <w:rPr>
          <w:rFonts w:eastAsia="MS Mincho" w:cstheme="minorBidi"/>
          <w:color w:val="000000" w:themeColor="text1"/>
          <w:sz w:val="20"/>
          <w:szCs w:val="20"/>
          <w:bdr w:val="none" w:sz="0" w:space="0" w:color="auto" w:frame="1"/>
        </w:rPr>
        <w:t xml:space="preserve"> considers that point 1 of clause five of the friendly settlement agreement related to the private act of atonement has been fully complied with and so </w:t>
      </w:r>
      <w:r w:rsidR="004479CD" w:rsidRPr="00506A97">
        <w:rPr>
          <w:rFonts w:eastAsia="MS Mincho" w:cstheme="minorBidi"/>
          <w:color w:val="000000" w:themeColor="text1"/>
          <w:sz w:val="20"/>
          <w:szCs w:val="20"/>
          <w:bdr w:val="none" w:sz="0" w:space="0" w:color="auto" w:frame="1"/>
        </w:rPr>
        <w:t xml:space="preserve">it </w:t>
      </w:r>
      <w:r w:rsidRPr="00506A97">
        <w:rPr>
          <w:rFonts w:eastAsia="MS Mincho" w:cstheme="minorBidi"/>
          <w:color w:val="000000" w:themeColor="text1"/>
          <w:sz w:val="20"/>
          <w:szCs w:val="20"/>
          <w:bdr w:val="none" w:sz="0" w:space="0" w:color="auto" w:frame="1"/>
        </w:rPr>
        <w:t>declares</w:t>
      </w:r>
      <w:r w:rsidR="004479CD" w:rsidRPr="00506A97">
        <w:rPr>
          <w:rFonts w:eastAsia="MS Mincho" w:cstheme="minorBidi"/>
          <w:color w:val="000000" w:themeColor="text1"/>
          <w:sz w:val="20"/>
          <w:szCs w:val="20"/>
          <w:bdr w:val="none" w:sz="0" w:space="0" w:color="auto" w:frame="1"/>
        </w:rPr>
        <w:t xml:space="preserve"> it as such.</w:t>
      </w:r>
    </w:p>
    <w:p w14:paraId="541D1090" w14:textId="77777777" w:rsidR="002D716C" w:rsidRPr="00506A97" w:rsidRDefault="002D716C" w:rsidP="001B1FC0">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eastAsia="MS Mincho" w:cstheme="minorBidi"/>
          <w:color w:val="000000" w:themeColor="text1"/>
          <w:sz w:val="20"/>
          <w:szCs w:val="20"/>
          <w:bdr w:val="none" w:sz="0" w:space="0" w:color="auto" w:frame="1"/>
        </w:rPr>
      </w:pPr>
    </w:p>
    <w:p w14:paraId="7A11541A" w14:textId="58957C91" w:rsidR="002D716C" w:rsidRPr="00506A97" w:rsidRDefault="002D716C" w:rsidP="002D716C">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MS Mincho" w:cstheme="minorBidi"/>
          <w:color w:val="000000" w:themeColor="text1"/>
          <w:sz w:val="20"/>
          <w:szCs w:val="20"/>
          <w:bdr w:val="none" w:sz="0" w:space="0" w:color="auto" w:frame="1"/>
        </w:rPr>
      </w:pPr>
      <w:r w:rsidRPr="00506A97">
        <w:rPr>
          <w:rFonts w:eastAsia="MS Mincho" w:cstheme="minorBidi"/>
          <w:color w:val="000000" w:themeColor="text1"/>
          <w:sz w:val="20"/>
          <w:szCs w:val="20"/>
          <w:bdr w:val="none" w:sz="0" w:space="0" w:color="auto" w:frame="1"/>
        </w:rPr>
        <w:t>Regarding the commitments established in clauses, 5.2 (publication of the agreement) and 6 (reparation) of the friendly settlement agreement, the Commission observes that the parties have decided that their implementation be carried out after this approval, for which the Commission considers that compliance is pending and thus declares it</w:t>
      </w:r>
      <w:r w:rsidR="004479CD" w:rsidRPr="00506A97">
        <w:rPr>
          <w:rFonts w:eastAsia="MS Mincho" w:cstheme="minorBidi"/>
          <w:color w:val="000000" w:themeColor="text1"/>
          <w:sz w:val="20"/>
          <w:szCs w:val="20"/>
          <w:bdr w:val="none" w:sz="0" w:space="0" w:color="auto" w:frame="1"/>
        </w:rPr>
        <w:t xml:space="preserve"> as such</w:t>
      </w:r>
      <w:r w:rsidRPr="00506A97">
        <w:rPr>
          <w:rFonts w:eastAsia="MS Mincho" w:cstheme="minorBidi"/>
          <w:color w:val="000000" w:themeColor="text1"/>
          <w:sz w:val="20"/>
          <w:szCs w:val="20"/>
          <w:bdr w:val="none" w:sz="0" w:space="0" w:color="auto" w:frame="1"/>
        </w:rPr>
        <w:t>.</w:t>
      </w:r>
    </w:p>
    <w:p w14:paraId="05D469F4" w14:textId="77777777" w:rsidR="002D716C" w:rsidRPr="00506A97" w:rsidRDefault="002D716C" w:rsidP="002D716C">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eastAsia="MS Mincho" w:cstheme="minorBidi"/>
          <w:color w:val="000000" w:themeColor="text1"/>
          <w:sz w:val="20"/>
          <w:szCs w:val="20"/>
          <w:bdr w:val="none" w:sz="0" w:space="0" w:color="auto" w:frame="1"/>
        </w:rPr>
      </w:pPr>
    </w:p>
    <w:p w14:paraId="616D92D2" w14:textId="185289C4" w:rsidR="002D716C" w:rsidRPr="00506A97" w:rsidRDefault="002D716C" w:rsidP="002D716C">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MS Mincho" w:cstheme="minorBidi"/>
          <w:color w:val="000000" w:themeColor="text1"/>
          <w:sz w:val="20"/>
          <w:szCs w:val="20"/>
          <w:bdr w:val="none" w:sz="0" w:space="0" w:color="auto" w:frame="1"/>
        </w:rPr>
      </w:pPr>
      <w:r w:rsidRPr="00506A97">
        <w:rPr>
          <w:rFonts w:eastAsia="MS Mincho" w:cstheme="minorBidi"/>
          <w:color w:val="000000" w:themeColor="text1"/>
          <w:sz w:val="20"/>
          <w:szCs w:val="20"/>
          <w:bdr w:val="none" w:sz="0" w:space="0" w:color="auto" w:frame="1"/>
        </w:rPr>
        <w:t>On the other hand, the Commission considers that the rest of the content of the agreement is declarative in nature and therefore its monitoring is not appropriate.</w:t>
      </w:r>
    </w:p>
    <w:p w14:paraId="3D26A68B" w14:textId="77777777" w:rsidR="002D716C" w:rsidRPr="00506A97" w:rsidRDefault="002D716C" w:rsidP="002D716C">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1080"/>
        <w:jc w:val="both"/>
        <w:rPr>
          <w:rFonts w:eastAsia="MS Mincho" w:cstheme="minorBidi"/>
          <w:color w:val="000000" w:themeColor="text1"/>
          <w:sz w:val="20"/>
          <w:szCs w:val="20"/>
          <w:bdr w:val="none" w:sz="0" w:space="0" w:color="auto" w:frame="1"/>
        </w:rPr>
      </w:pPr>
    </w:p>
    <w:p w14:paraId="2F738FD4" w14:textId="77777777" w:rsidR="00FA675D" w:rsidRPr="00506A97" w:rsidRDefault="00FA675D" w:rsidP="00DA37B6">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Times New Roman" w:cstheme="minorHAnsi"/>
          <w:b/>
          <w:bCs/>
          <w:color w:val="000000" w:themeColor="text1"/>
          <w:sz w:val="20"/>
          <w:szCs w:val="20"/>
          <w:lang w:eastAsia="es-ES_tradnl"/>
        </w:rPr>
      </w:pPr>
      <w:r w:rsidRPr="00506A97">
        <w:rPr>
          <w:rFonts w:eastAsia="Times New Roman" w:cstheme="minorHAnsi"/>
          <w:b/>
          <w:bCs/>
          <w:color w:val="000000" w:themeColor="text1"/>
          <w:sz w:val="20"/>
          <w:szCs w:val="20"/>
          <w:lang w:eastAsia="es-ES_tradnl"/>
        </w:rPr>
        <w:t>CONCLUSIONS</w:t>
      </w:r>
    </w:p>
    <w:p w14:paraId="7F618B8F" w14:textId="77777777" w:rsidR="00DA37B6" w:rsidRPr="00506A97" w:rsidRDefault="00DA37B6" w:rsidP="00DA37B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MS Mincho" w:cstheme="minorHAnsi"/>
          <w:b/>
          <w:color w:val="000000" w:themeColor="text1"/>
          <w:sz w:val="20"/>
          <w:szCs w:val="20"/>
        </w:rPr>
      </w:pPr>
    </w:p>
    <w:p w14:paraId="5989B420" w14:textId="77777777" w:rsidR="002D716C" w:rsidRPr="00506A97" w:rsidRDefault="002D716C" w:rsidP="0005257F">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MS Mincho" w:hAnsiTheme="majorHAnsi" w:cstheme="minorHAnsi"/>
          <w:color w:val="000000" w:themeColor="text1"/>
          <w:sz w:val="20"/>
          <w:szCs w:val="20"/>
          <w:bdr w:val="none" w:sz="0" w:space="0" w:color="auto" w:frame="1"/>
        </w:rPr>
      </w:pPr>
      <w:r w:rsidRPr="00506A97">
        <w:rPr>
          <w:rFonts w:asciiTheme="majorHAnsi" w:eastAsia="MS Mincho" w:hAnsiTheme="majorHAnsi" w:cstheme="minorHAnsi"/>
          <w:color w:val="000000" w:themeColor="text1"/>
          <w:sz w:val="20"/>
          <w:szCs w:val="20"/>
          <w:bdr w:val="none" w:sz="0" w:space="0" w:color="auto" w:frame="1"/>
        </w:rPr>
        <w:t>Based on the foregoing considerations and by virtue of the procedure provided for in Articles 48.1.f and 49 of the American Convention, the Commission wishes to reiterate its deep appreciation for the efforts made by the parties and its satisfaction with the achievement of a friendly solution in the instant case, based on respect for human rights, and compatible with the object and purpose of the American Convention.</w:t>
      </w:r>
    </w:p>
    <w:p w14:paraId="12D00C77" w14:textId="77777777" w:rsidR="002D716C" w:rsidRPr="00506A97" w:rsidRDefault="002D716C" w:rsidP="0005257F">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MS Mincho" w:hAnsiTheme="majorHAnsi" w:cstheme="minorHAnsi"/>
          <w:color w:val="000000" w:themeColor="text1"/>
          <w:sz w:val="20"/>
          <w:szCs w:val="20"/>
          <w:bdr w:val="none" w:sz="0" w:space="0" w:color="auto" w:frame="1"/>
        </w:rPr>
      </w:pPr>
    </w:p>
    <w:p w14:paraId="527AE6BA" w14:textId="77777777" w:rsidR="002D716C" w:rsidRPr="00506A97" w:rsidRDefault="002D716C" w:rsidP="0005257F">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MS Mincho" w:hAnsiTheme="majorHAnsi" w:cstheme="minorHAnsi"/>
          <w:color w:val="000000" w:themeColor="text1"/>
          <w:sz w:val="20"/>
          <w:szCs w:val="20"/>
          <w:bdr w:val="none" w:sz="0" w:space="0" w:color="auto" w:frame="1"/>
        </w:rPr>
      </w:pPr>
      <w:r w:rsidRPr="00506A97">
        <w:rPr>
          <w:rFonts w:asciiTheme="majorHAnsi" w:eastAsia="MS Mincho" w:hAnsiTheme="majorHAnsi" w:cstheme="minorHAnsi"/>
          <w:color w:val="000000" w:themeColor="text1"/>
          <w:sz w:val="20"/>
          <w:szCs w:val="20"/>
          <w:bdr w:val="none" w:sz="0" w:space="0" w:color="auto" w:frame="1"/>
        </w:rPr>
        <w:t>By virtue of the considerations and conclusions set forth in this report,</w:t>
      </w:r>
    </w:p>
    <w:p w14:paraId="5C33DB18" w14:textId="6F563705" w:rsidR="00DA37B6" w:rsidRPr="00506A97" w:rsidRDefault="00DA37B6" w:rsidP="00DA37B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Times New Roman" w:cstheme="minorHAnsi"/>
          <w:bCs/>
          <w:color w:val="000000" w:themeColor="text1"/>
          <w:sz w:val="20"/>
          <w:szCs w:val="20"/>
          <w:lang w:eastAsia="es-ES_tradnl"/>
        </w:rPr>
      </w:pPr>
    </w:p>
    <w:p w14:paraId="4C690228" w14:textId="77777777" w:rsidR="00FA675D" w:rsidRPr="00506A97" w:rsidRDefault="00FA675D" w:rsidP="00FA675D">
      <w:pPr>
        <w:jc w:val="both"/>
        <w:rPr>
          <w:rFonts w:ascii="Cambria" w:eastAsia="Times New Roman" w:hAnsi="Cambria" w:cstheme="minorHAnsi"/>
          <w:b/>
          <w:bCs/>
          <w:color w:val="000000" w:themeColor="text1"/>
          <w:sz w:val="20"/>
          <w:szCs w:val="20"/>
          <w:lang w:eastAsia="es-ES_tradnl"/>
        </w:rPr>
      </w:pPr>
    </w:p>
    <w:p w14:paraId="73849B95" w14:textId="77777777" w:rsidR="00FA675D" w:rsidRPr="00506A97" w:rsidRDefault="00FA675D" w:rsidP="00FA675D">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theme="minorHAnsi"/>
          <w:b/>
          <w:bCs/>
          <w:color w:val="000000" w:themeColor="text1"/>
          <w:sz w:val="20"/>
          <w:szCs w:val="20"/>
          <w:bdr w:val="none" w:sz="0" w:space="0" w:color="auto"/>
          <w:lang w:eastAsia="es-ES_tradnl"/>
        </w:rPr>
      </w:pPr>
      <w:r w:rsidRPr="00506A97">
        <w:rPr>
          <w:rFonts w:ascii="Cambria" w:eastAsia="Times New Roman" w:hAnsi="Cambria" w:cstheme="minorHAnsi"/>
          <w:b/>
          <w:bCs/>
          <w:color w:val="000000" w:themeColor="text1"/>
          <w:sz w:val="20"/>
          <w:szCs w:val="20"/>
          <w:lang w:eastAsia="es-ES_tradnl"/>
        </w:rPr>
        <w:lastRenderedPageBreak/>
        <w:t>THE INTER-AMERICAN COMMISSION ON HUMAN RIGHTS</w:t>
      </w:r>
    </w:p>
    <w:p w14:paraId="4151A847" w14:textId="77777777" w:rsidR="00FA675D" w:rsidRPr="00506A97" w:rsidRDefault="00FA675D" w:rsidP="00FA675D">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theme="minorHAnsi"/>
          <w:color w:val="000000" w:themeColor="text1"/>
          <w:sz w:val="20"/>
          <w:szCs w:val="20"/>
          <w:bdr w:val="none" w:sz="0" w:space="0" w:color="auto"/>
          <w:lang w:eastAsia="es-ES_tradnl"/>
        </w:rPr>
      </w:pPr>
    </w:p>
    <w:p w14:paraId="74B17D16" w14:textId="09FC22B4" w:rsidR="00FA675D" w:rsidRPr="00506A97" w:rsidRDefault="00FA675D" w:rsidP="00FA675D">
      <w:pPr>
        <w:ind w:firstLine="720"/>
        <w:jc w:val="both"/>
        <w:rPr>
          <w:rFonts w:ascii="Cambria" w:eastAsia="Times New Roman" w:hAnsi="Cambria" w:cstheme="minorHAnsi"/>
          <w:b/>
          <w:bCs/>
          <w:color w:val="000000" w:themeColor="text1"/>
          <w:sz w:val="20"/>
          <w:szCs w:val="20"/>
          <w:bdr w:val="none" w:sz="0" w:space="0" w:color="auto"/>
          <w:lang w:val="es-CO" w:eastAsia="es-ES_tradnl"/>
        </w:rPr>
      </w:pPr>
      <w:r w:rsidRPr="00506A97">
        <w:rPr>
          <w:rFonts w:ascii="Cambria" w:eastAsia="Times New Roman" w:hAnsi="Cambria" w:cstheme="minorHAnsi"/>
          <w:b/>
          <w:bCs/>
          <w:color w:val="000000" w:themeColor="text1"/>
          <w:sz w:val="20"/>
          <w:szCs w:val="20"/>
          <w:bdr w:val="none" w:sz="0" w:space="0" w:color="auto"/>
          <w:lang w:val="es-CO" w:eastAsia="es-ES_tradnl"/>
        </w:rPr>
        <w:t>DECIDE</w:t>
      </w:r>
      <w:r w:rsidRPr="00506A97">
        <w:rPr>
          <w:rFonts w:ascii="Cambria" w:eastAsia="Times New Roman" w:hAnsi="Cambria" w:cstheme="minorHAnsi"/>
          <w:b/>
          <w:bCs/>
          <w:color w:val="000000" w:themeColor="text1"/>
          <w:sz w:val="20"/>
          <w:szCs w:val="20"/>
          <w:lang w:val="es-CO" w:eastAsia="es-ES_tradnl"/>
        </w:rPr>
        <w:t>S</w:t>
      </w:r>
      <w:r w:rsidRPr="00506A97">
        <w:rPr>
          <w:rFonts w:ascii="Cambria" w:eastAsia="Times New Roman" w:hAnsi="Cambria" w:cstheme="minorHAnsi"/>
          <w:b/>
          <w:bCs/>
          <w:color w:val="000000" w:themeColor="text1"/>
          <w:sz w:val="20"/>
          <w:szCs w:val="20"/>
          <w:bdr w:val="none" w:sz="0" w:space="0" w:color="auto"/>
          <w:lang w:val="es-CO" w:eastAsia="es-ES_tradnl"/>
        </w:rPr>
        <w:t xml:space="preserve">: </w:t>
      </w:r>
    </w:p>
    <w:p w14:paraId="28CC1601" w14:textId="3874EA32" w:rsidR="002D716C" w:rsidRPr="00506A97" w:rsidRDefault="002D716C" w:rsidP="00FA675D">
      <w:pPr>
        <w:ind w:firstLine="720"/>
        <w:jc w:val="both"/>
        <w:rPr>
          <w:rFonts w:ascii="Cambria" w:eastAsia="Times New Roman" w:hAnsi="Cambria" w:cstheme="minorHAnsi"/>
          <w:b/>
          <w:bCs/>
          <w:color w:val="000000" w:themeColor="text1"/>
          <w:sz w:val="20"/>
          <w:szCs w:val="20"/>
          <w:bdr w:val="none" w:sz="0" w:space="0" w:color="auto"/>
          <w:lang w:val="es-CO" w:eastAsia="es-ES_tradnl"/>
        </w:rPr>
      </w:pPr>
    </w:p>
    <w:p w14:paraId="32B816E5" w14:textId="125A09CA" w:rsidR="002D716C" w:rsidRPr="00506A97" w:rsidRDefault="002D716C" w:rsidP="00016E13">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num" w:pos="1080"/>
        </w:tabs>
        <w:ind w:left="1080" w:hanging="360"/>
        <w:jc w:val="both"/>
        <w:rPr>
          <w:rFonts w:eastAsia="Times New Roman" w:cstheme="minorHAnsi"/>
          <w:color w:val="000000" w:themeColor="text1"/>
          <w:sz w:val="20"/>
          <w:szCs w:val="20"/>
          <w:bdr w:val="none" w:sz="0" w:space="0" w:color="auto"/>
          <w:lang w:eastAsia="es-ES_tradnl"/>
        </w:rPr>
      </w:pPr>
      <w:r w:rsidRPr="00506A97">
        <w:rPr>
          <w:rFonts w:eastAsia="Times New Roman" w:cstheme="minorHAnsi"/>
          <w:color w:val="000000" w:themeColor="text1"/>
          <w:sz w:val="20"/>
          <w:szCs w:val="20"/>
          <w:bdr w:val="none" w:sz="0" w:space="0" w:color="auto"/>
          <w:lang w:eastAsia="es-ES_tradnl"/>
        </w:rPr>
        <w:t>To approve the terms of the friendly settlement agreement signed by the parties on September 23, 2021.</w:t>
      </w:r>
    </w:p>
    <w:p w14:paraId="233657B6" w14:textId="77777777" w:rsidR="001741A1" w:rsidRPr="00506A97" w:rsidRDefault="001741A1" w:rsidP="00016E13">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080"/>
        <w:jc w:val="both"/>
        <w:rPr>
          <w:rFonts w:eastAsia="Times New Roman" w:cstheme="minorHAnsi"/>
          <w:color w:val="000000" w:themeColor="text1"/>
          <w:sz w:val="20"/>
          <w:szCs w:val="20"/>
          <w:bdr w:val="none" w:sz="0" w:space="0" w:color="auto"/>
          <w:lang w:eastAsia="es-ES_tradnl"/>
        </w:rPr>
      </w:pPr>
    </w:p>
    <w:p w14:paraId="39BCCED2" w14:textId="1D59A2AC" w:rsidR="003754A2" w:rsidRPr="00506A97" w:rsidRDefault="003754A2" w:rsidP="00016E13">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num" w:pos="1080"/>
        </w:tabs>
        <w:ind w:left="1080" w:hanging="360"/>
        <w:jc w:val="both"/>
        <w:rPr>
          <w:rFonts w:eastAsia="Times New Roman" w:cstheme="minorHAnsi"/>
          <w:color w:val="000000" w:themeColor="text1"/>
          <w:sz w:val="20"/>
          <w:szCs w:val="20"/>
          <w:bdr w:val="none" w:sz="0" w:space="0" w:color="auto"/>
          <w:lang w:eastAsia="es-ES_tradnl"/>
        </w:rPr>
      </w:pPr>
      <w:r w:rsidRPr="00506A97">
        <w:rPr>
          <w:rFonts w:eastAsia="Times New Roman" w:cstheme="minorHAnsi"/>
          <w:color w:val="000000" w:themeColor="text1"/>
          <w:sz w:val="20"/>
          <w:szCs w:val="20"/>
          <w:bdr w:val="none" w:sz="0" w:space="0" w:color="auto"/>
          <w:lang w:eastAsia="es-ES_tradnl"/>
        </w:rPr>
        <w:t xml:space="preserve">To declare </w:t>
      </w:r>
      <w:r w:rsidR="005627B3" w:rsidRPr="00506A97">
        <w:rPr>
          <w:rFonts w:eastAsia="Times New Roman" w:cstheme="minorHAnsi"/>
          <w:color w:val="000000" w:themeColor="text1"/>
          <w:sz w:val="20"/>
          <w:szCs w:val="20"/>
          <w:bdr w:val="none" w:sz="0" w:space="0" w:color="auto"/>
          <w:lang w:eastAsia="es-ES_tradnl"/>
        </w:rPr>
        <w:t xml:space="preserve">the total compliance of </w:t>
      </w:r>
      <w:r w:rsidRPr="00506A97">
        <w:rPr>
          <w:rFonts w:eastAsia="Times New Roman" w:cstheme="minorHAnsi"/>
          <w:color w:val="000000" w:themeColor="text1"/>
          <w:sz w:val="20"/>
          <w:szCs w:val="20"/>
          <w:bdr w:val="none" w:sz="0" w:space="0" w:color="auto"/>
          <w:lang w:eastAsia="es-ES_tradnl"/>
        </w:rPr>
        <w:t>clause 5.1 (act of redress</w:t>
      </w:r>
      <w:r w:rsidR="005627B3" w:rsidRPr="00506A97">
        <w:rPr>
          <w:rFonts w:eastAsia="Times New Roman" w:cstheme="minorHAnsi"/>
          <w:color w:val="000000" w:themeColor="text1"/>
          <w:sz w:val="20"/>
          <w:szCs w:val="20"/>
          <w:bdr w:val="none" w:sz="0" w:space="0" w:color="auto"/>
          <w:lang w:eastAsia="es-ES_tradnl"/>
        </w:rPr>
        <w:t>)</w:t>
      </w:r>
      <w:r w:rsidRPr="00506A97">
        <w:rPr>
          <w:rFonts w:eastAsia="Times New Roman" w:cstheme="minorHAnsi"/>
          <w:color w:val="000000" w:themeColor="text1"/>
          <w:sz w:val="20"/>
          <w:szCs w:val="20"/>
          <w:bdr w:val="none" w:sz="0" w:space="0" w:color="auto"/>
          <w:lang w:eastAsia="es-ES_tradnl"/>
        </w:rPr>
        <w:t xml:space="preserve"> based on the analysis included in this report.</w:t>
      </w:r>
    </w:p>
    <w:p w14:paraId="1B571EFD" w14:textId="77777777" w:rsidR="003754A2" w:rsidRPr="00506A97" w:rsidRDefault="003754A2" w:rsidP="001B1FC0">
      <w:pPr>
        <w:pStyle w:val="ListParagraph"/>
        <w:rPr>
          <w:rFonts w:eastAsia="Times New Roman" w:cstheme="minorHAnsi"/>
          <w:color w:val="000000" w:themeColor="text1"/>
          <w:sz w:val="20"/>
          <w:szCs w:val="20"/>
          <w:bdr w:val="none" w:sz="0" w:space="0" w:color="auto"/>
          <w:lang w:eastAsia="es-ES_tradnl"/>
        </w:rPr>
      </w:pPr>
    </w:p>
    <w:p w14:paraId="44704A9D" w14:textId="5045EEDF" w:rsidR="001741A1" w:rsidRPr="00506A97" w:rsidRDefault="001741A1" w:rsidP="00016E13">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num" w:pos="1080"/>
        </w:tabs>
        <w:ind w:left="1080" w:hanging="360"/>
        <w:jc w:val="both"/>
        <w:rPr>
          <w:rFonts w:eastAsia="Times New Roman" w:cstheme="minorHAnsi"/>
          <w:color w:val="000000" w:themeColor="text1"/>
          <w:sz w:val="20"/>
          <w:szCs w:val="20"/>
          <w:bdr w:val="none" w:sz="0" w:space="0" w:color="auto"/>
          <w:lang w:eastAsia="es-ES_tradnl"/>
        </w:rPr>
      </w:pPr>
      <w:r w:rsidRPr="00506A97">
        <w:rPr>
          <w:rFonts w:eastAsia="Times New Roman" w:cstheme="minorHAnsi"/>
          <w:color w:val="000000" w:themeColor="text1"/>
          <w:sz w:val="20"/>
          <w:szCs w:val="20"/>
          <w:bdr w:val="none" w:sz="0" w:space="0" w:color="auto"/>
          <w:lang w:eastAsia="es-ES_tradnl"/>
        </w:rPr>
        <w:t xml:space="preserve">To declare clauses 5.2 (publication of the agreement) and 6 (reparation measures) pending </w:t>
      </w:r>
      <w:r w:rsidR="005627B3" w:rsidRPr="00506A97">
        <w:rPr>
          <w:rFonts w:eastAsia="Times New Roman" w:cstheme="minorHAnsi"/>
          <w:color w:val="000000" w:themeColor="text1"/>
          <w:sz w:val="20"/>
          <w:szCs w:val="20"/>
          <w:bdr w:val="none" w:sz="0" w:space="0" w:color="auto"/>
          <w:lang w:eastAsia="es-ES_tradnl"/>
        </w:rPr>
        <w:t xml:space="preserve">compliance </w:t>
      </w:r>
      <w:r w:rsidRPr="00506A97">
        <w:rPr>
          <w:rFonts w:eastAsia="Times New Roman" w:cstheme="minorHAnsi"/>
          <w:color w:val="000000" w:themeColor="text1"/>
          <w:sz w:val="20"/>
          <w:szCs w:val="20"/>
          <w:bdr w:val="none" w:sz="0" w:space="0" w:color="auto"/>
          <w:lang w:eastAsia="es-ES_tradnl"/>
        </w:rPr>
        <w:t>based on the analysis included in this report.</w:t>
      </w:r>
    </w:p>
    <w:p w14:paraId="02B6CA69" w14:textId="77777777" w:rsidR="001741A1" w:rsidRPr="00506A97" w:rsidRDefault="001741A1" w:rsidP="00016E13">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080"/>
        <w:jc w:val="both"/>
        <w:rPr>
          <w:rFonts w:eastAsia="Times New Roman" w:cstheme="minorHAnsi"/>
          <w:color w:val="000000" w:themeColor="text1"/>
          <w:sz w:val="20"/>
          <w:szCs w:val="20"/>
          <w:bdr w:val="none" w:sz="0" w:space="0" w:color="auto"/>
          <w:lang w:eastAsia="es-ES_tradnl"/>
        </w:rPr>
      </w:pPr>
    </w:p>
    <w:p w14:paraId="10EA257E" w14:textId="0C9E8FED" w:rsidR="001741A1" w:rsidRPr="00506A97" w:rsidRDefault="001741A1" w:rsidP="00016E13">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num" w:pos="1080"/>
        </w:tabs>
        <w:ind w:left="1080" w:hanging="360"/>
        <w:jc w:val="both"/>
        <w:rPr>
          <w:rFonts w:eastAsia="Times New Roman" w:cstheme="minorHAnsi"/>
          <w:color w:val="000000" w:themeColor="text1"/>
          <w:sz w:val="20"/>
          <w:szCs w:val="20"/>
          <w:bdr w:val="none" w:sz="0" w:space="0" w:color="auto"/>
          <w:lang w:eastAsia="es-ES_tradnl"/>
        </w:rPr>
      </w:pPr>
      <w:r w:rsidRPr="00506A97">
        <w:rPr>
          <w:rFonts w:eastAsia="Times New Roman" w:cstheme="minorHAnsi"/>
          <w:color w:val="000000" w:themeColor="text1"/>
          <w:sz w:val="20"/>
          <w:szCs w:val="20"/>
          <w:bdr w:val="none" w:sz="0" w:space="0" w:color="auto"/>
          <w:lang w:eastAsia="es-ES_tradnl"/>
        </w:rPr>
        <w:t>To continue with the supervision of the commitments established in clauses 5.2 (publication of the agreement)</w:t>
      </w:r>
      <w:r w:rsidR="004479CD" w:rsidRPr="00506A97">
        <w:rPr>
          <w:rFonts w:eastAsia="Times New Roman" w:cstheme="minorHAnsi"/>
          <w:color w:val="000000" w:themeColor="text1"/>
          <w:sz w:val="20"/>
          <w:szCs w:val="20"/>
          <w:bdr w:val="none" w:sz="0" w:space="0" w:color="auto"/>
          <w:lang w:eastAsia="es-ES_tradnl"/>
        </w:rPr>
        <w:t xml:space="preserve"> and</w:t>
      </w:r>
      <w:r w:rsidRPr="00506A97">
        <w:rPr>
          <w:rFonts w:eastAsia="Times New Roman" w:cstheme="minorHAnsi"/>
          <w:color w:val="000000" w:themeColor="text1"/>
          <w:sz w:val="20"/>
          <w:szCs w:val="20"/>
          <w:bdr w:val="none" w:sz="0" w:space="0" w:color="auto"/>
          <w:lang w:eastAsia="es-ES_tradnl"/>
        </w:rPr>
        <w:t xml:space="preserve"> 6 (reparation measures) of the friendly </w:t>
      </w:r>
      <w:r w:rsidR="003754A2" w:rsidRPr="00506A97">
        <w:rPr>
          <w:rFonts w:eastAsia="Times New Roman" w:cstheme="minorHAnsi"/>
          <w:color w:val="000000" w:themeColor="text1"/>
          <w:sz w:val="20"/>
          <w:szCs w:val="20"/>
          <w:bdr w:val="none" w:sz="0" w:space="0" w:color="auto"/>
          <w:lang w:eastAsia="es-ES_tradnl"/>
        </w:rPr>
        <w:t xml:space="preserve">settlement </w:t>
      </w:r>
      <w:r w:rsidRPr="00506A97">
        <w:rPr>
          <w:rFonts w:eastAsia="Times New Roman" w:cstheme="minorHAnsi"/>
          <w:color w:val="000000" w:themeColor="text1"/>
          <w:sz w:val="20"/>
          <w:szCs w:val="20"/>
          <w:bdr w:val="none" w:sz="0" w:space="0" w:color="auto"/>
          <w:lang w:eastAsia="es-ES_tradnl"/>
        </w:rPr>
        <w:t xml:space="preserve">agreement until their </w:t>
      </w:r>
      <w:r w:rsidR="005627B3" w:rsidRPr="00506A97">
        <w:rPr>
          <w:rFonts w:eastAsia="Times New Roman" w:cstheme="minorHAnsi"/>
          <w:color w:val="000000" w:themeColor="text1"/>
          <w:sz w:val="20"/>
          <w:szCs w:val="20"/>
          <w:bdr w:val="none" w:sz="0" w:space="0" w:color="auto"/>
          <w:lang w:eastAsia="es-ES_tradnl"/>
        </w:rPr>
        <w:t>complete fulfillment</w:t>
      </w:r>
      <w:r w:rsidRPr="00506A97">
        <w:rPr>
          <w:rFonts w:eastAsia="Times New Roman" w:cstheme="minorHAnsi"/>
          <w:color w:val="000000" w:themeColor="text1"/>
          <w:sz w:val="20"/>
          <w:szCs w:val="20"/>
          <w:bdr w:val="none" w:sz="0" w:space="0" w:color="auto"/>
          <w:lang w:eastAsia="es-ES_tradnl"/>
        </w:rPr>
        <w:t xml:space="preserve"> based on the analysis included in this report. With this aim, it reminds the parties of their commitment to periodically inform the IACHR of the compliance with said measures.</w:t>
      </w:r>
    </w:p>
    <w:p w14:paraId="795E7AFD" w14:textId="77777777" w:rsidR="001741A1" w:rsidRPr="00506A97" w:rsidRDefault="001741A1" w:rsidP="00016E13">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080"/>
        <w:jc w:val="both"/>
        <w:rPr>
          <w:rFonts w:eastAsia="Times New Roman" w:cstheme="minorHAnsi"/>
          <w:color w:val="000000" w:themeColor="text1"/>
          <w:sz w:val="20"/>
          <w:szCs w:val="20"/>
          <w:bdr w:val="none" w:sz="0" w:space="0" w:color="auto"/>
          <w:lang w:eastAsia="es-ES_tradnl"/>
        </w:rPr>
      </w:pPr>
    </w:p>
    <w:p w14:paraId="13E2A413" w14:textId="77777777" w:rsidR="00C06F55" w:rsidRDefault="001741A1" w:rsidP="00C06F55">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num" w:pos="1080"/>
        </w:tabs>
        <w:ind w:left="1080" w:hanging="360"/>
        <w:jc w:val="both"/>
        <w:rPr>
          <w:rFonts w:eastAsia="Times New Roman" w:cstheme="minorHAnsi"/>
          <w:color w:val="000000" w:themeColor="text1"/>
          <w:sz w:val="20"/>
          <w:szCs w:val="20"/>
          <w:bdr w:val="none" w:sz="0" w:space="0" w:color="auto"/>
          <w:lang w:eastAsia="es-ES_tradnl"/>
        </w:rPr>
      </w:pPr>
      <w:r w:rsidRPr="00506A97">
        <w:rPr>
          <w:rFonts w:eastAsia="Times New Roman" w:cstheme="minorHAnsi"/>
          <w:color w:val="000000" w:themeColor="text1"/>
          <w:sz w:val="20"/>
          <w:szCs w:val="20"/>
          <w:bdr w:val="none" w:sz="0" w:space="0" w:color="auto"/>
          <w:lang w:eastAsia="es-ES_tradnl"/>
        </w:rPr>
        <w:t>To publish this report and include it in its Annual Report to the General Assembly of the OAS.</w:t>
      </w:r>
    </w:p>
    <w:p w14:paraId="78BD3A00" w14:textId="77777777" w:rsidR="00C06F55" w:rsidRPr="00C06F55" w:rsidRDefault="00C06F55" w:rsidP="00C06F55">
      <w:pPr>
        <w:pStyle w:val="ListParagraph"/>
        <w:rPr>
          <w:rFonts w:asciiTheme="majorHAnsi" w:hAnsiTheme="majorHAnsi"/>
          <w:sz w:val="20"/>
          <w:szCs w:val="20"/>
        </w:rPr>
      </w:pPr>
    </w:p>
    <w:p w14:paraId="6EBDCEE3" w14:textId="68451F9C" w:rsidR="001741A1" w:rsidRPr="00C06F55" w:rsidRDefault="00C06F55" w:rsidP="00C06F55">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theme="minorHAnsi"/>
          <w:color w:val="000000" w:themeColor="text1"/>
          <w:sz w:val="20"/>
          <w:szCs w:val="20"/>
          <w:bdr w:val="none" w:sz="0" w:space="0" w:color="auto"/>
          <w:lang w:eastAsia="es-ES_tradnl"/>
        </w:rPr>
      </w:pPr>
      <w:r w:rsidRPr="00C06F55">
        <w:rPr>
          <w:rFonts w:asciiTheme="majorHAnsi" w:hAnsiTheme="majorHAnsi"/>
          <w:sz w:val="20"/>
          <w:szCs w:val="20"/>
        </w:rPr>
        <w:t>Approved by the Inter-American Commission on Human Rights on March 10, 2022</w:t>
      </w:r>
      <w:r>
        <w:rPr>
          <w:rFonts w:asciiTheme="majorHAnsi" w:hAnsiTheme="majorHAnsi"/>
          <w:sz w:val="20"/>
          <w:szCs w:val="20"/>
        </w:rPr>
        <w:t>.</w:t>
      </w:r>
      <w:r w:rsidR="00F817BA" w:rsidRPr="00F817BA">
        <w:t xml:space="preserve"> </w:t>
      </w:r>
      <w:r w:rsidR="00F817BA" w:rsidRPr="00F817BA">
        <w:rPr>
          <w:rFonts w:asciiTheme="majorHAnsi" w:hAnsiTheme="majorHAnsi"/>
          <w:sz w:val="20"/>
          <w:szCs w:val="20"/>
        </w:rPr>
        <w:t>(Signed): Julissa Mantilla Falcón, President; Edgar Stuardo Ralón Orellana, First Vice President; Margarette May Macaulay, Second Vice President; Esmeralda E. Arosemena de Troitiño; Joel Hernández Garcia and Roberta Clarke Members of the Commission</w:t>
      </w:r>
      <w:r w:rsidR="00F817BA">
        <w:rPr>
          <w:rFonts w:asciiTheme="majorHAnsi" w:hAnsiTheme="majorHAnsi"/>
          <w:sz w:val="20"/>
          <w:szCs w:val="20"/>
        </w:rPr>
        <w:t>.</w:t>
      </w:r>
    </w:p>
    <w:p w14:paraId="6062AC13" w14:textId="77777777" w:rsidR="001741A1" w:rsidRDefault="001741A1" w:rsidP="002C76C4">
      <w:pPr>
        <w:tabs>
          <w:tab w:val="center" w:pos="720"/>
        </w:tabs>
        <w:suppressAutoHyphens/>
        <w:jc w:val="both"/>
        <w:rPr>
          <w:rFonts w:asciiTheme="majorHAnsi" w:hAnsiTheme="majorHAnsi"/>
          <w:sz w:val="20"/>
          <w:szCs w:val="20"/>
        </w:rPr>
      </w:pPr>
    </w:p>
    <w:sectPr w:rsidR="001741A1" w:rsidSect="006311DA">
      <w:footerReference w:type="first" r:id="rId18"/>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F1CED" w14:textId="77777777" w:rsidR="009764C3" w:rsidRDefault="009764C3" w:rsidP="00036A8A">
      <w:r>
        <w:separator/>
      </w:r>
    </w:p>
  </w:endnote>
  <w:endnote w:type="continuationSeparator" w:id="0">
    <w:p w14:paraId="4A5DC1C2" w14:textId="77777777" w:rsidR="009764C3" w:rsidRDefault="009764C3"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410BCF90"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2A65AC">
          <w:rPr>
            <w:noProof/>
            <w:sz w:val="16"/>
          </w:rPr>
          <w:t>2</w:t>
        </w:r>
        <w:r w:rsidRPr="006311DA">
          <w:rPr>
            <w:noProof/>
            <w:sz w:val="16"/>
          </w:rPr>
          <w:fldChar w:fldCharType="end"/>
        </w:r>
      </w:p>
    </w:sdtContent>
  </w:sdt>
  <w:p w14:paraId="7D26AB57" w14:textId="77777777" w:rsidR="00F1380F" w:rsidRDefault="00F13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420C7" w14:textId="77777777" w:rsidR="007607C4" w:rsidRDefault="007607C4">
    <w:pPr>
      <w:pStyle w:val="Footer"/>
      <w:jc w:val="center"/>
    </w:pPr>
  </w:p>
  <w:p w14:paraId="5D8A34AE" w14:textId="77777777" w:rsidR="007607C4" w:rsidRDefault="007607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9189080"/>
      <w:docPartObj>
        <w:docPartGallery w:val="Page Numbers (Bottom of Page)"/>
        <w:docPartUnique/>
      </w:docPartObj>
    </w:sdtPr>
    <w:sdtEndPr>
      <w:rPr>
        <w:noProof/>
      </w:rPr>
    </w:sdtEndPr>
    <w:sdtContent>
      <w:p w14:paraId="04E5F5CC" w14:textId="77777777" w:rsidR="007607C4" w:rsidRDefault="007607C4">
        <w:pPr>
          <w:pStyle w:val="Footer"/>
          <w:jc w:val="center"/>
        </w:pPr>
        <w:r>
          <w:fldChar w:fldCharType="begin"/>
        </w:r>
        <w:r>
          <w:instrText xml:space="preserve"> PAGE   \* MERGEFORMAT </w:instrText>
        </w:r>
        <w:r>
          <w:fldChar w:fldCharType="separate"/>
        </w:r>
        <w:r w:rsidR="006311DA">
          <w:rPr>
            <w:noProof/>
          </w:rPr>
          <w:t>1</w:t>
        </w:r>
        <w:r>
          <w:rPr>
            <w:noProof/>
          </w:rPr>
          <w:fldChar w:fldCharType="end"/>
        </w:r>
      </w:p>
    </w:sdtContent>
  </w:sdt>
  <w:p w14:paraId="051338CD" w14:textId="77777777" w:rsidR="007607C4" w:rsidRDefault="0076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64FAB" w14:textId="77777777" w:rsidR="009764C3" w:rsidRPr="00036A8A" w:rsidRDefault="009764C3"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1C3A2A95" w14:textId="77777777" w:rsidR="009764C3" w:rsidRPr="00036A8A" w:rsidRDefault="009764C3" w:rsidP="00036A8A">
      <w:pPr>
        <w:rPr>
          <w:rFonts w:asciiTheme="majorHAnsi" w:hAnsiTheme="majorHAnsi"/>
          <w:sz w:val="16"/>
          <w:szCs w:val="16"/>
        </w:rPr>
      </w:pPr>
      <w:r w:rsidRPr="00036A8A">
        <w:rPr>
          <w:rFonts w:asciiTheme="majorHAnsi" w:hAnsiTheme="majorHAnsi"/>
          <w:sz w:val="16"/>
          <w:szCs w:val="16"/>
        </w:rPr>
        <w:separator/>
      </w:r>
    </w:p>
    <w:p w14:paraId="7E804A93" w14:textId="77777777" w:rsidR="009764C3" w:rsidRPr="00036A8A" w:rsidRDefault="009764C3"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6A1E2739" w14:textId="77777777" w:rsidR="009764C3" w:rsidRPr="0093441A" w:rsidRDefault="009764C3"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38EEFFB4" w14:textId="2924DD64" w:rsidR="001B1FC0" w:rsidRPr="0074122B" w:rsidRDefault="001B1FC0" w:rsidP="0074122B">
      <w:pPr>
        <w:pStyle w:val="FootnoteText"/>
        <w:ind w:firstLine="720"/>
        <w:jc w:val="both"/>
        <w:rPr>
          <w:rFonts w:asciiTheme="majorHAnsi" w:hAnsiTheme="majorHAnsi"/>
          <w:sz w:val="16"/>
          <w:szCs w:val="16"/>
        </w:rPr>
      </w:pPr>
      <w:r w:rsidRPr="00506A97">
        <w:rPr>
          <w:rStyle w:val="FootnoteReference"/>
          <w:rFonts w:asciiTheme="majorHAnsi" w:hAnsiTheme="majorHAnsi"/>
          <w:sz w:val="16"/>
          <w:szCs w:val="16"/>
        </w:rPr>
        <w:footnoteRef/>
      </w:r>
      <w:r w:rsidRPr="00506A97">
        <w:rPr>
          <w:rFonts w:asciiTheme="majorHAnsi" w:hAnsiTheme="majorHAnsi"/>
          <w:sz w:val="16"/>
          <w:szCs w:val="16"/>
        </w:rPr>
        <w:t xml:space="preserve"> </w:t>
      </w:r>
      <w:r w:rsidR="0074122B" w:rsidRPr="00506A97">
        <w:rPr>
          <w:rFonts w:asciiTheme="majorHAnsi" w:hAnsiTheme="majorHAnsi"/>
          <w:sz w:val="16"/>
          <w:szCs w:val="16"/>
        </w:rPr>
        <w:t>Commissioner Carlos Bernal Pulido, a Colombian national, did not participate in the discussion and decision of this case, pursuant to Article 17.2.a) of the IACHR Rules of Procedure.</w:t>
      </w:r>
    </w:p>
  </w:footnote>
  <w:footnote w:id="3">
    <w:p w14:paraId="77D8A144" w14:textId="533B6045" w:rsidR="000C30FB" w:rsidRPr="004B1601" w:rsidRDefault="000C30FB" w:rsidP="0074122B">
      <w:pPr>
        <w:ind w:firstLine="720"/>
        <w:jc w:val="both"/>
        <w:rPr>
          <w:rFonts w:ascii="Cambria" w:eastAsia="Times New Roman" w:hAnsi="Cambria"/>
          <w:sz w:val="16"/>
          <w:szCs w:val="16"/>
          <w:bdr w:val="none" w:sz="0" w:space="0" w:color="auto"/>
        </w:rPr>
      </w:pPr>
      <w:r w:rsidRPr="004B1601">
        <w:rPr>
          <w:rStyle w:val="FootnoteReference"/>
          <w:rFonts w:ascii="Cambria" w:hAnsi="Cambria"/>
          <w:sz w:val="16"/>
          <w:szCs w:val="16"/>
        </w:rPr>
        <w:footnoteRef/>
      </w:r>
      <w:r w:rsidRPr="004B1601">
        <w:rPr>
          <w:rFonts w:ascii="Cambria" w:hAnsi="Cambria"/>
          <w:sz w:val="16"/>
          <w:szCs w:val="16"/>
        </w:rPr>
        <w:t xml:space="preserve"> </w:t>
      </w:r>
      <w:r w:rsidR="004211EB" w:rsidRPr="004B1601">
        <w:rPr>
          <w:rFonts w:ascii="Cambria" w:eastAsia="Times New Roman" w:hAnsi="Cambria" w:cs="Open Sans"/>
          <w:sz w:val="16"/>
          <w:szCs w:val="16"/>
          <w:bdr w:val="none" w:sz="0" w:space="0" w:color="auto"/>
          <w:shd w:val="clear" w:color="auto" w:fill="FFFFFF"/>
        </w:rPr>
        <w:t>I/A Court H.R., Case of Caesar v. Trinidad and Tobago. Merits, Reparations and Costs. Judgment of March 11, 2005. Series C No. 123, par. 125.</w:t>
      </w:r>
    </w:p>
  </w:footnote>
  <w:footnote w:id="4">
    <w:p w14:paraId="695FB2F4" w14:textId="5EE43E7F" w:rsidR="000C30FB" w:rsidRPr="004B1601" w:rsidRDefault="000C30FB" w:rsidP="0074122B">
      <w:pPr>
        <w:pStyle w:val="FootnoteText"/>
        <w:ind w:firstLine="720"/>
        <w:jc w:val="both"/>
        <w:rPr>
          <w:rFonts w:ascii="Cambria" w:hAnsi="Cambria"/>
          <w:color w:val="auto"/>
          <w:sz w:val="16"/>
          <w:szCs w:val="16"/>
        </w:rPr>
      </w:pPr>
      <w:r w:rsidRPr="004B1601">
        <w:rPr>
          <w:rStyle w:val="FootnoteReference"/>
          <w:rFonts w:ascii="Cambria" w:hAnsi="Cambria"/>
          <w:color w:val="auto"/>
          <w:sz w:val="16"/>
          <w:szCs w:val="16"/>
        </w:rPr>
        <w:footnoteRef/>
      </w:r>
      <w:r w:rsidRPr="004B1601">
        <w:rPr>
          <w:rFonts w:ascii="Cambria" w:hAnsi="Cambria"/>
          <w:color w:val="auto"/>
          <w:sz w:val="16"/>
          <w:szCs w:val="16"/>
        </w:rPr>
        <w:t xml:space="preserve"> </w:t>
      </w:r>
      <w:r w:rsidR="004211EB" w:rsidRPr="004B1601">
        <w:rPr>
          <w:rFonts w:ascii="Cambria" w:hAnsi="Cambria"/>
          <w:color w:val="auto"/>
          <w:sz w:val="16"/>
          <w:szCs w:val="16"/>
        </w:rPr>
        <w:t xml:space="preserve">Verbatim from the </w:t>
      </w:r>
      <w:r w:rsidR="004B1601" w:rsidRPr="004B1601">
        <w:rPr>
          <w:rFonts w:ascii="Cambria" w:hAnsi="Cambria"/>
          <w:color w:val="auto"/>
          <w:sz w:val="16"/>
          <w:szCs w:val="16"/>
        </w:rPr>
        <w:t>FSA</w:t>
      </w:r>
    </w:p>
  </w:footnote>
  <w:footnote w:id="5">
    <w:p w14:paraId="67136AD9" w14:textId="373016DA" w:rsidR="000C30FB" w:rsidRPr="002B0EDA" w:rsidRDefault="000C30FB" w:rsidP="0074122B">
      <w:pPr>
        <w:pStyle w:val="FootnoteText"/>
        <w:ind w:firstLine="720"/>
        <w:jc w:val="both"/>
        <w:rPr>
          <w:rFonts w:ascii="Cambria" w:hAnsi="Cambria"/>
          <w:sz w:val="16"/>
          <w:szCs w:val="16"/>
        </w:rPr>
      </w:pPr>
      <w:r w:rsidRPr="004B1601">
        <w:rPr>
          <w:rStyle w:val="FootnoteReference"/>
          <w:rFonts w:ascii="Cambria" w:hAnsi="Cambria"/>
          <w:color w:val="auto"/>
          <w:sz w:val="16"/>
          <w:szCs w:val="16"/>
        </w:rPr>
        <w:footnoteRef/>
      </w:r>
      <w:r w:rsidRPr="004B1601">
        <w:rPr>
          <w:rFonts w:ascii="Cambria" w:hAnsi="Cambria"/>
          <w:color w:val="auto"/>
          <w:sz w:val="16"/>
          <w:szCs w:val="16"/>
        </w:rPr>
        <w:t xml:space="preserve"> </w:t>
      </w:r>
      <w:r w:rsidR="004B1601" w:rsidRPr="004B1601">
        <w:rPr>
          <w:rFonts w:ascii="Cambria" w:hAnsi="Cambria"/>
          <w:color w:val="auto"/>
          <w:sz w:val="16"/>
          <w:szCs w:val="16"/>
        </w:rPr>
        <w:t xml:space="preserve">State Council. Contentious Administrative Chamber, Third Section. Judgment from October 20, 2014. N. </w:t>
      </w:r>
      <w:r w:rsidR="004B1601" w:rsidRPr="004B1601">
        <w:rPr>
          <w:rFonts w:ascii="Cambria" w:eastAsia="Arial Unicode MS" w:hAnsi="Cambria" w:cs="Times New Roman"/>
          <w:color w:val="auto"/>
          <w:sz w:val="16"/>
          <w:szCs w:val="16"/>
          <w:lang w:eastAsia="en-US"/>
        </w:rPr>
        <w:t xml:space="preserve">05001-23-31-000-2004-04210-01 (40.060). State Council. </w:t>
      </w:r>
      <w:r w:rsidR="004B1601" w:rsidRPr="004B1601">
        <w:rPr>
          <w:rFonts w:ascii="Cambria" w:hAnsi="Cambria"/>
          <w:color w:val="auto"/>
          <w:sz w:val="16"/>
          <w:szCs w:val="16"/>
        </w:rPr>
        <w:t xml:space="preserve">Contentious Administrative Chamber, Third Section. Counselor in charge: Carlos Alberto Zambrano Barrera. Judgement of July 18, 2019. N. </w:t>
      </w:r>
      <w:r w:rsidR="004B1601" w:rsidRPr="002B0EDA">
        <w:rPr>
          <w:rFonts w:ascii="Cambria" w:eastAsia="Arial Unicode MS" w:hAnsi="Cambria" w:cs="Times New Roman"/>
          <w:color w:val="auto"/>
          <w:sz w:val="16"/>
          <w:szCs w:val="16"/>
          <w:lang w:eastAsia="en-US"/>
        </w:rPr>
        <w:t>73001-23-31-000-2009-00133-01 (44.572).</w:t>
      </w:r>
      <w:r w:rsidR="004B1601" w:rsidRPr="002B0EDA">
        <w:rPr>
          <w:rFonts w:ascii="Cambria" w:hAnsi="Cambria"/>
          <w:color w:val="auto"/>
          <w:sz w:val="16"/>
          <w:szCs w:val="16"/>
        </w:rPr>
        <w:t xml:space="preserve"> </w:t>
      </w:r>
    </w:p>
  </w:footnote>
  <w:footnote w:id="6">
    <w:p w14:paraId="4749BAD0" w14:textId="41EF92EB" w:rsidR="00D71E95" w:rsidRPr="004B1601" w:rsidRDefault="00D71E95" w:rsidP="0074122B">
      <w:pPr>
        <w:pStyle w:val="FootnoteText"/>
        <w:ind w:firstLine="720"/>
        <w:jc w:val="both"/>
        <w:rPr>
          <w:rFonts w:ascii="Cambria" w:hAnsi="Cambria"/>
          <w:sz w:val="16"/>
          <w:szCs w:val="16"/>
        </w:rPr>
      </w:pPr>
      <w:r w:rsidRPr="004B1601">
        <w:rPr>
          <w:rStyle w:val="FootnoteReference"/>
          <w:rFonts w:ascii="Cambria" w:hAnsi="Cambria"/>
          <w:sz w:val="16"/>
          <w:szCs w:val="16"/>
        </w:rPr>
        <w:footnoteRef/>
      </w:r>
      <w:r w:rsidRPr="004B1601">
        <w:rPr>
          <w:rFonts w:ascii="Cambria" w:hAnsi="Cambria"/>
          <w:sz w:val="16"/>
          <w:szCs w:val="16"/>
        </w:rPr>
        <w:t xml:space="preserve"> </w:t>
      </w:r>
      <w:r w:rsidR="004B1601" w:rsidRPr="004B1601">
        <w:rPr>
          <w:rFonts w:ascii="Cambria" w:hAnsi="Cambria"/>
          <w:sz w:val="16"/>
          <w:szCs w:val="16"/>
        </w:rPr>
        <w:t xml:space="preserve">Official document N. </w:t>
      </w:r>
      <w:r w:rsidR="004B1601" w:rsidRPr="004B1601">
        <w:rPr>
          <w:rFonts w:ascii="Cambria" w:eastAsia="Arial Unicode MS" w:hAnsi="Cambria" w:cs="Times New Roman"/>
          <w:color w:val="auto"/>
          <w:sz w:val="16"/>
          <w:szCs w:val="16"/>
          <w:lang w:eastAsia="en-US"/>
        </w:rPr>
        <w:t>20211700038581-GDI of June 4, 2021. General Prosecutor’s Office.</w:t>
      </w:r>
    </w:p>
  </w:footnote>
  <w:footnote w:id="7">
    <w:p w14:paraId="30031617" w14:textId="6E1FF63C" w:rsidR="00425A11" w:rsidRPr="004B1601" w:rsidRDefault="00425A11" w:rsidP="0074122B">
      <w:pPr>
        <w:pStyle w:val="FootnoteText"/>
        <w:ind w:firstLine="720"/>
        <w:jc w:val="both"/>
      </w:pPr>
      <w:r w:rsidRPr="004B1601">
        <w:rPr>
          <w:rStyle w:val="FootnoteReference"/>
          <w:rFonts w:ascii="Cambria" w:hAnsi="Cambria"/>
          <w:sz w:val="16"/>
          <w:szCs w:val="16"/>
        </w:rPr>
        <w:footnoteRef/>
      </w:r>
      <w:r w:rsidRPr="004B1601">
        <w:rPr>
          <w:rFonts w:ascii="Cambria" w:hAnsi="Cambria"/>
          <w:sz w:val="16"/>
          <w:szCs w:val="16"/>
        </w:rPr>
        <w:t xml:space="preserve"> </w:t>
      </w:r>
      <w:r w:rsidR="004B1601" w:rsidRPr="004B1601">
        <w:rPr>
          <w:rFonts w:ascii="Cambria" w:hAnsi="Cambria"/>
          <w:sz w:val="16"/>
          <w:szCs w:val="16"/>
        </w:rPr>
        <w:t>Ibidem.</w:t>
      </w:r>
    </w:p>
  </w:footnote>
  <w:footnote w:id="8">
    <w:p w14:paraId="548AFF1F" w14:textId="42215221" w:rsidR="00797EF7" w:rsidRPr="00016E13" w:rsidRDefault="00797EF7" w:rsidP="0074122B">
      <w:pPr>
        <w:ind w:firstLine="720"/>
        <w:jc w:val="both"/>
        <w:rPr>
          <w:rFonts w:ascii="Cambria" w:eastAsia="Times New Roman" w:hAnsi="Cambria"/>
          <w:sz w:val="16"/>
          <w:szCs w:val="16"/>
          <w:bdr w:val="none" w:sz="0" w:space="0" w:color="auto"/>
        </w:rPr>
      </w:pPr>
      <w:r w:rsidRPr="00016E13">
        <w:rPr>
          <w:rStyle w:val="FootnoteReference"/>
          <w:rFonts w:ascii="Cambria" w:hAnsi="Cambria"/>
          <w:sz w:val="16"/>
          <w:szCs w:val="16"/>
        </w:rPr>
        <w:footnoteRef/>
      </w:r>
      <w:r w:rsidRPr="00016E13">
        <w:rPr>
          <w:rFonts w:ascii="Cambria" w:hAnsi="Cambria"/>
          <w:sz w:val="16"/>
          <w:szCs w:val="16"/>
        </w:rPr>
        <w:t xml:space="preserve"> </w:t>
      </w:r>
      <w:r w:rsidR="004B1601" w:rsidRPr="00016E13">
        <w:rPr>
          <w:rFonts w:ascii="Cambria" w:hAnsi="Cambria"/>
          <w:sz w:val="16"/>
          <w:szCs w:val="16"/>
        </w:rPr>
        <w:t xml:space="preserve">The </w:t>
      </w:r>
      <w:r w:rsidR="00016E13">
        <w:rPr>
          <w:rFonts w:ascii="Cambria" w:hAnsi="Cambria"/>
          <w:sz w:val="16"/>
          <w:szCs w:val="16"/>
        </w:rPr>
        <w:t>foregoing</w:t>
      </w:r>
      <w:r w:rsidR="00016E13" w:rsidRPr="00016E13">
        <w:rPr>
          <w:rFonts w:ascii="Cambria" w:hAnsi="Cambria"/>
          <w:sz w:val="16"/>
          <w:szCs w:val="16"/>
        </w:rPr>
        <w:t xml:space="preserve"> based on the jurisprudence of the Inter-American </w:t>
      </w:r>
      <w:proofErr w:type="spellStart"/>
      <w:r w:rsidR="00016E13" w:rsidRPr="00016E13">
        <w:rPr>
          <w:rFonts w:ascii="Cambria" w:hAnsi="Cambria"/>
          <w:sz w:val="16"/>
          <w:szCs w:val="16"/>
        </w:rPr>
        <w:t>ourt</w:t>
      </w:r>
      <w:proofErr w:type="spellEnd"/>
      <w:r w:rsidR="00016E13" w:rsidRPr="00016E13">
        <w:rPr>
          <w:rFonts w:ascii="Cambria" w:hAnsi="Cambria"/>
          <w:sz w:val="16"/>
          <w:szCs w:val="16"/>
        </w:rPr>
        <w:t xml:space="preserve"> of Human Rights. See, </w:t>
      </w:r>
      <w:r w:rsidR="00016E13" w:rsidRPr="00016E13">
        <w:rPr>
          <w:rFonts w:ascii="Cambria" w:eastAsia="Times New Roman" w:hAnsi="Cambria" w:cs="Open Sans"/>
          <w:sz w:val="16"/>
          <w:szCs w:val="16"/>
          <w:bdr w:val="none" w:sz="0" w:space="0" w:color="auto"/>
          <w:shd w:val="clear" w:color="auto" w:fill="FFFFFF"/>
        </w:rPr>
        <w:t xml:space="preserve">I/A Court H.R., Case of the Afro-descendant Communities displaced from the </w:t>
      </w:r>
      <w:proofErr w:type="spellStart"/>
      <w:r w:rsidR="00016E13" w:rsidRPr="00016E13">
        <w:rPr>
          <w:rFonts w:ascii="Cambria" w:eastAsia="Times New Roman" w:hAnsi="Cambria" w:cs="Open Sans"/>
          <w:sz w:val="16"/>
          <w:szCs w:val="16"/>
          <w:bdr w:val="none" w:sz="0" w:space="0" w:color="auto"/>
          <w:shd w:val="clear" w:color="auto" w:fill="FFFFFF"/>
        </w:rPr>
        <w:t>Cacarica</w:t>
      </w:r>
      <w:proofErr w:type="spellEnd"/>
      <w:r w:rsidR="00016E13" w:rsidRPr="00016E13">
        <w:rPr>
          <w:rFonts w:ascii="Cambria" w:eastAsia="Times New Roman" w:hAnsi="Cambria" w:cs="Open Sans"/>
          <w:sz w:val="16"/>
          <w:szCs w:val="16"/>
          <w:bdr w:val="none" w:sz="0" w:space="0" w:color="auto"/>
          <w:shd w:val="clear" w:color="auto" w:fill="FFFFFF"/>
        </w:rPr>
        <w:t xml:space="preserve"> River Basin (Operation Genesis) v. Colombia. Preliminary Objections, Merits, Reparations and Costs. Judgment of November 20, 2013. Series C No. 270, par. 425.</w:t>
      </w:r>
    </w:p>
  </w:footnote>
  <w:footnote w:id="9">
    <w:p w14:paraId="19EB6DFB" w14:textId="3559D59D" w:rsidR="00EE3AEF" w:rsidRDefault="00EE3AEF" w:rsidP="0074122B">
      <w:pPr>
        <w:pStyle w:val="FootnoteText"/>
        <w:ind w:firstLine="720"/>
        <w:jc w:val="both"/>
      </w:pPr>
      <w:r>
        <w:rPr>
          <w:rStyle w:val="FootnoteReference"/>
        </w:rPr>
        <w:footnoteRef/>
      </w:r>
      <w:r>
        <w:t xml:space="preserve"> </w:t>
      </w:r>
      <w:r w:rsidRPr="00BC1EAC">
        <w:rPr>
          <w:rFonts w:ascii="Cambria" w:hAnsi="Cambria"/>
          <w:sz w:val="16"/>
          <w:szCs w:val="16"/>
        </w:rPr>
        <w:t xml:space="preserve">Vienna Convention of the Law of Treaties, U.N. Doc. </w:t>
      </w:r>
      <w:r w:rsidRPr="004A18FE">
        <w:rPr>
          <w:rFonts w:ascii="Cambria" w:hAnsi="Cambria"/>
          <w:sz w:val="16"/>
          <w:szCs w:val="16"/>
          <w:lang w:val="es-US"/>
        </w:rPr>
        <w:t xml:space="preserve">A/CONF.39/27 (1969), </w:t>
      </w:r>
      <w:proofErr w:type="spellStart"/>
      <w:r w:rsidRPr="004A18FE">
        <w:rPr>
          <w:rFonts w:ascii="Cambria" w:hAnsi="Cambria"/>
          <w:sz w:val="16"/>
          <w:szCs w:val="16"/>
          <w:lang w:val="es-US"/>
        </w:rPr>
        <w:t>Article</w:t>
      </w:r>
      <w:proofErr w:type="spellEnd"/>
      <w:r w:rsidRPr="004A18FE">
        <w:rPr>
          <w:rFonts w:ascii="Cambria" w:hAnsi="Cambria"/>
          <w:sz w:val="16"/>
          <w:szCs w:val="16"/>
          <w:lang w:val="es-US"/>
        </w:rPr>
        <w:t xml:space="preserve"> 26: “</w:t>
      </w:r>
      <w:r w:rsidRPr="004A18FE">
        <w:rPr>
          <w:rFonts w:ascii="Cambria" w:hAnsi="Cambria"/>
          <w:i/>
          <w:iCs/>
          <w:sz w:val="16"/>
          <w:szCs w:val="16"/>
          <w:lang w:val="es-US"/>
        </w:rPr>
        <w:t xml:space="preserve">pacta sunt </w:t>
      </w:r>
      <w:proofErr w:type="spellStart"/>
      <w:r w:rsidRPr="004A18FE">
        <w:rPr>
          <w:rFonts w:ascii="Cambria" w:hAnsi="Cambria"/>
          <w:i/>
          <w:iCs/>
          <w:sz w:val="16"/>
          <w:szCs w:val="16"/>
          <w:lang w:val="es-US"/>
        </w:rPr>
        <w:t>servanda</w:t>
      </w:r>
      <w:proofErr w:type="spellEnd"/>
      <w:r w:rsidRPr="004A18FE">
        <w:rPr>
          <w:rFonts w:ascii="Cambria" w:hAnsi="Cambria"/>
          <w:sz w:val="16"/>
          <w:szCs w:val="16"/>
          <w:lang w:val="es-US"/>
        </w:rPr>
        <w:t xml:space="preserve">”. </w:t>
      </w:r>
      <w:r w:rsidR="003754A2" w:rsidRPr="00BC1EAC">
        <w:rPr>
          <w:rFonts w:ascii="Cambria" w:hAnsi="Cambria"/>
          <w:sz w:val="16"/>
          <w:szCs w:val="16"/>
        </w:rPr>
        <w:t>Every treaty</w:t>
      </w:r>
      <w:r w:rsidRPr="00BC1EAC">
        <w:rPr>
          <w:rFonts w:ascii="Cambria" w:hAnsi="Cambria"/>
          <w:sz w:val="16"/>
          <w:szCs w:val="16"/>
        </w:rPr>
        <w:t xml:space="preserve"> in force is binding upon the parties to it and must be performed by them in good faith.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1C167"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6555806"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E51A5"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557B2738" wp14:editId="709C7D43">
          <wp:extent cx="2209800" cy="117396"/>
          <wp:effectExtent l="0" t="0" r="0" b="0"/>
          <wp:docPr id="12" name="Picture 12"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553F0520" w14:textId="77777777" w:rsidR="00040C3A" w:rsidRPr="00EC7D62" w:rsidRDefault="009764C3" w:rsidP="002C1641">
    <w:pPr>
      <w:pStyle w:val="Header"/>
      <w:tabs>
        <w:tab w:val="clear" w:pos="4320"/>
        <w:tab w:val="clear" w:pos="8640"/>
      </w:tabs>
      <w:jc w:val="center"/>
      <w:rPr>
        <w:sz w:val="22"/>
        <w:szCs w:val="22"/>
      </w:rPr>
    </w:pPr>
    <w:r>
      <w:rPr>
        <w:noProof/>
        <w:sz w:val="22"/>
        <w:szCs w:val="22"/>
        <w:bdr w:val="nil"/>
      </w:rPr>
      <w:pict w14:anchorId="3E7E5F16">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134BC"/>
    <w:multiLevelType w:val="hybridMultilevel"/>
    <w:tmpl w:val="F8600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7CC579D"/>
    <w:multiLevelType w:val="hybridMultilevel"/>
    <w:tmpl w:val="307462C6"/>
    <w:lvl w:ilvl="0" w:tplc="5FF808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0C58331E"/>
    <w:multiLevelType w:val="hybridMultilevel"/>
    <w:tmpl w:val="A1CEC8CC"/>
    <w:lvl w:ilvl="0" w:tplc="59B4AD3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0E1D2261"/>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2113AD2"/>
    <w:multiLevelType w:val="hybridMultilevel"/>
    <w:tmpl w:val="B0B23A1C"/>
    <w:lvl w:ilvl="0" w:tplc="DF8803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11"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3"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2"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3" w15:restartNumberingAfterBreak="0">
    <w:nsid w:val="3D994DEE"/>
    <w:multiLevelType w:val="hybridMultilevel"/>
    <w:tmpl w:val="80DE43A4"/>
    <w:lvl w:ilvl="0" w:tplc="407097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5FB1601C"/>
    <w:multiLevelType w:val="hybridMultilevel"/>
    <w:tmpl w:val="98A2F740"/>
    <w:lvl w:ilvl="0" w:tplc="066CA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5"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859152298">
    <w:abstractNumId w:val="32"/>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573585251">
    <w:abstractNumId w:val="7"/>
  </w:num>
  <w:num w:numId="3" w16cid:durableId="1538279551">
    <w:abstractNumId w:val="46"/>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916668075">
    <w:abstractNumId w:val="24"/>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789810305">
    <w:abstractNumId w:val="10"/>
  </w:num>
  <w:num w:numId="6" w16cid:durableId="59555349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956060524">
    <w:abstractNumId w:val="61"/>
  </w:num>
  <w:num w:numId="8" w16cid:durableId="443812627">
    <w:abstractNumId w:val="25"/>
  </w:num>
  <w:num w:numId="9" w16cid:durableId="2117092356">
    <w:abstractNumId w:val="53"/>
  </w:num>
  <w:num w:numId="10" w16cid:durableId="1205673814">
    <w:abstractNumId w:val="18"/>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989866975">
    <w:abstractNumId w:val="31"/>
  </w:num>
  <w:num w:numId="12" w16cid:durableId="1851799777">
    <w:abstractNumId w:val="59"/>
  </w:num>
  <w:num w:numId="13" w16cid:durableId="2064986925">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1477139083">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628631986">
    <w:abstractNumId w:val="12"/>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2028362208">
    <w:abstractNumId w:val="2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452098439">
    <w:abstractNumId w:val="2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44397813">
    <w:abstractNumId w:val="15"/>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1316177703">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1224683065">
    <w:abstractNumId w:val="11"/>
  </w:num>
  <w:num w:numId="21" w16cid:durableId="146627235">
    <w:abstractNumId w:val="4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1847205115">
    <w:abstractNumId w:val="27"/>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79720153">
    <w:abstractNumId w:val="14"/>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1976830598">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1426225101">
    <w:abstractNumId w:val="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443964521">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1612929481">
    <w:abstractNumId w:val="5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571503224">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030450604">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112146214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968779156">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1646396659">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152722045">
    <w:abstractNumId w:val="23"/>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1776094421">
    <w:abstractNumId w:val="4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747964481">
    <w:abstractNumId w:val="21"/>
  </w:num>
  <w:num w:numId="36" w16cid:durableId="1494879174">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1809324894">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2005891303">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63377104">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1042946572">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387917532">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807893056">
    <w:abstractNumId w:val="43"/>
  </w:num>
  <w:num w:numId="43" w16cid:durableId="341393728">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468327910">
    <w:abstractNumId w:val="4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24453058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371882091">
    <w:abstractNumId w:val="20"/>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934750426">
    <w:abstractNumId w:val="2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160315042">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306668751">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821191505">
    <w:abstractNumId w:val="3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2073773983">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445856048">
    <w:abstractNumId w:val="47"/>
  </w:num>
  <w:num w:numId="53" w16cid:durableId="2010986587">
    <w:abstractNumId w:val="1"/>
  </w:num>
  <w:num w:numId="54" w16cid:durableId="414013012">
    <w:abstractNumId w:val="42"/>
  </w:num>
  <w:num w:numId="55" w16cid:durableId="575627975">
    <w:abstractNumId w:val="43"/>
  </w:num>
  <w:num w:numId="56" w16cid:durableId="132216620">
    <w:abstractNumId w:val="48"/>
  </w:num>
  <w:num w:numId="57" w16cid:durableId="1505508782">
    <w:abstractNumId w:val="2"/>
  </w:num>
  <w:num w:numId="58" w16cid:durableId="1813794611">
    <w:abstractNumId w:val="4"/>
  </w:num>
  <w:num w:numId="59" w16cid:durableId="378866863">
    <w:abstractNumId w:val="12"/>
  </w:num>
  <w:num w:numId="60" w16cid:durableId="1178690729">
    <w:abstractNumId w:val="13"/>
  </w:num>
  <w:num w:numId="61" w16cid:durableId="331222447">
    <w:abstractNumId w:val="14"/>
  </w:num>
  <w:num w:numId="62" w16cid:durableId="139542161">
    <w:abstractNumId w:val="15"/>
  </w:num>
  <w:num w:numId="63" w16cid:durableId="1190535105">
    <w:abstractNumId w:val="16"/>
  </w:num>
  <w:num w:numId="64" w16cid:durableId="992176053">
    <w:abstractNumId w:val="17"/>
  </w:num>
  <w:num w:numId="65" w16cid:durableId="468283281">
    <w:abstractNumId w:val="18"/>
  </w:num>
  <w:num w:numId="66" w16cid:durableId="1429689603">
    <w:abstractNumId w:val="19"/>
  </w:num>
  <w:num w:numId="67" w16cid:durableId="1900172012">
    <w:abstractNumId w:val="20"/>
  </w:num>
  <w:num w:numId="68" w16cid:durableId="631519629">
    <w:abstractNumId w:val="22"/>
  </w:num>
  <w:num w:numId="69" w16cid:durableId="1345860908">
    <w:abstractNumId w:val="23"/>
  </w:num>
  <w:num w:numId="70" w16cid:durableId="1260717802">
    <w:abstractNumId w:val="26"/>
  </w:num>
  <w:num w:numId="71" w16cid:durableId="1253196002">
    <w:abstractNumId w:val="27"/>
  </w:num>
  <w:num w:numId="72" w16cid:durableId="570508756">
    <w:abstractNumId w:val="28"/>
  </w:num>
  <w:num w:numId="73" w16cid:durableId="923345158">
    <w:abstractNumId w:val="30"/>
  </w:num>
  <w:num w:numId="74" w16cid:durableId="582616387">
    <w:abstractNumId w:val="32"/>
  </w:num>
  <w:num w:numId="75" w16cid:durableId="2076008337">
    <w:abstractNumId w:val="34"/>
  </w:num>
  <w:num w:numId="76" w16cid:durableId="446895909">
    <w:abstractNumId w:val="35"/>
  </w:num>
  <w:num w:numId="77" w16cid:durableId="1193106110">
    <w:abstractNumId w:val="36"/>
  </w:num>
  <w:num w:numId="78" w16cid:durableId="1505393628">
    <w:abstractNumId w:val="37"/>
  </w:num>
  <w:num w:numId="79" w16cid:durableId="1895235665">
    <w:abstractNumId w:val="38"/>
  </w:num>
  <w:num w:numId="80" w16cid:durableId="1451779153">
    <w:abstractNumId w:val="39"/>
  </w:num>
  <w:num w:numId="81" w16cid:durableId="755903511">
    <w:abstractNumId w:val="40"/>
  </w:num>
  <w:num w:numId="82" w16cid:durableId="836577176">
    <w:abstractNumId w:val="44"/>
  </w:num>
  <w:num w:numId="83" w16cid:durableId="1616517248">
    <w:abstractNumId w:val="45"/>
  </w:num>
  <w:num w:numId="84" w16cid:durableId="232786456">
    <w:abstractNumId w:val="51"/>
  </w:num>
  <w:num w:numId="85" w16cid:durableId="836043079">
    <w:abstractNumId w:val="54"/>
  </w:num>
  <w:num w:numId="86" w16cid:durableId="2100905667">
    <w:abstractNumId w:val="56"/>
  </w:num>
  <w:num w:numId="87" w16cid:durableId="100343797">
    <w:abstractNumId w:val="58"/>
  </w:num>
  <w:num w:numId="88" w16cid:durableId="212474235">
    <w:abstractNumId w:val="60"/>
  </w:num>
  <w:num w:numId="89" w16cid:durableId="1618369461">
    <w:abstractNumId w:val="62"/>
  </w:num>
  <w:num w:numId="90" w16cid:durableId="121270299">
    <w:abstractNumId w:val="63"/>
  </w:num>
  <w:num w:numId="91" w16cid:durableId="2016109981">
    <w:abstractNumId w:val="64"/>
  </w:num>
  <w:num w:numId="92" w16cid:durableId="1564175404">
    <w:abstractNumId w:val="65"/>
  </w:num>
  <w:num w:numId="93" w16cid:durableId="449710391">
    <w:abstractNumId w:val="66"/>
  </w:num>
  <w:num w:numId="94" w16cid:durableId="1159928447">
    <w:abstractNumId w:val="24"/>
  </w:num>
  <w:num w:numId="95" w16cid:durableId="1541432301">
    <w:abstractNumId w:val="46"/>
  </w:num>
  <w:num w:numId="96" w16cid:durableId="504129101">
    <w:abstractNumId w:val="57"/>
  </w:num>
  <w:num w:numId="97" w16cid:durableId="625891118">
    <w:abstractNumId w:val="55"/>
  </w:num>
  <w:num w:numId="98" w16cid:durableId="55396229">
    <w:abstractNumId w:val="49"/>
  </w:num>
  <w:num w:numId="99" w16cid:durableId="1696807697">
    <w:abstractNumId w:val="41"/>
  </w:num>
  <w:num w:numId="100" w16cid:durableId="913900904">
    <w:abstractNumId w:val="5"/>
  </w:num>
  <w:num w:numId="101" w16cid:durableId="874655005">
    <w:abstractNumId w:val="29"/>
  </w:num>
  <w:num w:numId="102" w16cid:durableId="1566645592">
    <w:abstractNumId w:val="52"/>
  </w:num>
  <w:num w:numId="103" w16cid:durableId="805858871">
    <w:abstractNumId w:val="8"/>
  </w:num>
  <w:num w:numId="104" w16cid:durableId="771363650">
    <w:abstractNumId w:val="50"/>
  </w:num>
  <w:num w:numId="105" w16cid:durableId="131213658">
    <w:abstractNumId w:val="3"/>
  </w:num>
  <w:num w:numId="106" w16cid:durableId="1473593486">
    <w:abstractNumId w:val="9"/>
  </w:num>
  <w:num w:numId="107" w16cid:durableId="1131944747">
    <w:abstractNumId w:val="33"/>
  </w:num>
  <w:num w:numId="108" w16cid:durableId="2064014573">
    <w:abstractNumId w:val="0"/>
  </w:num>
  <w:num w:numId="109" w16cid:durableId="1884754561">
    <w:abstractNumId w:val="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70D7"/>
    <w:rsid w:val="000111A8"/>
    <w:rsid w:val="00016E13"/>
    <w:rsid w:val="0001788C"/>
    <w:rsid w:val="00036A8A"/>
    <w:rsid w:val="00040C3A"/>
    <w:rsid w:val="0005257F"/>
    <w:rsid w:val="000639C0"/>
    <w:rsid w:val="00070F3A"/>
    <w:rsid w:val="000716C5"/>
    <w:rsid w:val="00075E23"/>
    <w:rsid w:val="00092F32"/>
    <w:rsid w:val="0009344A"/>
    <w:rsid w:val="000A575F"/>
    <w:rsid w:val="000A73FE"/>
    <w:rsid w:val="000C30FB"/>
    <w:rsid w:val="000D10DB"/>
    <w:rsid w:val="000F62D9"/>
    <w:rsid w:val="0013104F"/>
    <w:rsid w:val="00137EBA"/>
    <w:rsid w:val="00145EDC"/>
    <w:rsid w:val="00167A34"/>
    <w:rsid w:val="001741A1"/>
    <w:rsid w:val="0018037F"/>
    <w:rsid w:val="00193D15"/>
    <w:rsid w:val="001A5F27"/>
    <w:rsid w:val="001A7870"/>
    <w:rsid w:val="001B1FC0"/>
    <w:rsid w:val="001C1B41"/>
    <w:rsid w:val="00201DCC"/>
    <w:rsid w:val="00210E0E"/>
    <w:rsid w:val="00247403"/>
    <w:rsid w:val="00247542"/>
    <w:rsid w:val="00257893"/>
    <w:rsid w:val="00266092"/>
    <w:rsid w:val="00266B61"/>
    <w:rsid w:val="0026712A"/>
    <w:rsid w:val="002704DB"/>
    <w:rsid w:val="002942D7"/>
    <w:rsid w:val="002A65AC"/>
    <w:rsid w:val="002B0EDA"/>
    <w:rsid w:val="002C1641"/>
    <w:rsid w:val="002C5A17"/>
    <w:rsid w:val="002C76C4"/>
    <w:rsid w:val="002D6143"/>
    <w:rsid w:val="002D716C"/>
    <w:rsid w:val="002D7EA2"/>
    <w:rsid w:val="002E15DF"/>
    <w:rsid w:val="002E187C"/>
    <w:rsid w:val="002E6E57"/>
    <w:rsid w:val="002E7A73"/>
    <w:rsid w:val="002F1E31"/>
    <w:rsid w:val="002F788D"/>
    <w:rsid w:val="00301075"/>
    <w:rsid w:val="00302733"/>
    <w:rsid w:val="00311A4F"/>
    <w:rsid w:val="00314078"/>
    <w:rsid w:val="00322450"/>
    <w:rsid w:val="003246B5"/>
    <w:rsid w:val="0033169F"/>
    <w:rsid w:val="003414AC"/>
    <w:rsid w:val="00356185"/>
    <w:rsid w:val="00360380"/>
    <w:rsid w:val="003754A2"/>
    <w:rsid w:val="003815A8"/>
    <w:rsid w:val="00386CF0"/>
    <w:rsid w:val="003C32BC"/>
    <w:rsid w:val="003F1BBF"/>
    <w:rsid w:val="0041551F"/>
    <w:rsid w:val="004165C2"/>
    <w:rsid w:val="004211EB"/>
    <w:rsid w:val="00425A11"/>
    <w:rsid w:val="0044429E"/>
    <w:rsid w:val="004479CD"/>
    <w:rsid w:val="00450A4A"/>
    <w:rsid w:val="00465985"/>
    <w:rsid w:val="004666FB"/>
    <w:rsid w:val="00467B7E"/>
    <w:rsid w:val="00490289"/>
    <w:rsid w:val="0049419D"/>
    <w:rsid w:val="004965C5"/>
    <w:rsid w:val="004A18FE"/>
    <w:rsid w:val="004B1601"/>
    <w:rsid w:val="004B2762"/>
    <w:rsid w:val="004B7EB6"/>
    <w:rsid w:val="004C4B62"/>
    <w:rsid w:val="004D6025"/>
    <w:rsid w:val="004D6E30"/>
    <w:rsid w:val="004D72BC"/>
    <w:rsid w:val="004E5285"/>
    <w:rsid w:val="00501399"/>
    <w:rsid w:val="00506A97"/>
    <w:rsid w:val="00507BC4"/>
    <w:rsid w:val="005128E4"/>
    <w:rsid w:val="00525560"/>
    <w:rsid w:val="005357A6"/>
    <w:rsid w:val="00544C49"/>
    <w:rsid w:val="00554EB0"/>
    <w:rsid w:val="005627B3"/>
    <w:rsid w:val="0057402A"/>
    <w:rsid w:val="005771D0"/>
    <w:rsid w:val="0059191A"/>
    <w:rsid w:val="005921FF"/>
    <w:rsid w:val="005A6D0E"/>
    <w:rsid w:val="005B222D"/>
    <w:rsid w:val="005B52B0"/>
    <w:rsid w:val="005B6806"/>
    <w:rsid w:val="005C00F9"/>
    <w:rsid w:val="005C4225"/>
    <w:rsid w:val="005F0F33"/>
    <w:rsid w:val="00600DEB"/>
    <w:rsid w:val="00613027"/>
    <w:rsid w:val="00627C9F"/>
    <w:rsid w:val="006311DA"/>
    <w:rsid w:val="006311E9"/>
    <w:rsid w:val="00632354"/>
    <w:rsid w:val="00642810"/>
    <w:rsid w:val="00652333"/>
    <w:rsid w:val="00671F19"/>
    <w:rsid w:val="0068009E"/>
    <w:rsid w:val="006A17D2"/>
    <w:rsid w:val="006A73E6"/>
    <w:rsid w:val="006B2D5C"/>
    <w:rsid w:val="006B4024"/>
    <w:rsid w:val="006B5CB4"/>
    <w:rsid w:val="006C32C4"/>
    <w:rsid w:val="006C4EB1"/>
    <w:rsid w:val="006E0166"/>
    <w:rsid w:val="006E59F2"/>
    <w:rsid w:val="006E69CA"/>
    <w:rsid w:val="006E7B34"/>
    <w:rsid w:val="00701B24"/>
    <w:rsid w:val="0074122B"/>
    <w:rsid w:val="00745899"/>
    <w:rsid w:val="007607C4"/>
    <w:rsid w:val="0076643F"/>
    <w:rsid w:val="00797EF7"/>
    <w:rsid w:val="007A2F70"/>
    <w:rsid w:val="007C3334"/>
    <w:rsid w:val="007C52BB"/>
    <w:rsid w:val="007D2B98"/>
    <w:rsid w:val="007E26F7"/>
    <w:rsid w:val="00803F1C"/>
    <w:rsid w:val="0080600E"/>
    <w:rsid w:val="00817612"/>
    <w:rsid w:val="00837C45"/>
    <w:rsid w:val="00853419"/>
    <w:rsid w:val="00897E12"/>
    <w:rsid w:val="008D43BA"/>
    <w:rsid w:val="008E3759"/>
    <w:rsid w:val="009041DC"/>
    <w:rsid w:val="009104B4"/>
    <w:rsid w:val="00925FCD"/>
    <w:rsid w:val="0093441A"/>
    <w:rsid w:val="00936D98"/>
    <w:rsid w:val="00954BF7"/>
    <w:rsid w:val="0096706E"/>
    <w:rsid w:val="009764C3"/>
    <w:rsid w:val="00981FBA"/>
    <w:rsid w:val="0099658A"/>
    <w:rsid w:val="009A0598"/>
    <w:rsid w:val="009B381B"/>
    <w:rsid w:val="009D7611"/>
    <w:rsid w:val="009D770B"/>
    <w:rsid w:val="009E53DE"/>
    <w:rsid w:val="009F15E3"/>
    <w:rsid w:val="00A43458"/>
    <w:rsid w:val="00A528D1"/>
    <w:rsid w:val="00A63EC7"/>
    <w:rsid w:val="00A66BE5"/>
    <w:rsid w:val="00A80B07"/>
    <w:rsid w:val="00AD37C1"/>
    <w:rsid w:val="00AE66EC"/>
    <w:rsid w:val="00AE6F91"/>
    <w:rsid w:val="00AF5571"/>
    <w:rsid w:val="00B167E9"/>
    <w:rsid w:val="00B314DB"/>
    <w:rsid w:val="00B31EBE"/>
    <w:rsid w:val="00B35243"/>
    <w:rsid w:val="00B3718B"/>
    <w:rsid w:val="00B4632A"/>
    <w:rsid w:val="00B64203"/>
    <w:rsid w:val="00BA142D"/>
    <w:rsid w:val="00BA276C"/>
    <w:rsid w:val="00BB306F"/>
    <w:rsid w:val="00BD232B"/>
    <w:rsid w:val="00BD3C72"/>
    <w:rsid w:val="00BD4B89"/>
    <w:rsid w:val="00C06F55"/>
    <w:rsid w:val="00C21762"/>
    <w:rsid w:val="00C24543"/>
    <w:rsid w:val="00C256A2"/>
    <w:rsid w:val="00C3492D"/>
    <w:rsid w:val="00C55560"/>
    <w:rsid w:val="00C66B72"/>
    <w:rsid w:val="00C9567A"/>
    <w:rsid w:val="00CB2660"/>
    <w:rsid w:val="00CC074A"/>
    <w:rsid w:val="00CC5E90"/>
    <w:rsid w:val="00CD046C"/>
    <w:rsid w:val="00CE5199"/>
    <w:rsid w:val="00CE66D5"/>
    <w:rsid w:val="00D01328"/>
    <w:rsid w:val="00D34786"/>
    <w:rsid w:val="00D40A1E"/>
    <w:rsid w:val="00D62FBF"/>
    <w:rsid w:val="00D712D3"/>
    <w:rsid w:val="00D71422"/>
    <w:rsid w:val="00D7145E"/>
    <w:rsid w:val="00D71E95"/>
    <w:rsid w:val="00D7558D"/>
    <w:rsid w:val="00D81AB6"/>
    <w:rsid w:val="00D81D92"/>
    <w:rsid w:val="00D85EFA"/>
    <w:rsid w:val="00D93446"/>
    <w:rsid w:val="00D964C6"/>
    <w:rsid w:val="00DA37B6"/>
    <w:rsid w:val="00DA7B5F"/>
    <w:rsid w:val="00DF7173"/>
    <w:rsid w:val="00E42C76"/>
    <w:rsid w:val="00E43157"/>
    <w:rsid w:val="00E533FF"/>
    <w:rsid w:val="00E709B3"/>
    <w:rsid w:val="00E8789F"/>
    <w:rsid w:val="00E97B71"/>
    <w:rsid w:val="00EB454D"/>
    <w:rsid w:val="00EC3A79"/>
    <w:rsid w:val="00ED77B4"/>
    <w:rsid w:val="00EE3522"/>
    <w:rsid w:val="00EE3AEF"/>
    <w:rsid w:val="00EF619B"/>
    <w:rsid w:val="00F00B55"/>
    <w:rsid w:val="00F1380F"/>
    <w:rsid w:val="00F14F0E"/>
    <w:rsid w:val="00F24C29"/>
    <w:rsid w:val="00F253CC"/>
    <w:rsid w:val="00F550C2"/>
    <w:rsid w:val="00F56BA5"/>
    <w:rsid w:val="00F644E6"/>
    <w:rsid w:val="00F817BA"/>
    <w:rsid w:val="00F9653B"/>
    <w:rsid w:val="00FA675D"/>
    <w:rsid w:val="00FB62CF"/>
    <w:rsid w:val="00FC3EB4"/>
    <w:rsid w:val="00FC6C58"/>
    <w:rsid w:val="00FC7827"/>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F8D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List,Párrafo de lista1,List Paragraph1,Colorful List - Accent 11,List Paragraph11,Parragrap,Superíndice,Dot pt,No Spacing1,List Paragraph Char Char Char,Indicator Text,Numbered Para 1,4 Párrafo de lista,Figuras,DH1,4 Párrafo de l,Bullet 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pPr>
      <w:numPr>
        <w:numId w:val="74"/>
      </w:numPr>
    </w:pPr>
  </w:style>
  <w:style w:type="numbering" w:customStyle="1" w:styleId="List1">
    <w:name w:val="List 1"/>
    <w:pPr>
      <w:numPr>
        <w:numId w:val="2"/>
      </w:numPr>
    </w:pPr>
  </w:style>
  <w:style w:type="numbering" w:customStyle="1" w:styleId="List210">
    <w:name w:val="List 21"/>
    <w:pPr>
      <w:numPr>
        <w:numId w:val="95"/>
      </w:numPr>
    </w:pPr>
  </w:style>
  <w:style w:type="numbering" w:customStyle="1" w:styleId="List31">
    <w:name w:val="List 31"/>
    <w:pPr>
      <w:numPr>
        <w:numId w:val="94"/>
      </w:numPr>
    </w:pPr>
  </w:style>
  <w:style w:type="numbering" w:customStyle="1" w:styleId="List41">
    <w:name w:val="List 41"/>
    <w:pPr>
      <w:numPr>
        <w:numId w:val="5"/>
      </w:numPr>
    </w:pPr>
  </w:style>
  <w:style w:type="numbering" w:customStyle="1" w:styleId="List510">
    <w:name w:val="List 51"/>
    <w:pPr>
      <w:numPr>
        <w:numId w:val="98"/>
      </w:numPr>
    </w:pPr>
  </w:style>
  <w:style w:type="numbering" w:customStyle="1" w:styleId="List6">
    <w:name w:val="List 6"/>
    <w:pPr>
      <w:numPr>
        <w:numId w:val="7"/>
      </w:numPr>
    </w:pPr>
  </w:style>
  <w:style w:type="numbering" w:customStyle="1" w:styleId="List7">
    <w:name w:val="List 7"/>
    <w:pPr>
      <w:numPr>
        <w:numId w:val="8"/>
      </w:numPr>
    </w:pPr>
  </w:style>
  <w:style w:type="numbering" w:customStyle="1" w:styleId="List8">
    <w:name w:val="List 8"/>
    <w:pPr>
      <w:numPr>
        <w:numId w:val="9"/>
      </w:numPr>
    </w:pPr>
  </w:style>
  <w:style w:type="numbering" w:customStyle="1" w:styleId="List9">
    <w:name w:val="List 9"/>
    <w:pPr>
      <w:numPr>
        <w:numId w:val="65"/>
      </w:numPr>
    </w:pPr>
  </w:style>
  <w:style w:type="numbering" w:customStyle="1" w:styleId="List10">
    <w:name w:val="List 10"/>
    <w:pPr>
      <w:numPr>
        <w:numId w:val="11"/>
      </w:numPr>
    </w:pPr>
  </w:style>
  <w:style w:type="numbering" w:customStyle="1" w:styleId="List11">
    <w:name w:val="List 11"/>
    <w:pPr>
      <w:numPr>
        <w:numId w:val="20"/>
      </w:numPr>
    </w:pPr>
  </w:style>
  <w:style w:type="numbering" w:customStyle="1" w:styleId="List12">
    <w:name w:val="List 12"/>
    <w:pPr>
      <w:numPr>
        <w:numId w:val="79"/>
      </w:numPr>
    </w:pPr>
  </w:style>
  <w:style w:type="numbering" w:customStyle="1" w:styleId="List13">
    <w:name w:val="List 13"/>
    <w:pPr>
      <w:numPr>
        <w:numId w:val="85"/>
      </w:numPr>
    </w:pPr>
  </w:style>
  <w:style w:type="numbering" w:customStyle="1" w:styleId="List14">
    <w:name w:val="List 14"/>
    <w:pPr>
      <w:numPr>
        <w:numId w:val="60"/>
      </w:numPr>
    </w:pPr>
  </w:style>
  <w:style w:type="numbering" w:customStyle="1" w:styleId="List15">
    <w:name w:val="List 15"/>
    <w:pPr>
      <w:numPr>
        <w:numId w:val="59"/>
      </w:numPr>
    </w:pPr>
  </w:style>
  <w:style w:type="numbering" w:customStyle="1" w:styleId="List16">
    <w:name w:val="List 16"/>
    <w:pPr>
      <w:numPr>
        <w:numId w:val="53"/>
      </w:numPr>
    </w:pPr>
  </w:style>
  <w:style w:type="numbering" w:customStyle="1" w:styleId="List17">
    <w:name w:val="List 17"/>
    <w:pPr>
      <w:numPr>
        <w:numId w:val="68"/>
      </w:numPr>
    </w:pPr>
  </w:style>
  <w:style w:type="numbering" w:customStyle="1" w:styleId="List18">
    <w:name w:val="List 18"/>
    <w:pPr>
      <w:numPr>
        <w:numId w:val="70"/>
      </w:numPr>
    </w:pPr>
  </w:style>
  <w:style w:type="numbering" w:customStyle="1" w:styleId="List19">
    <w:name w:val="List 19"/>
    <w:pPr>
      <w:numPr>
        <w:numId w:val="62"/>
      </w:numPr>
    </w:pPr>
  </w:style>
  <w:style w:type="numbering" w:customStyle="1" w:styleId="List20">
    <w:name w:val="List 20"/>
    <w:pPr>
      <w:numPr>
        <w:numId w:val="86"/>
      </w:numPr>
    </w:pPr>
  </w:style>
  <w:style w:type="numbering" w:customStyle="1" w:styleId="List21">
    <w:name w:val="List 21"/>
    <w:pPr>
      <w:numPr>
        <w:numId w:val="81"/>
      </w:numPr>
    </w:pPr>
  </w:style>
  <w:style w:type="numbering" w:customStyle="1" w:styleId="List22">
    <w:name w:val="List 22"/>
    <w:pPr>
      <w:numPr>
        <w:numId w:val="71"/>
      </w:numPr>
    </w:pPr>
  </w:style>
  <w:style w:type="numbering" w:customStyle="1" w:styleId="List23">
    <w:name w:val="List 23"/>
    <w:pPr>
      <w:numPr>
        <w:numId w:val="61"/>
      </w:numPr>
    </w:pPr>
  </w:style>
  <w:style w:type="numbering" w:customStyle="1" w:styleId="List24">
    <w:name w:val="List 24"/>
    <w:pPr>
      <w:numPr>
        <w:numId w:val="56"/>
      </w:numPr>
    </w:pPr>
  </w:style>
  <w:style w:type="numbering" w:customStyle="1" w:styleId="List25">
    <w:name w:val="List 25"/>
    <w:pPr>
      <w:numPr>
        <w:numId w:val="58"/>
      </w:numPr>
    </w:pPr>
  </w:style>
  <w:style w:type="numbering" w:customStyle="1" w:styleId="List26">
    <w:name w:val="List 26"/>
    <w:pPr>
      <w:numPr>
        <w:numId w:val="92"/>
      </w:numPr>
    </w:pPr>
  </w:style>
  <w:style w:type="numbering" w:customStyle="1" w:styleId="List27">
    <w:name w:val="List 27"/>
    <w:pPr>
      <w:numPr>
        <w:numId w:val="84"/>
      </w:numPr>
    </w:pPr>
  </w:style>
  <w:style w:type="numbering" w:customStyle="1" w:styleId="List28">
    <w:name w:val="List 28"/>
    <w:pPr>
      <w:numPr>
        <w:numId w:val="73"/>
      </w:numPr>
    </w:pPr>
  </w:style>
  <w:style w:type="numbering" w:customStyle="1" w:styleId="List29">
    <w:name w:val="List 29"/>
    <w:pPr>
      <w:numPr>
        <w:numId w:val="77"/>
      </w:numPr>
    </w:pPr>
  </w:style>
  <w:style w:type="numbering" w:customStyle="1" w:styleId="List30">
    <w:name w:val="List 30"/>
    <w:pPr>
      <w:numPr>
        <w:numId w:val="75"/>
      </w:numPr>
    </w:pPr>
  </w:style>
  <w:style w:type="numbering" w:customStyle="1" w:styleId="List310">
    <w:name w:val="List 31"/>
    <w:pPr>
      <w:numPr>
        <w:numId w:val="88"/>
      </w:numPr>
    </w:pPr>
  </w:style>
  <w:style w:type="numbering" w:customStyle="1" w:styleId="List32">
    <w:name w:val="List 32"/>
    <w:pPr>
      <w:numPr>
        <w:numId w:val="91"/>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pPr>
      <w:numPr>
        <w:numId w:val="69"/>
      </w:numPr>
    </w:pPr>
  </w:style>
  <w:style w:type="numbering" w:customStyle="1" w:styleId="List34">
    <w:name w:val="List 34"/>
    <w:pPr>
      <w:numPr>
        <w:numId w:val="54"/>
      </w:numPr>
    </w:pPr>
  </w:style>
  <w:style w:type="numbering" w:customStyle="1" w:styleId="List35">
    <w:name w:val="List 35"/>
    <w:pPr>
      <w:numPr>
        <w:numId w:val="35"/>
      </w:numPr>
    </w:pPr>
  </w:style>
  <w:style w:type="numbering" w:customStyle="1" w:styleId="List36">
    <w:name w:val="List 36"/>
    <w:pPr>
      <w:numPr>
        <w:numId w:val="57"/>
      </w:numPr>
    </w:pPr>
  </w:style>
  <w:style w:type="numbering" w:customStyle="1" w:styleId="List37">
    <w:name w:val="List 37"/>
    <w:pPr>
      <w:numPr>
        <w:numId w:val="90"/>
      </w:numPr>
    </w:pPr>
  </w:style>
  <w:style w:type="numbering" w:customStyle="1" w:styleId="List38">
    <w:name w:val="List 38"/>
    <w:pPr>
      <w:numPr>
        <w:numId w:val="78"/>
      </w:numPr>
    </w:pPr>
  </w:style>
  <w:style w:type="numbering" w:customStyle="1" w:styleId="List39">
    <w:name w:val="List 39"/>
    <w:pPr>
      <w:numPr>
        <w:numId w:val="89"/>
      </w:numPr>
    </w:pPr>
  </w:style>
  <w:style w:type="numbering" w:customStyle="1" w:styleId="List40">
    <w:name w:val="List 40"/>
    <w:pPr>
      <w:numPr>
        <w:numId w:val="64"/>
      </w:numPr>
    </w:pPr>
  </w:style>
  <w:style w:type="numbering" w:customStyle="1" w:styleId="List410">
    <w:name w:val="List 41"/>
    <w:pPr>
      <w:numPr>
        <w:numId w:val="87"/>
      </w:numPr>
    </w:pPr>
  </w:style>
  <w:style w:type="numbering" w:customStyle="1" w:styleId="List42">
    <w:name w:val="List 42"/>
    <w:pPr>
      <w:numPr>
        <w:numId w:val="42"/>
      </w:numPr>
    </w:pPr>
  </w:style>
  <w:style w:type="numbering" w:customStyle="1" w:styleId="List43">
    <w:name w:val="List 43"/>
    <w:pPr>
      <w:numPr>
        <w:numId w:val="66"/>
      </w:numPr>
    </w:pPr>
  </w:style>
  <w:style w:type="numbering" w:customStyle="1" w:styleId="List44">
    <w:name w:val="List 44"/>
    <w:pPr>
      <w:numPr>
        <w:numId w:val="83"/>
      </w:numPr>
    </w:pPr>
  </w:style>
  <w:style w:type="numbering" w:customStyle="1" w:styleId="List45">
    <w:name w:val="List 45"/>
    <w:pPr>
      <w:numPr>
        <w:numId w:val="63"/>
      </w:numPr>
    </w:pPr>
  </w:style>
  <w:style w:type="numbering" w:customStyle="1" w:styleId="List46">
    <w:name w:val="List 46"/>
    <w:pPr>
      <w:numPr>
        <w:numId w:val="67"/>
      </w:numPr>
    </w:pPr>
  </w:style>
  <w:style w:type="numbering" w:customStyle="1" w:styleId="List47">
    <w:name w:val="List 47"/>
    <w:pPr>
      <w:numPr>
        <w:numId w:val="72"/>
      </w:numPr>
    </w:pPr>
  </w:style>
  <w:style w:type="numbering" w:customStyle="1" w:styleId="List48">
    <w:name w:val="List 48"/>
    <w:pPr>
      <w:numPr>
        <w:numId w:val="93"/>
      </w:numPr>
    </w:pPr>
  </w:style>
  <w:style w:type="numbering" w:customStyle="1" w:styleId="List49">
    <w:name w:val="List 49"/>
    <w:pPr>
      <w:numPr>
        <w:numId w:val="82"/>
      </w:numPr>
    </w:pPr>
  </w:style>
  <w:style w:type="numbering" w:customStyle="1" w:styleId="List50">
    <w:name w:val="List 50"/>
    <w:pPr>
      <w:numPr>
        <w:numId w:val="80"/>
      </w:numPr>
    </w:pPr>
  </w:style>
  <w:style w:type="numbering" w:customStyle="1" w:styleId="List51">
    <w:name w:val="List 51"/>
    <w:pPr>
      <w:numPr>
        <w:numId w:val="76"/>
      </w:numPr>
    </w:pPr>
  </w:style>
  <w:style w:type="numbering" w:customStyle="1" w:styleId="List52">
    <w:name w:val="List 52"/>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ListParagraphChar">
    <w:name w:val="List Paragraph Char"/>
    <w:aliases w:val="List Char,Párrafo de lista1 Char,List Paragraph1 Char,Colorful List - Accent 11 Char,List Paragraph11 Char,Parragrap Char,Superíndice Char,Dot pt Char,No Spacing1 Char,List Paragraph Char Char Char Char,Indicator Text Char,DH1 Char"/>
    <w:basedOn w:val="DefaultParagraphFont"/>
    <w:link w:val="ListParagraph"/>
    <w:uiPriority w:val="34"/>
    <w:locked/>
    <w:rsid w:val="00FA675D"/>
    <w:rPr>
      <w:rFonts w:ascii="Cambria" w:eastAsia="Cambria" w:hAnsi="Cambria" w:cs="Cambria"/>
      <w:color w:val="000000"/>
      <w:sz w:val="24"/>
      <w:szCs w:val="24"/>
      <w:u w:color="000000"/>
      <w:lang w:val="en-US"/>
    </w:rPr>
  </w:style>
  <w:style w:type="table" w:styleId="TableGrid">
    <w:name w:val="Table Grid"/>
    <w:basedOn w:val="TableNormal"/>
    <w:uiPriority w:val="59"/>
    <w:rsid w:val="00797EF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B1FC0"/>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178995">
      <w:bodyDiv w:val="1"/>
      <w:marLeft w:val="0"/>
      <w:marRight w:val="0"/>
      <w:marTop w:val="0"/>
      <w:marBottom w:val="0"/>
      <w:divBdr>
        <w:top w:val="none" w:sz="0" w:space="0" w:color="auto"/>
        <w:left w:val="none" w:sz="0" w:space="0" w:color="auto"/>
        <w:bottom w:val="none" w:sz="0" w:space="0" w:color="auto"/>
        <w:right w:val="none" w:sz="0" w:space="0" w:color="auto"/>
      </w:divBdr>
    </w:div>
    <w:div w:id="754980580">
      <w:bodyDiv w:val="1"/>
      <w:marLeft w:val="0"/>
      <w:marRight w:val="0"/>
      <w:marTop w:val="0"/>
      <w:marBottom w:val="0"/>
      <w:divBdr>
        <w:top w:val="none" w:sz="0" w:space="0" w:color="auto"/>
        <w:left w:val="none" w:sz="0" w:space="0" w:color="auto"/>
        <w:bottom w:val="none" w:sz="0" w:space="0" w:color="auto"/>
        <w:right w:val="none" w:sz="0" w:space="0" w:color="auto"/>
      </w:divBdr>
    </w:div>
    <w:div w:id="1374572982">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44556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0.gif"/><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gi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B04E6-51EA-4793-AEEB-F35E97C2C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2760</Words>
  <Characters>15738</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94/22</dc:title>
  <dc:creator/>
  <cp:lastModifiedBy/>
  <cp:revision>1</cp:revision>
  <dcterms:created xsi:type="dcterms:W3CDTF">2022-06-08T18:06:00Z</dcterms:created>
  <dcterms:modified xsi:type="dcterms:W3CDTF">2022-06-08T18:06:00Z</dcterms:modified>
</cp:coreProperties>
</file>