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5067A0" w:rsidRDefault="006311DA" w:rsidP="00627C9F">
      <w:pPr>
        <w:jc w:val="both"/>
        <w:rPr>
          <w:rFonts w:asciiTheme="majorHAnsi" w:hAnsiTheme="majorHAnsi" w:cs="Univers"/>
          <w:b/>
          <w:bCs/>
          <w:sz w:val="22"/>
          <w:szCs w:val="22"/>
        </w:rPr>
      </w:pPr>
      <w:r w:rsidRPr="005067A0">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DCB26"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5067A0">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5067A0" w:rsidRDefault="00040C3A" w:rsidP="00040C3A">
      <w:pPr>
        <w:tabs>
          <w:tab w:val="center" w:pos="5400"/>
        </w:tabs>
        <w:suppressAutoHyphens/>
        <w:jc w:val="both"/>
        <w:rPr>
          <w:rFonts w:asciiTheme="majorHAnsi" w:hAnsiTheme="majorHAnsi"/>
          <w:sz w:val="22"/>
          <w:szCs w:val="22"/>
        </w:rPr>
      </w:pPr>
    </w:p>
    <w:p w14:paraId="54AC1FBF" w14:textId="77777777" w:rsidR="00040C3A" w:rsidRPr="005067A0" w:rsidRDefault="00040C3A" w:rsidP="00040C3A">
      <w:pPr>
        <w:tabs>
          <w:tab w:val="center" w:pos="5400"/>
        </w:tabs>
        <w:suppressAutoHyphens/>
        <w:jc w:val="both"/>
        <w:rPr>
          <w:rFonts w:asciiTheme="majorHAnsi" w:hAnsiTheme="majorHAnsi"/>
          <w:sz w:val="22"/>
          <w:szCs w:val="22"/>
        </w:rPr>
      </w:pPr>
    </w:p>
    <w:p w14:paraId="6A4AC464" w14:textId="77777777" w:rsidR="005128E4" w:rsidRPr="005067A0" w:rsidRDefault="005128E4" w:rsidP="00040C3A">
      <w:pPr>
        <w:tabs>
          <w:tab w:val="center" w:pos="5400"/>
        </w:tabs>
        <w:suppressAutoHyphens/>
        <w:rPr>
          <w:rFonts w:asciiTheme="majorHAnsi" w:hAnsiTheme="majorHAnsi"/>
          <w:sz w:val="22"/>
          <w:szCs w:val="22"/>
        </w:rPr>
      </w:pPr>
    </w:p>
    <w:p w14:paraId="515D20A5" w14:textId="77777777" w:rsidR="005128E4" w:rsidRPr="005067A0" w:rsidRDefault="005128E4" w:rsidP="00040C3A">
      <w:pPr>
        <w:tabs>
          <w:tab w:val="center" w:pos="5400"/>
        </w:tabs>
        <w:suppressAutoHyphens/>
        <w:rPr>
          <w:rFonts w:asciiTheme="majorHAnsi" w:hAnsiTheme="majorHAnsi"/>
          <w:sz w:val="22"/>
          <w:szCs w:val="22"/>
        </w:rPr>
      </w:pPr>
    </w:p>
    <w:p w14:paraId="7CBA3E7E" w14:textId="77777777" w:rsidR="005128E4" w:rsidRPr="005067A0" w:rsidRDefault="005128E4" w:rsidP="00040C3A">
      <w:pPr>
        <w:tabs>
          <w:tab w:val="center" w:pos="5400"/>
        </w:tabs>
        <w:suppressAutoHyphens/>
        <w:rPr>
          <w:rFonts w:asciiTheme="majorHAnsi" w:hAnsiTheme="majorHAnsi"/>
          <w:sz w:val="22"/>
          <w:szCs w:val="22"/>
        </w:rPr>
      </w:pPr>
    </w:p>
    <w:p w14:paraId="0FFC5ED6" w14:textId="77777777" w:rsidR="00040C3A" w:rsidRPr="005067A0" w:rsidRDefault="00040C3A" w:rsidP="005128E4">
      <w:pPr>
        <w:tabs>
          <w:tab w:val="center" w:pos="5400"/>
        </w:tabs>
        <w:suppressAutoHyphens/>
        <w:jc w:val="center"/>
        <w:rPr>
          <w:rFonts w:asciiTheme="majorHAnsi" w:hAnsiTheme="majorHAnsi"/>
          <w:sz w:val="22"/>
          <w:szCs w:val="22"/>
        </w:rPr>
      </w:pPr>
    </w:p>
    <w:p w14:paraId="5FCF0358" w14:textId="77777777" w:rsidR="00040C3A" w:rsidRPr="005067A0" w:rsidRDefault="00040C3A" w:rsidP="005128E4">
      <w:pPr>
        <w:tabs>
          <w:tab w:val="center" w:pos="5400"/>
        </w:tabs>
        <w:suppressAutoHyphens/>
        <w:jc w:val="center"/>
        <w:rPr>
          <w:rFonts w:asciiTheme="majorHAnsi" w:hAnsiTheme="majorHAnsi"/>
          <w:sz w:val="22"/>
          <w:szCs w:val="22"/>
        </w:rPr>
      </w:pPr>
    </w:p>
    <w:p w14:paraId="23C02B60" w14:textId="77777777" w:rsidR="005B52B0" w:rsidRPr="005067A0" w:rsidRDefault="005B52B0" w:rsidP="005128E4">
      <w:pPr>
        <w:tabs>
          <w:tab w:val="center" w:pos="5400"/>
        </w:tabs>
        <w:suppressAutoHyphens/>
        <w:jc w:val="center"/>
        <w:rPr>
          <w:rFonts w:asciiTheme="majorHAnsi" w:hAnsiTheme="majorHAnsi"/>
          <w:sz w:val="22"/>
          <w:szCs w:val="22"/>
        </w:rPr>
      </w:pPr>
    </w:p>
    <w:p w14:paraId="1E4CC4A3" w14:textId="77777777" w:rsidR="005B52B0" w:rsidRPr="005067A0" w:rsidRDefault="005B52B0" w:rsidP="005128E4">
      <w:pPr>
        <w:tabs>
          <w:tab w:val="center" w:pos="5400"/>
        </w:tabs>
        <w:suppressAutoHyphens/>
        <w:jc w:val="center"/>
        <w:rPr>
          <w:rFonts w:asciiTheme="majorHAnsi" w:hAnsiTheme="majorHAnsi"/>
          <w:sz w:val="22"/>
          <w:szCs w:val="22"/>
        </w:rPr>
      </w:pPr>
    </w:p>
    <w:p w14:paraId="022074FD" w14:textId="77777777" w:rsidR="005B52B0" w:rsidRPr="005067A0" w:rsidRDefault="005B52B0" w:rsidP="005128E4">
      <w:pPr>
        <w:tabs>
          <w:tab w:val="center" w:pos="5400"/>
        </w:tabs>
        <w:suppressAutoHyphens/>
        <w:jc w:val="center"/>
        <w:rPr>
          <w:rFonts w:asciiTheme="majorHAnsi" w:hAnsiTheme="majorHAnsi"/>
          <w:sz w:val="22"/>
          <w:szCs w:val="22"/>
        </w:rPr>
      </w:pPr>
    </w:p>
    <w:p w14:paraId="3234C43C" w14:textId="77777777" w:rsidR="00040C3A" w:rsidRPr="005067A0" w:rsidRDefault="00040C3A" w:rsidP="00040C3A">
      <w:pPr>
        <w:tabs>
          <w:tab w:val="center" w:pos="5400"/>
        </w:tabs>
        <w:suppressAutoHyphens/>
        <w:jc w:val="center"/>
        <w:rPr>
          <w:rFonts w:asciiTheme="majorHAnsi" w:hAnsiTheme="majorHAnsi"/>
          <w:sz w:val="22"/>
          <w:szCs w:val="22"/>
        </w:rPr>
      </w:pPr>
    </w:p>
    <w:p w14:paraId="2D58FFBA" w14:textId="77777777" w:rsidR="00040C3A" w:rsidRPr="005067A0" w:rsidRDefault="00040C3A" w:rsidP="00040C3A">
      <w:pPr>
        <w:tabs>
          <w:tab w:val="center" w:pos="5400"/>
        </w:tabs>
        <w:suppressAutoHyphens/>
        <w:jc w:val="center"/>
        <w:rPr>
          <w:rFonts w:asciiTheme="majorHAnsi" w:hAnsiTheme="majorHAnsi"/>
          <w:sz w:val="22"/>
          <w:szCs w:val="22"/>
        </w:rPr>
      </w:pPr>
    </w:p>
    <w:p w14:paraId="4A574974" w14:textId="77777777" w:rsidR="00040C3A" w:rsidRPr="005067A0" w:rsidRDefault="00040C3A" w:rsidP="00040C3A">
      <w:pPr>
        <w:tabs>
          <w:tab w:val="center" w:pos="5400"/>
        </w:tabs>
        <w:suppressAutoHyphens/>
        <w:jc w:val="center"/>
        <w:rPr>
          <w:rFonts w:asciiTheme="majorHAnsi" w:hAnsiTheme="majorHAnsi"/>
          <w:sz w:val="22"/>
          <w:szCs w:val="22"/>
        </w:rPr>
      </w:pPr>
    </w:p>
    <w:p w14:paraId="11A9BA8A" w14:textId="77777777" w:rsidR="00040C3A" w:rsidRPr="005067A0" w:rsidRDefault="00E533FF" w:rsidP="00040C3A">
      <w:pPr>
        <w:tabs>
          <w:tab w:val="center" w:pos="5400"/>
        </w:tabs>
        <w:suppressAutoHyphens/>
        <w:jc w:val="center"/>
        <w:rPr>
          <w:rFonts w:asciiTheme="majorHAnsi" w:hAnsiTheme="majorHAnsi"/>
          <w:sz w:val="22"/>
          <w:szCs w:val="22"/>
        </w:rPr>
      </w:pPr>
      <w:r w:rsidRPr="005067A0">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42B114C8"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677B74">
                              <w:rPr>
                                <w:rFonts w:asciiTheme="majorHAnsi" w:hAnsiTheme="majorHAnsi" w:cs="Arial"/>
                                <w:b/>
                                <w:bCs/>
                                <w:color w:val="0D0D0D" w:themeColor="text1" w:themeTint="F2"/>
                                <w:sz w:val="36"/>
                                <w:szCs w:val="40"/>
                              </w:rPr>
                              <w:t>125</w:t>
                            </w:r>
                            <w:r w:rsidR="00322450" w:rsidRPr="004B7EB6">
                              <w:rPr>
                                <w:rFonts w:asciiTheme="majorHAnsi" w:hAnsiTheme="majorHAnsi" w:cs="Arial"/>
                                <w:b/>
                                <w:bCs/>
                                <w:color w:val="0D0D0D" w:themeColor="text1" w:themeTint="F2"/>
                                <w:sz w:val="36"/>
                                <w:szCs w:val="40"/>
                              </w:rPr>
                              <w:t>/</w:t>
                            </w:r>
                            <w:r w:rsidR="00C96D76">
                              <w:rPr>
                                <w:rFonts w:asciiTheme="majorHAnsi" w:hAnsiTheme="majorHAnsi" w:cs="Arial"/>
                                <w:b/>
                                <w:bCs/>
                                <w:color w:val="0D0D0D" w:themeColor="text1" w:themeTint="F2"/>
                                <w:sz w:val="36"/>
                                <w:szCs w:val="40"/>
                              </w:rPr>
                              <w:t>23</w:t>
                            </w:r>
                          </w:p>
                          <w:p w14:paraId="081F51F3" w14:textId="2FC2A779"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C96D76">
                              <w:rPr>
                                <w:rFonts w:asciiTheme="majorHAnsi" w:hAnsiTheme="majorHAnsi" w:cs="Arial"/>
                                <w:b/>
                                <w:bCs/>
                                <w:color w:val="0D0D0D" w:themeColor="text1" w:themeTint="F2"/>
                                <w:sz w:val="36"/>
                                <w:szCs w:val="40"/>
                              </w:rPr>
                              <w:t>20</w:t>
                            </w:r>
                            <w:r w:rsidR="00F621C3">
                              <w:rPr>
                                <w:rFonts w:asciiTheme="majorHAnsi" w:hAnsiTheme="majorHAnsi" w:cs="Arial"/>
                                <w:b/>
                                <w:bCs/>
                                <w:color w:val="0D0D0D" w:themeColor="text1" w:themeTint="F2"/>
                                <w:sz w:val="36"/>
                                <w:szCs w:val="40"/>
                              </w:rPr>
                              <w:t>-</w:t>
                            </w:r>
                            <w:r w:rsidR="00C96D76">
                              <w:rPr>
                                <w:rFonts w:asciiTheme="majorHAnsi" w:hAnsiTheme="majorHAnsi" w:cs="Arial"/>
                                <w:b/>
                                <w:bCs/>
                                <w:color w:val="0D0D0D" w:themeColor="text1" w:themeTint="F2"/>
                                <w:sz w:val="36"/>
                                <w:szCs w:val="40"/>
                              </w:rPr>
                              <w:t>11</w:t>
                            </w:r>
                          </w:p>
                          <w:p w14:paraId="34978E5A" w14:textId="599FA6F2"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5215927A" w14:textId="77777777" w:rsidR="00C96D76" w:rsidRPr="0010736F" w:rsidRDefault="00C96D76" w:rsidP="00C96D7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TEODORO MANGEL LEÓN</w:t>
                            </w:r>
                          </w:p>
                          <w:p w14:paraId="48EBC31A" w14:textId="20A129FD" w:rsidR="00F42B71" w:rsidRPr="004B625D" w:rsidRDefault="00C96D76" w:rsidP="00C96D7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lang w:val="es-ES_tradnl"/>
                              </w:rPr>
                              <w:t>COSTA 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42B114C8"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677B74">
                        <w:rPr>
                          <w:rFonts w:asciiTheme="majorHAnsi" w:hAnsiTheme="majorHAnsi" w:cs="Arial"/>
                          <w:b/>
                          <w:bCs/>
                          <w:color w:val="0D0D0D" w:themeColor="text1" w:themeTint="F2"/>
                          <w:sz w:val="36"/>
                          <w:szCs w:val="40"/>
                        </w:rPr>
                        <w:t>125</w:t>
                      </w:r>
                      <w:r w:rsidR="00322450" w:rsidRPr="004B7EB6">
                        <w:rPr>
                          <w:rFonts w:asciiTheme="majorHAnsi" w:hAnsiTheme="majorHAnsi" w:cs="Arial"/>
                          <w:b/>
                          <w:bCs/>
                          <w:color w:val="0D0D0D" w:themeColor="text1" w:themeTint="F2"/>
                          <w:sz w:val="36"/>
                          <w:szCs w:val="40"/>
                        </w:rPr>
                        <w:t>/</w:t>
                      </w:r>
                      <w:r w:rsidR="00C96D76">
                        <w:rPr>
                          <w:rFonts w:asciiTheme="majorHAnsi" w:hAnsiTheme="majorHAnsi" w:cs="Arial"/>
                          <w:b/>
                          <w:bCs/>
                          <w:color w:val="0D0D0D" w:themeColor="text1" w:themeTint="F2"/>
                          <w:sz w:val="36"/>
                          <w:szCs w:val="40"/>
                        </w:rPr>
                        <w:t>23</w:t>
                      </w:r>
                    </w:p>
                    <w:p w14:paraId="081F51F3" w14:textId="2FC2A779"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C96D76">
                        <w:rPr>
                          <w:rFonts w:asciiTheme="majorHAnsi" w:hAnsiTheme="majorHAnsi" w:cs="Arial"/>
                          <w:b/>
                          <w:bCs/>
                          <w:color w:val="0D0D0D" w:themeColor="text1" w:themeTint="F2"/>
                          <w:sz w:val="36"/>
                          <w:szCs w:val="40"/>
                        </w:rPr>
                        <w:t>20</w:t>
                      </w:r>
                      <w:r w:rsidR="00F621C3">
                        <w:rPr>
                          <w:rFonts w:asciiTheme="majorHAnsi" w:hAnsiTheme="majorHAnsi" w:cs="Arial"/>
                          <w:b/>
                          <w:bCs/>
                          <w:color w:val="0D0D0D" w:themeColor="text1" w:themeTint="F2"/>
                          <w:sz w:val="36"/>
                          <w:szCs w:val="40"/>
                        </w:rPr>
                        <w:t>-</w:t>
                      </w:r>
                      <w:r w:rsidR="00C96D76">
                        <w:rPr>
                          <w:rFonts w:asciiTheme="majorHAnsi" w:hAnsiTheme="majorHAnsi" w:cs="Arial"/>
                          <w:b/>
                          <w:bCs/>
                          <w:color w:val="0D0D0D" w:themeColor="text1" w:themeTint="F2"/>
                          <w:sz w:val="36"/>
                          <w:szCs w:val="40"/>
                        </w:rPr>
                        <w:t>11</w:t>
                      </w:r>
                    </w:p>
                    <w:p w14:paraId="34978E5A" w14:textId="599FA6F2"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5215927A" w14:textId="77777777" w:rsidR="00C96D76" w:rsidRPr="0010736F" w:rsidRDefault="00C96D76" w:rsidP="00C96D7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TEODORO MANGEL LEÓN</w:t>
                      </w:r>
                    </w:p>
                    <w:p w14:paraId="48EBC31A" w14:textId="20A129FD" w:rsidR="00F42B71" w:rsidRPr="004B625D" w:rsidRDefault="00C96D76" w:rsidP="00C96D7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lang w:val="es-ES_tradnl"/>
                        </w:rPr>
                        <w:t>COSTA RICA</w:t>
                      </w:r>
                    </w:p>
                  </w:txbxContent>
                </v:textbox>
              </v:shape>
            </w:pict>
          </mc:Fallback>
        </mc:AlternateContent>
      </w:r>
      <w:r w:rsidR="004B7EB6" w:rsidRPr="005067A0">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1E77269B" w:rsidR="00627C9F" w:rsidRPr="00677B74"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OA</w:t>
                            </w:r>
                            <w:r w:rsidR="00C96D76">
                              <w:rPr>
                                <w:rFonts w:asciiTheme="minorHAnsi" w:hAnsiTheme="minorHAnsi"/>
                                <w:color w:val="FFFFFF" w:themeColor="background1"/>
                                <w:sz w:val="22"/>
                                <w:lang w:val="pt-BR"/>
                              </w:rPr>
                              <w:t>S</w:t>
                            </w:r>
                            <w:r w:rsidRPr="00466D0B">
                              <w:rPr>
                                <w:rFonts w:asciiTheme="minorHAnsi" w:hAnsiTheme="minorHAnsi"/>
                                <w:color w:val="FFFFFF" w:themeColor="background1"/>
                                <w:sz w:val="22"/>
                                <w:lang w:val="pt-BR"/>
                              </w:rPr>
                              <w:t>/Ser.L/</w:t>
                            </w:r>
                            <w:r w:rsidRPr="00677B74">
                              <w:rPr>
                                <w:rFonts w:asciiTheme="minorHAnsi" w:hAnsiTheme="minorHAnsi"/>
                                <w:color w:val="FFFFFF" w:themeColor="background1"/>
                                <w:sz w:val="22"/>
                                <w:lang w:val="pt-BR"/>
                              </w:rPr>
                              <w:t>V/II</w:t>
                            </w:r>
                          </w:p>
                          <w:p w14:paraId="4AA08A8C" w14:textId="5B7CF74F" w:rsidR="00627C9F" w:rsidRPr="0063114E" w:rsidRDefault="00CA6577" w:rsidP="009E566A">
                            <w:pPr>
                              <w:jc w:val="right"/>
                              <w:rPr>
                                <w:rFonts w:asciiTheme="minorHAnsi" w:hAnsiTheme="minorHAnsi"/>
                                <w:color w:val="FFFFFF" w:themeColor="background1"/>
                                <w:sz w:val="22"/>
                                <w:lang w:val="pt-BR"/>
                              </w:rPr>
                            </w:pPr>
                            <w:r w:rsidRPr="0063114E">
                              <w:rPr>
                                <w:rFonts w:asciiTheme="minorHAnsi" w:hAnsiTheme="minorHAnsi"/>
                                <w:color w:val="FFFFFF" w:themeColor="background1"/>
                                <w:sz w:val="22"/>
                                <w:lang w:val="pt-BR"/>
                              </w:rPr>
                              <w:t xml:space="preserve">Doc. </w:t>
                            </w:r>
                            <w:r w:rsidR="00052D69" w:rsidRPr="0063114E">
                              <w:rPr>
                                <w:rFonts w:asciiTheme="minorHAnsi" w:hAnsiTheme="minorHAnsi"/>
                                <w:color w:val="FFFFFF" w:themeColor="background1"/>
                                <w:sz w:val="22"/>
                                <w:lang w:val="pt-BR"/>
                              </w:rPr>
                              <w:t>135</w:t>
                            </w:r>
                          </w:p>
                          <w:p w14:paraId="0BEFF61A" w14:textId="0ED7FF67" w:rsidR="00627C9F" w:rsidRPr="00677B74" w:rsidRDefault="00022CF5" w:rsidP="009E566A">
                            <w:pPr>
                              <w:jc w:val="right"/>
                              <w:rPr>
                                <w:rFonts w:asciiTheme="minorHAnsi" w:hAnsiTheme="minorHAnsi"/>
                                <w:color w:val="FFFFFF" w:themeColor="background1"/>
                                <w:sz w:val="22"/>
                              </w:rPr>
                            </w:pPr>
                            <w:r w:rsidRPr="0063114E">
                              <w:rPr>
                                <w:rFonts w:asciiTheme="minorHAnsi" w:hAnsiTheme="minorHAnsi"/>
                                <w:color w:val="FFFFFF" w:themeColor="background1"/>
                                <w:sz w:val="22"/>
                                <w:lang w:val="pt-BR"/>
                              </w:rPr>
                              <w:t xml:space="preserve"> </w:t>
                            </w:r>
                            <w:r w:rsidR="00052D69">
                              <w:rPr>
                                <w:rFonts w:asciiTheme="minorHAnsi" w:hAnsiTheme="minorHAnsi"/>
                                <w:color w:val="FFFFFF" w:themeColor="background1"/>
                                <w:sz w:val="22"/>
                              </w:rPr>
                              <w:t>1 August</w:t>
                            </w:r>
                            <w:r w:rsidR="000C4365" w:rsidRPr="00677B74">
                              <w:rPr>
                                <w:rFonts w:asciiTheme="minorHAnsi" w:hAnsiTheme="minorHAnsi"/>
                                <w:color w:val="FFFFFF" w:themeColor="background1"/>
                                <w:sz w:val="22"/>
                              </w:rPr>
                              <w:t xml:space="preserve"> </w:t>
                            </w:r>
                            <w:r w:rsidR="006614CA" w:rsidRPr="00677B74">
                              <w:rPr>
                                <w:rFonts w:asciiTheme="minorHAnsi" w:hAnsiTheme="minorHAnsi"/>
                                <w:color w:val="FFFFFF" w:themeColor="background1"/>
                                <w:sz w:val="22"/>
                              </w:rPr>
                              <w:t>202</w:t>
                            </w:r>
                            <w:r w:rsidR="00052D69">
                              <w:rPr>
                                <w:rFonts w:asciiTheme="minorHAnsi" w:hAnsiTheme="minorHAnsi"/>
                                <w:color w:val="FFFFFF" w:themeColor="background1"/>
                                <w:sz w:val="22"/>
                              </w:rPr>
                              <w:t>3</w:t>
                            </w:r>
                          </w:p>
                          <w:p w14:paraId="0FC103BD" w14:textId="550D93B4" w:rsidR="00627C9F" w:rsidRPr="004B7EB6" w:rsidRDefault="00627C9F" w:rsidP="009E566A">
                            <w:pPr>
                              <w:jc w:val="right"/>
                              <w:rPr>
                                <w:rFonts w:asciiTheme="minorHAnsi" w:hAnsiTheme="minorHAnsi"/>
                                <w:color w:val="FFFFFF" w:themeColor="background1"/>
                                <w:sz w:val="22"/>
                              </w:rPr>
                            </w:pPr>
                            <w:r w:rsidRPr="00677B74">
                              <w:rPr>
                                <w:rFonts w:asciiTheme="minorHAnsi" w:hAnsiTheme="minorHAnsi"/>
                                <w:color w:val="FFFFFF" w:themeColor="background1"/>
                                <w:sz w:val="22"/>
                              </w:rPr>
                              <w:t>Original:</w:t>
                            </w:r>
                            <w:r w:rsidR="002C1641" w:rsidRPr="00677B74">
                              <w:rPr>
                                <w:rFonts w:asciiTheme="minorHAnsi" w:hAnsiTheme="minorHAnsi"/>
                                <w:color w:val="FFFFFF" w:themeColor="background1"/>
                                <w:sz w:val="22"/>
                              </w:rPr>
                              <w:t xml:space="preserve"> </w:t>
                            </w:r>
                            <w:r w:rsidR="00F42B71" w:rsidRPr="00677B74">
                              <w:rPr>
                                <w:rFonts w:asciiTheme="minorHAnsi" w:hAnsiTheme="minorHAnsi"/>
                                <w:color w:val="FFFFFF" w:themeColor="background1"/>
                                <w:sz w:val="22"/>
                              </w:rPr>
                              <w:t>Span</w:t>
                            </w:r>
                            <w:r w:rsidR="00F42B71" w:rsidRPr="00052D69">
                              <w:rPr>
                                <w:rFonts w:asciiTheme="minorHAnsi" w:hAnsiTheme="minorHAnsi"/>
                                <w:color w:val="FFFFFF" w:themeColor="background1"/>
                                <w:sz w:val="22"/>
                              </w:rPr>
                              <w:t>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1E77269B" w:rsidR="00627C9F" w:rsidRPr="00677B74"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OA</w:t>
                      </w:r>
                      <w:r w:rsidR="00C96D76">
                        <w:rPr>
                          <w:rFonts w:asciiTheme="minorHAnsi" w:hAnsiTheme="minorHAnsi"/>
                          <w:color w:val="FFFFFF" w:themeColor="background1"/>
                          <w:sz w:val="22"/>
                          <w:lang w:val="pt-BR"/>
                        </w:rPr>
                        <w:t>S</w:t>
                      </w:r>
                      <w:r w:rsidRPr="00466D0B">
                        <w:rPr>
                          <w:rFonts w:asciiTheme="minorHAnsi" w:hAnsiTheme="minorHAnsi"/>
                          <w:color w:val="FFFFFF" w:themeColor="background1"/>
                          <w:sz w:val="22"/>
                          <w:lang w:val="pt-BR"/>
                        </w:rPr>
                        <w:t>/Ser.L/</w:t>
                      </w:r>
                      <w:r w:rsidRPr="00677B74">
                        <w:rPr>
                          <w:rFonts w:asciiTheme="minorHAnsi" w:hAnsiTheme="minorHAnsi"/>
                          <w:color w:val="FFFFFF" w:themeColor="background1"/>
                          <w:sz w:val="22"/>
                          <w:lang w:val="pt-BR"/>
                        </w:rPr>
                        <w:t>V/II</w:t>
                      </w:r>
                    </w:p>
                    <w:p w14:paraId="4AA08A8C" w14:textId="5B7CF74F" w:rsidR="00627C9F" w:rsidRPr="0063114E" w:rsidRDefault="00CA6577" w:rsidP="009E566A">
                      <w:pPr>
                        <w:jc w:val="right"/>
                        <w:rPr>
                          <w:rFonts w:asciiTheme="minorHAnsi" w:hAnsiTheme="minorHAnsi"/>
                          <w:color w:val="FFFFFF" w:themeColor="background1"/>
                          <w:sz w:val="22"/>
                          <w:lang w:val="pt-BR"/>
                        </w:rPr>
                      </w:pPr>
                      <w:r w:rsidRPr="0063114E">
                        <w:rPr>
                          <w:rFonts w:asciiTheme="minorHAnsi" w:hAnsiTheme="minorHAnsi"/>
                          <w:color w:val="FFFFFF" w:themeColor="background1"/>
                          <w:sz w:val="22"/>
                          <w:lang w:val="pt-BR"/>
                        </w:rPr>
                        <w:t xml:space="preserve">Doc. </w:t>
                      </w:r>
                      <w:r w:rsidR="00052D69" w:rsidRPr="0063114E">
                        <w:rPr>
                          <w:rFonts w:asciiTheme="minorHAnsi" w:hAnsiTheme="minorHAnsi"/>
                          <w:color w:val="FFFFFF" w:themeColor="background1"/>
                          <w:sz w:val="22"/>
                          <w:lang w:val="pt-BR"/>
                        </w:rPr>
                        <w:t>135</w:t>
                      </w:r>
                    </w:p>
                    <w:p w14:paraId="0BEFF61A" w14:textId="0ED7FF67" w:rsidR="00627C9F" w:rsidRPr="00677B74" w:rsidRDefault="00022CF5" w:rsidP="009E566A">
                      <w:pPr>
                        <w:jc w:val="right"/>
                        <w:rPr>
                          <w:rFonts w:asciiTheme="minorHAnsi" w:hAnsiTheme="minorHAnsi"/>
                          <w:color w:val="FFFFFF" w:themeColor="background1"/>
                          <w:sz w:val="22"/>
                        </w:rPr>
                      </w:pPr>
                      <w:r w:rsidRPr="0063114E">
                        <w:rPr>
                          <w:rFonts w:asciiTheme="minorHAnsi" w:hAnsiTheme="minorHAnsi"/>
                          <w:color w:val="FFFFFF" w:themeColor="background1"/>
                          <w:sz w:val="22"/>
                          <w:lang w:val="pt-BR"/>
                        </w:rPr>
                        <w:t xml:space="preserve"> </w:t>
                      </w:r>
                      <w:r w:rsidR="00052D69">
                        <w:rPr>
                          <w:rFonts w:asciiTheme="minorHAnsi" w:hAnsiTheme="minorHAnsi"/>
                          <w:color w:val="FFFFFF" w:themeColor="background1"/>
                          <w:sz w:val="22"/>
                        </w:rPr>
                        <w:t>1 August</w:t>
                      </w:r>
                      <w:r w:rsidR="000C4365" w:rsidRPr="00677B74">
                        <w:rPr>
                          <w:rFonts w:asciiTheme="minorHAnsi" w:hAnsiTheme="minorHAnsi"/>
                          <w:color w:val="FFFFFF" w:themeColor="background1"/>
                          <w:sz w:val="22"/>
                        </w:rPr>
                        <w:t xml:space="preserve"> </w:t>
                      </w:r>
                      <w:r w:rsidR="006614CA" w:rsidRPr="00677B74">
                        <w:rPr>
                          <w:rFonts w:asciiTheme="minorHAnsi" w:hAnsiTheme="minorHAnsi"/>
                          <w:color w:val="FFFFFF" w:themeColor="background1"/>
                          <w:sz w:val="22"/>
                        </w:rPr>
                        <w:t>202</w:t>
                      </w:r>
                      <w:r w:rsidR="00052D69">
                        <w:rPr>
                          <w:rFonts w:asciiTheme="minorHAnsi" w:hAnsiTheme="minorHAnsi"/>
                          <w:color w:val="FFFFFF" w:themeColor="background1"/>
                          <w:sz w:val="22"/>
                        </w:rPr>
                        <w:t>3</w:t>
                      </w:r>
                    </w:p>
                    <w:p w14:paraId="0FC103BD" w14:textId="550D93B4" w:rsidR="00627C9F" w:rsidRPr="004B7EB6" w:rsidRDefault="00627C9F" w:rsidP="009E566A">
                      <w:pPr>
                        <w:jc w:val="right"/>
                        <w:rPr>
                          <w:rFonts w:asciiTheme="minorHAnsi" w:hAnsiTheme="minorHAnsi"/>
                          <w:color w:val="FFFFFF" w:themeColor="background1"/>
                          <w:sz w:val="22"/>
                        </w:rPr>
                      </w:pPr>
                      <w:r w:rsidRPr="00677B74">
                        <w:rPr>
                          <w:rFonts w:asciiTheme="minorHAnsi" w:hAnsiTheme="minorHAnsi"/>
                          <w:color w:val="FFFFFF" w:themeColor="background1"/>
                          <w:sz w:val="22"/>
                        </w:rPr>
                        <w:t>Original:</w:t>
                      </w:r>
                      <w:r w:rsidR="002C1641" w:rsidRPr="00677B74">
                        <w:rPr>
                          <w:rFonts w:asciiTheme="minorHAnsi" w:hAnsiTheme="minorHAnsi"/>
                          <w:color w:val="FFFFFF" w:themeColor="background1"/>
                          <w:sz w:val="22"/>
                        </w:rPr>
                        <w:t xml:space="preserve"> </w:t>
                      </w:r>
                      <w:r w:rsidR="00F42B71" w:rsidRPr="00677B74">
                        <w:rPr>
                          <w:rFonts w:asciiTheme="minorHAnsi" w:hAnsiTheme="minorHAnsi"/>
                          <w:color w:val="FFFFFF" w:themeColor="background1"/>
                          <w:sz w:val="22"/>
                        </w:rPr>
                        <w:t>Span</w:t>
                      </w:r>
                      <w:r w:rsidR="00F42B71" w:rsidRPr="00052D69">
                        <w:rPr>
                          <w:rFonts w:asciiTheme="minorHAnsi" w:hAnsiTheme="minorHAnsi"/>
                          <w:color w:val="FFFFFF" w:themeColor="background1"/>
                          <w:sz w:val="22"/>
                        </w:rPr>
                        <w:t>ish</w:t>
                      </w:r>
                    </w:p>
                  </w:txbxContent>
                </v:textbox>
              </v:shape>
            </w:pict>
          </mc:Fallback>
        </mc:AlternateContent>
      </w:r>
    </w:p>
    <w:p w14:paraId="3765F9FA" w14:textId="77777777" w:rsidR="00040C3A" w:rsidRPr="005067A0" w:rsidRDefault="00040C3A" w:rsidP="00040C3A">
      <w:pPr>
        <w:tabs>
          <w:tab w:val="center" w:pos="5400"/>
        </w:tabs>
        <w:suppressAutoHyphens/>
        <w:jc w:val="center"/>
        <w:rPr>
          <w:rFonts w:asciiTheme="majorHAnsi" w:hAnsiTheme="majorHAnsi"/>
          <w:sz w:val="22"/>
          <w:szCs w:val="22"/>
        </w:rPr>
      </w:pPr>
    </w:p>
    <w:p w14:paraId="5E33CE59" w14:textId="77777777" w:rsidR="00040C3A" w:rsidRPr="005067A0"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5067A0" w:rsidRDefault="00040C3A" w:rsidP="00040C3A">
      <w:pPr>
        <w:tabs>
          <w:tab w:val="center" w:pos="5400"/>
        </w:tabs>
        <w:suppressAutoHyphens/>
        <w:jc w:val="center"/>
        <w:rPr>
          <w:rFonts w:asciiTheme="majorHAnsi" w:hAnsiTheme="majorHAnsi"/>
          <w:sz w:val="22"/>
          <w:szCs w:val="22"/>
        </w:rPr>
      </w:pPr>
    </w:p>
    <w:p w14:paraId="43677EE2" w14:textId="77777777" w:rsidR="00040C3A" w:rsidRPr="005067A0" w:rsidRDefault="00040C3A" w:rsidP="00040C3A">
      <w:pPr>
        <w:tabs>
          <w:tab w:val="center" w:pos="5400"/>
        </w:tabs>
        <w:suppressAutoHyphens/>
        <w:jc w:val="center"/>
        <w:rPr>
          <w:rFonts w:asciiTheme="majorHAnsi" w:hAnsiTheme="majorHAnsi"/>
          <w:sz w:val="22"/>
          <w:szCs w:val="22"/>
        </w:rPr>
      </w:pPr>
    </w:p>
    <w:p w14:paraId="747B776B" w14:textId="77777777" w:rsidR="00040C3A" w:rsidRPr="005067A0" w:rsidRDefault="00040C3A" w:rsidP="00040C3A">
      <w:pPr>
        <w:tabs>
          <w:tab w:val="center" w:pos="5400"/>
        </w:tabs>
        <w:suppressAutoHyphens/>
        <w:jc w:val="center"/>
        <w:rPr>
          <w:rFonts w:asciiTheme="majorHAnsi" w:hAnsiTheme="majorHAnsi"/>
          <w:sz w:val="22"/>
          <w:szCs w:val="22"/>
        </w:rPr>
      </w:pPr>
    </w:p>
    <w:p w14:paraId="3FA14379" w14:textId="77777777" w:rsidR="00040C3A" w:rsidRPr="005067A0" w:rsidRDefault="00040C3A" w:rsidP="00040C3A">
      <w:pPr>
        <w:tabs>
          <w:tab w:val="center" w:pos="5400"/>
        </w:tabs>
        <w:suppressAutoHyphens/>
        <w:jc w:val="center"/>
        <w:rPr>
          <w:rFonts w:asciiTheme="majorHAnsi" w:hAnsiTheme="majorHAnsi"/>
          <w:sz w:val="22"/>
          <w:szCs w:val="22"/>
        </w:rPr>
      </w:pPr>
    </w:p>
    <w:p w14:paraId="28A65FAF" w14:textId="77777777" w:rsidR="005128E4" w:rsidRPr="005067A0" w:rsidRDefault="005128E4" w:rsidP="00040C3A">
      <w:pPr>
        <w:tabs>
          <w:tab w:val="center" w:pos="5400"/>
        </w:tabs>
        <w:suppressAutoHyphens/>
        <w:jc w:val="center"/>
        <w:rPr>
          <w:rFonts w:asciiTheme="majorHAnsi" w:hAnsiTheme="majorHAnsi"/>
          <w:sz w:val="22"/>
          <w:szCs w:val="22"/>
        </w:rPr>
      </w:pPr>
    </w:p>
    <w:p w14:paraId="11B1978A" w14:textId="77777777" w:rsidR="00040C3A" w:rsidRPr="005067A0" w:rsidRDefault="00040C3A" w:rsidP="00040C3A">
      <w:pPr>
        <w:tabs>
          <w:tab w:val="center" w:pos="5400"/>
        </w:tabs>
        <w:suppressAutoHyphens/>
        <w:jc w:val="center"/>
        <w:rPr>
          <w:rFonts w:asciiTheme="majorHAnsi" w:hAnsiTheme="majorHAnsi"/>
          <w:sz w:val="22"/>
          <w:szCs w:val="22"/>
        </w:rPr>
      </w:pPr>
    </w:p>
    <w:p w14:paraId="650F503D" w14:textId="77777777" w:rsidR="005128E4" w:rsidRPr="005067A0" w:rsidRDefault="005128E4" w:rsidP="00040C3A">
      <w:pPr>
        <w:tabs>
          <w:tab w:val="center" w:pos="5400"/>
        </w:tabs>
        <w:suppressAutoHyphens/>
        <w:jc w:val="center"/>
        <w:rPr>
          <w:rFonts w:asciiTheme="majorHAnsi" w:hAnsiTheme="majorHAnsi"/>
          <w:sz w:val="22"/>
          <w:szCs w:val="22"/>
        </w:rPr>
      </w:pPr>
    </w:p>
    <w:p w14:paraId="17861C77" w14:textId="77777777" w:rsidR="005128E4" w:rsidRPr="005067A0" w:rsidRDefault="005128E4" w:rsidP="00040C3A">
      <w:pPr>
        <w:tabs>
          <w:tab w:val="center" w:pos="5400"/>
        </w:tabs>
        <w:suppressAutoHyphens/>
        <w:jc w:val="center"/>
        <w:rPr>
          <w:rFonts w:asciiTheme="majorHAnsi" w:hAnsiTheme="majorHAnsi"/>
          <w:sz w:val="22"/>
          <w:szCs w:val="22"/>
        </w:rPr>
      </w:pPr>
    </w:p>
    <w:p w14:paraId="0EFEAEB7" w14:textId="77777777" w:rsidR="005128E4" w:rsidRPr="005067A0" w:rsidRDefault="005128E4" w:rsidP="00040C3A">
      <w:pPr>
        <w:tabs>
          <w:tab w:val="center" w:pos="5400"/>
        </w:tabs>
        <w:suppressAutoHyphens/>
        <w:jc w:val="center"/>
        <w:rPr>
          <w:rFonts w:asciiTheme="majorHAnsi" w:hAnsiTheme="majorHAnsi"/>
          <w:sz w:val="22"/>
          <w:szCs w:val="22"/>
        </w:rPr>
      </w:pPr>
    </w:p>
    <w:p w14:paraId="5B815FC5" w14:textId="77777777" w:rsidR="00040C3A" w:rsidRPr="005067A0" w:rsidRDefault="00040C3A" w:rsidP="00040C3A">
      <w:pPr>
        <w:tabs>
          <w:tab w:val="center" w:pos="5400"/>
        </w:tabs>
        <w:suppressAutoHyphens/>
        <w:jc w:val="center"/>
        <w:rPr>
          <w:rFonts w:asciiTheme="majorHAnsi" w:hAnsiTheme="majorHAnsi"/>
          <w:sz w:val="22"/>
          <w:szCs w:val="22"/>
        </w:rPr>
      </w:pPr>
    </w:p>
    <w:p w14:paraId="0D43F8BD" w14:textId="77777777" w:rsidR="00040C3A" w:rsidRPr="005067A0" w:rsidRDefault="00040C3A" w:rsidP="00040C3A">
      <w:pPr>
        <w:tabs>
          <w:tab w:val="center" w:pos="5400"/>
        </w:tabs>
        <w:suppressAutoHyphens/>
        <w:jc w:val="center"/>
        <w:rPr>
          <w:rFonts w:asciiTheme="majorHAnsi" w:hAnsiTheme="majorHAnsi"/>
          <w:sz w:val="22"/>
          <w:szCs w:val="22"/>
        </w:rPr>
      </w:pPr>
    </w:p>
    <w:p w14:paraId="03AA1AEB" w14:textId="77777777" w:rsidR="002C1641" w:rsidRPr="005067A0" w:rsidRDefault="002C1641" w:rsidP="00040C3A">
      <w:pPr>
        <w:tabs>
          <w:tab w:val="center" w:pos="5400"/>
        </w:tabs>
        <w:suppressAutoHyphens/>
        <w:jc w:val="center"/>
        <w:rPr>
          <w:rFonts w:asciiTheme="majorHAnsi" w:hAnsiTheme="majorHAnsi"/>
          <w:sz w:val="18"/>
          <w:szCs w:val="22"/>
        </w:rPr>
      </w:pPr>
    </w:p>
    <w:p w14:paraId="2FD75BF3" w14:textId="77777777" w:rsidR="002C1641" w:rsidRPr="005067A0" w:rsidRDefault="002C1641" w:rsidP="00040C3A">
      <w:pPr>
        <w:tabs>
          <w:tab w:val="center" w:pos="5400"/>
        </w:tabs>
        <w:suppressAutoHyphens/>
        <w:jc w:val="center"/>
        <w:rPr>
          <w:rFonts w:asciiTheme="majorHAnsi" w:hAnsiTheme="majorHAnsi"/>
          <w:sz w:val="18"/>
          <w:szCs w:val="22"/>
        </w:rPr>
      </w:pPr>
    </w:p>
    <w:p w14:paraId="73EF440E" w14:textId="77777777" w:rsidR="002C1641" w:rsidRPr="005067A0" w:rsidRDefault="002C1641" w:rsidP="00040C3A">
      <w:pPr>
        <w:tabs>
          <w:tab w:val="center" w:pos="5400"/>
        </w:tabs>
        <w:suppressAutoHyphens/>
        <w:jc w:val="center"/>
        <w:rPr>
          <w:rFonts w:asciiTheme="majorHAnsi" w:hAnsiTheme="majorHAnsi"/>
          <w:sz w:val="18"/>
          <w:szCs w:val="22"/>
        </w:rPr>
      </w:pPr>
    </w:p>
    <w:p w14:paraId="3D12B191" w14:textId="77777777" w:rsidR="002C1641" w:rsidRPr="005067A0" w:rsidRDefault="002C1641" w:rsidP="00040C3A">
      <w:pPr>
        <w:tabs>
          <w:tab w:val="center" w:pos="5400"/>
        </w:tabs>
        <w:suppressAutoHyphens/>
        <w:jc w:val="center"/>
        <w:rPr>
          <w:rFonts w:asciiTheme="majorHAnsi" w:hAnsiTheme="majorHAnsi"/>
          <w:sz w:val="18"/>
          <w:szCs w:val="22"/>
        </w:rPr>
      </w:pPr>
    </w:p>
    <w:p w14:paraId="1132D17C" w14:textId="77777777" w:rsidR="002C1641" w:rsidRPr="005067A0" w:rsidRDefault="002C1641" w:rsidP="00040C3A">
      <w:pPr>
        <w:tabs>
          <w:tab w:val="center" w:pos="5400"/>
        </w:tabs>
        <w:suppressAutoHyphens/>
        <w:jc w:val="center"/>
        <w:rPr>
          <w:rFonts w:asciiTheme="majorHAnsi" w:hAnsiTheme="majorHAnsi"/>
          <w:sz w:val="18"/>
          <w:szCs w:val="22"/>
        </w:rPr>
      </w:pPr>
    </w:p>
    <w:p w14:paraId="659B324C" w14:textId="77777777" w:rsidR="002C1641" w:rsidRPr="005067A0" w:rsidRDefault="002C1641" w:rsidP="00040C3A">
      <w:pPr>
        <w:tabs>
          <w:tab w:val="center" w:pos="5400"/>
        </w:tabs>
        <w:suppressAutoHyphens/>
        <w:jc w:val="center"/>
        <w:rPr>
          <w:rFonts w:asciiTheme="majorHAnsi" w:hAnsiTheme="majorHAnsi"/>
          <w:sz w:val="18"/>
          <w:szCs w:val="22"/>
        </w:rPr>
      </w:pPr>
    </w:p>
    <w:p w14:paraId="0DE58CEA" w14:textId="77777777" w:rsidR="002C1641" w:rsidRPr="005067A0" w:rsidRDefault="002C1641" w:rsidP="00040C3A">
      <w:pPr>
        <w:tabs>
          <w:tab w:val="center" w:pos="5400"/>
        </w:tabs>
        <w:suppressAutoHyphens/>
        <w:jc w:val="center"/>
        <w:rPr>
          <w:rFonts w:asciiTheme="majorHAnsi" w:hAnsiTheme="majorHAnsi"/>
          <w:sz w:val="18"/>
          <w:szCs w:val="22"/>
        </w:rPr>
      </w:pPr>
    </w:p>
    <w:p w14:paraId="3A5BB7C9" w14:textId="77777777" w:rsidR="002C1641" w:rsidRPr="005067A0" w:rsidRDefault="002C1641" w:rsidP="00040C3A">
      <w:pPr>
        <w:tabs>
          <w:tab w:val="center" w:pos="5400"/>
        </w:tabs>
        <w:suppressAutoHyphens/>
        <w:jc w:val="center"/>
        <w:rPr>
          <w:rFonts w:asciiTheme="majorHAnsi" w:hAnsiTheme="majorHAnsi"/>
          <w:sz w:val="18"/>
          <w:szCs w:val="22"/>
        </w:rPr>
      </w:pPr>
    </w:p>
    <w:p w14:paraId="6BA67E7F" w14:textId="77777777" w:rsidR="002C1641" w:rsidRPr="005067A0" w:rsidRDefault="002C1641" w:rsidP="00040C3A">
      <w:pPr>
        <w:tabs>
          <w:tab w:val="center" w:pos="5400"/>
        </w:tabs>
        <w:suppressAutoHyphens/>
        <w:jc w:val="center"/>
        <w:rPr>
          <w:rFonts w:asciiTheme="majorHAnsi" w:hAnsiTheme="majorHAnsi"/>
          <w:sz w:val="18"/>
          <w:szCs w:val="22"/>
        </w:rPr>
      </w:pPr>
    </w:p>
    <w:p w14:paraId="6D4FBE3A" w14:textId="77777777" w:rsidR="002C1641" w:rsidRPr="005067A0" w:rsidRDefault="002C1641" w:rsidP="00040C3A">
      <w:pPr>
        <w:tabs>
          <w:tab w:val="center" w:pos="5400"/>
        </w:tabs>
        <w:suppressAutoHyphens/>
        <w:jc w:val="center"/>
        <w:rPr>
          <w:rFonts w:asciiTheme="majorHAnsi" w:hAnsiTheme="majorHAnsi"/>
          <w:sz w:val="18"/>
          <w:szCs w:val="22"/>
        </w:rPr>
      </w:pPr>
    </w:p>
    <w:p w14:paraId="2741AD16" w14:textId="77777777" w:rsidR="002C1641" w:rsidRPr="005067A0" w:rsidRDefault="002C1641" w:rsidP="00040C3A">
      <w:pPr>
        <w:tabs>
          <w:tab w:val="center" w:pos="5400"/>
        </w:tabs>
        <w:suppressAutoHyphens/>
        <w:jc w:val="center"/>
        <w:rPr>
          <w:rFonts w:asciiTheme="majorHAnsi" w:hAnsiTheme="majorHAnsi"/>
          <w:sz w:val="18"/>
          <w:szCs w:val="22"/>
        </w:rPr>
      </w:pPr>
    </w:p>
    <w:p w14:paraId="1D99DBC4" w14:textId="77777777" w:rsidR="002C1641" w:rsidRPr="005067A0" w:rsidRDefault="002C1641" w:rsidP="00040C3A">
      <w:pPr>
        <w:tabs>
          <w:tab w:val="center" w:pos="5400"/>
        </w:tabs>
        <w:suppressAutoHyphens/>
        <w:jc w:val="center"/>
        <w:rPr>
          <w:rFonts w:asciiTheme="majorHAnsi" w:hAnsiTheme="majorHAnsi"/>
          <w:sz w:val="18"/>
          <w:szCs w:val="22"/>
        </w:rPr>
      </w:pPr>
    </w:p>
    <w:p w14:paraId="3290BF94" w14:textId="77777777" w:rsidR="002C1641" w:rsidRPr="005067A0" w:rsidRDefault="003C32BC" w:rsidP="00040C3A">
      <w:pPr>
        <w:tabs>
          <w:tab w:val="center" w:pos="5400"/>
        </w:tabs>
        <w:suppressAutoHyphens/>
        <w:jc w:val="center"/>
        <w:rPr>
          <w:rFonts w:asciiTheme="majorHAnsi" w:hAnsiTheme="majorHAnsi"/>
          <w:sz w:val="18"/>
          <w:szCs w:val="22"/>
        </w:rPr>
      </w:pPr>
      <w:r w:rsidRPr="005067A0">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7EEFCD2A">
                <wp:simplePos x="0" y="0"/>
                <wp:positionH relativeFrom="column">
                  <wp:posOffset>1206110</wp:posOffset>
                </wp:positionH>
                <wp:positionV relativeFrom="paragraph">
                  <wp:posOffset>66765</wp:posOffset>
                </wp:positionV>
                <wp:extent cx="4595495" cy="673178"/>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731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550FBBFE" w:rsidR="00092F32" w:rsidRPr="003C32BC" w:rsidRDefault="00C96D76" w:rsidP="00C96D76">
                            <w:pPr>
                              <w:tabs>
                                <w:tab w:val="center" w:pos="5400"/>
                              </w:tabs>
                              <w:suppressAutoHyphens/>
                              <w:spacing w:before="60"/>
                              <w:rPr>
                                <w:rFonts w:asciiTheme="majorHAnsi" w:hAnsiTheme="majorHAnsi"/>
                                <w:color w:val="0D0D0D" w:themeColor="text1" w:themeTint="F2"/>
                                <w:sz w:val="18"/>
                                <w:szCs w:val="22"/>
                              </w:rPr>
                            </w:pPr>
                            <w:r w:rsidRPr="00C96D76">
                              <w:rPr>
                                <w:rFonts w:asciiTheme="majorHAnsi" w:hAnsiTheme="majorHAnsi"/>
                                <w:color w:val="0D0D0D" w:themeColor="text1" w:themeTint="F2"/>
                                <w:sz w:val="18"/>
                                <w:szCs w:val="20"/>
                              </w:rPr>
                              <w:t xml:space="preserve">Approved electronically by the Commission on </w:t>
                            </w:r>
                            <w:r w:rsidR="00052D69">
                              <w:rPr>
                                <w:rFonts w:asciiTheme="majorHAnsi" w:hAnsiTheme="majorHAnsi"/>
                                <w:color w:val="0D0D0D" w:themeColor="text1" w:themeTint="F2"/>
                                <w:sz w:val="18"/>
                                <w:szCs w:val="20"/>
                              </w:rPr>
                              <w:t>August 1,</w:t>
                            </w:r>
                            <w:r w:rsidRPr="00C96D76">
                              <w:rPr>
                                <w:rFonts w:asciiTheme="majorHAnsi" w:hAnsiTheme="majorHAnsi"/>
                                <w:color w:val="0D0D0D" w:themeColor="text1" w:themeTint="F2"/>
                                <w:sz w:val="18"/>
                                <w:szCs w:val="20"/>
                              </w:rPr>
                              <w:t xml:space="preserve"> 2023</w:t>
                            </w:r>
                            <w:r w:rsidR="00052D69">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4.95pt;margin-top:5.25pt;width:361.85pt;height: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" filled="f" stroked="f" strokeweight=".5pt">
                <v:textbox>
                  <w:txbxContent>
                    <w:p w14:paraId="29BF637A" w14:textId="550FBBFE" w:rsidR="00092F32" w:rsidRPr="003C32BC" w:rsidRDefault="00C96D76" w:rsidP="00C96D76">
                      <w:pPr>
                        <w:tabs>
                          <w:tab w:val="center" w:pos="5400"/>
                        </w:tabs>
                        <w:suppressAutoHyphens/>
                        <w:spacing w:before="60"/>
                        <w:rPr>
                          <w:rFonts w:asciiTheme="majorHAnsi" w:hAnsiTheme="majorHAnsi"/>
                          <w:color w:val="0D0D0D" w:themeColor="text1" w:themeTint="F2"/>
                          <w:sz w:val="18"/>
                          <w:szCs w:val="22"/>
                        </w:rPr>
                      </w:pPr>
                      <w:r w:rsidRPr="00C96D76">
                        <w:rPr>
                          <w:rFonts w:asciiTheme="majorHAnsi" w:hAnsiTheme="majorHAnsi"/>
                          <w:color w:val="0D0D0D" w:themeColor="text1" w:themeTint="F2"/>
                          <w:sz w:val="18"/>
                          <w:szCs w:val="20"/>
                        </w:rPr>
                        <w:t xml:space="preserve">Approved electronically by the Commission on </w:t>
                      </w:r>
                      <w:r w:rsidR="00052D69">
                        <w:rPr>
                          <w:rFonts w:asciiTheme="majorHAnsi" w:hAnsiTheme="majorHAnsi"/>
                          <w:color w:val="0D0D0D" w:themeColor="text1" w:themeTint="F2"/>
                          <w:sz w:val="18"/>
                          <w:szCs w:val="20"/>
                        </w:rPr>
                        <w:t>August 1,</w:t>
                      </w:r>
                      <w:r w:rsidRPr="00C96D76">
                        <w:rPr>
                          <w:rFonts w:asciiTheme="majorHAnsi" w:hAnsiTheme="majorHAnsi"/>
                          <w:color w:val="0D0D0D" w:themeColor="text1" w:themeTint="F2"/>
                          <w:sz w:val="18"/>
                          <w:szCs w:val="20"/>
                        </w:rPr>
                        <w:t xml:space="preserve"> 2023</w:t>
                      </w:r>
                      <w:r w:rsidR="00052D69">
                        <w:rPr>
                          <w:rFonts w:asciiTheme="majorHAnsi" w:hAnsiTheme="majorHAnsi"/>
                          <w:color w:val="0D0D0D" w:themeColor="text1" w:themeTint="F2"/>
                          <w:sz w:val="18"/>
                          <w:szCs w:val="20"/>
                        </w:rPr>
                        <w:t>.</w:t>
                      </w:r>
                    </w:p>
                  </w:txbxContent>
                </v:textbox>
              </v:shape>
            </w:pict>
          </mc:Fallback>
        </mc:AlternateContent>
      </w:r>
    </w:p>
    <w:p w14:paraId="76124E47" w14:textId="77777777" w:rsidR="002C1641" w:rsidRPr="005067A0" w:rsidRDefault="002C1641" w:rsidP="00040C3A">
      <w:pPr>
        <w:tabs>
          <w:tab w:val="center" w:pos="5400"/>
        </w:tabs>
        <w:suppressAutoHyphens/>
        <w:jc w:val="center"/>
        <w:rPr>
          <w:rFonts w:asciiTheme="majorHAnsi" w:hAnsiTheme="majorHAnsi"/>
          <w:sz w:val="18"/>
          <w:szCs w:val="22"/>
        </w:rPr>
      </w:pPr>
    </w:p>
    <w:p w14:paraId="3751FEDE" w14:textId="77777777" w:rsidR="002C1641" w:rsidRPr="005067A0" w:rsidRDefault="002C1641" w:rsidP="00040C3A">
      <w:pPr>
        <w:tabs>
          <w:tab w:val="center" w:pos="5400"/>
        </w:tabs>
        <w:suppressAutoHyphens/>
        <w:jc w:val="center"/>
        <w:rPr>
          <w:rFonts w:asciiTheme="majorHAnsi" w:hAnsiTheme="majorHAnsi"/>
          <w:sz w:val="18"/>
          <w:szCs w:val="22"/>
        </w:rPr>
      </w:pPr>
    </w:p>
    <w:p w14:paraId="5FAB54E7" w14:textId="77777777" w:rsidR="002C1641" w:rsidRPr="005067A0" w:rsidRDefault="002C1641" w:rsidP="00040C3A">
      <w:pPr>
        <w:tabs>
          <w:tab w:val="center" w:pos="5400"/>
        </w:tabs>
        <w:suppressAutoHyphens/>
        <w:jc w:val="center"/>
        <w:rPr>
          <w:rFonts w:asciiTheme="majorHAnsi" w:hAnsiTheme="majorHAnsi"/>
          <w:sz w:val="18"/>
          <w:szCs w:val="22"/>
        </w:rPr>
      </w:pPr>
    </w:p>
    <w:p w14:paraId="4AE4FBFB" w14:textId="77777777" w:rsidR="002C1641" w:rsidRPr="005067A0" w:rsidRDefault="002C1641" w:rsidP="00040C3A">
      <w:pPr>
        <w:tabs>
          <w:tab w:val="center" w:pos="5400"/>
        </w:tabs>
        <w:suppressAutoHyphens/>
        <w:jc w:val="center"/>
        <w:rPr>
          <w:rFonts w:asciiTheme="majorHAnsi" w:hAnsiTheme="majorHAnsi"/>
          <w:sz w:val="18"/>
          <w:szCs w:val="22"/>
        </w:rPr>
      </w:pPr>
    </w:p>
    <w:p w14:paraId="4DA3B2C3" w14:textId="77777777" w:rsidR="002C1641" w:rsidRPr="005067A0" w:rsidRDefault="003C32BC" w:rsidP="00040C3A">
      <w:pPr>
        <w:tabs>
          <w:tab w:val="center" w:pos="5400"/>
        </w:tabs>
        <w:suppressAutoHyphens/>
        <w:jc w:val="center"/>
        <w:rPr>
          <w:rFonts w:asciiTheme="majorHAnsi" w:hAnsiTheme="majorHAnsi"/>
          <w:sz w:val="18"/>
          <w:szCs w:val="22"/>
        </w:rPr>
      </w:pPr>
      <w:r w:rsidRPr="005067A0">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7C99DFBE"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052D69">
                              <w:rPr>
                                <w:rFonts w:asciiTheme="majorHAnsi" w:hAnsiTheme="majorHAnsi"/>
                                <w:color w:val="595959" w:themeColor="text1" w:themeTint="A6"/>
                                <w:sz w:val="18"/>
                              </w:rPr>
                              <w:t>125</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w:t>
                            </w:r>
                            <w:r w:rsidR="00C96D76">
                              <w:rPr>
                                <w:rFonts w:asciiTheme="majorHAnsi" w:hAnsiTheme="majorHAnsi"/>
                                <w:color w:val="595959" w:themeColor="text1" w:themeTint="A6"/>
                                <w:sz w:val="18"/>
                              </w:rPr>
                              <w:t>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C96D76">
                              <w:rPr>
                                <w:rFonts w:asciiTheme="majorHAnsi" w:hAnsiTheme="majorHAnsi"/>
                                <w:color w:val="595959" w:themeColor="text1" w:themeTint="A6"/>
                                <w:sz w:val="18"/>
                              </w:rPr>
                              <w:t>20-11</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C96D76">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9C5B59" w:rsidRPr="001C228B">
                              <w:rPr>
                                <w:rFonts w:asciiTheme="majorHAnsi" w:hAnsiTheme="majorHAnsi"/>
                                <w:color w:val="595959" w:themeColor="text1" w:themeTint="A6"/>
                                <w:sz w:val="18"/>
                                <w:szCs w:val="18"/>
                              </w:rPr>
                              <w:t>Teodoro Mangel León. Costa Rica</w:t>
                            </w:r>
                            <w:r w:rsidR="00022CF5">
                              <w:rPr>
                                <w:rFonts w:asciiTheme="majorHAnsi" w:hAnsiTheme="majorHAnsi"/>
                                <w:color w:val="595959" w:themeColor="text1" w:themeTint="A6"/>
                                <w:sz w:val="18"/>
                              </w:rPr>
                              <w:t xml:space="preserve">. </w:t>
                            </w:r>
                            <w:r w:rsidR="00052D69">
                              <w:rPr>
                                <w:rFonts w:asciiTheme="majorHAnsi" w:hAnsiTheme="majorHAnsi"/>
                                <w:color w:val="595959" w:themeColor="text1" w:themeTint="A6"/>
                                <w:sz w:val="18"/>
                              </w:rPr>
                              <w:t>August 1, 2023</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7C99DFBE"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052D69">
                        <w:rPr>
                          <w:rFonts w:asciiTheme="majorHAnsi" w:hAnsiTheme="majorHAnsi"/>
                          <w:color w:val="595959" w:themeColor="text1" w:themeTint="A6"/>
                          <w:sz w:val="18"/>
                        </w:rPr>
                        <w:t>125</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w:t>
                      </w:r>
                      <w:r w:rsidR="00C96D76">
                        <w:rPr>
                          <w:rFonts w:asciiTheme="majorHAnsi" w:hAnsiTheme="majorHAnsi"/>
                          <w:color w:val="595959" w:themeColor="text1" w:themeTint="A6"/>
                          <w:sz w:val="18"/>
                        </w:rPr>
                        <w:t>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C96D76">
                        <w:rPr>
                          <w:rFonts w:asciiTheme="majorHAnsi" w:hAnsiTheme="majorHAnsi"/>
                          <w:color w:val="595959" w:themeColor="text1" w:themeTint="A6"/>
                          <w:sz w:val="18"/>
                        </w:rPr>
                        <w:t>20-11</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C96D76">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9C5B59" w:rsidRPr="001C228B">
                        <w:rPr>
                          <w:rFonts w:asciiTheme="majorHAnsi" w:hAnsiTheme="majorHAnsi"/>
                          <w:color w:val="595959" w:themeColor="text1" w:themeTint="A6"/>
                          <w:sz w:val="18"/>
                          <w:szCs w:val="18"/>
                        </w:rPr>
                        <w:t>Teodoro Mangel León. Costa Rica</w:t>
                      </w:r>
                      <w:r w:rsidR="00022CF5">
                        <w:rPr>
                          <w:rFonts w:asciiTheme="majorHAnsi" w:hAnsiTheme="majorHAnsi"/>
                          <w:color w:val="595959" w:themeColor="text1" w:themeTint="A6"/>
                          <w:sz w:val="18"/>
                        </w:rPr>
                        <w:t xml:space="preserve">. </w:t>
                      </w:r>
                      <w:r w:rsidR="00052D69">
                        <w:rPr>
                          <w:rFonts w:asciiTheme="majorHAnsi" w:hAnsiTheme="majorHAnsi"/>
                          <w:color w:val="595959" w:themeColor="text1" w:themeTint="A6"/>
                          <w:sz w:val="18"/>
                        </w:rPr>
                        <w:t>August 1, 2023</w:t>
                      </w:r>
                      <w:r w:rsidR="00F621C3">
                        <w:rPr>
                          <w:rFonts w:asciiTheme="majorHAnsi" w:hAnsiTheme="majorHAnsi"/>
                          <w:color w:val="595959" w:themeColor="text1" w:themeTint="A6"/>
                          <w:sz w:val="18"/>
                        </w:rPr>
                        <w:t>.</w:t>
                      </w:r>
                    </w:p>
                  </w:txbxContent>
                </v:textbox>
              </v:shape>
            </w:pict>
          </mc:Fallback>
        </mc:AlternateContent>
      </w:r>
    </w:p>
    <w:p w14:paraId="1C0DAFDE" w14:textId="77777777" w:rsidR="002C1641" w:rsidRPr="005067A0" w:rsidRDefault="002C1641" w:rsidP="00040C3A">
      <w:pPr>
        <w:tabs>
          <w:tab w:val="center" w:pos="5400"/>
        </w:tabs>
        <w:suppressAutoHyphens/>
        <w:jc w:val="center"/>
        <w:rPr>
          <w:rFonts w:asciiTheme="majorHAnsi" w:hAnsiTheme="majorHAnsi"/>
          <w:sz w:val="18"/>
          <w:szCs w:val="22"/>
        </w:rPr>
      </w:pPr>
    </w:p>
    <w:p w14:paraId="5420A6FF" w14:textId="77777777" w:rsidR="002C1641" w:rsidRPr="005067A0" w:rsidRDefault="002C1641" w:rsidP="00040C3A">
      <w:pPr>
        <w:tabs>
          <w:tab w:val="center" w:pos="5400"/>
        </w:tabs>
        <w:suppressAutoHyphens/>
        <w:jc w:val="center"/>
        <w:rPr>
          <w:rFonts w:asciiTheme="majorHAnsi" w:hAnsiTheme="majorHAnsi"/>
          <w:sz w:val="18"/>
          <w:szCs w:val="22"/>
        </w:rPr>
      </w:pPr>
    </w:p>
    <w:p w14:paraId="03B36C31" w14:textId="77777777" w:rsidR="003C32BC" w:rsidRPr="005067A0" w:rsidRDefault="003C32BC" w:rsidP="003C32BC">
      <w:pPr>
        <w:tabs>
          <w:tab w:val="center" w:pos="5400"/>
        </w:tabs>
        <w:suppressAutoHyphens/>
        <w:jc w:val="center"/>
        <w:rPr>
          <w:rFonts w:asciiTheme="majorHAnsi" w:hAnsiTheme="majorHAnsi"/>
          <w:sz w:val="18"/>
          <w:szCs w:val="22"/>
        </w:rPr>
      </w:pPr>
    </w:p>
    <w:p w14:paraId="154A4854" w14:textId="77777777" w:rsidR="003C32BC" w:rsidRPr="005067A0" w:rsidRDefault="006311DA" w:rsidP="003C32BC">
      <w:pPr>
        <w:tabs>
          <w:tab w:val="center" w:pos="5400"/>
        </w:tabs>
        <w:suppressAutoHyphens/>
        <w:jc w:val="center"/>
        <w:rPr>
          <w:rFonts w:asciiTheme="majorHAnsi" w:hAnsiTheme="majorHAnsi"/>
          <w:sz w:val="18"/>
          <w:szCs w:val="22"/>
        </w:rPr>
      </w:pPr>
      <w:r w:rsidRPr="005067A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5067A0">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5067A0" w:rsidRDefault="007607C4" w:rsidP="003C32BC">
      <w:pPr>
        <w:tabs>
          <w:tab w:val="center" w:pos="5400"/>
        </w:tabs>
        <w:suppressAutoHyphens/>
        <w:jc w:val="center"/>
        <w:rPr>
          <w:rFonts w:asciiTheme="majorHAnsi" w:hAnsiTheme="majorHAnsi"/>
          <w:sz w:val="18"/>
          <w:szCs w:val="22"/>
        </w:rPr>
        <w:sectPr w:rsidR="007607C4" w:rsidRPr="005067A0"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5067A0" w:rsidRDefault="00F621C3" w:rsidP="00F621C3">
      <w:pPr>
        <w:spacing w:after="240"/>
        <w:ind w:firstLine="720"/>
        <w:jc w:val="both"/>
        <w:rPr>
          <w:rFonts w:asciiTheme="majorHAnsi" w:hAnsiTheme="majorHAnsi"/>
          <w:b/>
          <w:bCs/>
          <w:sz w:val="20"/>
          <w:szCs w:val="20"/>
        </w:rPr>
      </w:pPr>
      <w:r w:rsidRPr="005067A0">
        <w:rPr>
          <w:rFonts w:asciiTheme="majorHAnsi" w:hAnsiTheme="majorHAnsi"/>
          <w:b/>
          <w:bCs/>
          <w:sz w:val="20"/>
          <w:szCs w:val="20"/>
        </w:rPr>
        <w:lastRenderedPageBreak/>
        <w:t>I.</w:t>
      </w:r>
      <w:r w:rsidRPr="005067A0">
        <w:rPr>
          <w:rFonts w:asciiTheme="majorHAnsi" w:hAnsiTheme="majorHAnsi"/>
          <w:b/>
          <w:bCs/>
          <w:sz w:val="20"/>
          <w:szCs w:val="20"/>
        </w:rPr>
        <w:tab/>
      </w:r>
      <w:r w:rsidR="00592718" w:rsidRPr="005067A0">
        <w:rPr>
          <w:rFonts w:asciiTheme="majorHAnsi" w:hAnsiTheme="majorHAnsi"/>
          <w:b/>
          <w:bCs/>
          <w:sz w:val="20"/>
          <w:szCs w:val="20"/>
        </w:rPr>
        <w:t>INFORMATION ABOUT THE PETITION</w:t>
      </w:r>
      <w:r w:rsidRPr="005067A0">
        <w:rPr>
          <w:rFonts w:asciiTheme="majorHAnsi" w:hAnsiTheme="majorHAnsi"/>
          <w:b/>
          <w:bCs/>
          <w:sz w:val="20"/>
          <w:szCs w:val="20"/>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5622B6" w:rsidRPr="005067A0" w14:paraId="491E8196" w14:textId="77777777" w:rsidTr="00AE31E9">
        <w:tc>
          <w:tcPr>
            <w:tcW w:w="3690" w:type="dxa"/>
            <w:tcBorders>
              <w:top w:val="single" w:sz="4" w:space="0" w:color="auto"/>
              <w:bottom w:val="single" w:sz="6" w:space="0" w:color="auto"/>
            </w:tcBorders>
            <w:shd w:val="clear" w:color="auto" w:fill="67AE3C"/>
            <w:vAlign w:val="center"/>
          </w:tcPr>
          <w:p w14:paraId="5524F917" w14:textId="2D6C5F0F" w:rsidR="005622B6" w:rsidRPr="005067A0" w:rsidRDefault="005622B6" w:rsidP="005622B6">
            <w:pPr>
              <w:jc w:val="center"/>
              <w:rPr>
                <w:rFonts w:ascii="Cambria" w:hAnsi="Cambria"/>
                <w:b/>
                <w:bCs/>
                <w:color w:val="FFFFFF" w:themeColor="background1"/>
                <w:sz w:val="20"/>
                <w:szCs w:val="20"/>
              </w:rPr>
            </w:pPr>
            <w:r w:rsidRPr="005067A0">
              <w:rPr>
                <w:rFonts w:ascii="Cambria" w:hAnsi="Cambria"/>
                <w:b/>
                <w:bCs/>
                <w:color w:val="FFFFFF" w:themeColor="background1"/>
                <w:sz w:val="20"/>
                <w:szCs w:val="20"/>
              </w:rPr>
              <w:t>Petitioner:</w:t>
            </w:r>
          </w:p>
        </w:tc>
        <w:tc>
          <w:tcPr>
            <w:tcW w:w="5557" w:type="dxa"/>
            <w:vAlign w:val="center"/>
          </w:tcPr>
          <w:p w14:paraId="0674C7B8" w14:textId="10BE18D4" w:rsidR="005622B6" w:rsidRPr="005067A0" w:rsidRDefault="005622B6" w:rsidP="005622B6">
            <w:pPr>
              <w:jc w:val="both"/>
              <w:rPr>
                <w:rFonts w:ascii="Cambria" w:hAnsi="Cambria"/>
                <w:bCs/>
                <w:sz w:val="20"/>
                <w:szCs w:val="20"/>
              </w:rPr>
            </w:pPr>
            <w:r w:rsidRPr="005067A0">
              <w:rPr>
                <w:rFonts w:ascii="Cambria" w:hAnsi="Cambria"/>
                <w:bCs/>
                <w:sz w:val="20"/>
                <w:szCs w:val="20"/>
              </w:rPr>
              <w:t>Alexander Rodríguez Campos</w:t>
            </w:r>
          </w:p>
        </w:tc>
      </w:tr>
      <w:tr w:rsidR="005622B6" w:rsidRPr="005067A0" w14:paraId="0F4A57A0" w14:textId="77777777" w:rsidTr="00AE31E9">
        <w:tc>
          <w:tcPr>
            <w:tcW w:w="3690" w:type="dxa"/>
            <w:tcBorders>
              <w:top w:val="single" w:sz="6" w:space="0" w:color="auto"/>
              <w:bottom w:val="single" w:sz="6" w:space="0" w:color="auto"/>
            </w:tcBorders>
            <w:shd w:val="clear" w:color="auto" w:fill="67AE3C"/>
            <w:vAlign w:val="center"/>
          </w:tcPr>
          <w:p w14:paraId="325E239F" w14:textId="5CA6565C" w:rsidR="005622B6" w:rsidRPr="005067A0" w:rsidRDefault="003C4749" w:rsidP="005622B6">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2BBA63A16B334F54BBB6598241CA9E45"/>
                </w:placeholder>
                <w:dropDownList>
                  <w:listItem w:value="Choose an item."/>
                  <w:listItem w:displayText="Alleged victim" w:value="Alleged victim"/>
                  <w:listItem w:displayText="Alleged victims" w:value="Alleged victims"/>
                </w:dropDownList>
              </w:sdtPr>
              <w:sdtEndPr/>
              <w:sdtContent>
                <w:r w:rsidR="005622B6" w:rsidRPr="005067A0">
                  <w:rPr>
                    <w:rFonts w:ascii="Cambria" w:hAnsi="Cambria"/>
                    <w:b/>
                    <w:bCs/>
                    <w:color w:val="FFFFFF" w:themeColor="background1"/>
                    <w:sz w:val="20"/>
                    <w:szCs w:val="20"/>
                  </w:rPr>
                  <w:t>Alleged victim</w:t>
                </w:r>
              </w:sdtContent>
            </w:sdt>
            <w:r w:rsidR="005622B6" w:rsidRPr="005067A0">
              <w:rPr>
                <w:rFonts w:ascii="Cambria" w:hAnsi="Cambria"/>
                <w:b/>
                <w:bCs/>
                <w:color w:val="FFFFFF" w:themeColor="background1"/>
                <w:sz w:val="20"/>
                <w:szCs w:val="20"/>
              </w:rPr>
              <w:t>:</w:t>
            </w:r>
          </w:p>
        </w:tc>
        <w:tc>
          <w:tcPr>
            <w:tcW w:w="5557" w:type="dxa"/>
            <w:vAlign w:val="center"/>
          </w:tcPr>
          <w:p w14:paraId="60895337" w14:textId="67CB4193" w:rsidR="005622B6" w:rsidRPr="005067A0" w:rsidRDefault="005622B6" w:rsidP="005622B6">
            <w:pPr>
              <w:jc w:val="both"/>
              <w:rPr>
                <w:rFonts w:ascii="Cambria" w:hAnsi="Cambria"/>
                <w:bCs/>
                <w:sz w:val="20"/>
                <w:szCs w:val="20"/>
              </w:rPr>
            </w:pPr>
            <w:r w:rsidRPr="005067A0">
              <w:rPr>
                <w:rFonts w:ascii="Cambria" w:hAnsi="Cambria"/>
                <w:bCs/>
                <w:sz w:val="20"/>
                <w:szCs w:val="20"/>
              </w:rPr>
              <w:t>Teodoro Mangel León</w:t>
            </w:r>
          </w:p>
        </w:tc>
      </w:tr>
      <w:tr w:rsidR="005622B6" w:rsidRPr="005067A0" w14:paraId="067638D2" w14:textId="77777777" w:rsidTr="00AE31E9">
        <w:tc>
          <w:tcPr>
            <w:tcW w:w="3690" w:type="dxa"/>
            <w:tcBorders>
              <w:top w:val="single" w:sz="6" w:space="0" w:color="auto"/>
              <w:bottom w:val="single" w:sz="6" w:space="0" w:color="auto"/>
            </w:tcBorders>
            <w:shd w:val="clear" w:color="auto" w:fill="67AE3C"/>
            <w:vAlign w:val="center"/>
          </w:tcPr>
          <w:p w14:paraId="32104528" w14:textId="13F57E31" w:rsidR="005622B6" w:rsidRPr="005067A0" w:rsidRDefault="005622B6" w:rsidP="005622B6">
            <w:pPr>
              <w:jc w:val="center"/>
              <w:rPr>
                <w:rFonts w:ascii="Cambria" w:hAnsi="Cambria"/>
                <w:b/>
                <w:bCs/>
                <w:color w:val="FFFFFF" w:themeColor="background1"/>
                <w:sz w:val="20"/>
                <w:szCs w:val="20"/>
              </w:rPr>
            </w:pPr>
            <w:r w:rsidRPr="005067A0">
              <w:rPr>
                <w:rFonts w:ascii="Cambria" w:hAnsi="Cambria"/>
                <w:b/>
                <w:bCs/>
                <w:color w:val="FFFFFF" w:themeColor="background1"/>
                <w:sz w:val="20"/>
                <w:szCs w:val="20"/>
              </w:rPr>
              <w:t>Respondent State:</w:t>
            </w:r>
          </w:p>
        </w:tc>
        <w:tc>
          <w:tcPr>
            <w:tcW w:w="5557" w:type="dxa"/>
            <w:vAlign w:val="center"/>
          </w:tcPr>
          <w:p w14:paraId="3539D391" w14:textId="7B9F85F5" w:rsidR="005622B6" w:rsidRPr="005067A0" w:rsidRDefault="005622B6" w:rsidP="005622B6">
            <w:pPr>
              <w:jc w:val="both"/>
              <w:rPr>
                <w:rFonts w:ascii="Cambria" w:hAnsi="Cambria"/>
                <w:bCs/>
                <w:sz w:val="20"/>
                <w:szCs w:val="20"/>
              </w:rPr>
            </w:pPr>
            <w:r w:rsidRPr="005067A0">
              <w:rPr>
                <w:rFonts w:ascii="Cambria" w:hAnsi="Cambria"/>
                <w:bCs/>
                <w:sz w:val="20"/>
                <w:szCs w:val="20"/>
              </w:rPr>
              <w:t xml:space="preserve">Costa Rica </w:t>
            </w:r>
          </w:p>
        </w:tc>
      </w:tr>
      <w:tr w:rsidR="00E47F3D" w:rsidRPr="005067A0" w14:paraId="57F2C481" w14:textId="77777777" w:rsidTr="00AE31E9">
        <w:tc>
          <w:tcPr>
            <w:tcW w:w="3690" w:type="dxa"/>
            <w:tcBorders>
              <w:top w:val="single" w:sz="6" w:space="0" w:color="auto"/>
              <w:bottom w:val="single" w:sz="6" w:space="0" w:color="auto"/>
            </w:tcBorders>
            <w:shd w:val="clear" w:color="auto" w:fill="67AE3C"/>
            <w:vAlign w:val="center"/>
          </w:tcPr>
          <w:p w14:paraId="62BEEF4B" w14:textId="52EAAEA3" w:rsidR="00E47F3D" w:rsidRPr="005067A0" w:rsidRDefault="00E47F3D" w:rsidP="00E7588C">
            <w:pPr>
              <w:jc w:val="center"/>
              <w:rPr>
                <w:rFonts w:ascii="Cambria" w:hAnsi="Cambria"/>
                <w:b/>
                <w:bCs/>
                <w:color w:val="FFFFFF" w:themeColor="background1"/>
                <w:sz w:val="20"/>
                <w:szCs w:val="20"/>
              </w:rPr>
            </w:pPr>
            <w:r w:rsidRPr="005067A0">
              <w:rPr>
                <w:rFonts w:ascii="Cambria" w:hAnsi="Cambria"/>
                <w:b/>
                <w:bCs/>
                <w:color w:val="FFFFFF" w:themeColor="background1"/>
                <w:sz w:val="20"/>
                <w:szCs w:val="20"/>
              </w:rPr>
              <w:t xml:space="preserve">Rights </w:t>
            </w:r>
            <w:r w:rsidR="00E7588C" w:rsidRPr="005067A0">
              <w:rPr>
                <w:rFonts w:ascii="Cambria" w:hAnsi="Cambria"/>
                <w:b/>
                <w:bCs/>
                <w:color w:val="FFFFFF" w:themeColor="background1"/>
                <w:sz w:val="20"/>
                <w:szCs w:val="20"/>
              </w:rPr>
              <w:t>invoked:</w:t>
            </w:r>
          </w:p>
        </w:tc>
        <w:tc>
          <w:tcPr>
            <w:tcW w:w="5557" w:type="dxa"/>
            <w:vAlign w:val="center"/>
          </w:tcPr>
          <w:p w14:paraId="51EEF9D2" w14:textId="40990244" w:rsidR="00E47F3D" w:rsidRPr="005067A0" w:rsidRDefault="005622B6" w:rsidP="009163FC">
            <w:pPr>
              <w:jc w:val="both"/>
              <w:rPr>
                <w:rFonts w:ascii="Cambria" w:hAnsi="Cambria"/>
                <w:bCs/>
                <w:sz w:val="20"/>
                <w:szCs w:val="20"/>
              </w:rPr>
            </w:pPr>
            <w:r w:rsidRPr="005067A0">
              <w:rPr>
                <w:rFonts w:ascii="Cambria" w:hAnsi="Cambria"/>
                <w:bCs/>
                <w:sz w:val="20"/>
                <w:szCs w:val="20"/>
              </w:rPr>
              <w:t>Articles 8 (fair trial) and 25 (judicial protection) of the American Convention on Human Rights</w:t>
            </w:r>
            <w:r w:rsidRPr="005067A0">
              <w:rPr>
                <w:rStyle w:val="FootnoteReference"/>
                <w:rFonts w:ascii="Cambria" w:hAnsi="Cambria"/>
                <w:bCs/>
                <w:sz w:val="20"/>
                <w:szCs w:val="20"/>
              </w:rPr>
              <w:footnoteReference w:id="2"/>
            </w:r>
          </w:p>
        </w:tc>
      </w:tr>
    </w:tbl>
    <w:p w14:paraId="006E8D49" w14:textId="1C646C41" w:rsidR="00F621C3" w:rsidRPr="005067A0" w:rsidRDefault="00F621C3" w:rsidP="00F621C3">
      <w:pPr>
        <w:spacing w:before="240" w:after="240"/>
        <w:ind w:firstLine="720"/>
        <w:jc w:val="both"/>
        <w:rPr>
          <w:rFonts w:asciiTheme="majorHAnsi" w:hAnsiTheme="majorHAnsi"/>
          <w:b/>
          <w:bCs/>
          <w:sz w:val="20"/>
          <w:szCs w:val="20"/>
        </w:rPr>
      </w:pPr>
      <w:r w:rsidRPr="005067A0">
        <w:rPr>
          <w:rFonts w:asciiTheme="majorHAnsi" w:hAnsiTheme="majorHAnsi"/>
          <w:b/>
          <w:bCs/>
          <w:sz w:val="20"/>
          <w:szCs w:val="20"/>
        </w:rPr>
        <w:t>II.</w:t>
      </w:r>
      <w:r w:rsidRPr="005067A0">
        <w:rPr>
          <w:rFonts w:asciiTheme="majorHAnsi" w:hAnsiTheme="majorHAnsi"/>
          <w:b/>
          <w:bCs/>
          <w:sz w:val="20"/>
          <w:szCs w:val="20"/>
        </w:rPr>
        <w:tab/>
        <w:t>PROCE</w:t>
      </w:r>
      <w:r w:rsidR="00321AFD" w:rsidRPr="005067A0">
        <w:rPr>
          <w:rFonts w:asciiTheme="majorHAnsi" w:hAnsiTheme="majorHAnsi"/>
          <w:b/>
          <w:bCs/>
          <w:sz w:val="20"/>
          <w:szCs w:val="20"/>
        </w:rPr>
        <w:t>EDINGS</w:t>
      </w:r>
      <w:r w:rsidRPr="005067A0">
        <w:rPr>
          <w:rFonts w:asciiTheme="majorHAnsi" w:hAnsiTheme="majorHAnsi"/>
          <w:b/>
          <w:bCs/>
          <w:sz w:val="20"/>
          <w:szCs w:val="20"/>
        </w:rPr>
        <w:t xml:space="preserve"> BEFORE THE IACHR</w:t>
      </w:r>
      <w:r w:rsidR="00653EA6" w:rsidRPr="005067A0">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5622B6" w:rsidRPr="005067A0" w14:paraId="1CAEC3AF" w14:textId="77777777" w:rsidTr="00AE31E9">
        <w:tc>
          <w:tcPr>
            <w:tcW w:w="3690" w:type="dxa"/>
            <w:tcBorders>
              <w:top w:val="single" w:sz="6" w:space="0" w:color="auto"/>
              <w:bottom w:val="single" w:sz="6" w:space="0" w:color="auto"/>
            </w:tcBorders>
            <w:shd w:val="clear" w:color="auto" w:fill="67AE3C"/>
            <w:vAlign w:val="center"/>
          </w:tcPr>
          <w:p w14:paraId="2C2ED774" w14:textId="32BB789E" w:rsidR="005622B6" w:rsidRPr="005067A0" w:rsidRDefault="005622B6" w:rsidP="005622B6">
            <w:pPr>
              <w:jc w:val="center"/>
              <w:rPr>
                <w:rFonts w:ascii="Cambria" w:hAnsi="Cambria"/>
                <w:b/>
                <w:bCs/>
                <w:color w:val="FFFFFF" w:themeColor="background1"/>
                <w:sz w:val="20"/>
                <w:szCs w:val="20"/>
              </w:rPr>
            </w:pPr>
            <w:r w:rsidRPr="005067A0">
              <w:rPr>
                <w:rFonts w:ascii="Cambria" w:hAnsi="Cambria"/>
                <w:b/>
                <w:bCs/>
                <w:color w:val="FFFFFF" w:themeColor="background1"/>
                <w:sz w:val="20"/>
                <w:szCs w:val="20"/>
              </w:rPr>
              <w:t>Filing of the petition:</w:t>
            </w:r>
          </w:p>
        </w:tc>
        <w:tc>
          <w:tcPr>
            <w:tcW w:w="5557" w:type="dxa"/>
            <w:vAlign w:val="center"/>
          </w:tcPr>
          <w:p w14:paraId="1C0C3DE2" w14:textId="47F02072" w:rsidR="005622B6" w:rsidRPr="005067A0" w:rsidRDefault="00561A56" w:rsidP="005622B6">
            <w:pPr>
              <w:jc w:val="both"/>
              <w:rPr>
                <w:rFonts w:ascii="Cambria" w:hAnsi="Cambria"/>
                <w:bCs/>
                <w:sz w:val="20"/>
                <w:szCs w:val="20"/>
              </w:rPr>
            </w:pPr>
            <w:r w:rsidRPr="005067A0">
              <w:rPr>
                <w:rFonts w:ascii="Cambria" w:hAnsi="Cambria"/>
                <w:bCs/>
                <w:sz w:val="20"/>
                <w:szCs w:val="20"/>
              </w:rPr>
              <w:t>January 7,</w:t>
            </w:r>
            <w:r w:rsidR="005622B6" w:rsidRPr="005067A0">
              <w:rPr>
                <w:rFonts w:ascii="Cambria" w:hAnsi="Cambria"/>
                <w:bCs/>
                <w:sz w:val="20"/>
                <w:szCs w:val="20"/>
              </w:rPr>
              <w:t xml:space="preserve"> 2011</w:t>
            </w:r>
          </w:p>
        </w:tc>
      </w:tr>
      <w:tr w:rsidR="005622B6" w:rsidRPr="005067A0" w14:paraId="700E913D" w14:textId="77777777" w:rsidTr="00AE31E9">
        <w:tc>
          <w:tcPr>
            <w:tcW w:w="3690" w:type="dxa"/>
            <w:tcBorders>
              <w:top w:val="single" w:sz="6" w:space="0" w:color="auto"/>
              <w:bottom w:val="single" w:sz="6" w:space="0" w:color="auto"/>
            </w:tcBorders>
            <w:shd w:val="clear" w:color="auto" w:fill="67AE3C"/>
            <w:vAlign w:val="center"/>
          </w:tcPr>
          <w:p w14:paraId="7795D1B9" w14:textId="6A0BC5DB" w:rsidR="005622B6" w:rsidRPr="005067A0" w:rsidRDefault="005622B6" w:rsidP="005622B6">
            <w:pPr>
              <w:jc w:val="center"/>
              <w:rPr>
                <w:rFonts w:ascii="Cambria" w:hAnsi="Cambria"/>
                <w:b/>
                <w:color w:val="FFFFFF" w:themeColor="background1"/>
                <w:sz w:val="20"/>
                <w:szCs w:val="20"/>
              </w:rPr>
            </w:pPr>
            <w:r w:rsidRPr="005067A0">
              <w:rPr>
                <w:rFonts w:ascii="Cambria" w:hAnsi="Cambria"/>
                <w:b/>
                <w:color w:val="FFFFFF" w:themeColor="background1"/>
                <w:sz w:val="20"/>
                <w:szCs w:val="20"/>
              </w:rPr>
              <w:t>Additional information received at the stage of initial review:</w:t>
            </w:r>
          </w:p>
        </w:tc>
        <w:tc>
          <w:tcPr>
            <w:tcW w:w="5557" w:type="dxa"/>
            <w:vAlign w:val="center"/>
          </w:tcPr>
          <w:p w14:paraId="499B90CB" w14:textId="2117A6FE" w:rsidR="005622B6" w:rsidRPr="005067A0" w:rsidRDefault="00561A56" w:rsidP="005622B6">
            <w:pPr>
              <w:jc w:val="both"/>
              <w:rPr>
                <w:rFonts w:ascii="Cambria" w:hAnsi="Cambria"/>
                <w:bCs/>
                <w:sz w:val="20"/>
                <w:szCs w:val="20"/>
              </w:rPr>
            </w:pPr>
            <w:r w:rsidRPr="005067A0">
              <w:rPr>
                <w:rFonts w:ascii="Cambria" w:hAnsi="Cambria"/>
                <w:bCs/>
                <w:sz w:val="20"/>
                <w:szCs w:val="20"/>
              </w:rPr>
              <w:t>December 16,</w:t>
            </w:r>
            <w:r w:rsidR="005622B6" w:rsidRPr="005067A0">
              <w:rPr>
                <w:rFonts w:ascii="Cambria" w:hAnsi="Cambria"/>
                <w:bCs/>
                <w:sz w:val="20"/>
                <w:szCs w:val="20"/>
              </w:rPr>
              <w:t xml:space="preserve"> 2011</w:t>
            </w:r>
          </w:p>
        </w:tc>
      </w:tr>
      <w:tr w:rsidR="005622B6" w:rsidRPr="005067A0" w14:paraId="7EAB2BD7" w14:textId="77777777" w:rsidTr="00AE31E9">
        <w:tc>
          <w:tcPr>
            <w:tcW w:w="3690" w:type="dxa"/>
            <w:tcBorders>
              <w:top w:val="single" w:sz="6" w:space="0" w:color="auto"/>
              <w:bottom w:val="single" w:sz="6" w:space="0" w:color="auto"/>
            </w:tcBorders>
            <w:shd w:val="clear" w:color="auto" w:fill="67AE3C"/>
            <w:vAlign w:val="center"/>
          </w:tcPr>
          <w:p w14:paraId="79E6B4A9" w14:textId="542A8588" w:rsidR="005622B6" w:rsidRPr="005067A0" w:rsidRDefault="005622B6" w:rsidP="005622B6">
            <w:pPr>
              <w:jc w:val="center"/>
              <w:rPr>
                <w:rFonts w:ascii="Cambria" w:hAnsi="Cambria"/>
                <w:b/>
                <w:bCs/>
                <w:color w:val="FFFFFF" w:themeColor="background1"/>
                <w:sz w:val="20"/>
                <w:szCs w:val="20"/>
              </w:rPr>
            </w:pPr>
            <w:r w:rsidRPr="005067A0">
              <w:rPr>
                <w:rFonts w:ascii="Cambria" w:hAnsi="Cambria"/>
                <w:b/>
                <w:color w:val="FFFFFF" w:themeColor="background1"/>
                <w:sz w:val="20"/>
                <w:szCs w:val="20"/>
              </w:rPr>
              <w:t>Notification of the petition to the State:</w:t>
            </w:r>
          </w:p>
        </w:tc>
        <w:tc>
          <w:tcPr>
            <w:tcW w:w="5557" w:type="dxa"/>
            <w:vAlign w:val="center"/>
          </w:tcPr>
          <w:p w14:paraId="22ADBFFE" w14:textId="4FDC9DBE" w:rsidR="005622B6" w:rsidRPr="005067A0" w:rsidRDefault="00561A56" w:rsidP="005622B6">
            <w:pPr>
              <w:jc w:val="both"/>
              <w:rPr>
                <w:rFonts w:ascii="Cambria" w:hAnsi="Cambria"/>
                <w:bCs/>
                <w:sz w:val="20"/>
                <w:szCs w:val="20"/>
              </w:rPr>
            </w:pPr>
            <w:r w:rsidRPr="005067A0">
              <w:rPr>
                <w:rFonts w:ascii="Cambria" w:hAnsi="Cambria"/>
                <w:bCs/>
                <w:sz w:val="20"/>
                <w:szCs w:val="20"/>
              </w:rPr>
              <w:t>November 1,</w:t>
            </w:r>
            <w:r w:rsidR="005622B6" w:rsidRPr="005067A0">
              <w:rPr>
                <w:rFonts w:ascii="Cambria" w:hAnsi="Cambria"/>
                <w:bCs/>
                <w:sz w:val="20"/>
                <w:szCs w:val="20"/>
              </w:rPr>
              <w:t xml:space="preserve"> 2016</w:t>
            </w:r>
          </w:p>
        </w:tc>
      </w:tr>
      <w:tr w:rsidR="005622B6" w:rsidRPr="005067A0" w14:paraId="56560AE1" w14:textId="77777777" w:rsidTr="00AE31E9">
        <w:trPr>
          <w:trHeight w:val="264"/>
        </w:trPr>
        <w:tc>
          <w:tcPr>
            <w:tcW w:w="3690" w:type="dxa"/>
            <w:tcBorders>
              <w:top w:val="single" w:sz="6" w:space="0" w:color="auto"/>
              <w:bottom w:val="single" w:sz="6" w:space="0" w:color="auto"/>
            </w:tcBorders>
            <w:shd w:val="clear" w:color="auto" w:fill="67AE3C"/>
            <w:vAlign w:val="center"/>
          </w:tcPr>
          <w:p w14:paraId="07BDDCA2" w14:textId="4272A20D" w:rsidR="005622B6" w:rsidRPr="005067A0" w:rsidRDefault="005622B6" w:rsidP="005622B6">
            <w:pPr>
              <w:jc w:val="center"/>
              <w:rPr>
                <w:rFonts w:ascii="Cambria" w:hAnsi="Cambria"/>
                <w:b/>
                <w:bCs/>
                <w:color w:val="FFFFFF" w:themeColor="background1"/>
                <w:sz w:val="20"/>
                <w:szCs w:val="20"/>
              </w:rPr>
            </w:pPr>
            <w:r w:rsidRPr="005067A0">
              <w:rPr>
                <w:rFonts w:ascii="Cambria" w:hAnsi="Cambria"/>
                <w:b/>
                <w:color w:val="FFFFFF" w:themeColor="background1"/>
                <w:sz w:val="20"/>
                <w:szCs w:val="20"/>
              </w:rPr>
              <w:t>State’s first response:</w:t>
            </w:r>
          </w:p>
        </w:tc>
        <w:tc>
          <w:tcPr>
            <w:tcW w:w="5557" w:type="dxa"/>
            <w:vAlign w:val="center"/>
          </w:tcPr>
          <w:p w14:paraId="19C5DA57" w14:textId="4A80AF93" w:rsidR="005622B6" w:rsidRPr="005067A0" w:rsidRDefault="00561A56" w:rsidP="005622B6">
            <w:pPr>
              <w:jc w:val="both"/>
              <w:rPr>
                <w:rFonts w:ascii="Cambria" w:hAnsi="Cambria"/>
                <w:bCs/>
                <w:sz w:val="20"/>
                <w:szCs w:val="20"/>
              </w:rPr>
            </w:pPr>
            <w:r w:rsidRPr="005067A0">
              <w:rPr>
                <w:rFonts w:ascii="Cambria" w:hAnsi="Cambria"/>
                <w:bCs/>
                <w:sz w:val="20"/>
                <w:szCs w:val="20"/>
              </w:rPr>
              <w:t>June 13,</w:t>
            </w:r>
            <w:r w:rsidR="005622B6" w:rsidRPr="005067A0">
              <w:rPr>
                <w:rFonts w:ascii="Cambria" w:hAnsi="Cambria"/>
                <w:bCs/>
                <w:sz w:val="20"/>
                <w:szCs w:val="20"/>
              </w:rPr>
              <w:t xml:space="preserve"> 2017</w:t>
            </w:r>
          </w:p>
        </w:tc>
      </w:tr>
      <w:tr w:rsidR="005622B6" w:rsidRPr="005067A0" w14:paraId="718737D9" w14:textId="77777777" w:rsidTr="00AE31E9">
        <w:tc>
          <w:tcPr>
            <w:tcW w:w="3690" w:type="dxa"/>
            <w:tcBorders>
              <w:top w:val="single" w:sz="6" w:space="0" w:color="auto"/>
              <w:bottom w:val="single" w:sz="6" w:space="0" w:color="auto"/>
            </w:tcBorders>
            <w:shd w:val="clear" w:color="auto" w:fill="67AE3C"/>
            <w:vAlign w:val="center"/>
          </w:tcPr>
          <w:p w14:paraId="2F925819" w14:textId="25BD6B09" w:rsidR="005622B6" w:rsidRPr="005067A0" w:rsidRDefault="005622B6" w:rsidP="005622B6">
            <w:pPr>
              <w:jc w:val="center"/>
              <w:rPr>
                <w:rFonts w:ascii="Cambria" w:hAnsi="Cambria"/>
                <w:b/>
                <w:bCs/>
                <w:color w:val="FFFFFF" w:themeColor="background1"/>
                <w:sz w:val="20"/>
                <w:szCs w:val="20"/>
              </w:rPr>
            </w:pPr>
            <w:r w:rsidRPr="005067A0">
              <w:rPr>
                <w:rFonts w:ascii="Cambria" w:hAnsi="Cambria"/>
                <w:b/>
                <w:bCs/>
                <w:color w:val="FFFFFF" w:themeColor="background1"/>
                <w:sz w:val="20"/>
                <w:szCs w:val="20"/>
              </w:rPr>
              <w:t>Notification of the possible archiving of the petition:</w:t>
            </w:r>
          </w:p>
        </w:tc>
        <w:tc>
          <w:tcPr>
            <w:tcW w:w="5557" w:type="dxa"/>
            <w:vAlign w:val="center"/>
          </w:tcPr>
          <w:p w14:paraId="1C4A82C3" w14:textId="0A37F38A" w:rsidR="005622B6" w:rsidRPr="005067A0" w:rsidRDefault="00561A56" w:rsidP="005622B6">
            <w:pPr>
              <w:jc w:val="both"/>
              <w:rPr>
                <w:rFonts w:ascii="Cambria" w:hAnsi="Cambria"/>
                <w:bCs/>
                <w:sz w:val="20"/>
                <w:szCs w:val="20"/>
              </w:rPr>
            </w:pPr>
            <w:r w:rsidRPr="005067A0">
              <w:rPr>
                <w:rFonts w:ascii="Cambria" w:hAnsi="Cambria"/>
                <w:bCs/>
                <w:sz w:val="20"/>
                <w:szCs w:val="20"/>
              </w:rPr>
              <w:t>September 28,</w:t>
            </w:r>
            <w:r w:rsidR="005622B6" w:rsidRPr="005067A0">
              <w:rPr>
                <w:rFonts w:ascii="Cambria" w:hAnsi="Cambria"/>
                <w:bCs/>
                <w:sz w:val="20"/>
                <w:szCs w:val="20"/>
              </w:rPr>
              <w:t xml:space="preserve"> 2020</w:t>
            </w:r>
          </w:p>
        </w:tc>
      </w:tr>
      <w:tr w:rsidR="005622B6" w:rsidRPr="005067A0" w14:paraId="09808A81" w14:textId="77777777" w:rsidTr="00AE31E9">
        <w:tc>
          <w:tcPr>
            <w:tcW w:w="3690" w:type="dxa"/>
            <w:tcBorders>
              <w:top w:val="single" w:sz="6" w:space="0" w:color="auto"/>
              <w:bottom w:val="single" w:sz="6" w:space="0" w:color="auto"/>
            </w:tcBorders>
            <w:shd w:val="clear" w:color="auto" w:fill="67AE3C"/>
            <w:vAlign w:val="center"/>
          </w:tcPr>
          <w:p w14:paraId="49BCEA0B" w14:textId="18455F02" w:rsidR="005622B6" w:rsidRPr="005067A0" w:rsidRDefault="005622B6" w:rsidP="005622B6">
            <w:pPr>
              <w:jc w:val="center"/>
              <w:rPr>
                <w:rFonts w:ascii="Cambria" w:hAnsi="Cambria"/>
                <w:b/>
                <w:bCs/>
                <w:color w:val="FFFFFF" w:themeColor="background1"/>
                <w:sz w:val="20"/>
                <w:szCs w:val="20"/>
              </w:rPr>
            </w:pPr>
            <w:r w:rsidRPr="005067A0">
              <w:rPr>
                <w:rFonts w:ascii="Cambria" w:hAnsi="Cambria"/>
                <w:b/>
                <w:bCs/>
                <w:color w:val="FFFFFF" w:themeColor="background1"/>
                <w:sz w:val="20"/>
                <w:szCs w:val="20"/>
              </w:rPr>
              <w:t>Petitioner’s response to the notification regarding the possible archiving of the petition:</w:t>
            </w:r>
          </w:p>
        </w:tc>
        <w:tc>
          <w:tcPr>
            <w:tcW w:w="5557" w:type="dxa"/>
            <w:vAlign w:val="center"/>
          </w:tcPr>
          <w:p w14:paraId="6F6B7BFD" w14:textId="64800E7A" w:rsidR="005622B6" w:rsidRPr="005067A0" w:rsidRDefault="00561A56" w:rsidP="005622B6">
            <w:pPr>
              <w:jc w:val="both"/>
              <w:rPr>
                <w:rFonts w:ascii="Cambria" w:hAnsi="Cambria"/>
                <w:bCs/>
                <w:sz w:val="20"/>
                <w:szCs w:val="20"/>
              </w:rPr>
            </w:pPr>
            <w:r w:rsidRPr="005067A0">
              <w:rPr>
                <w:rFonts w:ascii="Cambria" w:hAnsi="Cambria"/>
                <w:bCs/>
                <w:sz w:val="20"/>
                <w:szCs w:val="20"/>
              </w:rPr>
              <w:t>August 12,</w:t>
            </w:r>
            <w:r w:rsidR="005622B6" w:rsidRPr="005067A0">
              <w:rPr>
                <w:rFonts w:ascii="Cambria" w:hAnsi="Cambria"/>
                <w:bCs/>
                <w:sz w:val="20"/>
                <w:szCs w:val="20"/>
              </w:rPr>
              <w:t xml:space="preserve"> 2021</w:t>
            </w:r>
          </w:p>
        </w:tc>
      </w:tr>
    </w:tbl>
    <w:p w14:paraId="7F88B361" w14:textId="77777777" w:rsidR="00F621C3" w:rsidRPr="005067A0" w:rsidRDefault="00F621C3" w:rsidP="00F621C3">
      <w:pPr>
        <w:spacing w:before="240" w:after="240"/>
        <w:ind w:firstLine="720"/>
        <w:jc w:val="both"/>
        <w:rPr>
          <w:rFonts w:asciiTheme="majorHAnsi" w:hAnsiTheme="majorHAnsi"/>
          <w:b/>
          <w:bCs/>
          <w:sz w:val="20"/>
          <w:szCs w:val="20"/>
        </w:rPr>
      </w:pPr>
      <w:r w:rsidRPr="005067A0">
        <w:rPr>
          <w:rFonts w:asciiTheme="majorHAnsi" w:hAnsiTheme="majorHAnsi"/>
          <w:b/>
          <w:bCs/>
          <w:sz w:val="20"/>
          <w:szCs w:val="20"/>
        </w:rPr>
        <w:t xml:space="preserve">III. </w:t>
      </w:r>
      <w:r w:rsidRPr="005067A0">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5067A0"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5067A0" w:rsidRDefault="00F621C3" w:rsidP="009163FC">
            <w:pPr>
              <w:jc w:val="center"/>
              <w:rPr>
                <w:rFonts w:ascii="Cambria" w:hAnsi="Cambria"/>
                <w:b/>
                <w:bCs/>
                <w:i/>
                <w:color w:val="FFFFFF" w:themeColor="background1"/>
                <w:sz w:val="20"/>
                <w:szCs w:val="20"/>
              </w:rPr>
            </w:pPr>
            <w:r w:rsidRPr="005067A0">
              <w:rPr>
                <w:rFonts w:ascii="Cambria" w:hAnsi="Cambria"/>
                <w:b/>
                <w:bCs/>
                <w:color w:val="FFFFFF" w:themeColor="background1"/>
                <w:sz w:val="20"/>
                <w:szCs w:val="20"/>
              </w:rPr>
              <w:t>Competence</w:t>
            </w:r>
            <w:r w:rsidRPr="005067A0">
              <w:rPr>
                <w:rFonts w:ascii="Cambria" w:hAnsi="Cambria"/>
                <w:b/>
                <w:bCs/>
                <w:i/>
                <w:color w:val="FFFFFF" w:themeColor="background1"/>
                <w:sz w:val="20"/>
                <w:szCs w:val="20"/>
              </w:rPr>
              <w:t xml:space="preserve"> Ratione personae:</w:t>
            </w:r>
          </w:p>
        </w:tc>
        <w:tc>
          <w:tcPr>
            <w:tcW w:w="5670" w:type="dxa"/>
            <w:vAlign w:val="center"/>
          </w:tcPr>
          <w:p w14:paraId="237A8D0C" w14:textId="12B1F46C" w:rsidR="00F621C3" w:rsidRPr="005067A0" w:rsidRDefault="005622B6" w:rsidP="009163FC">
            <w:pPr>
              <w:rPr>
                <w:rFonts w:asciiTheme="majorHAnsi" w:hAnsiTheme="majorHAnsi"/>
                <w:bCs/>
                <w:sz w:val="20"/>
                <w:szCs w:val="20"/>
              </w:rPr>
            </w:pPr>
            <w:r w:rsidRPr="005067A0">
              <w:rPr>
                <w:rFonts w:asciiTheme="majorHAnsi" w:hAnsiTheme="majorHAnsi"/>
                <w:bCs/>
                <w:sz w:val="20"/>
                <w:szCs w:val="20"/>
              </w:rPr>
              <w:t>Yes</w:t>
            </w:r>
          </w:p>
        </w:tc>
      </w:tr>
      <w:tr w:rsidR="00F621C3" w:rsidRPr="005067A0"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5067A0" w:rsidRDefault="00F621C3" w:rsidP="009163FC">
            <w:pPr>
              <w:jc w:val="center"/>
              <w:rPr>
                <w:rFonts w:ascii="Cambria" w:hAnsi="Cambria"/>
                <w:b/>
                <w:bCs/>
                <w:color w:val="FFFFFF" w:themeColor="background1"/>
                <w:sz w:val="20"/>
                <w:szCs w:val="20"/>
              </w:rPr>
            </w:pPr>
            <w:r w:rsidRPr="005067A0">
              <w:rPr>
                <w:rFonts w:ascii="Cambria" w:hAnsi="Cambria"/>
                <w:b/>
                <w:bCs/>
                <w:color w:val="FFFFFF" w:themeColor="background1"/>
                <w:sz w:val="20"/>
                <w:szCs w:val="20"/>
              </w:rPr>
              <w:t>Competence</w:t>
            </w:r>
            <w:r w:rsidRPr="005067A0">
              <w:rPr>
                <w:rFonts w:ascii="Cambria" w:hAnsi="Cambria"/>
                <w:b/>
                <w:bCs/>
                <w:i/>
                <w:color w:val="FFFFFF" w:themeColor="background1"/>
                <w:sz w:val="20"/>
                <w:szCs w:val="20"/>
              </w:rPr>
              <w:t xml:space="preserve"> Ratione loci</w:t>
            </w:r>
            <w:r w:rsidRPr="005067A0">
              <w:rPr>
                <w:rFonts w:ascii="Cambria" w:hAnsi="Cambria"/>
                <w:b/>
                <w:bCs/>
                <w:color w:val="FFFFFF" w:themeColor="background1"/>
                <w:sz w:val="20"/>
                <w:szCs w:val="20"/>
              </w:rPr>
              <w:t>:</w:t>
            </w:r>
          </w:p>
        </w:tc>
        <w:tc>
          <w:tcPr>
            <w:tcW w:w="5670" w:type="dxa"/>
            <w:vAlign w:val="center"/>
          </w:tcPr>
          <w:p w14:paraId="48257424" w14:textId="5457E1D8" w:rsidR="00F621C3" w:rsidRPr="005067A0" w:rsidRDefault="005622B6" w:rsidP="009163FC">
            <w:pPr>
              <w:rPr>
                <w:rFonts w:asciiTheme="majorHAnsi" w:hAnsiTheme="majorHAnsi"/>
                <w:bCs/>
                <w:sz w:val="20"/>
                <w:szCs w:val="20"/>
              </w:rPr>
            </w:pPr>
            <w:r w:rsidRPr="005067A0">
              <w:rPr>
                <w:rFonts w:asciiTheme="majorHAnsi" w:hAnsiTheme="majorHAnsi"/>
                <w:bCs/>
                <w:sz w:val="20"/>
                <w:szCs w:val="20"/>
              </w:rPr>
              <w:t>Yes</w:t>
            </w:r>
          </w:p>
        </w:tc>
      </w:tr>
      <w:tr w:rsidR="00F621C3" w:rsidRPr="005067A0"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5067A0" w:rsidRDefault="00F621C3" w:rsidP="009163FC">
            <w:pPr>
              <w:jc w:val="center"/>
              <w:rPr>
                <w:rFonts w:ascii="Cambria" w:hAnsi="Cambria"/>
                <w:b/>
                <w:bCs/>
                <w:color w:val="FFFFFF" w:themeColor="background1"/>
                <w:sz w:val="20"/>
                <w:szCs w:val="20"/>
              </w:rPr>
            </w:pPr>
            <w:r w:rsidRPr="005067A0">
              <w:rPr>
                <w:rFonts w:ascii="Cambria" w:hAnsi="Cambria"/>
                <w:b/>
                <w:bCs/>
                <w:color w:val="FFFFFF" w:themeColor="background1"/>
                <w:sz w:val="20"/>
                <w:szCs w:val="20"/>
              </w:rPr>
              <w:t>Competence</w:t>
            </w:r>
            <w:r w:rsidRPr="005067A0">
              <w:rPr>
                <w:rFonts w:ascii="Cambria" w:hAnsi="Cambria"/>
                <w:b/>
                <w:bCs/>
                <w:i/>
                <w:color w:val="FFFFFF" w:themeColor="background1"/>
                <w:sz w:val="20"/>
                <w:szCs w:val="20"/>
              </w:rPr>
              <w:t xml:space="preserve"> Ratione temporis</w:t>
            </w:r>
            <w:r w:rsidRPr="005067A0">
              <w:rPr>
                <w:rFonts w:ascii="Cambria" w:hAnsi="Cambria"/>
                <w:b/>
                <w:bCs/>
                <w:color w:val="FFFFFF" w:themeColor="background1"/>
                <w:sz w:val="20"/>
                <w:szCs w:val="20"/>
              </w:rPr>
              <w:t>:</w:t>
            </w:r>
          </w:p>
        </w:tc>
        <w:tc>
          <w:tcPr>
            <w:tcW w:w="5670" w:type="dxa"/>
            <w:vAlign w:val="center"/>
          </w:tcPr>
          <w:p w14:paraId="74B3F783" w14:textId="1633E841" w:rsidR="00F621C3" w:rsidRPr="005067A0" w:rsidRDefault="005622B6" w:rsidP="009163FC">
            <w:pPr>
              <w:rPr>
                <w:rFonts w:asciiTheme="majorHAnsi" w:hAnsiTheme="majorHAnsi"/>
                <w:bCs/>
                <w:sz w:val="20"/>
                <w:szCs w:val="20"/>
              </w:rPr>
            </w:pPr>
            <w:r w:rsidRPr="005067A0">
              <w:rPr>
                <w:rFonts w:asciiTheme="majorHAnsi" w:hAnsiTheme="majorHAnsi"/>
                <w:bCs/>
                <w:sz w:val="20"/>
                <w:szCs w:val="20"/>
              </w:rPr>
              <w:t>Yes</w:t>
            </w:r>
          </w:p>
        </w:tc>
      </w:tr>
      <w:tr w:rsidR="00F621C3" w:rsidRPr="005067A0"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5067A0" w:rsidRDefault="00F621C3" w:rsidP="009163FC">
            <w:pPr>
              <w:jc w:val="center"/>
              <w:rPr>
                <w:rFonts w:ascii="Cambria" w:hAnsi="Cambria"/>
                <w:b/>
                <w:bCs/>
                <w:color w:val="FFFFFF" w:themeColor="background1"/>
                <w:sz w:val="20"/>
                <w:szCs w:val="20"/>
              </w:rPr>
            </w:pPr>
            <w:r w:rsidRPr="005067A0">
              <w:rPr>
                <w:rFonts w:ascii="Cambria" w:hAnsi="Cambria"/>
                <w:b/>
                <w:bCs/>
                <w:color w:val="FFFFFF" w:themeColor="background1"/>
                <w:sz w:val="20"/>
                <w:szCs w:val="20"/>
              </w:rPr>
              <w:t>Competence</w:t>
            </w:r>
            <w:r w:rsidRPr="005067A0">
              <w:rPr>
                <w:rFonts w:ascii="Cambria" w:hAnsi="Cambria"/>
                <w:b/>
                <w:bCs/>
                <w:i/>
                <w:color w:val="FFFFFF" w:themeColor="background1"/>
                <w:sz w:val="20"/>
                <w:szCs w:val="20"/>
              </w:rPr>
              <w:t xml:space="preserve"> Ratione materiae</w:t>
            </w:r>
            <w:r w:rsidRPr="005067A0">
              <w:rPr>
                <w:rFonts w:ascii="Cambria" w:hAnsi="Cambria"/>
                <w:b/>
                <w:bCs/>
                <w:color w:val="FFFFFF" w:themeColor="background1"/>
                <w:sz w:val="20"/>
                <w:szCs w:val="20"/>
              </w:rPr>
              <w:t>:</w:t>
            </w:r>
          </w:p>
        </w:tc>
        <w:tc>
          <w:tcPr>
            <w:tcW w:w="5670" w:type="dxa"/>
            <w:vAlign w:val="center"/>
          </w:tcPr>
          <w:p w14:paraId="64B3F199" w14:textId="107B262F" w:rsidR="00F621C3" w:rsidRPr="005067A0" w:rsidRDefault="00561A56" w:rsidP="009163FC">
            <w:pPr>
              <w:jc w:val="both"/>
              <w:rPr>
                <w:rFonts w:asciiTheme="majorHAnsi" w:hAnsiTheme="majorHAnsi"/>
                <w:bCs/>
                <w:sz w:val="20"/>
                <w:szCs w:val="20"/>
              </w:rPr>
            </w:pPr>
            <w:r w:rsidRPr="005067A0">
              <w:rPr>
                <w:rFonts w:ascii="Cambria" w:hAnsi="Cambria"/>
                <w:bCs/>
                <w:sz w:val="20"/>
                <w:szCs w:val="20"/>
              </w:rPr>
              <w:t>Yes, American Convention (deposit of the instrument of ratification made on April 8, 1970)</w:t>
            </w:r>
          </w:p>
        </w:tc>
      </w:tr>
    </w:tbl>
    <w:p w14:paraId="0408D4CD" w14:textId="54A61356" w:rsidR="00F621C3" w:rsidRPr="005067A0" w:rsidRDefault="00F621C3" w:rsidP="00F621C3">
      <w:pPr>
        <w:spacing w:before="240" w:after="240"/>
        <w:ind w:firstLine="720"/>
        <w:jc w:val="both"/>
        <w:rPr>
          <w:rFonts w:asciiTheme="majorHAnsi" w:hAnsiTheme="majorHAnsi"/>
          <w:b/>
          <w:bCs/>
          <w:sz w:val="20"/>
          <w:szCs w:val="20"/>
        </w:rPr>
      </w:pPr>
      <w:r w:rsidRPr="005067A0">
        <w:rPr>
          <w:rFonts w:asciiTheme="majorHAnsi" w:hAnsiTheme="majorHAnsi"/>
          <w:b/>
          <w:bCs/>
          <w:sz w:val="20"/>
          <w:szCs w:val="20"/>
        </w:rPr>
        <w:t xml:space="preserve">IV. </w:t>
      </w:r>
      <w:r w:rsidRPr="005067A0">
        <w:rPr>
          <w:rFonts w:asciiTheme="majorHAnsi" w:hAnsiTheme="majorHAnsi"/>
          <w:b/>
          <w:bCs/>
          <w:sz w:val="20"/>
          <w:szCs w:val="20"/>
        </w:rPr>
        <w:tab/>
        <w:t xml:space="preserve">DUPLICATION OF PROCEDURES AND INTERNATIONAL </w:t>
      </w:r>
      <w:r w:rsidRPr="005067A0">
        <w:rPr>
          <w:rFonts w:asciiTheme="majorHAnsi" w:hAnsiTheme="majorHAnsi"/>
          <w:b/>
          <w:bCs/>
          <w:i/>
          <w:sz w:val="20"/>
          <w:szCs w:val="20"/>
        </w:rPr>
        <w:t>RES JUDICATA</w:t>
      </w:r>
      <w:r w:rsidRPr="005067A0">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3"/>
        <w:gridCol w:w="5589"/>
      </w:tblGrid>
      <w:tr w:rsidR="00F621C3" w:rsidRPr="005067A0"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5067A0" w:rsidRDefault="00F621C3" w:rsidP="009163FC">
            <w:pPr>
              <w:jc w:val="center"/>
              <w:rPr>
                <w:rFonts w:ascii="Cambria" w:hAnsi="Cambria"/>
                <w:b/>
                <w:bCs/>
                <w:color w:val="FFFFFF" w:themeColor="background1"/>
                <w:sz w:val="20"/>
                <w:szCs w:val="20"/>
              </w:rPr>
            </w:pPr>
            <w:r w:rsidRPr="005067A0">
              <w:rPr>
                <w:rFonts w:ascii="Cambria" w:hAnsi="Cambria"/>
                <w:b/>
                <w:bCs/>
                <w:color w:val="FFFFFF" w:themeColor="background1"/>
                <w:sz w:val="20"/>
                <w:szCs w:val="20"/>
              </w:rPr>
              <w:t xml:space="preserve">Duplication of procedures and International </w:t>
            </w:r>
            <w:r w:rsidRPr="005067A0">
              <w:rPr>
                <w:rFonts w:ascii="Cambria" w:hAnsi="Cambria"/>
                <w:b/>
                <w:bCs/>
                <w:i/>
                <w:color w:val="FFFFFF" w:themeColor="background1"/>
                <w:sz w:val="20"/>
                <w:szCs w:val="20"/>
              </w:rPr>
              <w:t>res judicata</w:t>
            </w:r>
            <w:r w:rsidRPr="005067A0">
              <w:rPr>
                <w:rFonts w:ascii="Cambria" w:hAnsi="Cambria"/>
                <w:b/>
                <w:bCs/>
                <w:color w:val="FFFFFF" w:themeColor="background1"/>
                <w:sz w:val="20"/>
                <w:szCs w:val="20"/>
              </w:rPr>
              <w:t>:</w:t>
            </w:r>
          </w:p>
        </w:tc>
        <w:tc>
          <w:tcPr>
            <w:tcW w:w="5670" w:type="dxa"/>
            <w:vAlign w:val="center"/>
          </w:tcPr>
          <w:p w14:paraId="4773CD23" w14:textId="186E4A4C" w:rsidR="00F621C3" w:rsidRPr="005067A0" w:rsidRDefault="00561A56" w:rsidP="009163FC">
            <w:pPr>
              <w:jc w:val="both"/>
              <w:rPr>
                <w:rFonts w:ascii="Cambria" w:hAnsi="Cambria"/>
                <w:bCs/>
                <w:sz w:val="20"/>
                <w:szCs w:val="20"/>
              </w:rPr>
            </w:pPr>
            <w:r w:rsidRPr="005067A0">
              <w:rPr>
                <w:rFonts w:ascii="Cambria" w:hAnsi="Cambria"/>
                <w:bCs/>
                <w:sz w:val="20"/>
                <w:szCs w:val="20"/>
              </w:rPr>
              <w:t>No</w:t>
            </w:r>
          </w:p>
        </w:tc>
      </w:tr>
      <w:tr w:rsidR="00F621C3" w:rsidRPr="005067A0"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5067A0" w:rsidRDefault="00F621C3" w:rsidP="009163FC">
            <w:pPr>
              <w:jc w:val="center"/>
              <w:rPr>
                <w:rFonts w:ascii="Cambria" w:hAnsi="Cambria"/>
                <w:b/>
                <w:bCs/>
                <w:i/>
                <w:color w:val="FFFFFF" w:themeColor="background1"/>
                <w:sz w:val="20"/>
                <w:szCs w:val="20"/>
              </w:rPr>
            </w:pPr>
            <w:r w:rsidRPr="005067A0">
              <w:rPr>
                <w:rFonts w:ascii="Cambria" w:hAnsi="Cambria"/>
                <w:b/>
                <w:bCs/>
                <w:color w:val="FFFFFF" w:themeColor="background1"/>
                <w:sz w:val="20"/>
                <w:szCs w:val="20"/>
              </w:rPr>
              <w:t>Rights declared admissible</w:t>
            </w:r>
          </w:p>
        </w:tc>
        <w:tc>
          <w:tcPr>
            <w:tcW w:w="5670" w:type="dxa"/>
            <w:vAlign w:val="center"/>
          </w:tcPr>
          <w:p w14:paraId="33BE4040" w14:textId="395BEC26" w:rsidR="00F621C3" w:rsidRPr="005067A0" w:rsidRDefault="00561A56" w:rsidP="009163FC">
            <w:pPr>
              <w:jc w:val="both"/>
              <w:rPr>
                <w:rFonts w:ascii="Cambria" w:hAnsi="Cambria"/>
                <w:bCs/>
                <w:sz w:val="20"/>
                <w:szCs w:val="20"/>
              </w:rPr>
            </w:pPr>
            <w:r w:rsidRPr="005067A0">
              <w:rPr>
                <w:rFonts w:ascii="Cambria" w:hAnsi="Cambria"/>
                <w:bCs/>
                <w:sz w:val="20"/>
                <w:szCs w:val="20"/>
              </w:rPr>
              <w:t>None</w:t>
            </w:r>
          </w:p>
        </w:tc>
      </w:tr>
      <w:tr w:rsidR="00F621C3" w:rsidRPr="005067A0"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5067A0" w:rsidRDefault="00F621C3" w:rsidP="009163FC">
            <w:pPr>
              <w:jc w:val="center"/>
              <w:rPr>
                <w:rFonts w:ascii="Cambria" w:hAnsi="Cambria"/>
                <w:b/>
                <w:bCs/>
                <w:color w:val="FFFFFF" w:themeColor="background1"/>
                <w:sz w:val="20"/>
                <w:szCs w:val="20"/>
              </w:rPr>
            </w:pPr>
            <w:r w:rsidRPr="005067A0">
              <w:rPr>
                <w:rFonts w:ascii="Cambria" w:hAnsi="Cambria"/>
                <w:b/>
                <w:bCs/>
                <w:color w:val="FFFFFF" w:themeColor="background1"/>
                <w:sz w:val="20"/>
                <w:szCs w:val="20"/>
              </w:rPr>
              <w:t>Exhaustion of domestic remedies or applicability of an exception to the rule:</w:t>
            </w:r>
          </w:p>
        </w:tc>
        <w:tc>
          <w:tcPr>
            <w:tcW w:w="5670" w:type="dxa"/>
            <w:vAlign w:val="center"/>
          </w:tcPr>
          <w:p w14:paraId="09A88E98" w14:textId="77777777" w:rsidR="00561A56" w:rsidRPr="005067A0" w:rsidRDefault="00561A56" w:rsidP="009163FC">
            <w:pPr>
              <w:rPr>
                <w:rFonts w:ascii="Cambria" w:hAnsi="Cambria"/>
                <w:bCs/>
                <w:sz w:val="20"/>
                <w:szCs w:val="20"/>
              </w:rPr>
            </w:pPr>
          </w:p>
          <w:p w14:paraId="2A98CE44" w14:textId="4D8F331C" w:rsidR="00F621C3" w:rsidRPr="005067A0" w:rsidRDefault="00561A56" w:rsidP="009163FC">
            <w:pPr>
              <w:rPr>
                <w:rFonts w:ascii="Cambria" w:hAnsi="Cambria"/>
                <w:bCs/>
                <w:sz w:val="20"/>
                <w:szCs w:val="20"/>
              </w:rPr>
            </w:pPr>
            <w:r w:rsidRPr="005067A0">
              <w:rPr>
                <w:rFonts w:ascii="Cambria" w:hAnsi="Cambria"/>
                <w:bCs/>
                <w:sz w:val="20"/>
                <w:szCs w:val="20"/>
              </w:rPr>
              <w:t>Yes, in the terms of section VII</w:t>
            </w:r>
          </w:p>
          <w:p w14:paraId="432DC56B" w14:textId="77777777" w:rsidR="00F621C3" w:rsidRPr="005067A0" w:rsidRDefault="00F621C3" w:rsidP="009163FC">
            <w:pPr>
              <w:rPr>
                <w:rFonts w:ascii="Cambria" w:hAnsi="Cambria"/>
                <w:bCs/>
                <w:sz w:val="20"/>
                <w:szCs w:val="20"/>
              </w:rPr>
            </w:pPr>
          </w:p>
        </w:tc>
      </w:tr>
      <w:tr w:rsidR="00F621C3" w:rsidRPr="005067A0"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5067A0" w:rsidRDefault="00F621C3" w:rsidP="009163FC">
            <w:pPr>
              <w:jc w:val="center"/>
              <w:rPr>
                <w:rFonts w:ascii="Cambria" w:hAnsi="Cambria"/>
                <w:b/>
                <w:bCs/>
                <w:color w:val="FFFFFF" w:themeColor="background1"/>
                <w:sz w:val="20"/>
                <w:szCs w:val="20"/>
              </w:rPr>
            </w:pPr>
            <w:r w:rsidRPr="005067A0">
              <w:rPr>
                <w:rFonts w:ascii="Cambria" w:hAnsi="Cambria"/>
                <w:b/>
                <w:bCs/>
                <w:color w:val="FFFFFF" w:themeColor="background1"/>
                <w:sz w:val="20"/>
                <w:szCs w:val="20"/>
              </w:rPr>
              <w:t>Timeliness of the petition:</w:t>
            </w:r>
          </w:p>
        </w:tc>
        <w:tc>
          <w:tcPr>
            <w:tcW w:w="5670" w:type="dxa"/>
            <w:vAlign w:val="center"/>
          </w:tcPr>
          <w:p w14:paraId="6A26CCE9" w14:textId="10A60EB7" w:rsidR="00F621C3" w:rsidRPr="005067A0" w:rsidRDefault="00561A56" w:rsidP="009163FC">
            <w:pPr>
              <w:rPr>
                <w:rFonts w:asciiTheme="majorHAnsi" w:hAnsiTheme="majorHAnsi"/>
                <w:bCs/>
                <w:sz w:val="20"/>
                <w:szCs w:val="20"/>
              </w:rPr>
            </w:pPr>
            <w:r w:rsidRPr="005067A0">
              <w:rPr>
                <w:rFonts w:asciiTheme="majorHAnsi" w:hAnsiTheme="majorHAnsi"/>
                <w:bCs/>
                <w:sz w:val="20"/>
                <w:szCs w:val="20"/>
              </w:rPr>
              <w:t>Yes, in the terms of section VII</w:t>
            </w:r>
          </w:p>
        </w:tc>
      </w:tr>
    </w:tbl>
    <w:p w14:paraId="54172C4F" w14:textId="468CFDD0" w:rsidR="00B06BB7" w:rsidRPr="005067A0" w:rsidRDefault="00B06BB7">
      <w:pPr>
        <w:rPr>
          <w:rFonts w:asciiTheme="majorHAnsi" w:hAnsiTheme="majorHAnsi"/>
          <w:b/>
          <w:sz w:val="20"/>
          <w:szCs w:val="20"/>
        </w:rPr>
      </w:pPr>
    </w:p>
    <w:p w14:paraId="629E2DE8" w14:textId="25B8DAB4" w:rsidR="00F621C3" w:rsidRPr="005067A0" w:rsidRDefault="00F621C3" w:rsidP="00F621C3">
      <w:pPr>
        <w:spacing w:before="240" w:after="240"/>
        <w:ind w:firstLine="720"/>
        <w:jc w:val="both"/>
        <w:rPr>
          <w:rFonts w:asciiTheme="majorHAnsi" w:hAnsiTheme="majorHAnsi"/>
          <w:b/>
          <w:sz w:val="20"/>
          <w:szCs w:val="20"/>
        </w:rPr>
      </w:pPr>
      <w:r w:rsidRPr="005067A0">
        <w:rPr>
          <w:rFonts w:asciiTheme="majorHAnsi" w:hAnsiTheme="majorHAnsi"/>
          <w:b/>
          <w:sz w:val="20"/>
          <w:szCs w:val="20"/>
        </w:rPr>
        <w:t xml:space="preserve">V. </w:t>
      </w:r>
      <w:r w:rsidRPr="005067A0">
        <w:rPr>
          <w:rFonts w:asciiTheme="majorHAnsi" w:hAnsiTheme="majorHAnsi"/>
          <w:b/>
          <w:sz w:val="20"/>
          <w:szCs w:val="20"/>
        </w:rPr>
        <w:tab/>
      </w:r>
      <w:r w:rsidR="00F323C0" w:rsidRPr="005067A0">
        <w:rPr>
          <w:rFonts w:asciiTheme="majorHAnsi" w:hAnsiTheme="majorHAnsi"/>
          <w:b/>
          <w:sz w:val="20"/>
          <w:szCs w:val="20"/>
        </w:rPr>
        <w:t>POSITION OF THE PARTIES</w:t>
      </w:r>
    </w:p>
    <w:p w14:paraId="60823910" w14:textId="6F440055" w:rsidR="00F323C0" w:rsidRPr="005067A0" w:rsidRDefault="006318B2" w:rsidP="00F323C0">
      <w:pPr>
        <w:spacing w:after="240"/>
        <w:ind w:firstLine="720"/>
        <w:jc w:val="both"/>
        <w:rPr>
          <w:rFonts w:asciiTheme="majorHAnsi" w:hAnsiTheme="majorHAnsi"/>
          <w:bCs/>
          <w:i/>
          <w:iCs/>
          <w:sz w:val="20"/>
          <w:szCs w:val="20"/>
        </w:rPr>
      </w:pPr>
      <w:r w:rsidRPr="005067A0">
        <w:rPr>
          <w:rFonts w:ascii="Cambria" w:hAnsi="Cambria"/>
          <w:sz w:val="20"/>
          <w:szCs w:val="20"/>
        </w:rPr>
        <w:t xml:space="preserve"> </w:t>
      </w:r>
      <w:r w:rsidR="005067A0" w:rsidRPr="005067A0">
        <w:rPr>
          <w:rFonts w:asciiTheme="majorHAnsi" w:hAnsiTheme="majorHAnsi"/>
          <w:bCs/>
          <w:i/>
          <w:iCs/>
          <w:sz w:val="20"/>
          <w:szCs w:val="20"/>
        </w:rPr>
        <w:t>Allegations of the petitioner</w:t>
      </w:r>
    </w:p>
    <w:p w14:paraId="7ED40BBA" w14:textId="4A982262" w:rsidR="00F323C0" w:rsidRPr="005067A0" w:rsidRDefault="005067A0" w:rsidP="00F32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067A0">
        <w:rPr>
          <w:rFonts w:asciiTheme="majorHAnsi" w:hAnsiTheme="majorHAnsi"/>
          <w:sz w:val="20"/>
          <w:szCs w:val="20"/>
        </w:rPr>
        <w:t xml:space="preserve">The petitioner alleges that Mr. Teodoro Mangel León did not have access to a remedy that would allow for a full review of his conviction for the crime of rape. The petitioner also claims that this criminal sanction also affected other judicial guarantees, due to the irregularities committed during the proceedings and the inadequate </w:t>
      </w:r>
      <w:r>
        <w:rPr>
          <w:rFonts w:asciiTheme="majorHAnsi" w:hAnsiTheme="majorHAnsi"/>
          <w:sz w:val="20"/>
          <w:szCs w:val="20"/>
        </w:rPr>
        <w:t>assessment</w:t>
      </w:r>
      <w:r w:rsidRPr="005067A0">
        <w:rPr>
          <w:rFonts w:asciiTheme="majorHAnsi" w:hAnsiTheme="majorHAnsi"/>
          <w:sz w:val="20"/>
          <w:szCs w:val="20"/>
        </w:rPr>
        <w:t xml:space="preserve"> of the body of evidence</w:t>
      </w:r>
      <w:r w:rsidR="00F323C0" w:rsidRPr="005067A0">
        <w:rPr>
          <w:rFonts w:asciiTheme="majorHAnsi" w:hAnsiTheme="majorHAnsi"/>
          <w:sz w:val="20"/>
          <w:szCs w:val="20"/>
        </w:rPr>
        <w:t xml:space="preserve">.  </w:t>
      </w:r>
    </w:p>
    <w:p w14:paraId="27D2D482" w14:textId="30D407B0" w:rsidR="00F323C0" w:rsidRPr="005067A0" w:rsidRDefault="005067A0" w:rsidP="00F32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067A0">
        <w:rPr>
          <w:rFonts w:asciiTheme="majorHAnsi" w:hAnsiTheme="majorHAnsi"/>
          <w:sz w:val="20"/>
          <w:szCs w:val="20"/>
        </w:rPr>
        <w:lastRenderedPageBreak/>
        <w:t>The petitioner reports that Mr. Mangel León is a gynecologist, and that in the exercise of his profession, on February 28, 2003, he performed a gynecological examination on a patient, which consisted of inserting his fingers into her vagina. He states that despite the fact that the alleged victim performed the procedure with complete regularity, said patient subsequently filed a criminal complaint against him, stating that Mr. Mangel León</w:t>
      </w:r>
      <w:r w:rsidR="00F323C0" w:rsidRPr="005067A0">
        <w:rPr>
          <w:rFonts w:asciiTheme="majorHAnsi" w:hAnsiTheme="majorHAnsi"/>
          <w:sz w:val="20"/>
          <w:szCs w:val="20"/>
        </w:rPr>
        <w:t xml:space="preserve"> “</w:t>
      </w:r>
      <w:r w:rsidRPr="005067A0">
        <w:rPr>
          <w:rFonts w:asciiTheme="majorHAnsi" w:hAnsiTheme="majorHAnsi"/>
          <w:i/>
          <w:iCs/>
          <w:sz w:val="20"/>
          <w:szCs w:val="20"/>
        </w:rPr>
        <w:t xml:space="preserve">extrapolated the scope of vaginal touch and diverted the direction of an act, in principle medical, to develop </w:t>
      </w:r>
      <w:r w:rsidR="007B0D84">
        <w:rPr>
          <w:rFonts w:asciiTheme="majorHAnsi" w:hAnsiTheme="majorHAnsi"/>
          <w:i/>
          <w:iCs/>
          <w:sz w:val="20"/>
          <w:szCs w:val="20"/>
        </w:rPr>
        <w:t>hi</w:t>
      </w:r>
      <w:r w:rsidRPr="005067A0">
        <w:rPr>
          <w:rFonts w:asciiTheme="majorHAnsi" w:hAnsiTheme="majorHAnsi"/>
          <w:i/>
          <w:iCs/>
          <w:sz w:val="20"/>
          <w:szCs w:val="20"/>
        </w:rPr>
        <w:t>s own particular purposes</w:t>
      </w:r>
      <w:r w:rsidR="00F323C0" w:rsidRPr="005067A0">
        <w:rPr>
          <w:rFonts w:asciiTheme="majorHAnsi" w:hAnsiTheme="majorHAnsi"/>
          <w:sz w:val="20"/>
          <w:szCs w:val="20"/>
        </w:rPr>
        <w:t xml:space="preserve">”. </w:t>
      </w:r>
    </w:p>
    <w:p w14:paraId="5E2F5578" w14:textId="5709570D" w:rsidR="00F323C0" w:rsidRPr="005067A0" w:rsidRDefault="005067A0" w:rsidP="00F32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067A0">
        <w:rPr>
          <w:rFonts w:asciiTheme="majorHAnsi" w:hAnsiTheme="majorHAnsi"/>
          <w:sz w:val="20"/>
          <w:szCs w:val="20"/>
        </w:rPr>
        <w:t>Based on this statement, the Public Ministry initiated criminal case number 03-0000351-0609 against the alleged victim, and after several hearings, on February 23, 2010, the Criminal Court of San José sentenced Mr. Mangel León to twelve years of imprisonment for the crime of rape</w:t>
      </w:r>
      <w:r w:rsidR="00F323C0" w:rsidRPr="005067A0">
        <w:rPr>
          <w:rFonts w:asciiTheme="majorHAnsi" w:hAnsiTheme="majorHAnsi"/>
          <w:sz w:val="20"/>
          <w:szCs w:val="20"/>
        </w:rPr>
        <w:t xml:space="preserve">. </w:t>
      </w:r>
    </w:p>
    <w:p w14:paraId="58EEB90E" w14:textId="5283FB8D" w:rsidR="00F323C0" w:rsidRPr="005067A0" w:rsidRDefault="005067A0" w:rsidP="00F32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067A0">
        <w:rPr>
          <w:rFonts w:asciiTheme="majorHAnsi" w:hAnsiTheme="majorHAnsi"/>
          <w:sz w:val="20"/>
          <w:szCs w:val="20"/>
        </w:rPr>
        <w:t>Against this decision, the alleged victim's defense counsel filed a cassation remedy, arguing that: i) the first instance criminal court did not adequately assess the evidence; and ii) the existence of flaws in the grounds of the ruling. In addition to this appeal, and despite the fact that it was not provided for at that time in the legislation in force, on May 3, 2010 Mr. Mangel León filed an appeal, alleging: (i) the violation of the principle of presumption of innocence, due to the reversal of the burden of proof; (ii) the violation of the rule of the judge predetermined by law, since the testimony of the complainant was given before a judge who subsequently did not participate in the trial hearings; (iii) the violation of the principle of legality, since the facts denounced did not constitute the crime of rape; (iv) the absence of grounds to justify such a high sentence; and (v) that he was convicted for a criminal type not foreseen in the indictment</w:t>
      </w:r>
      <w:r w:rsidR="00F323C0" w:rsidRPr="005067A0">
        <w:rPr>
          <w:rFonts w:asciiTheme="majorHAnsi" w:hAnsiTheme="majorHAnsi"/>
          <w:sz w:val="20"/>
          <w:szCs w:val="20"/>
        </w:rPr>
        <w:t>.</w:t>
      </w:r>
    </w:p>
    <w:p w14:paraId="593E2D78" w14:textId="603957E5" w:rsidR="00F323C0" w:rsidRPr="005067A0" w:rsidRDefault="005067A0" w:rsidP="00F32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067A0">
        <w:rPr>
          <w:rFonts w:asciiTheme="majorHAnsi" w:hAnsiTheme="majorHAnsi"/>
          <w:sz w:val="20"/>
          <w:szCs w:val="20"/>
        </w:rPr>
        <w:t>However, the petitioner holds that on July 8, 2010, the Court of Criminal Cassation declared the aforementioned arguments inadmissible, considering that the judgment of first instance adequately assessed all the evidence provided to the process; and, without reversing the burdens of the process, it reasonably considered the plausibility of the complainant's account as proven, given its coherence, consistency and validity based on the various expert opinions provided. Likewise, it considered that there was no procedural defect or flaw in the decision that merited its nullity, since the entire process was conducted based on a certain factual framework and the alleged victim had a private defense counsel, who was able to participate with full regularity in all the stages of the process</w:t>
      </w:r>
      <w:r w:rsidR="00F323C0" w:rsidRPr="005067A0">
        <w:rPr>
          <w:rFonts w:asciiTheme="majorHAnsi" w:hAnsiTheme="majorHAnsi"/>
          <w:sz w:val="20"/>
          <w:szCs w:val="20"/>
        </w:rPr>
        <w:t xml:space="preserve">. </w:t>
      </w:r>
    </w:p>
    <w:p w14:paraId="41633733" w14:textId="73847DBF" w:rsidR="00F323C0" w:rsidRPr="005067A0" w:rsidRDefault="00C7199C" w:rsidP="00F32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7199C">
        <w:rPr>
          <w:rFonts w:asciiTheme="majorHAnsi" w:hAnsiTheme="majorHAnsi"/>
          <w:sz w:val="20"/>
          <w:szCs w:val="20"/>
        </w:rPr>
        <w:t>The petitioner adds that after filing this petition, the alleged victim filed an appeal for review of the decision dismissing his cassation appeal, in which he argued that: i) the Court of Criminal Cassation did not conduct a comprehensive review of the conviction; ii) that irregularities were committed in the processing of his appeal; and iii) that the decision lacked adequate substantiation. However, on July 29, 2011, the Court of Criminal Cassation rejected the request for review, considering that the sentence adequately addressed all the claims presented by Mr. Mángel León, and therefore, it was not appropriate to re-examine said allegations</w:t>
      </w:r>
      <w:r w:rsidR="00F323C0" w:rsidRPr="005067A0">
        <w:rPr>
          <w:rFonts w:asciiTheme="majorHAnsi" w:hAnsiTheme="majorHAnsi"/>
          <w:sz w:val="20"/>
          <w:szCs w:val="20"/>
        </w:rPr>
        <w:t xml:space="preserve">.  </w:t>
      </w:r>
    </w:p>
    <w:p w14:paraId="16497ADE" w14:textId="1C40DE34" w:rsidR="00F323C0" w:rsidRDefault="00C7199C" w:rsidP="00F32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7199C">
        <w:rPr>
          <w:rFonts w:asciiTheme="majorHAnsi" w:hAnsiTheme="majorHAnsi"/>
          <w:sz w:val="20"/>
          <w:szCs w:val="20"/>
        </w:rPr>
        <w:t xml:space="preserve">Based on these considerations, the petitioner </w:t>
      </w:r>
      <w:r w:rsidR="00B911A2">
        <w:rPr>
          <w:rFonts w:asciiTheme="majorHAnsi" w:hAnsiTheme="majorHAnsi"/>
          <w:sz w:val="20"/>
          <w:szCs w:val="20"/>
        </w:rPr>
        <w:t>argues</w:t>
      </w:r>
      <w:r w:rsidRPr="00C7199C">
        <w:rPr>
          <w:rFonts w:asciiTheme="majorHAnsi" w:hAnsiTheme="majorHAnsi"/>
          <w:sz w:val="20"/>
          <w:szCs w:val="20"/>
        </w:rPr>
        <w:t xml:space="preserve"> that the domestic courts did not guarantee the right to a comprehensive review of the conviction, since the Court of Criminal Cassation limited itself to a formalistic analysis and did not analyze the various contradictions in the contested judgment. Furthermore, the petitioner adds that the decision to convict the alleged victim did not have an adequate evidentiary basis that would undermine the principle of presumption of innocence, since the ruling was based only on indirect evidence and inferential reasoning</w:t>
      </w:r>
      <w:r w:rsidR="00F323C0" w:rsidRPr="005067A0">
        <w:rPr>
          <w:rFonts w:asciiTheme="majorHAnsi" w:hAnsiTheme="majorHAnsi"/>
          <w:sz w:val="20"/>
          <w:szCs w:val="20"/>
        </w:rPr>
        <w:t xml:space="preserve">. </w:t>
      </w:r>
    </w:p>
    <w:p w14:paraId="1BFB5A3C" w14:textId="13601CFF" w:rsidR="00F323C0" w:rsidRPr="005067A0" w:rsidRDefault="00C7199C" w:rsidP="00F323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sidRPr="00C7199C">
        <w:rPr>
          <w:rFonts w:asciiTheme="majorHAnsi" w:hAnsiTheme="majorHAnsi"/>
          <w:i/>
          <w:iCs/>
          <w:sz w:val="20"/>
          <w:szCs w:val="20"/>
        </w:rPr>
        <w:t>Allegations of the Costa Rican State</w:t>
      </w:r>
    </w:p>
    <w:p w14:paraId="14C1837F" w14:textId="417AF670" w:rsidR="00F323C0" w:rsidRPr="005067A0" w:rsidRDefault="00976F08" w:rsidP="00F32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76F08">
        <w:rPr>
          <w:rFonts w:asciiTheme="majorHAnsi" w:hAnsiTheme="majorHAnsi"/>
          <w:sz w:val="20"/>
          <w:szCs w:val="20"/>
        </w:rPr>
        <w:t xml:space="preserve">For its part, the State replies that the petitioner reported other aspects relevant to the analysis of the present case. In this regard, it reports that on June 8, 2012, Mr. Mangel León filed a review proceeding, based on Transitory III of Law No. 8837, claiming: i) violation of the right set forth in Article 8.2.h) of the American Convention; ii) that illegal evidence was introduced in his trial; and iii) that the principle of impartiality was affected. Nonetheless, the State specifies that on July 23, 2012, the Court of Appeals for Criminal Sentencing, through Resolution 1425-2012, rejected this appeal, concluding that there were no compelling allegations that would merit declaring the nullity of the decision, or even holding a new hearing, since no illegal evidence was incorporated into the process and no judicial guarantees were affected. In order </w:t>
      </w:r>
      <w:r w:rsidRPr="00976F08">
        <w:rPr>
          <w:rFonts w:asciiTheme="majorHAnsi" w:hAnsiTheme="majorHAnsi"/>
          <w:sz w:val="20"/>
          <w:szCs w:val="20"/>
        </w:rPr>
        <w:lastRenderedPageBreak/>
        <w:t>to reach this conclusion, said body analyzed each of the grievances alleged by the alleged victim and refuted them by means of a duly motivated decision</w:t>
      </w:r>
      <w:r w:rsidR="00F323C0" w:rsidRPr="005067A0">
        <w:rPr>
          <w:rFonts w:asciiTheme="majorHAnsi" w:hAnsiTheme="majorHAnsi"/>
          <w:sz w:val="20"/>
          <w:szCs w:val="20"/>
        </w:rPr>
        <w:t xml:space="preserve">. </w:t>
      </w:r>
    </w:p>
    <w:p w14:paraId="5EDE4E7D" w14:textId="793DC03A" w:rsidR="00F323C0" w:rsidRPr="005067A0" w:rsidRDefault="00976F08" w:rsidP="00F32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76F08">
        <w:rPr>
          <w:rFonts w:asciiTheme="majorHAnsi" w:hAnsiTheme="majorHAnsi"/>
          <w:sz w:val="20"/>
          <w:szCs w:val="20"/>
        </w:rPr>
        <w:t>In spite of this, Mr. Mangel León was dissatisfied with the aforementioned resolution, so he filed an appeal for revocation and defective procedural activity, questioning the motivation deployed by the aforementioned court. However, on August 10, 2012, the Court of Appeals for Criminal Judgment rejected said action, arguing that it was not proven that the decision in question had incurred in any arbitrariness</w:t>
      </w:r>
      <w:r w:rsidR="00F323C0" w:rsidRPr="005067A0">
        <w:rPr>
          <w:rFonts w:asciiTheme="majorHAnsi" w:hAnsiTheme="majorHAnsi"/>
          <w:sz w:val="20"/>
          <w:szCs w:val="20"/>
        </w:rPr>
        <w:t xml:space="preserve">. </w:t>
      </w:r>
    </w:p>
    <w:p w14:paraId="117609D3" w14:textId="5F5977BF" w:rsidR="00F323C0" w:rsidRPr="005067A0" w:rsidRDefault="00976F08" w:rsidP="00F32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76F08">
        <w:rPr>
          <w:rFonts w:asciiTheme="majorHAnsi" w:hAnsiTheme="majorHAnsi"/>
          <w:sz w:val="20"/>
          <w:szCs w:val="20"/>
        </w:rPr>
        <w:t>Based on these factual considerations, the State contends that the petition is inadmissible for failure to exhaust domestic jurisdiction. It holds that at the time the petition was filed, the criminal proceedings against Mr. Mangel León were still in progress, and therefore, the domestic remedies had not been exhausted prior to the filing of this claim</w:t>
      </w:r>
      <w:r w:rsidR="00F323C0" w:rsidRPr="005067A0">
        <w:rPr>
          <w:rFonts w:asciiTheme="majorHAnsi" w:hAnsiTheme="majorHAnsi"/>
          <w:sz w:val="20"/>
          <w:szCs w:val="20"/>
        </w:rPr>
        <w:t xml:space="preserve">. </w:t>
      </w:r>
    </w:p>
    <w:p w14:paraId="78639327" w14:textId="20319039" w:rsidR="00F323C0" w:rsidRPr="005067A0" w:rsidRDefault="00976F08" w:rsidP="00F32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76F08">
        <w:rPr>
          <w:rFonts w:asciiTheme="majorHAnsi" w:hAnsiTheme="majorHAnsi"/>
          <w:sz w:val="20"/>
          <w:szCs w:val="20"/>
        </w:rPr>
        <w:t>Likewise, it notes that the petitioner omitted to inform in his brief that the alleged victim also subsequently filed a review proceeding, based on Transitory III of Law No. 8837, against his conviction, which was dismissed by the Court of Cassation on July 29, 2011. In the State's view, this situation clearly demonstrates that, by the date the petition was filed, Mr. Mangel León had not duly exhausted domestic jurisdiction before lodging his petition, and it therefore requests the IACHR to reject this claim for failure to comply with the requirement set forth in Article 46.1.a) of the American Convention</w:t>
      </w:r>
      <w:r w:rsidR="00F323C0" w:rsidRPr="005067A0">
        <w:rPr>
          <w:rFonts w:asciiTheme="majorHAnsi" w:hAnsiTheme="majorHAnsi"/>
          <w:sz w:val="20"/>
          <w:szCs w:val="20"/>
        </w:rPr>
        <w:t>.</w:t>
      </w:r>
    </w:p>
    <w:p w14:paraId="1F114584" w14:textId="40A904D2" w:rsidR="00F323C0" w:rsidRPr="005067A0" w:rsidRDefault="00FD5EDB" w:rsidP="00F32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D5EDB">
        <w:rPr>
          <w:rFonts w:asciiTheme="majorHAnsi" w:hAnsiTheme="majorHAnsi"/>
          <w:bCs/>
          <w:sz w:val="20"/>
          <w:szCs w:val="20"/>
        </w:rPr>
        <w:t>Finally, Costa Rica argues that the alleged facts do not characterize a human rights violation attributable to it. On the contrary, it argues that the petitioner seeks to have the Commission act as a fourth judicial instance and review the findings of fact and law made by the domestic judges and courts that acted within the sphere of their competence</w:t>
      </w:r>
      <w:r w:rsidR="00F323C0" w:rsidRPr="005067A0">
        <w:rPr>
          <w:rFonts w:asciiTheme="majorHAnsi" w:hAnsiTheme="majorHAnsi"/>
          <w:bCs/>
          <w:sz w:val="20"/>
          <w:szCs w:val="20"/>
        </w:rPr>
        <w:t>.</w:t>
      </w:r>
    </w:p>
    <w:p w14:paraId="74A4A6A7" w14:textId="00213E66" w:rsidR="00F323C0" w:rsidRPr="005067A0" w:rsidRDefault="006A1041" w:rsidP="00F32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A1041">
        <w:rPr>
          <w:rFonts w:asciiTheme="majorHAnsi" w:hAnsiTheme="majorHAnsi"/>
          <w:sz w:val="20"/>
          <w:szCs w:val="20"/>
        </w:rPr>
        <w:t>It stresses that the Costa Rican legal system provides for a series of remedies, mainly judicial, in order to offer individuals the means to determine different types of rights. Along these lines, it specifies that such remedies comply with the rules of due process and guarantee fair access and allow for a balanced discussion in the proceedings, and thus respect the norms of the American Convention. Therefore, it considers that it is not the Commission's responsibility to analyze the present case, since it has not been proven that there is a domestic judgment that has been handed down without due process or that has apparently violated any other right guaranteed by the Convention</w:t>
      </w:r>
      <w:r w:rsidR="00F323C0" w:rsidRPr="005067A0">
        <w:rPr>
          <w:rFonts w:asciiTheme="majorHAnsi" w:hAnsiTheme="majorHAnsi"/>
          <w:sz w:val="20"/>
          <w:szCs w:val="20"/>
        </w:rPr>
        <w:t>.</w:t>
      </w:r>
    </w:p>
    <w:p w14:paraId="6953F7A4" w14:textId="471EEF97" w:rsidR="00F621C3" w:rsidRPr="005067A0" w:rsidRDefault="006A1041" w:rsidP="00F32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A1041">
        <w:rPr>
          <w:rFonts w:asciiTheme="majorHAnsi" w:hAnsiTheme="majorHAnsi"/>
          <w:sz w:val="20"/>
          <w:szCs w:val="20"/>
        </w:rPr>
        <w:t>The State contends that despite the fact that Mr. Mangel León filed an appeal when it was not provided for in domestic law, the Cassation Court conducted a comprehensive review of the conviction and analyzed in depth all of his arguments. In the State's opinion, this demonstrates that the appeal was not formalistic, since the court admitted it for analysis and studied each of the arguments presented, in order to issue a judgment in accordance with the principles of sound criticism.</w:t>
      </w:r>
    </w:p>
    <w:p w14:paraId="55505107" w14:textId="59888FA7" w:rsidR="00F621C3" w:rsidRPr="005067A0" w:rsidRDefault="00F621C3" w:rsidP="00F621C3">
      <w:pPr>
        <w:spacing w:before="240" w:after="240"/>
        <w:ind w:firstLine="720"/>
        <w:jc w:val="both"/>
        <w:rPr>
          <w:rFonts w:ascii="Cambria" w:hAnsi="Cambria"/>
          <w:sz w:val="20"/>
          <w:szCs w:val="20"/>
        </w:rPr>
      </w:pPr>
      <w:r w:rsidRPr="005067A0">
        <w:rPr>
          <w:rFonts w:asciiTheme="majorHAnsi" w:eastAsia="Cambria" w:hAnsiTheme="majorHAnsi" w:cs="Cambria"/>
          <w:b/>
          <w:bCs/>
          <w:color w:val="000000"/>
          <w:sz w:val="20"/>
          <w:szCs w:val="20"/>
          <w:u w:color="000000"/>
          <w:lang w:eastAsia="es-ES"/>
        </w:rPr>
        <w:t>VI.</w:t>
      </w:r>
      <w:r w:rsidRPr="005067A0">
        <w:rPr>
          <w:rFonts w:asciiTheme="majorHAnsi" w:eastAsia="Cambria" w:hAnsiTheme="majorHAnsi" w:cs="Cambria"/>
          <w:b/>
          <w:bCs/>
          <w:color w:val="000000"/>
          <w:sz w:val="20"/>
          <w:szCs w:val="20"/>
          <w:u w:color="000000"/>
          <w:lang w:eastAsia="es-ES"/>
        </w:rPr>
        <w:tab/>
      </w:r>
      <w:r w:rsidR="00F323C0" w:rsidRPr="005067A0">
        <w:rPr>
          <w:rFonts w:asciiTheme="majorHAnsi" w:eastAsia="Cambria" w:hAnsiTheme="majorHAnsi" w:cs="Cambria"/>
          <w:b/>
          <w:bCs/>
          <w:color w:val="000000"/>
          <w:sz w:val="20"/>
          <w:szCs w:val="20"/>
          <w:u w:color="000000"/>
          <w:lang w:eastAsia="es-ES"/>
        </w:rPr>
        <w:t>PREVIOUS CONSIDERATIONS</w:t>
      </w:r>
      <w:r w:rsidRPr="005067A0">
        <w:rPr>
          <w:rFonts w:asciiTheme="majorHAnsi" w:eastAsia="Cambria" w:hAnsiTheme="majorHAnsi" w:cs="Cambria"/>
          <w:b/>
          <w:bCs/>
          <w:color w:val="000000"/>
          <w:sz w:val="20"/>
          <w:szCs w:val="20"/>
          <w:u w:color="000000"/>
          <w:lang w:eastAsia="es-ES"/>
        </w:rPr>
        <w:t xml:space="preserve"> </w:t>
      </w:r>
    </w:p>
    <w:p w14:paraId="530D7B56" w14:textId="1F23AE58" w:rsidR="00F323C0" w:rsidRPr="005067A0" w:rsidRDefault="006A1041" w:rsidP="00F32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rPr>
      </w:pPr>
      <w:r w:rsidRPr="006A1041">
        <w:rPr>
          <w:rFonts w:asciiTheme="majorHAnsi" w:hAnsiTheme="majorHAnsi"/>
          <w:bCs/>
          <w:sz w:val="20"/>
          <w:szCs w:val="20"/>
        </w:rPr>
        <w:t>The Commission notes that part of the main purpose of this petition is to question the violation of the right to appeal a judgment, as provided for in Article 8.2.h) of the American Convention. Therefore, since several decisions have been issued within the inter-American system on this matter, in light of the amendments implemented in Costa Rican criminal procedure legislation, the IACHR deems it necessary to review these rulings in order to identify standards that will allow it to adequately resolve the present petition</w:t>
      </w:r>
      <w:r w:rsidR="00F323C0" w:rsidRPr="005067A0">
        <w:rPr>
          <w:rFonts w:asciiTheme="majorHAnsi" w:hAnsiTheme="majorHAnsi"/>
          <w:bCs/>
          <w:sz w:val="20"/>
          <w:szCs w:val="20"/>
        </w:rPr>
        <w:t xml:space="preserve">. </w:t>
      </w:r>
    </w:p>
    <w:p w14:paraId="47417107" w14:textId="6E843840" w:rsidR="00F323C0" w:rsidRPr="005067A0" w:rsidRDefault="006A1041" w:rsidP="00F32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76C32">
        <w:rPr>
          <w:rFonts w:asciiTheme="majorHAnsi" w:hAnsiTheme="majorHAnsi"/>
          <w:bCs/>
          <w:sz w:val="20"/>
          <w:szCs w:val="20"/>
        </w:rPr>
        <w:t xml:space="preserve">Thus, in the judgment in the case of </w:t>
      </w:r>
      <w:r w:rsidRPr="00776C32">
        <w:rPr>
          <w:rFonts w:asciiTheme="majorHAnsi" w:hAnsiTheme="majorHAnsi"/>
          <w:bCs/>
          <w:i/>
          <w:iCs/>
          <w:sz w:val="20"/>
          <w:szCs w:val="20"/>
        </w:rPr>
        <w:t>Herrera Ulloa vs. Costa Rica</w:t>
      </w:r>
      <w:r w:rsidRPr="00776C32">
        <w:rPr>
          <w:rFonts w:asciiTheme="majorHAnsi" w:hAnsiTheme="majorHAnsi"/>
          <w:bCs/>
          <w:sz w:val="20"/>
          <w:szCs w:val="20"/>
        </w:rPr>
        <w:t xml:space="preserve"> of July 2, 2004, the Inter-American Court of Human Rights</w:t>
      </w:r>
      <w:r w:rsidRPr="005067A0">
        <w:rPr>
          <w:rStyle w:val="FootnoteReference"/>
          <w:rFonts w:asciiTheme="majorHAnsi" w:hAnsiTheme="majorHAnsi"/>
          <w:bCs/>
          <w:sz w:val="20"/>
          <w:szCs w:val="20"/>
        </w:rPr>
        <w:t xml:space="preserve"> </w:t>
      </w:r>
      <w:r w:rsidR="00F323C0" w:rsidRPr="005067A0">
        <w:rPr>
          <w:rStyle w:val="FootnoteReference"/>
          <w:rFonts w:asciiTheme="majorHAnsi" w:hAnsiTheme="majorHAnsi"/>
          <w:bCs/>
          <w:sz w:val="20"/>
          <w:szCs w:val="20"/>
        </w:rPr>
        <w:footnoteReference w:id="4"/>
      </w:r>
      <w:r w:rsidR="00F323C0" w:rsidRPr="005067A0">
        <w:rPr>
          <w:rFonts w:asciiTheme="majorHAnsi" w:hAnsiTheme="majorHAnsi"/>
          <w:bCs/>
          <w:sz w:val="20"/>
          <w:szCs w:val="20"/>
        </w:rPr>
        <w:t xml:space="preserve"> </w:t>
      </w:r>
      <w:r w:rsidRPr="00776C32">
        <w:rPr>
          <w:rFonts w:asciiTheme="majorHAnsi" w:hAnsiTheme="majorHAnsi"/>
          <w:bCs/>
          <w:sz w:val="20"/>
          <w:szCs w:val="20"/>
        </w:rPr>
        <w:t xml:space="preserve">examined the regulation established in the Criminal Procedural Code in force since 1998; and concluded that it did not have </w:t>
      </w:r>
      <w:r w:rsidRPr="00CB7643">
        <w:rPr>
          <w:rFonts w:asciiTheme="majorHAnsi" w:hAnsiTheme="majorHAnsi"/>
          <w:bCs/>
          <w:sz w:val="20"/>
          <w:szCs w:val="20"/>
        </w:rPr>
        <w:t>“</w:t>
      </w:r>
      <w:r w:rsidRPr="00776C32">
        <w:rPr>
          <w:rFonts w:asciiTheme="majorHAnsi" w:hAnsiTheme="majorHAnsi"/>
          <w:bCs/>
          <w:i/>
          <w:iCs/>
          <w:sz w:val="20"/>
          <w:szCs w:val="20"/>
        </w:rPr>
        <w:t>a remedy that would allow the higher court to conduct a comprehensive and integral analysis or review of all the issues debated and analyzed by the lower court</w:t>
      </w:r>
      <w:r w:rsidRPr="00CB7643">
        <w:rPr>
          <w:rFonts w:asciiTheme="majorHAnsi" w:hAnsiTheme="majorHAnsi"/>
          <w:sz w:val="20"/>
          <w:szCs w:val="20"/>
        </w:rPr>
        <w:t xml:space="preserve">”, </w:t>
      </w:r>
      <w:r w:rsidRPr="00776C32">
        <w:rPr>
          <w:rFonts w:asciiTheme="majorHAnsi" w:hAnsiTheme="majorHAnsi"/>
          <w:sz w:val="20"/>
          <w:szCs w:val="20"/>
        </w:rPr>
        <w:t xml:space="preserve">given </w:t>
      </w:r>
      <w:r w:rsidRPr="00776C32">
        <w:rPr>
          <w:rFonts w:asciiTheme="majorHAnsi" w:hAnsiTheme="majorHAnsi"/>
          <w:sz w:val="20"/>
          <w:szCs w:val="20"/>
        </w:rPr>
        <w:lastRenderedPageBreak/>
        <w:t>the limitations of the regulation of cassation appeals in the criminal law field</w:t>
      </w:r>
      <w:r w:rsidR="00F323C0" w:rsidRPr="005067A0">
        <w:rPr>
          <w:rStyle w:val="FootnoteReference"/>
          <w:rFonts w:asciiTheme="majorHAnsi" w:hAnsiTheme="majorHAnsi"/>
          <w:sz w:val="20"/>
          <w:szCs w:val="20"/>
        </w:rPr>
        <w:footnoteReference w:id="5"/>
      </w:r>
      <w:r w:rsidR="00F323C0" w:rsidRPr="005067A0">
        <w:rPr>
          <w:rFonts w:asciiTheme="majorHAnsi" w:hAnsiTheme="majorHAnsi"/>
          <w:sz w:val="20"/>
          <w:szCs w:val="20"/>
        </w:rPr>
        <w:t xml:space="preserve">. </w:t>
      </w:r>
      <w:r w:rsidRPr="00776C32">
        <w:rPr>
          <w:rFonts w:asciiTheme="majorHAnsi" w:hAnsiTheme="majorHAnsi"/>
          <w:sz w:val="20"/>
          <w:szCs w:val="20"/>
        </w:rPr>
        <w:t xml:space="preserve">Consequently, the IACHR declared that the Costa Rican State violated Article 8.2.h) of the Convention in relation to its </w:t>
      </w:r>
      <w:r w:rsidR="0063114E" w:rsidRPr="00776C32">
        <w:rPr>
          <w:rFonts w:asciiTheme="majorHAnsi" w:hAnsiTheme="majorHAnsi"/>
          <w:sz w:val="20"/>
          <w:szCs w:val="20"/>
        </w:rPr>
        <w:t>articles</w:t>
      </w:r>
      <w:r w:rsidRPr="00776C32">
        <w:rPr>
          <w:rFonts w:asciiTheme="majorHAnsi" w:hAnsiTheme="majorHAnsi"/>
          <w:sz w:val="20"/>
          <w:szCs w:val="20"/>
        </w:rPr>
        <w:t xml:space="preserve"> 1.1 and 2 to the detriment of Mr. Mauricio Herrera Ulloa, by failing to guarantee his right to appeal the judgment; and ordered Costa Rica to</w:t>
      </w:r>
      <w:r w:rsidRPr="00CB7643">
        <w:rPr>
          <w:rFonts w:asciiTheme="majorHAnsi" w:hAnsiTheme="majorHAnsi"/>
          <w:sz w:val="20"/>
          <w:szCs w:val="20"/>
        </w:rPr>
        <w:t xml:space="preserve"> “</w:t>
      </w:r>
      <w:r w:rsidRPr="00776C32">
        <w:rPr>
          <w:rFonts w:asciiTheme="majorHAnsi" w:hAnsiTheme="majorHAnsi"/>
          <w:i/>
          <w:iCs/>
          <w:sz w:val="20"/>
          <w:szCs w:val="20"/>
        </w:rPr>
        <w:t>adapt its domestic legal system to the provisions of Article 8.2.h of the American Convention, in relation to Article 2 thereof</w:t>
      </w:r>
      <w:r w:rsidRPr="00CB7643">
        <w:rPr>
          <w:rFonts w:asciiTheme="majorHAnsi" w:hAnsiTheme="majorHAnsi"/>
          <w:sz w:val="20"/>
          <w:szCs w:val="20"/>
        </w:rPr>
        <w:t>”</w:t>
      </w:r>
      <w:r w:rsidR="00D004A9">
        <w:rPr>
          <w:rFonts w:asciiTheme="majorHAnsi" w:hAnsiTheme="majorHAnsi"/>
          <w:sz w:val="20"/>
          <w:szCs w:val="20"/>
        </w:rPr>
        <w:t>.</w:t>
      </w:r>
      <w:r w:rsidR="00F323C0" w:rsidRPr="005067A0">
        <w:rPr>
          <w:rStyle w:val="FootnoteReference"/>
          <w:rFonts w:asciiTheme="majorHAnsi" w:hAnsiTheme="majorHAnsi"/>
          <w:sz w:val="20"/>
          <w:szCs w:val="20"/>
        </w:rPr>
        <w:footnoteReference w:id="6"/>
      </w:r>
    </w:p>
    <w:p w14:paraId="3499EAC4" w14:textId="3C0949D0" w:rsidR="00F323C0" w:rsidRPr="005067A0" w:rsidRDefault="001C228B" w:rsidP="00F32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76C32">
        <w:rPr>
          <w:rFonts w:asciiTheme="majorHAnsi" w:hAnsiTheme="majorHAnsi"/>
          <w:bCs/>
          <w:sz w:val="20"/>
          <w:szCs w:val="20"/>
        </w:rPr>
        <w:t>Because of</w:t>
      </w:r>
      <w:r w:rsidR="006A1041" w:rsidRPr="00776C32">
        <w:rPr>
          <w:rFonts w:asciiTheme="majorHAnsi" w:hAnsiTheme="majorHAnsi"/>
          <w:bCs/>
          <w:sz w:val="20"/>
          <w:szCs w:val="20"/>
        </w:rPr>
        <w:t xml:space="preserve"> this judgment, Costa Rica reformed the regulation of its criminal procedur</w:t>
      </w:r>
      <w:r w:rsidR="006A1041">
        <w:rPr>
          <w:rFonts w:asciiTheme="majorHAnsi" w:hAnsiTheme="majorHAnsi"/>
          <w:bCs/>
          <w:sz w:val="20"/>
          <w:szCs w:val="20"/>
        </w:rPr>
        <w:t>al</w:t>
      </w:r>
      <w:r w:rsidR="006A1041" w:rsidRPr="00776C32">
        <w:rPr>
          <w:rFonts w:asciiTheme="majorHAnsi" w:hAnsiTheme="majorHAnsi"/>
          <w:bCs/>
          <w:sz w:val="20"/>
          <w:szCs w:val="20"/>
        </w:rPr>
        <w:t xml:space="preserve"> system in order to have a regulation in accordance with the obligations contemplated in Article 8.2.h) of the American Convention. Thus, on June 6, 2006, Law No. 8503, known as the "Law on the Opening of Criminal Cassation" entered into force, which amended and added various articles of the Criminal Procedur</w:t>
      </w:r>
      <w:r w:rsidR="006A1041">
        <w:rPr>
          <w:rFonts w:asciiTheme="majorHAnsi" w:hAnsiTheme="majorHAnsi"/>
          <w:bCs/>
          <w:sz w:val="20"/>
          <w:szCs w:val="20"/>
        </w:rPr>
        <w:t>al Cod</w:t>
      </w:r>
      <w:r w:rsidR="006A1041" w:rsidRPr="00776C32">
        <w:rPr>
          <w:rFonts w:asciiTheme="majorHAnsi" w:hAnsiTheme="majorHAnsi"/>
          <w:bCs/>
          <w:sz w:val="20"/>
          <w:szCs w:val="20"/>
        </w:rPr>
        <w:t xml:space="preserve">e with regard to appeals for cassation and review. Likewise, and relevant to the present case, such law established in its Transitory I, a special review procedure </w:t>
      </w:r>
      <w:r w:rsidR="006A1041">
        <w:rPr>
          <w:rFonts w:asciiTheme="majorHAnsi" w:hAnsiTheme="majorHAnsi"/>
          <w:bCs/>
          <w:sz w:val="20"/>
          <w:szCs w:val="20"/>
        </w:rPr>
        <w:t>for</w:t>
      </w:r>
      <w:r w:rsidR="006A1041" w:rsidRPr="00776C32">
        <w:rPr>
          <w:rFonts w:asciiTheme="majorHAnsi" w:hAnsiTheme="majorHAnsi"/>
          <w:bCs/>
          <w:sz w:val="20"/>
          <w:szCs w:val="20"/>
        </w:rPr>
        <w:t xml:space="preserve"> </w:t>
      </w:r>
      <w:r w:rsidR="006A1041" w:rsidRPr="00CB7643">
        <w:rPr>
          <w:rFonts w:ascii="Cambria" w:hAnsi="Cambria"/>
          <w:sz w:val="20"/>
          <w:szCs w:val="20"/>
        </w:rPr>
        <w:t>“</w:t>
      </w:r>
      <w:r w:rsidR="006A1041" w:rsidRPr="00776C32">
        <w:rPr>
          <w:rFonts w:ascii="Cambria" w:hAnsi="Cambria"/>
          <w:i/>
          <w:iCs/>
          <w:sz w:val="20"/>
          <w:szCs w:val="20"/>
        </w:rPr>
        <w:t>persons convicted of a criminal act prior to this Law, who have been prevented from filing a cassation remedy against the sentence, due to the rules that governed its admissibility at that date [...] invoking, in each case, the grievance and the factual and legal aspects that could not be heard in cassation</w:t>
      </w:r>
      <w:r w:rsidR="006A1041" w:rsidRPr="00CB7643">
        <w:rPr>
          <w:rFonts w:ascii="Cambria" w:hAnsi="Cambria"/>
          <w:sz w:val="20"/>
          <w:szCs w:val="20"/>
        </w:rPr>
        <w:t xml:space="preserve">”. </w:t>
      </w:r>
      <w:r w:rsidR="006A1041" w:rsidRPr="00776C32">
        <w:rPr>
          <w:rFonts w:ascii="Cambria" w:hAnsi="Cambria"/>
          <w:sz w:val="20"/>
          <w:szCs w:val="20"/>
        </w:rPr>
        <w:t xml:space="preserve">By virtue of this, the Inter-American Court considered that </w:t>
      </w:r>
      <w:r w:rsidR="006A1041" w:rsidRPr="00CB7643">
        <w:rPr>
          <w:rFonts w:ascii="Cambria" w:hAnsi="Cambria"/>
          <w:sz w:val="20"/>
          <w:szCs w:val="20"/>
        </w:rPr>
        <w:t>“</w:t>
      </w:r>
      <w:r w:rsidR="006A1041" w:rsidRPr="00776C32">
        <w:rPr>
          <w:rFonts w:ascii="Cambria" w:hAnsi="Cambria"/>
          <w:i/>
          <w:iCs/>
          <w:sz w:val="20"/>
          <w:szCs w:val="20"/>
        </w:rPr>
        <w:t>by means of the ground for review created by Transitory I, a person convicted of a criminal offense could, in principle, obtain a comprehensive review of his or her sentence, including both factual and legal matters</w:t>
      </w:r>
      <w:r w:rsidR="006A1041" w:rsidRPr="00CB7643">
        <w:rPr>
          <w:rFonts w:ascii="Cambria" w:hAnsi="Cambria"/>
          <w:sz w:val="20"/>
          <w:szCs w:val="20"/>
        </w:rPr>
        <w:t>”</w:t>
      </w:r>
      <w:r w:rsidR="00D004A9">
        <w:rPr>
          <w:rFonts w:ascii="Cambria" w:hAnsi="Cambria"/>
          <w:sz w:val="20"/>
          <w:szCs w:val="20"/>
        </w:rPr>
        <w:t>.</w:t>
      </w:r>
      <w:r w:rsidR="00F323C0" w:rsidRPr="005067A0">
        <w:rPr>
          <w:rStyle w:val="FootnoteReference"/>
          <w:rFonts w:asciiTheme="majorHAnsi" w:hAnsiTheme="majorHAnsi"/>
          <w:sz w:val="20"/>
          <w:szCs w:val="20"/>
        </w:rPr>
        <w:footnoteReference w:id="7"/>
      </w:r>
    </w:p>
    <w:p w14:paraId="0FD03726" w14:textId="64E4EFAC" w:rsidR="00F323C0" w:rsidRPr="005067A0" w:rsidRDefault="00974438" w:rsidP="00F32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E3FA6">
        <w:rPr>
          <w:rFonts w:asciiTheme="majorHAnsi" w:hAnsiTheme="majorHAnsi"/>
          <w:bCs/>
          <w:sz w:val="20"/>
          <w:szCs w:val="20"/>
        </w:rPr>
        <w:t>In addition, both the Commission and the IACHR Court also noted that on June 9, 2010, Law No. 8837 was published, called "Creation of the appeal of the sentence, other reforms to the challenge regime and implementation of new rules of orality in criminal proceedings," in force as of December 9, 2011, which created and regulated the appeal. In addition, Transitory III of said law regulated two additional assumptions: i) for persons whose sentences were final at the time the law came into force, it was established that they may file, for one time only, a review procedure within the first six months; and ii) for persons whose cassation appeals were pending resolution at the time the law came into force, it was established that they may request the conversion of the cassation appeal already filed to an appeal under the new law</w:t>
      </w:r>
      <w:r w:rsidR="00F323C0" w:rsidRPr="005067A0">
        <w:rPr>
          <w:rFonts w:asciiTheme="majorHAnsi" w:hAnsiTheme="majorHAnsi"/>
          <w:sz w:val="20"/>
          <w:szCs w:val="20"/>
        </w:rPr>
        <w:t>.</w:t>
      </w:r>
    </w:p>
    <w:p w14:paraId="41E06D65" w14:textId="285E80B5" w:rsidR="00F323C0" w:rsidRPr="005067A0" w:rsidRDefault="00974438" w:rsidP="00F32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E3FA6">
        <w:rPr>
          <w:rFonts w:ascii="Cambria" w:hAnsi="Cambria"/>
          <w:sz w:val="20"/>
          <w:szCs w:val="20"/>
        </w:rPr>
        <w:t xml:space="preserve">As a consequence of the aforementioned modifications, in the judgment of the case of </w:t>
      </w:r>
      <w:r w:rsidRPr="009E3FA6">
        <w:rPr>
          <w:rFonts w:ascii="Cambria" w:hAnsi="Cambria"/>
          <w:i/>
          <w:iCs/>
          <w:sz w:val="20"/>
          <w:szCs w:val="20"/>
        </w:rPr>
        <w:t>Amrhein and others vs. Costa Rica</w:t>
      </w:r>
      <w:r w:rsidRPr="009E3FA6">
        <w:rPr>
          <w:rFonts w:ascii="Cambria" w:hAnsi="Cambria"/>
          <w:sz w:val="20"/>
          <w:szCs w:val="20"/>
        </w:rPr>
        <w:t xml:space="preserve"> of April 25, 2018, the Inter-American Court re-evaluated the Costa Rican criminal procedural regulation; and expanded its legal criteria both with respect to the exhaustion of domestic jurisdiction, as well as the analysis of the merits of cases on the same subject matter</w:t>
      </w:r>
      <w:r w:rsidR="00F323C0" w:rsidRPr="005067A0">
        <w:rPr>
          <w:rFonts w:asciiTheme="majorHAnsi" w:hAnsiTheme="majorHAnsi"/>
          <w:sz w:val="20"/>
          <w:szCs w:val="20"/>
        </w:rPr>
        <w:t xml:space="preserve">. </w:t>
      </w:r>
    </w:p>
    <w:p w14:paraId="59D18532" w14:textId="6F177711" w:rsidR="00F323C0" w:rsidRPr="005067A0" w:rsidRDefault="00974438" w:rsidP="00F32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E3FA6">
        <w:rPr>
          <w:rFonts w:ascii="Cambria" w:hAnsi="Cambria"/>
          <w:sz w:val="20"/>
          <w:szCs w:val="20"/>
        </w:rPr>
        <w:t>With regard to the first point, the Commission highlights that, in the aforementioned case, the IACHR Court considered that the alleged victims should have filed the special review appeal based on Transitory I of Law 8503 of 2006 during the admissibility process of the petition, since it was specifically intended for persons with final convictions; and therefore</w:t>
      </w:r>
      <w:r>
        <w:rPr>
          <w:rFonts w:ascii="Cambria" w:hAnsi="Cambria"/>
          <w:sz w:val="20"/>
          <w:szCs w:val="20"/>
        </w:rPr>
        <w:t xml:space="preserve">, </w:t>
      </w:r>
      <w:r w:rsidRPr="00CB7643">
        <w:rPr>
          <w:rFonts w:ascii="Cambria" w:hAnsi="Cambria"/>
          <w:sz w:val="20"/>
          <w:szCs w:val="20"/>
        </w:rPr>
        <w:t>“</w:t>
      </w:r>
      <w:r w:rsidRPr="009E3FA6">
        <w:rPr>
          <w:rFonts w:ascii="Cambria" w:hAnsi="Cambria"/>
          <w:i/>
          <w:iCs/>
          <w:sz w:val="20"/>
          <w:szCs w:val="20"/>
        </w:rPr>
        <w:t>the fact that it would be an extraordinary remedy cannot be decisive, per se, to conclude its ineffectiveness</w:t>
      </w:r>
      <w:r w:rsidRPr="00CB7643">
        <w:rPr>
          <w:rFonts w:ascii="Cambria" w:hAnsi="Cambria"/>
          <w:i/>
          <w:iCs/>
          <w:sz w:val="20"/>
          <w:szCs w:val="20"/>
        </w:rPr>
        <w:t>”</w:t>
      </w:r>
      <w:r w:rsidR="00F323C0" w:rsidRPr="005067A0">
        <w:rPr>
          <w:rStyle w:val="FootnoteReference"/>
          <w:rFonts w:asciiTheme="majorHAnsi" w:hAnsiTheme="majorHAnsi"/>
          <w:i/>
          <w:iCs/>
          <w:sz w:val="20"/>
          <w:szCs w:val="20"/>
        </w:rPr>
        <w:footnoteReference w:id="8"/>
      </w:r>
      <w:r w:rsidR="00F323C0" w:rsidRPr="005067A0">
        <w:rPr>
          <w:rFonts w:asciiTheme="majorHAnsi" w:hAnsiTheme="majorHAnsi"/>
          <w:i/>
          <w:iCs/>
          <w:sz w:val="20"/>
          <w:szCs w:val="20"/>
        </w:rPr>
        <w:t xml:space="preserve">. </w:t>
      </w:r>
      <w:r w:rsidRPr="009E3FA6">
        <w:rPr>
          <w:rFonts w:ascii="Cambria" w:hAnsi="Cambria"/>
          <w:sz w:val="20"/>
          <w:szCs w:val="20"/>
        </w:rPr>
        <w:t>Consequent</w:t>
      </w:r>
      <w:r>
        <w:rPr>
          <w:rFonts w:ascii="Cambria" w:hAnsi="Cambria"/>
          <w:sz w:val="20"/>
          <w:szCs w:val="20"/>
        </w:rPr>
        <w:t>l</w:t>
      </w:r>
      <w:r w:rsidRPr="009E3FA6">
        <w:rPr>
          <w:rFonts w:ascii="Cambria" w:hAnsi="Cambria"/>
          <w:sz w:val="20"/>
          <w:szCs w:val="20"/>
        </w:rPr>
        <w:t xml:space="preserve">y, following the aforementioned jurisprudence, the Commission considers that, in order to determine the admissibility of a case on this issue, it must determine whether or not the aforementioned remedy was available to the alleged victims after the issuance of their conviction, and if so, whether or not they exhausted </w:t>
      </w:r>
      <w:r>
        <w:rPr>
          <w:rFonts w:ascii="Cambria" w:hAnsi="Cambria"/>
          <w:sz w:val="20"/>
          <w:szCs w:val="20"/>
        </w:rPr>
        <w:t>said</w:t>
      </w:r>
      <w:r w:rsidRPr="009E3FA6">
        <w:rPr>
          <w:rFonts w:ascii="Cambria" w:hAnsi="Cambria"/>
          <w:sz w:val="20"/>
          <w:szCs w:val="20"/>
        </w:rPr>
        <w:t xml:space="preserve"> remedy</w:t>
      </w:r>
      <w:r w:rsidR="00F323C0" w:rsidRPr="005067A0">
        <w:rPr>
          <w:rFonts w:asciiTheme="majorHAnsi" w:hAnsiTheme="majorHAnsi"/>
          <w:sz w:val="20"/>
          <w:szCs w:val="20"/>
        </w:rPr>
        <w:t xml:space="preserve">. </w:t>
      </w:r>
    </w:p>
    <w:p w14:paraId="55EFB045" w14:textId="53959AAA" w:rsidR="00F323C0" w:rsidRPr="005067A0" w:rsidRDefault="00974438" w:rsidP="00F32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81EA9">
        <w:rPr>
          <w:rFonts w:ascii="Cambria" w:hAnsi="Cambria"/>
          <w:sz w:val="20"/>
          <w:szCs w:val="20"/>
        </w:rPr>
        <w:t>Finally, for purposes of the analysis of the characterization of the petitions, the Commission notes that the Inter-American Court concluded in the aforementioned judgment that it was not appropriate to</w:t>
      </w:r>
      <w:r w:rsidRPr="00CB7643">
        <w:rPr>
          <w:rFonts w:ascii="Cambria" w:hAnsi="Cambria"/>
          <w:sz w:val="20"/>
          <w:szCs w:val="20"/>
        </w:rPr>
        <w:t xml:space="preserve"> “</w:t>
      </w:r>
      <w:r w:rsidRPr="00C81EA9">
        <w:rPr>
          <w:rFonts w:ascii="Cambria" w:hAnsi="Cambria"/>
          <w:i/>
          <w:iCs/>
          <w:sz w:val="20"/>
          <w:szCs w:val="20"/>
        </w:rPr>
        <w:t xml:space="preserve">declare a violation of Article 2 of the American Convention for the way in which the Costa Rican recourse system is regulated, nor for the way in which the State addressed the situation of persons whose sentences were already final prior to the entry into force of Laws 8503 and 8837, since, by means of said reforms, it remedied the </w:t>
      </w:r>
      <w:r w:rsidRPr="00C81EA9">
        <w:rPr>
          <w:rFonts w:ascii="Cambria" w:hAnsi="Cambria"/>
          <w:i/>
          <w:iCs/>
          <w:sz w:val="20"/>
          <w:szCs w:val="20"/>
        </w:rPr>
        <w:lastRenderedPageBreak/>
        <w:t>deficiencies in the application of the recourse norms</w:t>
      </w:r>
      <w:r w:rsidRPr="00CB7643">
        <w:rPr>
          <w:rFonts w:ascii="Cambria" w:hAnsi="Cambria"/>
          <w:sz w:val="20"/>
          <w:szCs w:val="20"/>
        </w:rPr>
        <w:t>[…]”</w:t>
      </w:r>
      <w:r w:rsidR="00F323C0" w:rsidRPr="005067A0">
        <w:rPr>
          <w:rStyle w:val="FootnoteReference"/>
          <w:rFonts w:asciiTheme="majorHAnsi" w:hAnsiTheme="majorHAnsi"/>
          <w:sz w:val="20"/>
          <w:szCs w:val="20"/>
        </w:rPr>
        <w:footnoteReference w:id="9"/>
      </w:r>
      <w:r w:rsidR="00F323C0" w:rsidRPr="005067A0">
        <w:rPr>
          <w:rFonts w:asciiTheme="majorHAnsi" w:hAnsiTheme="majorHAnsi"/>
          <w:sz w:val="20"/>
          <w:szCs w:val="20"/>
        </w:rPr>
        <w:t xml:space="preserve">. </w:t>
      </w:r>
      <w:r w:rsidRPr="00C81EA9">
        <w:rPr>
          <w:rFonts w:ascii="Cambria" w:hAnsi="Cambria"/>
          <w:sz w:val="20"/>
          <w:szCs w:val="20"/>
        </w:rPr>
        <w:t xml:space="preserve">Likewise, it recalls that in the compliance monitoring resolution of November 22, 2010 in the case of </w:t>
      </w:r>
      <w:r w:rsidRPr="00C81EA9">
        <w:rPr>
          <w:rFonts w:ascii="Cambria" w:hAnsi="Cambria"/>
          <w:i/>
          <w:iCs/>
          <w:sz w:val="20"/>
          <w:szCs w:val="20"/>
        </w:rPr>
        <w:t>Herrera Ulloa vs. Costa Rica</w:t>
      </w:r>
      <w:r w:rsidRPr="00C81EA9">
        <w:rPr>
          <w:rFonts w:ascii="Cambria" w:hAnsi="Cambria"/>
          <w:sz w:val="20"/>
          <w:szCs w:val="20"/>
        </w:rPr>
        <w:t xml:space="preserve">, the Court positively assessed the reforms introduced in the criminal procedural legislation and, by virtue of such modifications, concluded that </w:t>
      </w:r>
      <w:r w:rsidRPr="00CB7643">
        <w:rPr>
          <w:rFonts w:ascii="Cambria" w:hAnsi="Cambria"/>
          <w:sz w:val="20"/>
          <w:szCs w:val="20"/>
        </w:rPr>
        <w:t>“</w:t>
      </w:r>
      <w:r w:rsidRPr="00C81EA9">
        <w:rPr>
          <w:rFonts w:ascii="Cambria" w:hAnsi="Cambria"/>
          <w:i/>
          <w:iCs/>
          <w:sz w:val="20"/>
          <w:szCs w:val="20"/>
        </w:rPr>
        <w:t>by guaranteeing the possibility of a broad review of the sentence issued by a criminal trial court at the domestic level</w:t>
      </w:r>
      <w:r w:rsidRPr="00CB7643">
        <w:rPr>
          <w:rFonts w:ascii="Cambria" w:hAnsi="Cambria"/>
          <w:sz w:val="20"/>
          <w:szCs w:val="20"/>
        </w:rPr>
        <w:t>”</w:t>
      </w:r>
      <w:r w:rsidR="00F323C0" w:rsidRPr="005067A0">
        <w:rPr>
          <w:rStyle w:val="FootnoteReference"/>
          <w:rFonts w:asciiTheme="majorHAnsi" w:hAnsiTheme="majorHAnsi"/>
          <w:sz w:val="20"/>
          <w:szCs w:val="20"/>
        </w:rPr>
        <w:footnoteReference w:id="10"/>
      </w:r>
      <w:r w:rsidR="00F323C0" w:rsidRPr="005067A0">
        <w:rPr>
          <w:rFonts w:asciiTheme="majorHAnsi" w:hAnsiTheme="majorHAnsi"/>
          <w:sz w:val="20"/>
          <w:szCs w:val="20"/>
        </w:rPr>
        <w:t xml:space="preserve">, </w:t>
      </w:r>
      <w:r w:rsidRPr="00CB7643">
        <w:rPr>
          <w:rFonts w:ascii="Cambria" w:hAnsi="Cambria"/>
          <w:sz w:val="20"/>
          <w:szCs w:val="20"/>
        </w:rPr>
        <w:t xml:space="preserve">Costa Rica </w:t>
      </w:r>
      <w:r w:rsidRPr="00C81EA9">
        <w:rPr>
          <w:rFonts w:ascii="Cambria" w:hAnsi="Cambria"/>
          <w:sz w:val="20"/>
          <w:szCs w:val="20"/>
        </w:rPr>
        <w:t>had complied with adapting its domestic legislation</w:t>
      </w:r>
      <w:r w:rsidR="00F323C0" w:rsidRPr="005067A0">
        <w:rPr>
          <w:rFonts w:asciiTheme="majorHAnsi" w:hAnsiTheme="majorHAnsi"/>
          <w:sz w:val="20"/>
          <w:szCs w:val="20"/>
        </w:rPr>
        <w:t xml:space="preserve">. </w:t>
      </w:r>
    </w:p>
    <w:p w14:paraId="674A307D" w14:textId="58943DA3" w:rsidR="00F323C0" w:rsidRPr="005067A0" w:rsidRDefault="00974438" w:rsidP="00F32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30C62">
        <w:rPr>
          <w:rFonts w:ascii="Cambria" w:hAnsi="Cambria"/>
          <w:sz w:val="20"/>
          <w:szCs w:val="20"/>
        </w:rPr>
        <w:t xml:space="preserve">Without prejudice to the foregoing, the Commission stresses that the aforementioned laws recognized the possibility for those whose convictions had already become </w:t>
      </w:r>
      <w:r w:rsidRPr="004A49B7">
        <w:rPr>
          <w:rFonts w:ascii="Cambria" w:hAnsi="Cambria"/>
          <w:i/>
          <w:iCs/>
          <w:sz w:val="20"/>
          <w:szCs w:val="20"/>
        </w:rPr>
        <w:t>res judicata</w:t>
      </w:r>
      <w:r w:rsidRPr="00030C62">
        <w:rPr>
          <w:rFonts w:ascii="Cambria" w:hAnsi="Cambria"/>
          <w:sz w:val="20"/>
          <w:szCs w:val="20"/>
        </w:rPr>
        <w:t xml:space="preserve"> to file a review proceeding, although subject to </w:t>
      </w:r>
      <w:r>
        <w:rPr>
          <w:rFonts w:ascii="Cambria" w:hAnsi="Cambria"/>
          <w:sz w:val="20"/>
          <w:szCs w:val="20"/>
        </w:rPr>
        <w:t>compliance</w:t>
      </w:r>
      <w:r w:rsidRPr="00030C62">
        <w:rPr>
          <w:rFonts w:ascii="Cambria" w:hAnsi="Cambria"/>
          <w:sz w:val="20"/>
          <w:szCs w:val="20"/>
        </w:rPr>
        <w:t xml:space="preserve"> of certain requirements. In the case of Law 8503, the Commission points out that the appellant was required to invoke in its filing </w:t>
      </w:r>
      <w:r w:rsidRPr="00CB7643">
        <w:rPr>
          <w:rFonts w:ascii="Cambria" w:hAnsi="Cambria" w:cs="Calibri"/>
          <w:sz w:val="20"/>
          <w:szCs w:val="20"/>
        </w:rPr>
        <w:t>“</w:t>
      </w:r>
      <w:r w:rsidRPr="00030C62">
        <w:rPr>
          <w:rFonts w:ascii="Cambria" w:hAnsi="Cambria" w:cs="Calibri"/>
          <w:i/>
          <w:iCs/>
          <w:sz w:val="20"/>
          <w:szCs w:val="20"/>
        </w:rPr>
        <w:t>the grievance and the factual and legal aspects that could not be heard in cassation</w:t>
      </w:r>
      <w:r w:rsidRPr="00CB7643">
        <w:rPr>
          <w:rFonts w:ascii="Cambria" w:hAnsi="Cambria" w:cs="Calibri"/>
          <w:sz w:val="20"/>
          <w:szCs w:val="20"/>
        </w:rPr>
        <w:t xml:space="preserve">”. </w:t>
      </w:r>
      <w:r w:rsidRPr="00030C62">
        <w:rPr>
          <w:rFonts w:ascii="Cambria" w:hAnsi="Cambria" w:cs="Calibri"/>
          <w:sz w:val="20"/>
          <w:szCs w:val="20"/>
        </w:rPr>
        <w:t xml:space="preserve">In turn, Transitory III of Law 8837 required that for the review procedure to proceed, the convicted person </w:t>
      </w:r>
      <w:r w:rsidRPr="00CB7643">
        <w:rPr>
          <w:rFonts w:ascii="Cambria" w:hAnsi="Cambria" w:cs="Calibri"/>
          <w:sz w:val="20"/>
          <w:szCs w:val="20"/>
        </w:rPr>
        <w:t>“</w:t>
      </w:r>
      <w:r w:rsidRPr="00030C62">
        <w:rPr>
          <w:rFonts w:ascii="Cambria" w:hAnsi="Cambria" w:cs="Calibri"/>
          <w:i/>
          <w:iCs/>
          <w:sz w:val="20"/>
          <w:szCs w:val="20"/>
        </w:rPr>
        <w:t xml:space="preserve">has </w:t>
      </w:r>
      <w:r>
        <w:rPr>
          <w:rFonts w:ascii="Cambria" w:hAnsi="Cambria" w:cs="Calibri"/>
          <w:i/>
          <w:iCs/>
          <w:sz w:val="20"/>
          <w:szCs w:val="20"/>
        </w:rPr>
        <w:t xml:space="preserve">to have </w:t>
      </w:r>
      <w:r w:rsidRPr="00030C62">
        <w:rPr>
          <w:rFonts w:ascii="Cambria" w:hAnsi="Cambria" w:cs="Calibri"/>
          <w:i/>
          <w:iCs/>
          <w:sz w:val="20"/>
          <w:szCs w:val="20"/>
        </w:rPr>
        <w:t>previously alleged a violation of Article 8.2. h) of the Convention</w:t>
      </w:r>
      <w:r w:rsidRPr="00CB7643">
        <w:rPr>
          <w:rFonts w:ascii="Cambria" w:hAnsi="Cambria" w:cs="Calibri"/>
          <w:sz w:val="20"/>
          <w:szCs w:val="20"/>
        </w:rPr>
        <w:t>”</w:t>
      </w:r>
      <w:r w:rsidR="00F323C0" w:rsidRPr="005067A0">
        <w:rPr>
          <w:rFonts w:asciiTheme="majorHAnsi" w:hAnsiTheme="majorHAnsi" w:cs="Calibri"/>
          <w:sz w:val="20"/>
          <w:szCs w:val="20"/>
        </w:rPr>
        <w:t xml:space="preserve">.   </w:t>
      </w:r>
    </w:p>
    <w:p w14:paraId="24331B0E" w14:textId="2934EA40" w:rsidR="00F323C0" w:rsidRPr="005067A0" w:rsidRDefault="00974438" w:rsidP="00F323C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240"/>
        <w:contextualSpacing/>
        <w:jc w:val="both"/>
        <w:rPr>
          <w:rFonts w:asciiTheme="majorHAnsi" w:hAnsiTheme="majorHAnsi"/>
          <w:sz w:val="20"/>
          <w:szCs w:val="20"/>
        </w:rPr>
      </w:pPr>
      <w:r w:rsidRPr="00030C62">
        <w:rPr>
          <w:rFonts w:cs="Calibri"/>
          <w:sz w:val="20"/>
          <w:szCs w:val="20"/>
        </w:rPr>
        <w:t>In that sense, the Commission reaffirms that the way in which the review procedure established by Transitory I of Law 8503 was regulated could generate limitations in terms of the accessibility of the appeal, and, consequently, does not in itself guarantee the right to a full review of the conviction to all those who were convicted during the original text of the Criminal Procedural Code</w:t>
      </w:r>
      <w:r w:rsidR="00F323C0" w:rsidRPr="005067A0">
        <w:rPr>
          <w:rStyle w:val="FootnoteReference"/>
          <w:rFonts w:asciiTheme="majorHAnsi" w:hAnsiTheme="majorHAnsi" w:cs="Calibri"/>
          <w:sz w:val="20"/>
          <w:szCs w:val="20"/>
        </w:rPr>
        <w:footnoteReference w:id="11"/>
      </w:r>
      <w:r w:rsidR="00F323C0" w:rsidRPr="005067A0">
        <w:rPr>
          <w:rFonts w:asciiTheme="majorHAnsi" w:hAnsiTheme="majorHAnsi" w:cs="Calibri"/>
          <w:sz w:val="20"/>
          <w:szCs w:val="20"/>
        </w:rPr>
        <w:t xml:space="preserve">. </w:t>
      </w:r>
      <w:r w:rsidRPr="00030C62">
        <w:rPr>
          <w:rFonts w:cs="Calibri"/>
          <w:sz w:val="20"/>
          <w:szCs w:val="20"/>
        </w:rPr>
        <w:t>The same conclusion can be reached with regard to the appeal for review established in Transitory III of Law 8837, since the law included the requirement of having previously alleged the violation of the right to appeal as a procedural requirement for the review</w:t>
      </w:r>
      <w:r w:rsidR="00C32E0C">
        <w:rPr>
          <w:rFonts w:cs="Calibri"/>
          <w:sz w:val="20"/>
          <w:szCs w:val="20"/>
        </w:rPr>
        <w:t xml:space="preserve"> remedy</w:t>
      </w:r>
      <w:r w:rsidR="00F323C0" w:rsidRPr="005067A0">
        <w:rPr>
          <w:rFonts w:asciiTheme="majorHAnsi" w:hAnsiTheme="majorHAnsi" w:cs="Calibri"/>
          <w:sz w:val="20"/>
          <w:szCs w:val="20"/>
        </w:rPr>
        <w:t xml:space="preserve">. </w:t>
      </w:r>
    </w:p>
    <w:p w14:paraId="57A1B449" w14:textId="77777777" w:rsidR="00F323C0" w:rsidRPr="005067A0" w:rsidRDefault="00F323C0" w:rsidP="00F323C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240"/>
        <w:contextualSpacing/>
        <w:jc w:val="both"/>
        <w:rPr>
          <w:rFonts w:asciiTheme="majorHAnsi" w:hAnsiTheme="majorHAnsi"/>
          <w:sz w:val="20"/>
          <w:szCs w:val="20"/>
        </w:rPr>
      </w:pPr>
    </w:p>
    <w:p w14:paraId="718E4A4E" w14:textId="3F7AA8CF" w:rsidR="00F323C0" w:rsidRPr="005067A0" w:rsidRDefault="001777E2" w:rsidP="00F323C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240"/>
        <w:contextualSpacing/>
        <w:jc w:val="both"/>
        <w:rPr>
          <w:rFonts w:asciiTheme="majorHAnsi" w:hAnsiTheme="majorHAnsi"/>
          <w:sz w:val="20"/>
          <w:szCs w:val="20"/>
        </w:rPr>
      </w:pPr>
      <w:r w:rsidRPr="001777E2">
        <w:rPr>
          <w:rFonts w:asciiTheme="majorHAnsi" w:hAnsiTheme="majorHAnsi"/>
          <w:sz w:val="20"/>
          <w:szCs w:val="20"/>
        </w:rPr>
        <w:t xml:space="preserve">Nonetheless, the Commission recognizes, first of all, that the Constitutional Chamber of the Supreme Court of Justice of Costa Rica has repeatedly referred in its rulings to the need to </w:t>
      </w:r>
      <w:r w:rsidR="00F323C0" w:rsidRPr="005067A0">
        <w:rPr>
          <w:rFonts w:asciiTheme="majorHAnsi" w:hAnsiTheme="majorHAnsi"/>
          <w:sz w:val="20"/>
          <w:szCs w:val="20"/>
        </w:rPr>
        <w:t>“</w:t>
      </w:r>
      <w:r w:rsidRPr="001777E2">
        <w:rPr>
          <w:rFonts w:asciiTheme="majorHAnsi" w:hAnsiTheme="majorHAnsi"/>
          <w:i/>
          <w:iCs/>
          <w:sz w:val="20"/>
          <w:szCs w:val="20"/>
        </w:rPr>
        <w:t>ensure the right to appeal, excluding formalities that would prevent the review of convictions, in order to comply with the provisions of Article 8.2.h of the Convention</w:t>
      </w:r>
      <w:r w:rsidR="00F323C0" w:rsidRPr="005067A0">
        <w:rPr>
          <w:rFonts w:asciiTheme="majorHAnsi" w:hAnsiTheme="majorHAnsi"/>
          <w:sz w:val="20"/>
          <w:szCs w:val="20"/>
        </w:rPr>
        <w:t>”</w:t>
      </w:r>
      <w:r w:rsidR="00D004A9">
        <w:rPr>
          <w:rFonts w:asciiTheme="majorHAnsi" w:hAnsiTheme="majorHAnsi"/>
          <w:sz w:val="20"/>
          <w:szCs w:val="20"/>
        </w:rPr>
        <w:t>.</w:t>
      </w:r>
      <w:r w:rsidR="00F323C0" w:rsidRPr="005067A0">
        <w:rPr>
          <w:rStyle w:val="FootnoteReference"/>
          <w:rFonts w:asciiTheme="majorHAnsi" w:hAnsiTheme="majorHAnsi"/>
          <w:sz w:val="20"/>
          <w:szCs w:val="20"/>
        </w:rPr>
        <w:footnoteReference w:id="12"/>
      </w:r>
    </w:p>
    <w:p w14:paraId="7AC580DA" w14:textId="77777777" w:rsidR="00F323C0" w:rsidRPr="005067A0" w:rsidRDefault="00F323C0" w:rsidP="00F323C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240"/>
        <w:contextualSpacing/>
        <w:jc w:val="both"/>
        <w:rPr>
          <w:rFonts w:asciiTheme="majorHAnsi" w:hAnsiTheme="majorHAnsi"/>
          <w:sz w:val="20"/>
          <w:szCs w:val="20"/>
        </w:rPr>
      </w:pPr>
    </w:p>
    <w:p w14:paraId="05ED2868" w14:textId="66FF57A2" w:rsidR="00F323C0" w:rsidRPr="005067A0" w:rsidRDefault="001777E2" w:rsidP="00F323C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240"/>
        <w:contextualSpacing/>
        <w:jc w:val="both"/>
        <w:rPr>
          <w:rFonts w:asciiTheme="majorHAnsi" w:hAnsiTheme="majorHAnsi"/>
          <w:sz w:val="20"/>
          <w:szCs w:val="20"/>
        </w:rPr>
      </w:pPr>
      <w:r w:rsidRPr="001777E2">
        <w:rPr>
          <w:rFonts w:asciiTheme="majorHAnsi" w:hAnsiTheme="majorHAnsi"/>
          <w:sz w:val="20"/>
          <w:szCs w:val="20"/>
        </w:rPr>
        <w:t xml:space="preserve">Likewise, the IACHR considers that, despite the obstacles to the admissibility of the appeal incorporated in the wording of Transitory I of Law 8503, the appeal for review recognized therein represented an additional opportunity for a convicted person to obtain a comprehensive review of his or her sentence. This comprehensive review depended, in essence, on the way in which the judges of the appellate courts interpreted the procedural norms in force in light of the jurisprudence of the Constitutional Chamber of the Supreme Court of Justice of Costa Rica, Article 8.2.h of the American Convention and the decision of the IHR Court in the </w:t>
      </w:r>
      <w:r w:rsidRPr="001777E2">
        <w:rPr>
          <w:rFonts w:asciiTheme="majorHAnsi" w:hAnsiTheme="majorHAnsi"/>
          <w:i/>
          <w:iCs/>
          <w:sz w:val="20"/>
          <w:szCs w:val="20"/>
        </w:rPr>
        <w:t>Herrera Ulloa</w:t>
      </w:r>
      <w:r w:rsidRPr="001777E2">
        <w:rPr>
          <w:rFonts w:asciiTheme="majorHAnsi" w:hAnsiTheme="majorHAnsi"/>
          <w:sz w:val="20"/>
          <w:szCs w:val="20"/>
        </w:rPr>
        <w:t xml:space="preserve"> case</w:t>
      </w:r>
      <w:r w:rsidR="00F323C0" w:rsidRPr="005067A0">
        <w:rPr>
          <w:rFonts w:asciiTheme="majorHAnsi" w:hAnsiTheme="majorHAnsi"/>
          <w:sz w:val="20"/>
          <w:szCs w:val="20"/>
        </w:rPr>
        <w:t xml:space="preserve">. </w:t>
      </w:r>
    </w:p>
    <w:p w14:paraId="7633BEF9" w14:textId="77777777" w:rsidR="00F323C0" w:rsidRPr="005067A0" w:rsidRDefault="00F323C0" w:rsidP="00F323C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240"/>
        <w:contextualSpacing/>
        <w:jc w:val="both"/>
        <w:rPr>
          <w:rFonts w:asciiTheme="majorHAnsi" w:hAnsiTheme="majorHAnsi"/>
          <w:sz w:val="20"/>
          <w:szCs w:val="20"/>
        </w:rPr>
      </w:pPr>
    </w:p>
    <w:p w14:paraId="3522A686" w14:textId="2D22348C" w:rsidR="00F323C0" w:rsidRPr="001C228B" w:rsidRDefault="001777E2" w:rsidP="00F323C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240"/>
        <w:contextualSpacing/>
        <w:jc w:val="both"/>
        <w:rPr>
          <w:rFonts w:asciiTheme="majorHAnsi" w:hAnsiTheme="majorHAnsi"/>
          <w:sz w:val="20"/>
          <w:szCs w:val="20"/>
        </w:rPr>
      </w:pPr>
      <w:r w:rsidRPr="001777E2">
        <w:rPr>
          <w:rFonts w:asciiTheme="majorHAnsi" w:hAnsiTheme="majorHAnsi"/>
          <w:sz w:val="20"/>
          <w:szCs w:val="20"/>
        </w:rPr>
        <w:t xml:space="preserve">In particular, and in line with the Court's decision, the Commission observes that, bearing in mind that such legislative amendments to the Costa Rican appeal system were adopted as a result of the rulings of the bodies of the </w:t>
      </w:r>
      <w:r w:rsidR="00C32E0C">
        <w:rPr>
          <w:rFonts w:asciiTheme="majorHAnsi" w:hAnsiTheme="majorHAnsi"/>
          <w:sz w:val="20"/>
          <w:szCs w:val="20"/>
        </w:rPr>
        <w:t>I</w:t>
      </w:r>
      <w:r w:rsidRPr="001777E2">
        <w:rPr>
          <w:rFonts w:asciiTheme="majorHAnsi" w:hAnsiTheme="majorHAnsi"/>
          <w:sz w:val="20"/>
          <w:szCs w:val="20"/>
        </w:rPr>
        <w:t>nter-American human rights system, it is reasonable as grounds for admissibility of the appeal that the interested parties should invoke the possible errors that may have been committed by the judge or court of the lower court</w:t>
      </w:r>
      <w:r w:rsidR="00F323C0" w:rsidRPr="005067A0">
        <w:rPr>
          <w:rFonts w:asciiTheme="majorHAnsi" w:hAnsiTheme="majorHAnsi"/>
          <w:sz w:val="20"/>
          <w:szCs w:val="20"/>
        </w:rPr>
        <w:t>.</w:t>
      </w:r>
    </w:p>
    <w:p w14:paraId="05415C74" w14:textId="2BE6A638" w:rsidR="00F621C3" w:rsidRPr="005067A0" w:rsidRDefault="009B4B4A" w:rsidP="00F32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B4B4A">
        <w:rPr>
          <w:rFonts w:asciiTheme="majorHAnsi" w:hAnsiTheme="majorHAnsi"/>
          <w:sz w:val="20"/>
          <w:szCs w:val="20"/>
        </w:rPr>
        <w:t xml:space="preserve">Consequently, taking into account the specificities that exist with regard to this issue in the Costa Rican system, as a result of the judgments handed down by the Inter-American system, and specifically with what was stated by the IHR Court in the "Amrhein" case, the Commission considers that it is not appropriate to make an abstract evaluation of each of the remedies available in the criminal procedural legislation, but rather </w:t>
      </w:r>
      <w:r w:rsidR="00F323C0" w:rsidRPr="005067A0">
        <w:rPr>
          <w:rFonts w:asciiTheme="majorHAnsi" w:hAnsiTheme="majorHAnsi"/>
          <w:sz w:val="20"/>
          <w:szCs w:val="20"/>
        </w:rPr>
        <w:t>“</w:t>
      </w:r>
      <w:r w:rsidRPr="009B4B4A">
        <w:rPr>
          <w:rFonts w:asciiTheme="majorHAnsi" w:hAnsiTheme="majorHAnsi"/>
          <w:i/>
          <w:iCs/>
          <w:sz w:val="20"/>
          <w:szCs w:val="20"/>
        </w:rPr>
        <w:t>a case-by-case analysis of the appeals actually filed by the alleged victims in order to determine whether the manner in which they were resolved in the Costa Rican appeal system, taking into account its reforms, respected their right to a comprehensive review of their convictions</w:t>
      </w:r>
      <w:r w:rsidR="00F323C0" w:rsidRPr="005067A0">
        <w:rPr>
          <w:rFonts w:asciiTheme="majorHAnsi" w:hAnsiTheme="majorHAnsi"/>
          <w:sz w:val="20"/>
          <w:szCs w:val="20"/>
        </w:rPr>
        <w:t>”</w:t>
      </w:r>
      <w:r w:rsidR="00F323C0" w:rsidRPr="005067A0">
        <w:rPr>
          <w:rStyle w:val="FootnoteReference"/>
          <w:rFonts w:asciiTheme="majorHAnsi" w:hAnsiTheme="majorHAnsi"/>
          <w:sz w:val="20"/>
          <w:szCs w:val="20"/>
        </w:rPr>
        <w:footnoteReference w:id="13"/>
      </w:r>
      <w:r w:rsidR="00F323C0" w:rsidRPr="005067A0">
        <w:rPr>
          <w:rFonts w:asciiTheme="majorHAnsi" w:hAnsiTheme="majorHAnsi"/>
          <w:sz w:val="20"/>
          <w:szCs w:val="20"/>
        </w:rPr>
        <w:t xml:space="preserve">. </w:t>
      </w:r>
      <w:r w:rsidRPr="009B4B4A">
        <w:rPr>
          <w:rFonts w:asciiTheme="majorHAnsi" w:hAnsiTheme="majorHAnsi"/>
          <w:sz w:val="20"/>
          <w:szCs w:val="20"/>
        </w:rPr>
        <w:t xml:space="preserve">Which, in principle, requires </w:t>
      </w:r>
      <w:r w:rsidRPr="009B4B4A">
        <w:rPr>
          <w:rFonts w:asciiTheme="majorHAnsi" w:hAnsiTheme="majorHAnsi"/>
          <w:sz w:val="20"/>
          <w:szCs w:val="20"/>
        </w:rPr>
        <w:lastRenderedPageBreak/>
        <w:t xml:space="preserve">an analysis of the merits by the IACHR, unless the information provided by the parties shows that the facts raised by the petitioner do not </w:t>
      </w:r>
      <w:r w:rsidRPr="009B4B4A">
        <w:rPr>
          <w:rFonts w:asciiTheme="majorHAnsi" w:hAnsiTheme="majorHAnsi"/>
          <w:i/>
          <w:iCs/>
          <w:sz w:val="20"/>
          <w:szCs w:val="20"/>
        </w:rPr>
        <w:t>prima facie</w:t>
      </w:r>
      <w:r w:rsidRPr="009B4B4A">
        <w:rPr>
          <w:rFonts w:asciiTheme="majorHAnsi" w:hAnsiTheme="majorHAnsi"/>
          <w:sz w:val="20"/>
          <w:szCs w:val="20"/>
        </w:rPr>
        <w:t xml:space="preserve"> characterize violations of the American Convention, in the terms of Article 47 thereof.</w:t>
      </w:r>
    </w:p>
    <w:p w14:paraId="378478A0" w14:textId="4A3092DE" w:rsidR="00F621C3" w:rsidRPr="005067A0" w:rsidRDefault="00F621C3" w:rsidP="00F621C3">
      <w:pPr>
        <w:pStyle w:val="ListParagraph"/>
        <w:spacing w:before="240" w:after="240"/>
        <w:jc w:val="both"/>
        <w:rPr>
          <w:rFonts w:asciiTheme="majorHAnsi" w:hAnsiTheme="majorHAnsi"/>
          <w:b/>
          <w:sz w:val="20"/>
          <w:szCs w:val="20"/>
        </w:rPr>
      </w:pPr>
      <w:r w:rsidRPr="005067A0">
        <w:rPr>
          <w:rFonts w:asciiTheme="majorHAnsi" w:hAnsiTheme="majorHAnsi"/>
          <w:b/>
          <w:bCs/>
          <w:sz w:val="20"/>
          <w:szCs w:val="20"/>
        </w:rPr>
        <w:t>VII.</w:t>
      </w:r>
      <w:r w:rsidRPr="005067A0">
        <w:rPr>
          <w:rFonts w:asciiTheme="majorHAnsi" w:hAnsiTheme="majorHAnsi"/>
          <w:b/>
          <w:bCs/>
          <w:sz w:val="20"/>
          <w:szCs w:val="20"/>
        </w:rPr>
        <w:tab/>
      </w:r>
      <w:r w:rsidR="00F323C0" w:rsidRPr="005067A0">
        <w:rPr>
          <w:rFonts w:asciiTheme="majorHAnsi" w:hAnsiTheme="majorHAnsi"/>
          <w:b/>
          <w:bCs/>
          <w:sz w:val="20"/>
          <w:szCs w:val="20"/>
        </w:rPr>
        <w:t xml:space="preserve">ANALYSIS OF </w:t>
      </w:r>
      <w:r w:rsidR="00F323C0" w:rsidRPr="005067A0">
        <w:rPr>
          <w:rFonts w:asciiTheme="majorHAnsi" w:hAnsiTheme="majorHAnsi"/>
          <w:b/>
          <w:sz w:val="20"/>
          <w:szCs w:val="20"/>
        </w:rPr>
        <w:t>EXHAUSTION OF DOMESTIC REMEDIES AND TIMELINESS OF THE PETITION</w:t>
      </w:r>
      <w:r w:rsidR="00F323C0" w:rsidRPr="005067A0">
        <w:rPr>
          <w:rFonts w:asciiTheme="majorHAnsi" w:hAnsiTheme="majorHAnsi"/>
          <w:b/>
          <w:bCs/>
          <w:sz w:val="20"/>
          <w:szCs w:val="20"/>
        </w:rPr>
        <w:t xml:space="preserve"> </w:t>
      </w:r>
    </w:p>
    <w:p w14:paraId="2426BDF8" w14:textId="714242AA" w:rsidR="00F323C0" w:rsidRPr="005067A0" w:rsidRDefault="005C1596" w:rsidP="00F32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C1596">
        <w:rPr>
          <w:rFonts w:asciiTheme="majorHAnsi" w:hAnsiTheme="majorHAnsi"/>
          <w:sz w:val="20"/>
          <w:szCs w:val="20"/>
        </w:rPr>
        <w:t>Regarding the State's questioning of the fact that the exhaustion of domestic jurisdiction occurred after the petition was filed, the IACHR reiterates its constant position that the analysis of the requirements set forth in Articles 46 and 47 of the Convention must be made in light of the situation in force at the time the admissibility or inadmissibility of the claim is decided. It is very frequent that during the processing of a case there are changes in the exhaustion of domestic remedies. However, the system of petitions and cases ensures that both the State and the petitioner have a full opportunity to provide information and allegations in this regard</w:t>
      </w:r>
      <w:r w:rsidR="00D004A9">
        <w:rPr>
          <w:rFonts w:asciiTheme="majorHAnsi" w:hAnsiTheme="majorHAnsi"/>
          <w:sz w:val="20"/>
          <w:szCs w:val="20"/>
        </w:rPr>
        <w:t>.</w:t>
      </w:r>
      <w:r w:rsidR="00F323C0" w:rsidRPr="005067A0">
        <w:rPr>
          <w:rStyle w:val="FootnoteReference"/>
          <w:rFonts w:asciiTheme="majorHAnsi" w:hAnsiTheme="majorHAnsi"/>
          <w:sz w:val="20"/>
          <w:szCs w:val="20"/>
        </w:rPr>
        <w:footnoteReference w:id="14"/>
      </w:r>
      <w:r w:rsidR="00F323C0" w:rsidRPr="005067A0">
        <w:rPr>
          <w:rFonts w:asciiTheme="majorHAnsi" w:hAnsiTheme="majorHAnsi"/>
          <w:sz w:val="20"/>
          <w:szCs w:val="20"/>
        </w:rPr>
        <w:t xml:space="preserve"> </w:t>
      </w:r>
    </w:p>
    <w:p w14:paraId="7D52A882" w14:textId="236AFB35" w:rsidR="00F323C0" w:rsidRPr="005067A0" w:rsidRDefault="005C1596" w:rsidP="00F32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C1596">
        <w:rPr>
          <w:rFonts w:asciiTheme="majorHAnsi" w:hAnsiTheme="majorHAnsi"/>
          <w:sz w:val="20"/>
          <w:szCs w:val="20"/>
        </w:rPr>
        <w:t xml:space="preserve">Based on this premise, the Commission observes that, according to the information provided by the State itself, in accordance with the jurisprudence of the Inter-American Court in the case of </w:t>
      </w:r>
      <w:r w:rsidRPr="005C1596">
        <w:rPr>
          <w:rFonts w:asciiTheme="majorHAnsi" w:hAnsiTheme="majorHAnsi"/>
          <w:i/>
          <w:iCs/>
          <w:sz w:val="20"/>
          <w:szCs w:val="20"/>
        </w:rPr>
        <w:t>Amrhein and others v. Costa Rica</w:t>
      </w:r>
      <w:r w:rsidRPr="005C1596">
        <w:rPr>
          <w:rFonts w:asciiTheme="majorHAnsi" w:hAnsiTheme="majorHAnsi"/>
          <w:sz w:val="20"/>
          <w:szCs w:val="20"/>
        </w:rPr>
        <w:t>, Mr. Mangel León complied with a review procedure, based on Transitory III of Law No. 8837, in order to question the alleged violation of his right to a full review of his conviction. Thus, as a result of this action, on July 23, 2012, the Court of Criminal Sentence Appeals, by means of Resolution 1425-2012, rejected the aforementioned review procedure</w:t>
      </w:r>
      <w:r w:rsidR="00F323C0" w:rsidRPr="005067A0">
        <w:rPr>
          <w:rFonts w:asciiTheme="majorHAnsi" w:hAnsiTheme="majorHAnsi"/>
          <w:sz w:val="20"/>
          <w:szCs w:val="20"/>
        </w:rPr>
        <w:t xml:space="preserve">. </w:t>
      </w:r>
    </w:p>
    <w:p w14:paraId="70146B96" w14:textId="1DCC0E9B" w:rsidR="00F621C3" w:rsidRPr="005067A0" w:rsidRDefault="005C1596" w:rsidP="00F32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C1596">
        <w:rPr>
          <w:rFonts w:asciiTheme="majorHAnsi" w:hAnsiTheme="majorHAnsi"/>
          <w:sz w:val="20"/>
          <w:szCs w:val="20"/>
        </w:rPr>
        <w:t>Consequently, since the alleged victim used the avenue provided by the State to question possible violations of the right set forth in Article 8.2.h) of the American Convention, the Commission considers that the instant case meets the requirement set forth in Article 46.1.a) of the American Convention. Likewise, since the decision that exhausted domestic jurisdiction was issued when the present case was under admissibility review, the Commission also concludes that this petition meets the time limit requirement established in Article 46.1.b) of the Convention</w:t>
      </w:r>
      <w:r w:rsidR="00F323C0" w:rsidRPr="005067A0">
        <w:rPr>
          <w:rFonts w:asciiTheme="majorHAnsi" w:hAnsiTheme="majorHAnsi"/>
          <w:sz w:val="20"/>
          <w:szCs w:val="20"/>
        </w:rPr>
        <w:t>.</w:t>
      </w:r>
    </w:p>
    <w:p w14:paraId="5A70550C" w14:textId="5E9165F3" w:rsidR="00F621C3" w:rsidRPr="005067A0" w:rsidRDefault="00F621C3" w:rsidP="00F621C3">
      <w:pPr>
        <w:pStyle w:val="ListParagraph"/>
        <w:spacing w:before="240" w:after="240"/>
        <w:jc w:val="both"/>
        <w:rPr>
          <w:rFonts w:asciiTheme="majorHAnsi" w:hAnsiTheme="majorHAnsi"/>
          <w:b/>
          <w:bCs/>
          <w:sz w:val="20"/>
          <w:szCs w:val="20"/>
        </w:rPr>
      </w:pPr>
      <w:r w:rsidRPr="005067A0">
        <w:rPr>
          <w:rFonts w:asciiTheme="majorHAnsi" w:hAnsiTheme="majorHAnsi"/>
          <w:b/>
          <w:bCs/>
          <w:sz w:val="20"/>
          <w:szCs w:val="20"/>
        </w:rPr>
        <w:t xml:space="preserve">VIII. </w:t>
      </w:r>
      <w:r w:rsidRPr="005067A0">
        <w:rPr>
          <w:rFonts w:asciiTheme="majorHAnsi" w:hAnsiTheme="majorHAnsi"/>
          <w:b/>
          <w:bCs/>
          <w:sz w:val="20"/>
          <w:szCs w:val="20"/>
        </w:rPr>
        <w:tab/>
      </w:r>
      <w:r w:rsidR="00F323C0" w:rsidRPr="005067A0">
        <w:rPr>
          <w:rFonts w:asciiTheme="majorHAnsi" w:hAnsiTheme="majorHAnsi"/>
          <w:b/>
          <w:bCs/>
          <w:sz w:val="20"/>
          <w:szCs w:val="20"/>
        </w:rPr>
        <w:t>ANALYSIS OF COLORABLE CLAIM</w:t>
      </w:r>
    </w:p>
    <w:p w14:paraId="02884BCC" w14:textId="0CFB6421" w:rsidR="00F323C0" w:rsidRPr="005067A0" w:rsidRDefault="005C1596" w:rsidP="00F323C0">
      <w:pPr>
        <w:pStyle w:val="ListParagraph"/>
        <w:numPr>
          <w:ilvl w:val="0"/>
          <w:numId w:val="103"/>
        </w:numPr>
        <w:spacing w:after="240"/>
        <w:jc w:val="both"/>
        <w:rPr>
          <w:rFonts w:asciiTheme="majorHAnsi" w:hAnsiTheme="majorHAnsi"/>
          <w:sz w:val="20"/>
          <w:szCs w:val="20"/>
        </w:rPr>
      </w:pPr>
      <w:r w:rsidRPr="005C1596">
        <w:rPr>
          <w:rFonts w:asciiTheme="majorHAnsi" w:hAnsiTheme="majorHAnsi"/>
          <w:sz w:val="20"/>
          <w:szCs w:val="20"/>
        </w:rPr>
        <w:t>The Commission observes that the petitioner mainly questions three points: i) the violation of the right to appeal the judgment; ii) the violation of the presumption of innocence, due to the inadequate grounds for Mr. Mangel León's conviction, and the reversal of the burden of proof in his case; and iii) the violation of fair trial guarantees, due to the manner in which the criminal proceeding against him was conducted</w:t>
      </w:r>
      <w:r w:rsidR="00F323C0" w:rsidRPr="005067A0">
        <w:rPr>
          <w:rFonts w:asciiTheme="majorHAnsi" w:hAnsiTheme="majorHAnsi"/>
          <w:sz w:val="20"/>
          <w:szCs w:val="20"/>
        </w:rPr>
        <w:t xml:space="preserve">. </w:t>
      </w:r>
    </w:p>
    <w:p w14:paraId="41D0735A" w14:textId="5B64E16C" w:rsidR="00F323C0" w:rsidRPr="005067A0" w:rsidRDefault="005C1596" w:rsidP="00F323C0">
      <w:pPr>
        <w:pStyle w:val="ListParagraph"/>
        <w:numPr>
          <w:ilvl w:val="0"/>
          <w:numId w:val="103"/>
        </w:numPr>
        <w:spacing w:after="240"/>
        <w:jc w:val="both"/>
        <w:rPr>
          <w:rFonts w:asciiTheme="majorHAnsi" w:hAnsiTheme="majorHAnsi"/>
          <w:sz w:val="20"/>
          <w:szCs w:val="20"/>
        </w:rPr>
      </w:pPr>
      <w:r w:rsidRPr="005C1596">
        <w:rPr>
          <w:rFonts w:asciiTheme="majorHAnsi" w:hAnsiTheme="majorHAnsi"/>
          <w:sz w:val="20"/>
          <w:szCs w:val="20"/>
        </w:rPr>
        <w:t xml:space="preserve">Regarding the first aspect, the Commission recalls that the right to appeal a judgment before a different and higher judge or court is one of the minimum guarantees that every person subjected to a criminal investigation and proceeding has. Its purpose is to ensure the review of an adverse judgment in such a way that there is the possibility of correcting judicial decisions which are contrary to law and to prevent an unjust decision from acquiring the status of </w:t>
      </w:r>
      <w:r w:rsidRPr="005C1596">
        <w:rPr>
          <w:rFonts w:asciiTheme="majorHAnsi" w:hAnsiTheme="majorHAnsi"/>
          <w:i/>
          <w:iCs/>
          <w:sz w:val="20"/>
          <w:szCs w:val="20"/>
        </w:rPr>
        <w:t>res judicata</w:t>
      </w:r>
      <w:r w:rsidR="00F323C0" w:rsidRPr="005067A0">
        <w:rPr>
          <w:rFonts w:asciiTheme="majorHAnsi" w:hAnsiTheme="majorHAnsi"/>
          <w:sz w:val="20"/>
          <w:szCs w:val="20"/>
          <w:vertAlign w:val="superscript"/>
        </w:rPr>
        <w:footnoteReference w:id="15"/>
      </w:r>
      <w:r w:rsidR="00F323C0" w:rsidRPr="005067A0">
        <w:rPr>
          <w:rFonts w:asciiTheme="majorHAnsi" w:hAnsiTheme="majorHAnsi"/>
          <w:sz w:val="20"/>
          <w:szCs w:val="20"/>
        </w:rPr>
        <w:t xml:space="preserve">. </w:t>
      </w:r>
      <w:r w:rsidRPr="005C1596">
        <w:rPr>
          <w:rFonts w:asciiTheme="majorHAnsi" w:hAnsiTheme="majorHAnsi"/>
          <w:sz w:val="20"/>
          <w:szCs w:val="20"/>
        </w:rPr>
        <w:t>In this vein, it is irrelevant for international human rights law the denomination or name by which the available remedy is designated</w:t>
      </w:r>
      <w:r w:rsidR="00F323C0" w:rsidRPr="005067A0">
        <w:rPr>
          <w:rFonts w:asciiTheme="majorHAnsi" w:hAnsiTheme="majorHAnsi"/>
          <w:sz w:val="20"/>
          <w:szCs w:val="20"/>
          <w:vertAlign w:val="superscript"/>
        </w:rPr>
        <w:footnoteReference w:id="16"/>
      </w:r>
      <w:r w:rsidR="00F323C0" w:rsidRPr="005067A0">
        <w:rPr>
          <w:rFonts w:asciiTheme="majorHAnsi" w:hAnsiTheme="majorHAnsi"/>
          <w:sz w:val="20"/>
          <w:szCs w:val="20"/>
        </w:rPr>
        <w:t xml:space="preserve">. </w:t>
      </w:r>
      <w:r w:rsidRPr="005C1596">
        <w:rPr>
          <w:rFonts w:asciiTheme="majorHAnsi" w:hAnsiTheme="majorHAnsi"/>
          <w:sz w:val="20"/>
          <w:szCs w:val="20"/>
        </w:rPr>
        <w:t xml:space="preserve">What matters is that the remedy contemplated in the domestic regulations meets a series of standards and, in this sense, complies with </w:t>
      </w:r>
      <w:r w:rsidRPr="005C1596">
        <w:rPr>
          <w:rFonts w:asciiTheme="majorHAnsi" w:hAnsiTheme="majorHAnsi"/>
          <w:sz w:val="20"/>
          <w:szCs w:val="20"/>
        </w:rPr>
        <w:lastRenderedPageBreak/>
        <w:t>being timely</w:t>
      </w:r>
      <w:r w:rsidRPr="005C1596">
        <w:rPr>
          <w:rStyle w:val="FootnoteReference"/>
          <w:rFonts w:asciiTheme="majorHAnsi" w:hAnsiTheme="majorHAnsi" w:cs="Cambria"/>
          <w:sz w:val="20"/>
          <w:szCs w:val="20"/>
          <w:vertAlign w:val="baseline"/>
        </w:rPr>
        <w:t xml:space="preserve"> </w:t>
      </w:r>
      <w:r w:rsidR="00F323C0" w:rsidRPr="005067A0">
        <w:rPr>
          <w:rStyle w:val="FootnoteReference"/>
          <w:rFonts w:asciiTheme="majorHAnsi" w:hAnsiTheme="majorHAnsi"/>
          <w:sz w:val="20"/>
          <w:szCs w:val="20"/>
        </w:rPr>
        <w:footnoteReference w:id="17"/>
      </w:r>
      <w:r w:rsidR="00F323C0" w:rsidRPr="005067A0">
        <w:rPr>
          <w:rFonts w:asciiTheme="majorHAnsi" w:hAnsiTheme="majorHAnsi"/>
          <w:sz w:val="20"/>
          <w:szCs w:val="20"/>
        </w:rPr>
        <w:t xml:space="preserve">, </w:t>
      </w:r>
      <w:r w:rsidRPr="005067A0">
        <w:rPr>
          <w:rFonts w:asciiTheme="majorHAnsi" w:hAnsiTheme="majorHAnsi"/>
          <w:sz w:val="20"/>
          <w:szCs w:val="20"/>
        </w:rPr>
        <w:t>accessible</w:t>
      </w:r>
      <w:r w:rsidR="00F323C0" w:rsidRPr="005067A0">
        <w:rPr>
          <w:rStyle w:val="FootnoteReference"/>
          <w:rFonts w:asciiTheme="majorHAnsi" w:hAnsiTheme="majorHAnsi"/>
          <w:sz w:val="20"/>
          <w:szCs w:val="20"/>
        </w:rPr>
        <w:footnoteReference w:id="18"/>
      </w:r>
      <w:r w:rsidR="00F323C0" w:rsidRPr="005067A0">
        <w:rPr>
          <w:rFonts w:asciiTheme="majorHAnsi" w:hAnsiTheme="majorHAnsi"/>
          <w:sz w:val="20"/>
          <w:szCs w:val="20"/>
        </w:rPr>
        <w:t>, ef</w:t>
      </w:r>
      <w:r>
        <w:rPr>
          <w:rFonts w:asciiTheme="majorHAnsi" w:hAnsiTheme="majorHAnsi"/>
          <w:sz w:val="20"/>
          <w:szCs w:val="20"/>
        </w:rPr>
        <w:t>f</w:t>
      </w:r>
      <w:r w:rsidR="00F323C0" w:rsidRPr="005067A0">
        <w:rPr>
          <w:rFonts w:asciiTheme="majorHAnsi" w:hAnsiTheme="majorHAnsi"/>
          <w:sz w:val="20"/>
          <w:szCs w:val="20"/>
        </w:rPr>
        <w:t>ic</w:t>
      </w:r>
      <w:r>
        <w:rPr>
          <w:rFonts w:asciiTheme="majorHAnsi" w:hAnsiTheme="majorHAnsi"/>
          <w:sz w:val="20"/>
          <w:szCs w:val="20"/>
        </w:rPr>
        <w:t>ient</w:t>
      </w:r>
      <w:r w:rsidR="00F323C0" w:rsidRPr="005067A0">
        <w:rPr>
          <w:rStyle w:val="FootnoteReference"/>
          <w:rFonts w:asciiTheme="majorHAnsi" w:hAnsiTheme="majorHAnsi"/>
          <w:sz w:val="20"/>
          <w:szCs w:val="20"/>
        </w:rPr>
        <w:footnoteReference w:id="19"/>
      </w:r>
      <w:r w:rsidR="00F323C0" w:rsidRPr="005067A0">
        <w:rPr>
          <w:rFonts w:asciiTheme="majorHAnsi" w:hAnsiTheme="majorHAnsi"/>
          <w:sz w:val="20"/>
          <w:szCs w:val="20"/>
        </w:rPr>
        <w:t xml:space="preserve"> </w:t>
      </w:r>
      <w:r>
        <w:rPr>
          <w:rFonts w:asciiTheme="majorHAnsi" w:hAnsiTheme="majorHAnsi"/>
          <w:sz w:val="20"/>
          <w:szCs w:val="20"/>
        </w:rPr>
        <w:t>and</w:t>
      </w:r>
      <w:r w:rsidR="00F323C0" w:rsidRPr="005067A0">
        <w:rPr>
          <w:rFonts w:asciiTheme="majorHAnsi" w:hAnsiTheme="majorHAnsi"/>
          <w:sz w:val="20"/>
          <w:szCs w:val="20"/>
        </w:rPr>
        <w:t xml:space="preserve">, </w:t>
      </w:r>
      <w:r w:rsidR="00411645" w:rsidRPr="00411645">
        <w:rPr>
          <w:rFonts w:asciiTheme="majorHAnsi" w:hAnsiTheme="majorHAnsi"/>
          <w:sz w:val="20"/>
          <w:szCs w:val="20"/>
        </w:rPr>
        <w:t>in particular, that allows for a comprehensive review of the conviction</w:t>
      </w:r>
      <w:r w:rsidR="00D004A9">
        <w:rPr>
          <w:rFonts w:asciiTheme="majorHAnsi" w:hAnsiTheme="majorHAnsi"/>
          <w:sz w:val="20"/>
          <w:szCs w:val="20"/>
        </w:rPr>
        <w:t>.</w:t>
      </w:r>
      <w:r w:rsidR="00F323C0" w:rsidRPr="005067A0">
        <w:rPr>
          <w:rStyle w:val="FootnoteReference"/>
          <w:rFonts w:asciiTheme="majorHAnsi" w:hAnsiTheme="majorHAnsi"/>
          <w:sz w:val="20"/>
          <w:szCs w:val="20"/>
        </w:rPr>
        <w:footnoteReference w:id="20"/>
      </w:r>
    </w:p>
    <w:p w14:paraId="74E61DE9" w14:textId="298E3D91" w:rsidR="00F323C0" w:rsidRPr="005067A0" w:rsidRDefault="00411645" w:rsidP="00F32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240"/>
        <w:contextualSpacing/>
        <w:jc w:val="both"/>
        <w:rPr>
          <w:rFonts w:asciiTheme="majorHAnsi" w:eastAsia="Cambria" w:hAnsiTheme="majorHAnsi" w:cs="Cambria"/>
          <w:color w:val="000000"/>
          <w:sz w:val="20"/>
          <w:szCs w:val="20"/>
          <w:u w:color="000000"/>
          <w:lang w:eastAsia="es-ES"/>
        </w:rPr>
      </w:pPr>
      <w:r w:rsidRPr="00411645">
        <w:rPr>
          <w:rFonts w:asciiTheme="majorHAnsi" w:eastAsia="Cambria" w:hAnsiTheme="majorHAnsi" w:cs="Cambria"/>
          <w:color w:val="000000"/>
          <w:sz w:val="20"/>
          <w:szCs w:val="20"/>
          <w:u w:color="000000"/>
          <w:lang w:eastAsia="es-ES"/>
        </w:rPr>
        <w:t>Regarding this last point, the Inter-American Commission indicated in the Abella case with respect to Argentina</w:t>
      </w:r>
      <w:r w:rsidR="00F323C0" w:rsidRPr="005067A0">
        <w:rPr>
          <w:rFonts w:asciiTheme="majorHAnsi" w:eastAsia="Cambria" w:hAnsiTheme="majorHAnsi" w:cs="Cambria"/>
          <w:color w:val="000000"/>
          <w:sz w:val="20"/>
          <w:szCs w:val="20"/>
          <w:u w:color="000000"/>
          <w:lang w:eastAsia="es-ES"/>
        </w:rPr>
        <w:t xml:space="preserve">: </w:t>
      </w:r>
    </w:p>
    <w:p w14:paraId="3B1658CC" w14:textId="77777777" w:rsidR="00F323C0" w:rsidRPr="005067A0" w:rsidRDefault="00F323C0" w:rsidP="00F323C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240"/>
        <w:ind w:left="720"/>
        <w:contextualSpacing/>
        <w:jc w:val="both"/>
        <w:rPr>
          <w:rFonts w:asciiTheme="majorHAnsi" w:eastAsia="Cambria" w:hAnsiTheme="majorHAnsi" w:cs="Cambria"/>
          <w:color w:val="000000"/>
          <w:sz w:val="20"/>
          <w:szCs w:val="20"/>
          <w:u w:color="000000"/>
          <w:lang w:eastAsia="es-ES"/>
        </w:rPr>
      </w:pPr>
    </w:p>
    <w:p w14:paraId="63596C57" w14:textId="5FBC5324" w:rsidR="00F323C0" w:rsidRPr="005067A0" w:rsidRDefault="00411645" w:rsidP="00F323C0">
      <w:pPr>
        <w:tabs>
          <w:tab w:val="left" w:pos="567"/>
        </w:tabs>
        <w:spacing w:after="240"/>
        <w:ind w:left="709" w:right="798"/>
        <w:jc w:val="both"/>
        <w:rPr>
          <w:rFonts w:asciiTheme="majorHAnsi" w:hAnsiTheme="majorHAnsi"/>
          <w:sz w:val="20"/>
          <w:szCs w:val="20"/>
        </w:rPr>
      </w:pPr>
      <w:r w:rsidRPr="00411645">
        <w:rPr>
          <w:rFonts w:asciiTheme="majorHAnsi" w:hAnsiTheme="majorHAnsi"/>
          <w:sz w:val="20"/>
          <w:szCs w:val="20"/>
        </w:rPr>
        <w:t>Article 8.2.h refers to the minimum characteristics of a remedy that controls the correctness of the judgment, both material and formal. In this sense, from a formal point of view, the right to appeal the judgment before a higher judge or court, as referred to in the American Convention, must in the first place proceed [...] with the purpose of examining the misapplication, non-application or erroneous interpretation of the rules of law which determine the decisive part of the judgment. The Commission also considers that, in order to guarantee the full right of defense, this remedy must include a material review of the interpretation of the procedural rules that have influenced the decision of the case, when they have produced an irrevocable nullity or caused a lack of defense, as well as the interpretation of the rules concerning the assessment of evidence, whenever they have led to an erroneous application or non-application of such rules</w:t>
      </w:r>
      <w:r w:rsidR="00D004A9">
        <w:rPr>
          <w:rFonts w:asciiTheme="majorHAnsi" w:hAnsiTheme="majorHAnsi"/>
          <w:sz w:val="20"/>
          <w:szCs w:val="20"/>
        </w:rPr>
        <w:t>.</w:t>
      </w:r>
      <w:r w:rsidR="00F323C0" w:rsidRPr="005067A0">
        <w:rPr>
          <w:rFonts w:asciiTheme="majorHAnsi" w:hAnsiTheme="majorHAnsi"/>
          <w:sz w:val="20"/>
          <w:szCs w:val="20"/>
          <w:vertAlign w:val="superscript"/>
        </w:rPr>
        <w:footnoteReference w:id="21"/>
      </w:r>
      <w:r w:rsidR="00F323C0" w:rsidRPr="005067A0">
        <w:rPr>
          <w:rFonts w:asciiTheme="majorHAnsi" w:hAnsiTheme="majorHAnsi"/>
          <w:sz w:val="20"/>
          <w:szCs w:val="20"/>
        </w:rPr>
        <w:t xml:space="preserve"> </w:t>
      </w:r>
    </w:p>
    <w:p w14:paraId="789E2476" w14:textId="49E61A7D" w:rsidR="00F323C0" w:rsidRPr="005067A0" w:rsidRDefault="00411645" w:rsidP="00F32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spacing w:after="240"/>
        <w:contextualSpacing/>
        <w:jc w:val="both"/>
        <w:rPr>
          <w:rFonts w:asciiTheme="majorHAnsi" w:eastAsia="Cambria" w:hAnsiTheme="majorHAnsi" w:cs="Cambria"/>
          <w:color w:val="000000"/>
          <w:sz w:val="20"/>
          <w:szCs w:val="20"/>
          <w:u w:color="000000"/>
          <w:lang w:eastAsia="es-ES"/>
        </w:rPr>
      </w:pPr>
      <w:r w:rsidRPr="00411645">
        <w:rPr>
          <w:rFonts w:asciiTheme="majorHAnsi" w:eastAsia="Cambria" w:hAnsiTheme="majorHAnsi" w:cs="Cambria"/>
          <w:color w:val="000000"/>
          <w:sz w:val="20"/>
          <w:szCs w:val="20"/>
          <w:u w:color="000000"/>
          <w:lang w:eastAsia="es-ES"/>
        </w:rPr>
        <w:t xml:space="preserve">Along these lines, the IACHR has stressed that, although the right to appeal does not necessarily imply a new trial or a new hearing, as long as the reviewing court is not prevented from studying the facts of the case, it is necessary in light of Article 8.2.h of the Convention that there be the possibility of pointing out and obtaining a response </w:t>
      </w:r>
      <w:r w:rsidR="00C32E0C">
        <w:rPr>
          <w:rFonts w:asciiTheme="majorHAnsi" w:eastAsia="Cambria" w:hAnsiTheme="majorHAnsi" w:cs="Cambria"/>
          <w:color w:val="000000"/>
          <w:sz w:val="20"/>
          <w:szCs w:val="20"/>
          <w:u w:color="000000"/>
          <w:lang w:eastAsia="es-ES"/>
        </w:rPr>
        <w:t>with r</w:t>
      </w:r>
      <w:r w:rsidRPr="00411645">
        <w:rPr>
          <w:rFonts w:asciiTheme="majorHAnsi" w:eastAsia="Cambria" w:hAnsiTheme="majorHAnsi" w:cs="Cambria"/>
          <w:color w:val="000000"/>
          <w:sz w:val="20"/>
          <w:szCs w:val="20"/>
          <w:u w:color="000000"/>
          <w:lang w:eastAsia="es-ES"/>
        </w:rPr>
        <w:t>egard</w:t>
      </w:r>
      <w:r w:rsidR="00C32E0C">
        <w:rPr>
          <w:rFonts w:asciiTheme="majorHAnsi" w:eastAsia="Cambria" w:hAnsiTheme="majorHAnsi" w:cs="Cambria"/>
          <w:color w:val="000000"/>
          <w:sz w:val="20"/>
          <w:szCs w:val="20"/>
          <w:u w:color="000000"/>
          <w:lang w:eastAsia="es-ES"/>
        </w:rPr>
        <w:t xml:space="preserve"> to</w:t>
      </w:r>
      <w:r w:rsidRPr="00411645">
        <w:rPr>
          <w:rFonts w:asciiTheme="majorHAnsi" w:eastAsia="Cambria" w:hAnsiTheme="majorHAnsi" w:cs="Cambria"/>
          <w:color w:val="000000"/>
          <w:sz w:val="20"/>
          <w:szCs w:val="20"/>
          <w:u w:color="000000"/>
          <w:lang w:eastAsia="es-ES"/>
        </w:rPr>
        <w:t xml:space="preserve"> errors that may have been committed by the judge or court of the lower instance. This means that it is not possible to exclude from the scope of the appeal certain categories such as factual issues, the manner in which the evidence was incorporated into the proceedings and the evaluation made of it by the lower instance judges. The form and means of review will depend on the nature of the issues in dispute, as well as the particularities of the criminal procedur</w:t>
      </w:r>
      <w:r w:rsidR="0070398B">
        <w:rPr>
          <w:rFonts w:asciiTheme="majorHAnsi" w:eastAsia="Cambria" w:hAnsiTheme="majorHAnsi" w:cs="Cambria"/>
          <w:color w:val="000000"/>
          <w:sz w:val="20"/>
          <w:szCs w:val="20"/>
          <w:u w:color="000000"/>
          <w:lang w:eastAsia="es-ES"/>
        </w:rPr>
        <w:t>al</w:t>
      </w:r>
      <w:r w:rsidRPr="00411645">
        <w:rPr>
          <w:rFonts w:asciiTheme="majorHAnsi" w:eastAsia="Cambria" w:hAnsiTheme="majorHAnsi" w:cs="Cambria"/>
          <w:color w:val="000000"/>
          <w:sz w:val="20"/>
          <w:szCs w:val="20"/>
          <w:u w:color="000000"/>
          <w:lang w:eastAsia="es-ES"/>
        </w:rPr>
        <w:t xml:space="preserve"> system of the respective States</w:t>
      </w:r>
      <w:r w:rsidR="00D004A9">
        <w:rPr>
          <w:rFonts w:asciiTheme="majorHAnsi" w:eastAsia="Cambria" w:hAnsiTheme="majorHAnsi" w:cs="Cambria"/>
          <w:color w:val="000000"/>
          <w:sz w:val="20"/>
          <w:szCs w:val="20"/>
          <w:u w:color="000000"/>
          <w:lang w:eastAsia="es-ES"/>
        </w:rPr>
        <w:t>.</w:t>
      </w:r>
      <w:r w:rsidR="00F323C0" w:rsidRPr="005067A0">
        <w:rPr>
          <w:rFonts w:asciiTheme="majorHAnsi" w:eastAsia="Cambria" w:hAnsiTheme="majorHAnsi" w:cs="Cambria"/>
          <w:color w:val="000000"/>
          <w:sz w:val="20"/>
          <w:szCs w:val="20"/>
          <w:u w:color="000000"/>
          <w:vertAlign w:val="superscript"/>
          <w:lang w:eastAsia="es-ES"/>
        </w:rPr>
        <w:footnoteReference w:id="22"/>
      </w:r>
      <w:r w:rsidR="00F323C0" w:rsidRPr="005067A0">
        <w:rPr>
          <w:rFonts w:asciiTheme="majorHAnsi" w:eastAsia="Cambria" w:hAnsiTheme="majorHAnsi" w:cs="Cambria"/>
          <w:color w:val="000000"/>
          <w:sz w:val="20"/>
          <w:szCs w:val="20"/>
          <w:u w:color="000000"/>
          <w:lang w:eastAsia="es-ES"/>
        </w:rPr>
        <w:t xml:space="preserve"> </w:t>
      </w:r>
    </w:p>
    <w:p w14:paraId="65E9C16B" w14:textId="77777777" w:rsidR="00F323C0" w:rsidRPr="005067A0" w:rsidRDefault="00F323C0" w:rsidP="00F323C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spacing w:after="240"/>
        <w:ind w:left="720"/>
        <w:contextualSpacing/>
        <w:jc w:val="both"/>
        <w:rPr>
          <w:rFonts w:asciiTheme="majorHAnsi" w:eastAsia="Cambria" w:hAnsiTheme="majorHAnsi" w:cs="Cambria"/>
          <w:color w:val="000000"/>
          <w:sz w:val="20"/>
          <w:szCs w:val="20"/>
          <w:u w:color="000000"/>
          <w:lang w:eastAsia="es-ES"/>
        </w:rPr>
      </w:pPr>
    </w:p>
    <w:p w14:paraId="53AE1E21" w14:textId="12E1A127" w:rsidR="00F323C0" w:rsidRPr="005067A0" w:rsidRDefault="00411645" w:rsidP="00F32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11645">
        <w:rPr>
          <w:rFonts w:asciiTheme="majorHAnsi" w:hAnsiTheme="majorHAnsi"/>
          <w:sz w:val="20"/>
          <w:szCs w:val="20"/>
        </w:rPr>
        <w:t>Based on the aforementioned considerations, in the instant case the Commission notes that on February 23, 2010, the Criminal Court of San José sentenced Mr. Mangel León to twelve years imprisonment for the crime of rape. In response, the alleged victim filed an appeal in cassation and, additionally, an appeal, questioning both factual and legal aspects of the first instance decision. However, on July 8, 2010, the Court of Criminal Cassation dismissed these appeals, after analyzing all the claims raised</w:t>
      </w:r>
      <w:r w:rsidR="00F323C0" w:rsidRPr="005067A0">
        <w:rPr>
          <w:rFonts w:asciiTheme="majorHAnsi" w:hAnsiTheme="majorHAnsi"/>
          <w:sz w:val="20"/>
          <w:szCs w:val="20"/>
        </w:rPr>
        <w:t xml:space="preserve">. </w:t>
      </w:r>
    </w:p>
    <w:p w14:paraId="59C6C648" w14:textId="5DFC2CB6" w:rsidR="00F323C0" w:rsidRPr="005067A0" w:rsidRDefault="00411645" w:rsidP="00F32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11645">
        <w:rPr>
          <w:rFonts w:asciiTheme="majorHAnsi" w:hAnsiTheme="majorHAnsi"/>
          <w:sz w:val="20"/>
          <w:szCs w:val="20"/>
        </w:rPr>
        <w:t xml:space="preserve">In this regard, based on a detailed analysis of the latter decision, the Commission considers that the Court of Criminal Cassation re-examined the manner in which the trial court assessed the body of evidence in the case, and in response to the grievances raised by Mr. Mangel León's defense, it explained why the reasoning used to justify his conviction did not affect the principles of sound criticism and the presumption of innocence, nor did it incur in any contradiction or reversal of the burden of proof. Furthermore, the Commission appreciates that the court also analyzed issues related to the application of the substantive criminal law, specifically with respect to the subsumption of the petitioner's conduct to the crime of rape. Therefore, the Commission considers that, </w:t>
      </w:r>
      <w:r w:rsidRPr="0070398B">
        <w:rPr>
          <w:rFonts w:asciiTheme="majorHAnsi" w:hAnsiTheme="majorHAnsi"/>
          <w:i/>
          <w:iCs/>
          <w:sz w:val="20"/>
          <w:szCs w:val="20"/>
        </w:rPr>
        <w:t>prima facie</w:t>
      </w:r>
      <w:r w:rsidRPr="00411645">
        <w:rPr>
          <w:rFonts w:asciiTheme="majorHAnsi" w:hAnsiTheme="majorHAnsi"/>
          <w:sz w:val="20"/>
          <w:szCs w:val="20"/>
        </w:rPr>
        <w:t>, no arguments or evidence have been presented that would make it possible to identify any restriction or limitation that would have prevented a comprehensive analysis of the challenges raised by Mr. Mangel León against his first instance conviction</w:t>
      </w:r>
      <w:r w:rsidR="00F323C0" w:rsidRPr="005067A0">
        <w:rPr>
          <w:rFonts w:asciiTheme="majorHAnsi" w:hAnsiTheme="majorHAnsi"/>
          <w:sz w:val="20"/>
          <w:szCs w:val="20"/>
        </w:rPr>
        <w:t xml:space="preserve">. </w:t>
      </w:r>
    </w:p>
    <w:p w14:paraId="39B1A062" w14:textId="6A61896A" w:rsidR="00F323C0" w:rsidRPr="005067A0" w:rsidRDefault="00411645" w:rsidP="00F32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11645">
        <w:rPr>
          <w:rFonts w:asciiTheme="majorHAnsi" w:hAnsiTheme="majorHAnsi"/>
          <w:sz w:val="20"/>
          <w:szCs w:val="20"/>
        </w:rPr>
        <w:lastRenderedPageBreak/>
        <w:t xml:space="preserve">Without prejudice to the foregoing, the Commission notes that, following the filing of a review proceeding based on Transitory III of Law No. 8837, on July 23, 2012, the Court of Criminal Sentence Appeals, </w:t>
      </w:r>
      <w:r w:rsidR="0070398B">
        <w:rPr>
          <w:rFonts w:asciiTheme="majorHAnsi" w:hAnsiTheme="majorHAnsi"/>
          <w:sz w:val="20"/>
          <w:szCs w:val="20"/>
        </w:rPr>
        <w:t>by means of</w:t>
      </w:r>
      <w:r w:rsidRPr="00411645">
        <w:rPr>
          <w:rFonts w:asciiTheme="majorHAnsi" w:hAnsiTheme="majorHAnsi"/>
          <w:sz w:val="20"/>
          <w:szCs w:val="20"/>
        </w:rPr>
        <w:t xml:space="preserve"> Resolution 1425-2012, again analyzed the alleged victim's challenges to his conviction and once again dismissed them. According to the information in the casefile, the Commission notes that in the aforementioned resolution it examined all of Mr. Mangel León's arguments, referring mainly to the lawfulness and plausibility of certain evidence and expert opinions used to support the conviction, and dismissed them by means of a duly justified decision. Consequently, the IACHR concludes that, </w:t>
      </w:r>
      <w:r w:rsidRPr="00411645">
        <w:rPr>
          <w:rFonts w:asciiTheme="majorHAnsi" w:hAnsiTheme="majorHAnsi"/>
          <w:i/>
          <w:iCs/>
          <w:sz w:val="20"/>
          <w:szCs w:val="20"/>
        </w:rPr>
        <w:t>prima facie</w:t>
      </w:r>
      <w:r w:rsidRPr="00411645">
        <w:rPr>
          <w:rFonts w:asciiTheme="majorHAnsi" w:hAnsiTheme="majorHAnsi"/>
          <w:sz w:val="20"/>
          <w:szCs w:val="20"/>
        </w:rPr>
        <w:t>, no elements have been provided to identify a possible violation of the right contemplated in Article 8.2.h) of the Convention</w:t>
      </w:r>
      <w:r w:rsidR="00F323C0" w:rsidRPr="005067A0">
        <w:rPr>
          <w:rFonts w:asciiTheme="majorHAnsi" w:hAnsiTheme="majorHAnsi"/>
          <w:sz w:val="20"/>
          <w:szCs w:val="20"/>
        </w:rPr>
        <w:t xml:space="preserve">. </w:t>
      </w:r>
    </w:p>
    <w:p w14:paraId="6E629C7A" w14:textId="21F40FA6" w:rsidR="00F323C0" w:rsidRPr="005067A0" w:rsidRDefault="0070398B" w:rsidP="00F32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As for</w:t>
      </w:r>
      <w:r w:rsidR="00411645" w:rsidRPr="00411645">
        <w:rPr>
          <w:rFonts w:asciiTheme="majorHAnsi" w:hAnsiTheme="majorHAnsi"/>
          <w:sz w:val="20"/>
          <w:szCs w:val="20"/>
        </w:rPr>
        <w:t xml:space="preserve"> the second point, concerning the grounds for the conviction of the alleged victim, the Commission observes that, although the domestic courts used the testimony of the complainant as the main basis for the conviction of Mr. Mangel León, the body of evidence also consisted of witness statements and expert opinions that corroborated the coherence, consistency and credibility of the victim's account. The Commission also notes that the authorities also requested expert opinions to determine whether the medical procedure followed by Mr. Mangel León was in accordance with medical practice. Thus, based on these elements, the domestic courts considered that the commission of the crime of rape was duly proven, since Mr. Mangel León's actions deviated from proper medical practice</w:t>
      </w:r>
      <w:r w:rsidR="00F323C0" w:rsidRPr="005067A0">
        <w:rPr>
          <w:rFonts w:asciiTheme="majorHAnsi" w:hAnsiTheme="majorHAnsi"/>
          <w:sz w:val="20"/>
          <w:szCs w:val="20"/>
        </w:rPr>
        <w:t xml:space="preserve">. </w:t>
      </w:r>
    </w:p>
    <w:p w14:paraId="5819DC18" w14:textId="16CCBBD1" w:rsidR="00F323C0" w:rsidRPr="005067A0" w:rsidRDefault="00312A03" w:rsidP="00F32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12A03">
        <w:rPr>
          <w:rFonts w:asciiTheme="majorHAnsi" w:hAnsiTheme="majorHAnsi"/>
          <w:sz w:val="20"/>
          <w:szCs w:val="20"/>
        </w:rPr>
        <w:t xml:space="preserve">In the Commission's opinion, the aforementioned elements make it possible to verify that the domestic courts, with respect for the principle of the presumption of innocence, relied on various measures to corroborate the testimony of the complainant and to determine whether the actions of Mr. Mangel León were in accordance with the standards of medical practice. Consequently, since the conviction was based on the use of different evidentiary means and had, in principle, a reasonable basis, the Commission does not identify any elements that allow characterizing, </w:t>
      </w:r>
      <w:r w:rsidRPr="00312A03">
        <w:rPr>
          <w:rFonts w:asciiTheme="majorHAnsi" w:hAnsiTheme="majorHAnsi"/>
          <w:i/>
          <w:iCs/>
          <w:sz w:val="20"/>
          <w:szCs w:val="20"/>
        </w:rPr>
        <w:t>prima facie</w:t>
      </w:r>
      <w:r w:rsidRPr="00312A03">
        <w:rPr>
          <w:rFonts w:asciiTheme="majorHAnsi" w:hAnsiTheme="majorHAnsi"/>
          <w:sz w:val="20"/>
          <w:szCs w:val="20"/>
        </w:rPr>
        <w:t>, a possible violation of Articles 8 and 25 of the American Convention</w:t>
      </w:r>
      <w:r w:rsidR="00F323C0" w:rsidRPr="005067A0">
        <w:rPr>
          <w:rFonts w:asciiTheme="majorHAnsi" w:hAnsiTheme="majorHAnsi"/>
          <w:sz w:val="20"/>
          <w:szCs w:val="20"/>
        </w:rPr>
        <w:t xml:space="preserve">. </w:t>
      </w:r>
    </w:p>
    <w:p w14:paraId="2F45CEC3" w14:textId="1AACCD15" w:rsidR="00F323C0" w:rsidRPr="005067A0" w:rsidRDefault="00312A03" w:rsidP="00EA20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rPr>
      </w:pPr>
      <w:r w:rsidRPr="00312A03">
        <w:rPr>
          <w:rFonts w:asciiTheme="majorHAnsi" w:eastAsia="Cambria" w:hAnsiTheme="majorHAnsi" w:cs="Cambria"/>
          <w:color w:val="000000"/>
          <w:sz w:val="20"/>
          <w:szCs w:val="20"/>
          <w:u w:color="000000"/>
          <w:lang w:eastAsia="es-ES"/>
        </w:rPr>
        <w:t>Finally, the Commission does not identify any allegation in the petitioner's position that would indicate any violation of due process in the manner in which the criminal proceedings against the alleged victim were conducted. According to the information available in the casefile, the alleged victim's representatives had the opportunity to actively participate in the proceedings and to broadly question factual and legal aspects of the case</w:t>
      </w:r>
      <w:r w:rsidR="00F323C0" w:rsidRPr="005067A0">
        <w:rPr>
          <w:rFonts w:asciiTheme="majorHAnsi" w:eastAsia="Cambria" w:hAnsiTheme="majorHAnsi" w:cs="Cambria"/>
          <w:color w:val="000000"/>
          <w:sz w:val="20"/>
          <w:szCs w:val="20"/>
          <w:u w:color="000000"/>
          <w:lang w:eastAsia="es-ES"/>
        </w:rPr>
        <w:t xml:space="preserve">. </w:t>
      </w:r>
    </w:p>
    <w:p w14:paraId="3F24D190" w14:textId="1AE1E12B" w:rsidR="00F323C0" w:rsidRPr="005067A0" w:rsidRDefault="00312A03" w:rsidP="00EA20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rPr>
      </w:pPr>
      <w:r w:rsidRPr="00312A03">
        <w:rPr>
          <w:rFonts w:asciiTheme="majorHAnsi" w:eastAsia="Cambria" w:hAnsiTheme="majorHAnsi" w:cs="Cambria"/>
          <w:color w:val="000000"/>
          <w:sz w:val="20"/>
          <w:szCs w:val="20"/>
          <w:u w:color="000000"/>
          <w:lang w:eastAsia="es-ES"/>
        </w:rPr>
        <w:t>Based on these considerations, the Commission concludes that the present case does not present elements that could involve a possible violation of the rights enshrined in the American Convention in the terms of its Article 47.</w:t>
      </w:r>
    </w:p>
    <w:p w14:paraId="60E1CD54" w14:textId="7182AAE4" w:rsidR="00F323C0" w:rsidRPr="005067A0" w:rsidRDefault="00F323C0" w:rsidP="00F621C3">
      <w:pPr>
        <w:pStyle w:val="ListParagraph"/>
        <w:spacing w:before="240" w:after="240"/>
        <w:jc w:val="both"/>
        <w:rPr>
          <w:rFonts w:asciiTheme="majorHAnsi" w:hAnsiTheme="majorHAnsi"/>
          <w:b/>
          <w:bCs/>
          <w:sz w:val="20"/>
          <w:szCs w:val="20"/>
        </w:rPr>
      </w:pPr>
      <w:r w:rsidRPr="005067A0">
        <w:rPr>
          <w:rFonts w:asciiTheme="majorHAnsi" w:hAnsiTheme="majorHAnsi"/>
          <w:b/>
          <w:sz w:val="20"/>
          <w:szCs w:val="20"/>
        </w:rPr>
        <w:t>IX.</w:t>
      </w:r>
      <w:r w:rsidRPr="005067A0">
        <w:rPr>
          <w:rFonts w:asciiTheme="majorHAnsi" w:hAnsiTheme="majorHAnsi"/>
          <w:b/>
          <w:sz w:val="20"/>
          <w:szCs w:val="20"/>
        </w:rPr>
        <w:tab/>
        <w:t>DECISION</w:t>
      </w:r>
    </w:p>
    <w:p w14:paraId="7B069E47" w14:textId="61227F8E" w:rsidR="00F621C3" w:rsidRPr="005067A0" w:rsidRDefault="00F621C3" w:rsidP="00F621C3">
      <w:pPr>
        <w:pStyle w:val="ListParagraph"/>
        <w:numPr>
          <w:ilvl w:val="0"/>
          <w:numId w:val="105"/>
        </w:numPr>
        <w:rPr>
          <w:rFonts w:eastAsia="Arial Unicode MS" w:cs="Times New Roman"/>
          <w:color w:val="auto"/>
          <w:sz w:val="20"/>
          <w:szCs w:val="20"/>
          <w:lang w:eastAsia="en-US"/>
        </w:rPr>
      </w:pPr>
      <w:r w:rsidRPr="005067A0">
        <w:rPr>
          <w:rFonts w:asciiTheme="majorHAnsi" w:hAnsiTheme="majorHAnsi"/>
          <w:sz w:val="20"/>
          <w:szCs w:val="20"/>
        </w:rPr>
        <w:t xml:space="preserve">To find the instant petition </w:t>
      </w:r>
      <w:r w:rsidRPr="002519AB">
        <w:rPr>
          <w:rFonts w:asciiTheme="majorHAnsi" w:hAnsiTheme="majorHAnsi"/>
          <w:color w:val="auto"/>
          <w:sz w:val="20"/>
          <w:szCs w:val="20"/>
        </w:rPr>
        <w:t>inadmissible</w:t>
      </w:r>
      <w:r w:rsidRPr="005067A0">
        <w:rPr>
          <w:rFonts w:eastAsia="Arial Unicode MS" w:cs="Times New Roman"/>
          <w:color w:val="auto"/>
          <w:sz w:val="20"/>
          <w:szCs w:val="20"/>
          <w:lang w:eastAsia="en-US"/>
        </w:rPr>
        <w:t>;</w:t>
      </w:r>
      <w:r w:rsidR="001F1902" w:rsidRPr="005067A0">
        <w:rPr>
          <w:rFonts w:eastAsia="Arial Unicode MS" w:cs="Times New Roman"/>
          <w:color w:val="auto"/>
          <w:sz w:val="20"/>
          <w:szCs w:val="20"/>
          <w:lang w:eastAsia="en-US"/>
        </w:rPr>
        <w:t xml:space="preserve"> and</w:t>
      </w:r>
    </w:p>
    <w:p w14:paraId="47F30965" w14:textId="77777777" w:rsidR="00F621C3" w:rsidRPr="005067A0" w:rsidRDefault="00F621C3" w:rsidP="00F621C3">
      <w:pPr>
        <w:pStyle w:val="ListParagraph"/>
        <w:rPr>
          <w:rFonts w:eastAsia="Arial Unicode MS" w:cs="Times New Roman"/>
          <w:color w:val="auto"/>
          <w:sz w:val="20"/>
          <w:szCs w:val="20"/>
          <w:lang w:eastAsia="en-US"/>
        </w:rPr>
      </w:pPr>
    </w:p>
    <w:p w14:paraId="3A0D0918" w14:textId="01CD299F" w:rsidR="00F621C3" w:rsidRPr="00D919E9" w:rsidRDefault="00F621C3" w:rsidP="002519A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rPr>
      </w:pPr>
      <w:r w:rsidRPr="005067A0">
        <w:rPr>
          <w:rFonts w:asciiTheme="majorHAnsi" w:hAnsiTheme="majorHAnsi"/>
          <w:sz w:val="20"/>
          <w:szCs w:val="20"/>
        </w:rPr>
        <w:t>To notify the parties of this decision;</w:t>
      </w:r>
      <w:r w:rsidR="001F1902" w:rsidRPr="005067A0">
        <w:rPr>
          <w:rFonts w:asciiTheme="majorHAnsi" w:hAnsiTheme="majorHAnsi"/>
          <w:sz w:val="20"/>
          <w:szCs w:val="20"/>
        </w:rPr>
        <w:t xml:space="preserve"> </w:t>
      </w:r>
      <w:r w:rsidRPr="005067A0">
        <w:rPr>
          <w:rFonts w:asciiTheme="majorHAnsi" w:hAnsiTheme="majorHAnsi"/>
          <w:sz w:val="20"/>
          <w:szCs w:val="20"/>
        </w:rPr>
        <w:t xml:space="preserve">and </w:t>
      </w:r>
      <w:r w:rsidR="001F1902" w:rsidRPr="005067A0">
        <w:rPr>
          <w:rFonts w:asciiTheme="majorHAnsi" w:hAnsiTheme="majorHAnsi"/>
          <w:sz w:val="20"/>
          <w:szCs w:val="20"/>
        </w:rPr>
        <w:t>t</w:t>
      </w:r>
      <w:r w:rsidRPr="005067A0">
        <w:rPr>
          <w:rFonts w:asciiTheme="majorHAnsi" w:hAnsiTheme="majorHAnsi"/>
          <w:sz w:val="20"/>
          <w:szCs w:val="20"/>
        </w:rPr>
        <w:t>o publish this decision and include it in its Annual Report to the General Assembly of the Organization of American States.</w:t>
      </w:r>
    </w:p>
    <w:p w14:paraId="2892CA5D" w14:textId="745E6F7E" w:rsidR="00D004A9" w:rsidRDefault="00D004A9" w:rsidP="00D004A9">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1</w:t>
      </w:r>
      <w:r w:rsidRPr="002E0ECD">
        <w:rPr>
          <w:rFonts w:ascii="Cambria" w:hAnsi="Cambria"/>
          <w:spacing w:val="-2"/>
          <w:sz w:val="20"/>
          <w:vertAlign w:val="superscript"/>
        </w:rPr>
        <w:t>st</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63114E">
        <w:rPr>
          <w:rFonts w:ascii="Cambria" w:hAnsi="Cambria"/>
          <w:spacing w:val="-2"/>
          <w:sz w:val="20"/>
        </w:rPr>
        <w:t>August</w:t>
      </w:r>
      <w:r>
        <w:rPr>
          <w:rFonts w:ascii="Cambria" w:hAnsi="Cambria"/>
          <w:spacing w:val="-2"/>
          <w:sz w:val="20"/>
        </w:rPr>
        <w:t xml:space="preserve"> 2023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691AC3">
        <w:rPr>
          <w:rStyle w:val="normaltextrun"/>
          <w:rFonts w:ascii="Cambria" w:hAnsi="Cambria" w:cs="Segoe UI"/>
          <w:sz w:val="20"/>
          <w:szCs w:val="20"/>
        </w:rPr>
        <w:t>Margarette May Macaulay</w:t>
      </w:r>
      <w:r w:rsidRPr="00CA3324">
        <w:rPr>
          <w:rStyle w:val="normaltextrun"/>
          <w:rFonts w:ascii="Cambria" w:hAnsi="Cambria" w:cs="Segoe UI"/>
          <w:sz w:val="20"/>
          <w:szCs w:val="20"/>
        </w:rPr>
        <w:t xml:space="preserve">, President; </w:t>
      </w:r>
      <w:r w:rsidRPr="006059AE">
        <w:rPr>
          <w:rStyle w:val="normaltextrun"/>
          <w:rFonts w:ascii="Cambria" w:hAnsi="Cambria" w:cs="Segoe UI"/>
          <w:sz w:val="20"/>
          <w:szCs w:val="20"/>
        </w:rPr>
        <w:t>Roberta Clarke</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sidRPr="007B0A47">
        <w:rPr>
          <w:rStyle w:val="normaltextrun"/>
          <w:rFonts w:ascii="Cambria" w:hAnsi="Cambria" w:cs="Segoe UI"/>
          <w:sz w:val="20"/>
          <w:szCs w:val="20"/>
        </w:rPr>
        <w:t>Julissa Mantilla Falcón</w:t>
      </w:r>
      <w:r>
        <w:rPr>
          <w:rStyle w:val="normaltextrun"/>
          <w:rFonts w:ascii="Cambria" w:hAnsi="Cambria" w:cs="Segoe UI"/>
          <w:sz w:val="20"/>
          <w:szCs w:val="20"/>
        </w:rPr>
        <w:t xml:space="preserve"> and</w:t>
      </w:r>
      <w:r w:rsidRPr="007B0A47">
        <w:rPr>
          <w:rStyle w:val="normaltextrun"/>
          <w:rFonts w:ascii="Cambria" w:hAnsi="Cambria" w:cs="Segoe UI"/>
          <w:sz w:val="20"/>
          <w:szCs w:val="20"/>
        </w:rPr>
        <w:t xml:space="preserve"> Carlos Bernal Pulido</w:t>
      </w:r>
      <w:r w:rsidRPr="00CA3324">
        <w:rPr>
          <w:rStyle w:val="normaltextrun"/>
          <w:rFonts w:ascii="Cambria" w:hAnsi="Cambria" w:cs="Segoe UI"/>
          <w:sz w:val="20"/>
          <w:szCs w:val="20"/>
        </w:rPr>
        <w:t>, Commissioners</w:t>
      </w:r>
      <w:r>
        <w:rPr>
          <w:rStyle w:val="normaltextrun"/>
          <w:rFonts w:ascii="Cambria" w:hAnsi="Cambria" w:cs="Segoe UI"/>
          <w:sz w:val="20"/>
          <w:szCs w:val="20"/>
        </w:rPr>
        <w:t>.</w:t>
      </w:r>
    </w:p>
    <w:p w14:paraId="60789431" w14:textId="77777777" w:rsidR="00D919E9" w:rsidRPr="005067A0" w:rsidRDefault="00D919E9" w:rsidP="00D919E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rPr>
      </w:pPr>
    </w:p>
    <w:p w14:paraId="2122B46A" w14:textId="77777777" w:rsidR="00C55560" w:rsidRPr="005067A0" w:rsidRDefault="00C55560" w:rsidP="00230163">
      <w:pPr>
        <w:tabs>
          <w:tab w:val="left" w:pos="2820"/>
        </w:tabs>
        <w:suppressAutoHyphens/>
        <w:spacing w:line="276" w:lineRule="auto"/>
        <w:rPr>
          <w:rFonts w:asciiTheme="majorHAnsi" w:hAnsiTheme="majorHAnsi"/>
          <w:sz w:val="20"/>
          <w:szCs w:val="20"/>
        </w:rPr>
      </w:pPr>
    </w:p>
    <w:sectPr w:rsidR="00C55560" w:rsidRPr="005067A0"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42EA" w14:textId="77777777" w:rsidR="00BC1641" w:rsidRDefault="00BC1641" w:rsidP="00036A8A">
      <w:r>
        <w:separator/>
      </w:r>
    </w:p>
  </w:endnote>
  <w:endnote w:type="continuationSeparator" w:id="0">
    <w:p w14:paraId="123FA929" w14:textId="77777777" w:rsidR="00BC1641" w:rsidRDefault="00BC164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F196E">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DFB95" w14:textId="77777777" w:rsidR="00BC1641" w:rsidRPr="00036A8A" w:rsidRDefault="00BC164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19B948F" w14:textId="77777777" w:rsidR="00BC1641" w:rsidRPr="00036A8A" w:rsidRDefault="00BC1641" w:rsidP="00036A8A">
      <w:pPr>
        <w:rPr>
          <w:rFonts w:asciiTheme="majorHAnsi" w:hAnsiTheme="majorHAnsi"/>
          <w:sz w:val="16"/>
          <w:szCs w:val="16"/>
        </w:rPr>
      </w:pPr>
      <w:r w:rsidRPr="00036A8A">
        <w:rPr>
          <w:rFonts w:asciiTheme="majorHAnsi" w:hAnsiTheme="majorHAnsi"/>
          <w:sz w:val="16"/>
          <w:szCs w:val="16"/>
        </w:rPr>
        <w:separator/>
      </w:r>
    </w:p>
    <w:p w14:paraId="689EE50C" w14:textId="77777777" w:rsidR="00BC1641" w:rsidRPr="00036A8A" w:rsidRDefault="00BC164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FEB1700" w14:textId="77777777" w:rsidR="00BC1641" w:rsidRPr="0093441A" w:rsidRDefault="00BC1641"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71B592BB" w14:textId="0FFCB24F" w:rsidR="005622B6" w:rsidRPr="00D34BEB" w:rsidRDefault="005622B6" w:rsidP="005622B6">
      <w:pPr>
        <w:pStyle w:val="FootnoteText"/>
        <w:ind w:firstLine="720"/>
        <w:jc w:val="both"/>
      </w:pPr>
      <w:r w:rsidRPr="00D34BEB">
        <w:rPr>
          <w:rStyle w:val="FootnoteReference"/>
          <w:rFonts w:asciiTheme="majorHAnsi" w:hAnsiTheme="majorHAnsi"/>
          <w:sz w:val="16"/>
          <w:szCs w:val="16"/>
        </w:rPr>
        <w:footnoteRef/>
      </w:r>
      <w:r w:rsidRPr="00D34BEB">
        <w:rPr>
          <w:rFonts w:asciiTheme="majorHAnsi" w:hAnsiTheme="majorHAnsi"/>
          <w:sz w:val="16"/>
          <w:szCs w:val="16"/>
        </w:rPr>
        <w:t xml:space="preserve"> </w:t>
      </w:r>
      <w:r w:rsidR="00F323C0" w:rsidRPr="00D34BEB">
        <w:rPr>
          <w:rFonts w:asciiTheme="majorHAnsi" w:hAnsiTheme="majorHAnsi"/>
          <w:sz w:val="16"/>
          <w:szCs w:val="16"/>
        </w:rPr>
        <w:t>Hereinafter "the American Convention" or "the Convention"</w:t>
      </w:r>
    </w:p>
  </w:footnote>
  <w:footnote w:id="3">
    <w:p w14:paraId="6F51BDAF" w14:textId="5F4755E7" w:rsidR="00653EA6" w:rsidRPr="00D34BEB" w:rsidRDefault="00653EA6" w:rsidP="00210F4B">
      <w:pPr>
        <w:pStyle w:val="FootnoteText"/>
        <w:ind w:firstLine="720"/>
        <w:jc w:val="both"/>
        <w:rPr>
          <w:rFonts w:ascii="Cambria" w:hAnsi="Cambria"/>
          <w:sz w:val="16"/>
          <w:szCs w:val="16"/>
        </w:rPr>
      </w:pPr>
      <w:r w:rsidRPr="00D34BEB">
        <w:rPr>
          <w:rStyle w:val="FootnoteReference"/>
          <w:rFonts w:ascii="Cambria" w:hAnsi="Cambria"/>
          <w:sz w:val="16"/>
          <w:szCs w:val="16"/>
        </w:rPr>
        <w:footnoteRef/>
      </w:r>
      <w:r w:rsidRPr="00D34BEB">
        <w:rPr>
          <w:rFonts w:ascii="Cambria" w:hAnsi="Cambria"/>
          <w:sz w:val="16"/>
          <w:szCs w:val="16"/>
        </w:rPr>
        <w:t xml:space="preserve"> The observations </w:t>
      </w:r>
      <w:r w:rsidR="00321AFD" w:rsidRPr="00D34BEB">
        <w:rPr>
          <w:rFonts w:ascii="Cambria" w:hAnsi="Cambria"/>
          <w:sz w:val="16"/>
          <w:szCs w:val="16"/>
        </w:rPr>
        <w:t>submitted</w:t>
      </w:r>
      <w:r w:rsidRPr="00D34BEB">
        <w:rPr>
          <w:rFonts w:ascii="Cambria" w:hAnsi="Cambria"/>
          <w:sz w:val="16"/>
          <w:szCs w:val="16"/>
        </w:rPr>
        <w:t xml:space="preserve"> by each party were duly transmitted to the opposing party.</w:t>
      </w:r>
    </w:p>
  </w:footnote>
  <w:footnote w:id="4">
    <w:p w14:paraId="7E534153" w14:textId="41020271" w:rsidR="00F323C0" w:rsidRPr="00D34BEB" w:rsidRDefault="00F323C0" w:rsidP="00F323C0">
      <w:pPr>
        <w:pStyle w:val="FootnoteText"/>
        <w:ind w:firstLine="720"/>
        <w:jc w:val="both"/>
        <w:rPr>
          <w:rFonts w:asciiTheme="majorHAnsi" w:hAnsiTheme="majorHAnsi"/>
          <w:sz w:val="16"/>
          <w:szCs w:val="16"/>
        </w:rPr>
      </w:pPr>
      <w:r w:rsidRPr="00D34BEB">
        <w:rPr>
          <w:rStyle w:val="FootnoteReference"/>
          <w:rFonts w:asciiTheme="majorHAnsi" w:hAnsiTheme="majorHAnsi"/>
          <w:sz w:val="16"/>
          <w:szCs w:val="16"/>
        </w:rPr>
        <w:footnoteRef/>
      </w:r>
      <w:r w:rsidRPr="00D34BEB">
        <w:rPr>
          <w:rFonts w:asciiTheme="majorHAnsi" w:hAnsiTheme="majorHAnsi"/>
          <w:sz w:val="16"/>
          <w:szCs w:val="16"/>
        </w:rPr>
        <w:t xml:space="preserve"> </w:t>
      </w:r>
      <w:r w:rsidR="00D34BEB" w:rsidRPr="00D34BEB">
        <w:rPr>
          <w:rFonts w:asciiTheme="majorHAnsi" w:hAnsiTheme="majorHAnsi"/>
          <w:sz w:val="16"/>
          <w:szCs w:val="16"/>
        </w:rPr>
        <w:t>Hereinafter the "Inter-American Court" or the "IHR Court"</w:t>
      </w:r>
      <w:r w:rsidRPr="00D34BEB">
        <w:rPr>
          <w:rFonts w:asciiTheme="majorHAnsi" w:hAnsiTheme="majorHAnsi"/>
          <w:sz w:val="16"/>
          <w:szCs w:val="16"/>
        </w:rPr>
        <w:t>.</w:t>
      </w:r>
    </w:p>
  </w:footnote>
  <w:footnote w:id="5">
    <w:p w14:paraId="5AFE0257" w14:textId="181F1E10" w:rsidR="00F323C0" w:rsidRPr="00D34BEB" w:rsidRDefault="00F323C0" w:rsidP="00F323C0">
      <w:pPr>
        <w:pStyle w:val="FootnoteText"/>
        <w:ind w:firstLine="720"/>
        <w:jc w:val="both"/>
        <w:rPr>
          <w:rFonts w:asciiTheme="majorHAnsi" w:hAnsiTheme="majorHAnsi"/>
          <w:sz w:val="16"/>
          <w:szCs w:val="16"/>
        </w:rPr>
      </w:pPr>
      <w:r w:rsidRPr="00D34BEB">
        <w:rPr>
          <w:rStyle w:val="FootnoteReference"/>
          <w:rFonts w:asciiTheme="majorHAnsi" w:hAnsiTheme="majorHAnsi"/>
          <w:sz w:val="16"/>
          <w:szCs w:val="16"/>
        </w:rPr>
        <w:footnoteRef/>
      </w:r>
      <w:r w:rsidRPr="00D34BEB">
        <w:rPr>
          <w:rFonts w:asciiTheme="majorHAnsi" w:hAnsiTheme="majorHAnsi"/>
          <w:sz w:val="16"/>
          <w:szCs w:val="16"/>
        </w:rPr>
        <w:t xml:space="preserve"> IHR Court. </w:t>
      </w:r>
      <w:r w:rsidR="00D34BEB">
        <w:rPr>
          <w:rFonts w:asciiTheme="majorHAnsi" w:hAnsiTheme="majorHAnsi"/>
          <w:sz w:val="16"/>
          <w:szCs w:val="16"/>
        </w:rPr>
        <w:t>Case of Herrera Ulloa vs. Costa Rica. Preliminary Exceptions, Merits, Reparations and Costs. Judgment of July 2, 2004. Series C No. 107, para.</w:t>
      </w:r>
      <w:r w:rsidRPr="00D34BEB">
        <w:rPr>
          <w:rFonts w:asciiTheme="majorHAnsi" w:hAnsiTheme="majorHAnsi"/>
          <w:sz w:val="16"/>
          <w:szCs w:val="16"/>
        </w:rPr>
        <w:t xml:space="preserve">167. </w:t>
      </w:r>
    </w:p>
  </w:footnote>
  <w:footnote w:id="6">
    <w:p w14:paraId="5DACA0BD" w14:textId="787CCFF3" w:rsidR="00F323C0" w:rsidRPr="00D34BEB" w:rsidRDefault="00F323C0" w:rsidP="00F323C0">
      <w:pPr>
        <w:pStyle w:val="FootnoteText"/>
        <w:ind w:firstLine="720"/>
        <w:jc w:val="both"/>
      </w:pPr>
      <w:r w:rsidRPr="00D34BEB">
        <w:rPr>
          <w:rStyle w:val="FootnoteReference"/>
          <w:rFonts w:asciiTheme="majorHAnsi" w:hAnsiTheme="majorHAnsi"/>
          <w:sz w:val="16"/>
          <w:szCs w:val="16"/>
        </w:rPr>
        <w:footnoteRef/>
      </w:r>
      <w:r w:rsidRPr="00D34BEB">
        <w:rPr>
          <w:rFonts w:asciiTheme="majorHAnsi" w:hAnsiTheme="majorHAnsi"/>
          <w:sz w:val="16"/>
          <w:szCs w:val="16"/>
        </w:rPr>
        <w:t xml:space="preserve"> IHR Court. </w:t>
      </w:r>
      <w:r w:rsidR="00D34BEB">
        <w:rPr>
          <w:rFonts w:asciiTheme="majorHAnsi" w:hAnsiTheme="majorHAnsi"/>
          <w:sz w:val="16"/>
          <w:szCs w:val="16"/>
        </w:rPr>
        <w:t>Case of Herrera Ulloa vs. Costa Rica. Preliminary Exceptions, Merits, Reparations and Costs. Judgment of July 2, 2004. Series C No. 107, para.</w:t>
      </w:r>
      <w:r w:rsidRPr="00D34BEB">
        <w:rPr>
          <w:rFonts w:asciiTheme="majorHAnsi" w:hAnsiTheme="majorHAnsi"/>
          <w:sz w:val="16"/>
          <w:szCs w:val="16"/>
        </w:rPr>
        <w:t>198.</w:t>
      </w:r>
    </w:p>
  </w:footnote>
  <w:footnote w:id="7">
    <w:p w14:paraId="429F6A65" w14:textId="66F15443" w:rsidR="00F323C0" w:rsidRPr="00D34BEB" w:rsidRDefault="00F323C0" w:rsidP="00F323C0">
      <w:pPr>
        <w:pStyle w:val="FootnoteText"/>
        <w:ind w:firstLine="720"/>
        <w:jc w:val="both"/>
        <w:rPr>
          <w:rFonts w:asciiTheme="majorHAnsi" w:hAnsiTheme="majorHAnsi"/>
          <w:sz w:val="16"/>
          <w:szCs w:val="16"/>
        </w:rPr>
      </w:pPr>
      <w:r w:rsidRPr="00D34BEB">
        <w:rPr>
          <w:rStyle w:val="FootnoteReference"/>
          <w:rFonts w:asciiTheme="majorHAnsi" w:hAnsiTheme="majorHAnsi"/>
          <w:sz w:val="16"/>
          <w:szCs w:val="16"/>
        </w:rPr>
        <w:footnoteRef/>
      </w:r>
      <w:r w:rsidRPr="00D34BEB">
        <w:rPr>
          <w:rFonts w:asciiTheme="majorHAnsi" w:hAnsiTheme="majorHAnsi"/>
          <w:sz w:val="16"/>
          <w:szCs w:val="16"/>
        </w:rPr>
        <w:t xml:space="preserve"> IHR Court. </w:t>
      </w:r>
      <w:r w:rsidR="00D34BEB">
        <w:rPr>
          <w:rFonts w:asciiTheme="majorHAnsi" w:hAnsiTheme="majorHAnsi"/>
          <w:sz w:val="16"/>
          <w:szCs w:val="16"/>
        </w:rPr>
        <w:t>Case of Amrhein and others vs. Costa Rica. Preliminary Exceptions, Merits, Reparations and Costs. Judgment of April 25, 2018. Series C No. 354, para.</w:t>
      </w:r>
      <w:r w:rsidRPr="00D34BEB">
        <w:rPr>
          <w:rFonts w:asciiTheme="majorHAnsi" w:hAnsiTheme="majorHAnsi"/>
          <w:sz w:val="16"/>
          <w:szCs w:val="16"/>
        </w:rPr>
        <w:t xml:space="preserve"> 262.</w:t>
      </w:r>
    </w:p>
  </w:footnote>
  <w:footnote w:id="8">
    <w:p w14:paraId="78C18891" w14:textId="6E5F1167" w:rsidR="00F323C0" w:rsidRPr="00D34BEB" w:rsidRDefault="00F323C0" w:rsidP="00F323C0">
      <w:pPr>
        <w:pStyle w:val="FootnoteText"/>
        <w:ind w:firstLine="720"/>
        <w:jc w:val="both"/>
        <w:rPr>
          <w:rFonts w:asciiTheme="majorHAnsi" w:hAnsiTheme="majorHAnsi"/>
          <w:sz w:val="16"/>
          <w:szCs w:val="16"/>
        </w:rPr>
      </w:pPr>
      <w:r w:rsidRPr="00D34BEB">
        <w:rPr>
          <w:rStyle w:val="FootnoteReference"/>
          <w:rFonts w:asciiTheme="majorHAnsi" w:hAnsiTheme="majorHAnsi"/>
          <w:sz w:val="16"/>
          <w:szCs w:val="16"/>
        </w:rPr>
        <w:footnoteRef/>
      </w:r>
      <w:r w:rsidRPr="00D34BEB">
        <w:rPr>
          <w:rFonts w:asciiTheme="majorHAnsi" w:hAnsiTheme="majorHAnsi"/>
          <w:sz w:val="16"/>
          <w:szCs w:val="16"/>
        </w:rPr>
        <w:t xml:space="preserve"> IHR Court. </w:t>
      </w:r>
      <w:r w:rsidR="00D34BEB">
        <w:rPr>
          <w:rFonts w:asciiTheme="majorHAnsi" w:hAnsiTheme="majorHAnsi"/>
          <w:sz w:val="16"/>
          <w:szCs w:val="16"/>
        </w:rPr>
        <w:t>Case of Amrhein and others vs. Costa Rica. Preliminary Exceptions, Merits, Reparations and Costs. Judgment of April 25, 2018. Series C No. 354, para.</w:t>
      </w:r>
      <w:r w:rsidRPr="00D34BEB">
        <w:rPr>
          <w:rFonts w:asciiTheme="majorHAnsi" w:hAnsiTheme="majorHAnsi"/>
          <w:sz w:val="16"/>
          <w:szCs w:val="16"/>
        </w:rPr>
        <w:t xml:space="preserve"> 48. </w:t>
      </w:r>
    </w:p>
  </w:footnote>
  <w:footnote w:id="9">
    <w:p w14:paraId="33A127C0" w14:textId="32CB6107" w:rsidR="00F323C0" w:rsidRPr="00D34BEB" w:rsidRDefault="00F323C0" w:rsidP="00F323C0">
      <w:pPr>
        <w:pStyle w:val="FootnoteText"/>
        <w:ind w:firstLine="720"/>
        <w:jc w:val="both"/>
      </w:pPr>
      <w:r w:rsidRPr="00D34BEB">
        <w:rPr>
          <w:rStyle w:val="FootnoteReference"/>
          <w:rFonts w:asciiTheme="majorHAnsi" w:hAnsiTheme="majorHAnsi"/>
          <w:sz w:val="16"/>
          <w:szCs w:val="16"/>
        </w:rPr>
        <w:footnoteRef/>
      </w:r>
      <w:r w:rsidRPr="00D34BEB">
        <w:rPr>
          <w:rFonts w:asciiTheme="majorHAnsi" w:hAnsiTheme="majorHAnsi"/>
          <w:sz w:val="16"/>
          <w:szCs w:val="16"/>
        </w:rPr>
        <w:t xml:space="preserve"> IHR Court. </w:t>
      </w:r>
      <w:r w:rsidR="00D34BEB">
        <w:rPr>
          <w:rFonts w:asciiTheme="majorHAnsi" w:hAnsiTheme="majorHAnsi"/>
          <w:sz w:val="16"/>
          <w:szCs w:val="16"/>
        </w:rPr>
        <w:t>Case of Amrhein and others vs. Costa Rica. Preliminary Exceptions, Merits, Reparations and Costs. Judgment of April 25, 2018. Series C No. 354, para.</w:t>
      </w:r>
      <w:r w:rsidRPr="00D34BEB">
        <w:rPr>
          <w:rFonts w:asciiTheme="majorHAnsi" w:hAnsiTheme="majorHAnsi"/>
          <w:sz w:val="16"/>
          <w:szCs w:val="16"/>
        </w:rPr>
        <w:t xml:space="preserve"> 265. </w:t>
      </w:r>
    </w:p>
  </w:footnote>
  <w:footnote w:id="10">
    <w:p w14:paraId="487EBB01" w14:textId="4863DAC6" w:rsidR="00F323C0" w:rsidRPr="00D34BEB" w:rsidRDefault="00F323C0" w:rsidP="00F323C0">
      <w:pPr>
        <w:pStyle w:val="FootnoteText"/>
        <w:ind w:firstLine="720"/>
        <w:jc w:val="both"/>
        <w:rPr>
          <w:rFonts w:asciiTheme="majorHAnsi" w:hAnsiTheme="majorHAnsi"/>
          <w:sz w:val="16"/>
          <w:szCs w:val="16"/>
        </w:rPr>
      </w:pPr>
      <w:r w:rsidRPr="00D34BEB">
        <w:rPr>
          <w:rStyle w:val="FootnoteReference"/>
          <w:rFonts w:asciiTheme="majorHAnsi" w:hAnsiTheme="majorHAnsi"/>
          <w:sz w:val="16"/>
          <w:szCs w:val="16"/>
        </w:rPr>
        <w:footnoteRef/>
      </w:r>
      <w:r w:rsidRPr="00D34BEB">
        <w:rPr>
          <w:rFonts w:asciiTheme="majorHAnsi" w:hAnsiTheme="majorHAnsi"/>
          <w:sz w:val="16"/>
          <w:szCs w:val="16"/>
        </w:rPr>
        <w:t xml:space="preserve"> IHR Court. </w:t>
      </w:r>
      <w:r w:rsidR="00D34BEB" w:rsidRPr="00D34BEB">
        <w:rPr>
          <w:rFonts w:asciiTheme="majorHAnsi" w:hAnsiTheme="majorHAnsi"/>
          <w:sz w:val="16"/>
          <w:szCs w:val="16"/>
        </w:rPr>
        <w:t>Case of Herrera Ulloa vs. Costa Rica. Supervision of Compliance with Judgment. Judgment of the Inter-American Court of Human Rights of November 22, 2010, para.</w:t>
      </w:r>
      <w:r w:rsidRPr="00D34BEB">
        <w:rPr>
          <w:rFonts w:asciiTheme="majorHAnsi" w:hAnsiTheme="majorHAnsi"/>
          <w:sz w:val="16"/>
          <w:szCs w:val="16"/>
        </w:rPr>
        <w:t xml:space="preserve">16. </w:t>
      </w:r>
    </w:p>
  </w:footnote>
  <w:footnote w:id="11">
    <w:p w14:paraId="40D8EF6D" w14:textId="569DDD9C" w:rsidR="00F323C0" w:rsidRPr="00D34BEB" w:rsidRDefault="00F323C0" w:rsidP="00F323C0">
      <w:pPr>
        <w:pStyle w:val="FootnoteText"/>
        <w:ind w:firstLine="720"/>
        <w:jc w:val="both"/>
        <w:rPr>
          <w:rFonts w:ascii="Cambria" w:hAnsi="Cambria"/>
          <w:sz w:val="16"/>
          <w:szCs w:val="16"/>
        </w:rPr>
      </w:pPr>
      <w:r w:rsidRPr="00D34BEB">
        <w:rPr>
          <w:rStyle w:val="FootnoteReference"/>
          <w:rFonts w:ascii="Cambria" w:hAnsi="Cambria"/>
          <w:sz w:val="16"/>
          <w:szCs w:val="16"/>
        </w:rPr>
        <w:footnoteRef/>
      </w:r>
      <w:r w:rsidRPr="00D34BEB">
        <w:rPr>
          <w:rFonts w:ascii="Cambria" w:hAnsi="Cambria"/>
          <w:sz w:val="16"/>
          <w:szCs w:val="16"/>
        </w:rPr>
        <w:t xml:space="preserve"> </w:t>
      </w:r>
      <w:r w:rsidR="00D34BEB" w:rsidRPr="00D34BEB">
        <w:rPr>
          <w:rFonts w:ascii="Cambria" w:hAnsi="Cambria"/>
          <w:sz w:val="16"/>
          <w:szCs w:val="16"/>
        </w:rPr>
        <w:t>IACHR. Report No. 33/14. Case 12.820. Merits. Manfred Amrhein and others. Costa Rica. April 4, 2014. Paras. 217 to 220</w:t>
      </w:r>
      <w:r w:rsidRPr="00D34BEB">
        <w:rPr>
          <w:rFonts w:ascii="Cambria" w:hAnsi="Cambria"/>
          <w:sz w:val="16"/>
          <w:szCs w:val="16"/>
        </w:rPr>
        <w:t xml:space="preserve">. </w:t>
      </w:r>
    </w:p>
  </w:footnote>
  <w:footnote w:id="12">
    <w:p w14:paraId="5D660F2C" w14:textId="4C57E106" w:rsidR="00F323C0" w:rsidRPr="00D34BEB" w:rsidRDefault="00F323C0" w:rsidP="00F323C0">
      <w:pPr>
        <w:pStyle w:val="FootnoteText"/>
        <w:ind w:firstLine="720"/>
        <w:jc w:val="both"/>
        <w:rPr>
          <w:sz w:val="16"/>
          <w:szCs w:val="16"/>
        </w:rPr>
      </w:pPr>
      <w:r w:rsidRPr="00D34BEB">
        <w:rPr>
          <w:rStyle w:val="FootnoteReference"/>
          <w:rFonts w:ascii="Cambria" w:hAnsi="Cambria"/>
          <w:sz w:val="16"/>
          <w:szCs w:val="16"/>
        </w:rPr>
        <w:footnoteRef/>
      </w:r>
      <w:r w:rsidRPr="00D34BEB">
        <w:rPr>
          <w:rFonts w:ascii="Cambria" w:hAnsi="Cambria"/>
          <w:sz w:val="16"/>
          <w:szCs w:val="16"/>
        </w:rPr>
        <w:t xml:space="preserve"> </w:t>
      </w:r>
      <w:r w:rsidRPr="00D34BEB">
        <w:rPr>
          <w:rFonts w:ascii="Cambria" w:hAnsi="Cambria"/>
          <w:sz w:val="16"/>
          <w:szCs w:val="16"/>
          <w:shd w:val="clear" w:color="auto" w:fill="FFFFFF"/>
        </w:rPr>
        <w:t xml:space="preserve">IHR Court. </w:t>
      </w:r>
      <w:r w:rsidRPr="00D34BEB">
        <w:rPr>
          <w:rFonts w:ascii="Cambria" w:hAnsi="Cambria"/>
          <w:i/>
          <w:sz w:val="16"/>
          <w:szCs w:val="16"/>
          <w:shd w:val="clear" w:color="auto" w:fill="FFFFFF"/>
        </w:rPr>
        <w:t>Cas</w:t>
      </w:r>
      <w:r w:rsidR="00D34BEB">
        <w:rPr>
          <w:rFonts w:ascii="Cambria" w:hAnsi="Cambria"/>
          <w:i/>
          <w:sz w:val="16"/>
          <w:szCs w:val="16"/>
          <w:shd w:val="clear" w:color="auto" w:fill="FFFFFF"/>
        </w:rPr>
        <w:t xml:space="preserve">e </w:t>
      </w:r>
      <w:r w:rsidRPr="00D34BEB">
        <w:rPr>
          <w:rFonts w:ascii="Cambria" w:hAnsi="Cambria"/>
          <w:i/>
          <w:sz w:val="16"/>
          <w:szCs w:val="16"/>
          <w:shd w:val="clear" w:color="auto" w:fill="FFFFFF"/>
        </w:rPr>
        <w:t>o</w:t>
      </w:r>
      <w:r w:rsidR="00D34BEB">
        <w:rPr>
          <w:rFonts w:ascii="Cambria" w:hAnsi="Cambria"/>
          <w:i/>
          <w:sz w:val="16"/>
          <w:szCs w:val="16"/>
          <w:shd w:val="clear" w:color="auto" w:fill="FFFFFF"/>
        </w:rPr>
        <w:t>f</w:t>
      </w:r>
      <w:r w:rsidRPr="00D34BEB">
        <w:rPr>
          <w:rFonts w:ascii="Cambria" w:hAnsi="Cambria"/>
          <w:i/>
          <w:sz w:val="16"/>
          <w:szCs w:val="16"/>
          <w:shd w:val="clear" w:color="auto" w:fill="FFFFFF"/>
        </w:rPr>
        <w:t xml:space="preserve"> Amrhein </w:t>
      </w:r>
      <w:r w:rsidR="00D34BEB">
        <w:rPr>
          <w:rFonts w:ascii="Cambria" w:hAnsi="Cambria"/>
          <w:i/>
          <w:sz w:val="16"/>
          <w:szCs w:val="16"/>
          <w:shd w:val="clear" w:color="auto" w:fill="FFFFFF"/>
        </w:rPr>
        <w:t>and others</w:t>
      </w:r>
      <w:r w:rsidRPr="00D34BEB">
        <w:rPr>
          <w:rFonts w:ascii="Cambria" w:hAnsi="Cambria"/>
          <w:i/>
          <w:sz w:val="16"/>
          <w:szCs w:val="16"/>
          <w:shd w:val="clear" w:color="auto" w:fill="FFFFFF"/>
        </w:rPr>
        <w:t xml:space="preserve"> Vs. Costa Rica</w:t>
      </w:r>
      <w:r w:rsidRPr="00D34BEB">
        <w:rPr>
          <w:rFonts w:ascii="Cambria" w:hAnsi="Cambria"/>
          <w:sz w:val="16"/>
          <w:szCs w:val="16"/>
          <w:shd w:val="clear" w:color="auto" w:fill="FFFFFF"/>
        </w:rPr>
        <w:t xml:space="preserve">. </w:t>
      </w:r>
      <w:r w:rsidR="00D34BEB">
        <w:rPr>
          <w:rFonts w:asciiTheme="majorHAnsi" w:hAnsiTheme="majorHAnsi"/>
          <w:sz w:val="16"/>
          <w:szCs w:val="16"/>
        </w:rPr>
        <w:t>Preliminary Exceptions, Merits, Reparations and Costs. Judgment of April 25, 2018. Series C No. 354, para.</w:t>
      </w:r>
      <w:r w:rsidR="00D34BEB" w:rsidRPr="00D34BEB">
        <w:rPr>
          <w:rFonts w:asciiTheme="majorHAnsi" w:hAnsiTheme="majorHAnsi"/>
          <w:sz w:val="16"/>
          <w:szCs w:val="16"/>
        </w:rPr>
        <w:t xml:space="preserve"> </w:t>
      </w:r>
      <w:r w:rsidRPr="00D34BEB">
        <w:rPr>
          <w:rFonts w:ascii="Cambria" w:hAnsi="Cambria"/>
          <w:sz w:val="16"/>
          <w:szCs w:val="16"/>
          <w:shd w:val="clear" w:color="auto" w:fill="FFFFFF"/>
        </w:rPr>
        <w:t>260.</w:t>
      </w:r>
    </w:p>
  </w:footnote>
  <w:footnote w:id="13">
    <w:p w14:paraId="2F60FE60" w14:textId="741F527B" w:rsidR="00F323C0" w:rsidRPr="00D34BEB" w:rsidRDefault="00F323C0" w:rsidP="00F323C0">
      <w:pPr>
        <w:pStyle w:val="FootnoteText"/>
        <w:ind w:firstLine="720"/>
        <w:jc w:val="both"/>
        <w:rPr>
          <w:rFonts w:asciiTheme="majorHAnsi" w:hAnsiTheme="majorHAnsi"/>
          <w:color w:val="auto"/>
          <w:sz w:val="16"/>
          <w:szCs w:val="16"/>
        </w:rPr>
      </w:pPr>
      <w:r w:rsidRPr="00D34BEB">
        <w:rPr>
          <w:rStyle w:val="FootnoteReference"/>
          <w:rFonts w:ascii="Cambria" w:hAnsi="Cambria"/>
          <w:sz w:val="16"/>
          <w:szCs w:val="16"/>
        </w:rPr>
        <w:footnoteRef/>
      </w:r>
      <w:r w:rsidRPr="00D34BEB">
        <w:rPr>
          <w:rFonts w:ascii="Cambria" w:hAnsi="Cambria"/>
          <w:sz w:val="16"/>
          <w:szCs w:val="16"/>
        </w:rPr>
        <w:t xml:space="preserve"> </w:t>
      </w:r>
      <w:r w:rsidRPr="00D34BEB">
        <w:rPr>
          <w:rFonts w:ascii="Cambria" w:hAnsi="Cambria"/>
          <w:sz w:val="16"/>
          <w:szCs w:val="16"/>
          <w:shd w:val="clear" w:color="auto" w:fill="FFFFFF"/>
        </w:rPr>
        <w:t xml:space="preserve">IHR Court. </w:t>
      </w:r>
      <w:r w:rsidRPr="00D34BEB">
        <w:rPr>
          <w:rFonts w:ascii="Cambria" w:hAnsi="Cambria"/>
          <w:i/>
          <w:sz w:val="16"/>
          <w:szCs w:val="16"/>
          <w:shd w:val="clear" w:color="auto" w:fill="FFFFFF"/>
        </w:rPr>
        <w:t>Cas</w:t>
      </w:r>
      <w:r w:rsidR="00D34BEB">
        <w:rPr>
          <w:rFonts w:ascii="Cambria" w:hAnsi="Cambria"/>
          <w:i/>
          <w:sz w:val="16"/>
          <w:szCs w:val="16"/>
          <w:shd w:val="clear" w:color="auto" w:fill="FFFFFF"/>
        </w:rPr>
        <w:t xml:space="preserve">e </w:t>
      </w:r>
      <w:r w:rsidRPr="00D34BEB">
        <w:rPr>
          <w:rFonts w:ascii="Cambria" w:hAnsi="Cambria"/>
          <w:i/>
          <w:sz w:val="16"/>
          <w:szCs w:val="16"/>
          <w:shd w:val="clear" w:color="auto" w:fill="FFFFFF"/>
        </w:rPr>
        <w:t>o</w:t>
      </w:r>
      <w:r w:rsidR="00D34BEB">
        <w:rPr>
          <w:rFonts w:ascii="Cambria" w:hAnsi="Cambria"/>
          <w:i/>
          <w:sz w:val="16"/>
          <w:szCs w:val="16"/>
          <w:shd w:val="clear" w:color="auto" w:fill="FFFFFF"/>
        </w:rPr>
        <w:t>f</w:t>
      </w:r>
      <w:r w:rsidRPr="00D34BEB">
        <w:rPr>
          <w:rFonts w:ascii="Cambria" w:hAnsi="Cambria"/>
          <w:i/>
          <w:sz w:val="16"/>
          <w:szCs w:val="16"/>
          <w:shd w:val="clear" w:color="auto" w:fill="FFFFFF"/>
        </w:rPr>
        <w:t xml:space="preserve"> Amrhein </w:t>
      </w:r>
      <w:r w:rsidR="00D34BEB">
        <w:rPr>
          <w:rFonts w:ascii="Cambria" w:hAnsi="Cambria"/>
          <w:i/>
          <w:sz w:val="16"/>
          <w:szCs w:val="16"/>
          <w:shd w:val="clear" w:color="auto" w:fill="FFFFFF"/>
        </w:rPr>
        <w:t>and others</w:t>
      </w:r>
      <w:r w:rsidRPr="00D34BEB">
        <w:rPr>
          <w:rFonts w:ascii="Cambria" w:hAnsi="Cambria"/>
          <w:i/>
          <w:sz w:val="16"/>
          <w:szCs w:val="16"/>
          <w:shd w:val="clear" w:color="auto" w:fill="FFFFFF"/>
        </w:rPr>
        <w:t xml:space="preserve"> Vs. Costa Rica</w:t>
      </w:r>
      <w:r w:rsidRPr="00D34BEB">
        <w:rPr>
          <w:rFonts w:ascii="Cambria" w:hAnsi="Cambria"/>
          <w:sz w:val="16"/>
          <w:szCs w:val="16"/>
          <w:shd w:val="clear" w:color="auto" w:fill="FFFFFF"/>
        </w:rPr>
        <w:t xml:space="preserve">. </w:t>
      </w:r>
      <w:r w:rsidR="00D34BEB" w:rsidRPr="00D34BEB">
        <w:rPr>
          <w:rFonts w:ascii="Cambria" w:hAnsi="Cambria"/>
          <w:sz w:val="16"/>
          <w:szCs w:val="16"/>
          <w:shd w:val="clear" w:color="auto" w:fill="FFFFFF"/>
        </w:rPr>
        <w:t>Preliminary Exceptions, Merits, Reparations and Costs. Judgment of April 25, 2018. Series C No. 354. para. 266</w:t>
      </w:r>
      <w:r w:rsidRPr="00D34BEB">
        <w:rPr>
          <w:rFonts w:asciiTheme="majorHAnsi" w:hAnsiTheme="majorHAnsi"/>
          <w:color w:val="auto"/>
          <w:sz w:val="16"/>
          <w:szCs w:val="16"/>
          <w:shd w:val="clear" w:color="auto" w:fill="FFFFFF"/>
        </w:rPr>
        <w:t xml:space="preserve">. </w:t>
      </w:r>
    </w:p>
  </w:footnote>
  <w:footnote w:id="14">
    <w:p w14:paraId="0C81600E" w14:textId="19F6E625" w:rsidR="00F323C0" w:rsidRPr="00D34BEB" w:rsidRDefault="00F323C0" w:rsidP="00F323C0">
      <w:pPr>
        <w:pStyle w:val="FootnoteText"/>
        <w:ind w:firstLine="720"/>
        <w:rPr>
          <w:color w:val="auto"/>
        </w:rPr>
      </w:pPr>
      <w:r w:rsidRPr="00D34BEB">
        <w:rPr>
          <w:rStyle w:val="FootnoteReference"/>
          <w:rFonts w:asciiTheme="majorHAnsi" w:hAnsiTheme="majorHAnsi"/>
          <w:color w:val="auto"/>
          <w:sz w:val="16"/>
          <w:szCs w:val="16"/>
        </w:rPr>
        <w:footnoteRef/>
      </w:r>
      <w:r w:rsidRPr="00D34BEB">
        <w:rPr>
          <w:rFonts w:asciiTheme="majorHAnsi" w:hAnsiTheme="majorHAnsi"/>
          <w:color w:val="auto"/>
          <w:sz w:val="16"/>
          <w:szCs w:val="16"/>
        </w:rPr>
        <w:t xml:space="preserve"> </w:t>
      </w:r>
      <w:r w:rsidR="00D34BEB" w:rsidRPr="00D34BEB">
        <w:rPr>
          <w:rFonts w:asciiTheme="majorHAnsi" w:hAnsiTheme="majorHAnsi"/>
          <w:color w:val="auto"/>
          <w:sz w:val="16"/>
          <w:szCs w:val="16"/>
        </w:rPr>
        <w:t>IACHR, Report No. 35/16, Petition 4480-02. Admissibility. Carlos Manuel Veraza Ustusuástegui. Mexico. July 29, 2016, para. 33</w:t>
      </w:r>
      <w:r w:rsidRPr="00D34BEB">
        <w:rPr>
          <w:rFonts w:asciiTheme="majorHAnsi" w:hAnsiTheme="majorHAnsi"/>
          <w:color w:val="auto"/>
          <w:sz w:val="16"/>
          <w:szCs w:val="16"/>
        </w:rPr>
        <w:t>.</w:t>
      </w:r>
    </w:p>
  </w:footnote>
  <w:footnote w:id="15">
    <w:p w14:paraId="6341FA01" w14:textId="7A2835E3" w:rsidR="00F323C0" w:rsidRPr="00D34BEB" w:rsidRDefault="00F323C0" w:rsidP="00F323C0">
      <w:pPr>
        <w:ind w:firstLine="720"/>
        <w:jc w:val="both"/>
        <w:rPr>
          <w:rFonts w:asciiTheme="majorHAnsi" w:hAnsiTheme="majorHAnsi"/>
          <w:sz w:val="16"/>
          <w:szCs w:val="16"/>
        </w:rPr>
      </w:pPr>
      <w:r w:rsidRPr="00D34BEB">
        <w:rPr>
          <w:rStyle w:val="FootnoteReference"/>
          <w:rFonts w:asciiTheme="majorHAnsi" w:hAnsiTheme="majorHAnsi"/>
          <w:sz w:val="16"/>
          <w:szCs w:val="16"/>
        </w:rPr>
        <w:footnoteRef/>
      </w:r>
      <w:r w:rsidRPr="00D34BEB">
        <w:rPr>
          <w:rFonts w:asciiTheme="majorHAnsi" w:hAnsiTheme="majorHAnsi"/>
          <w:sz w:val="16"/>
          <w:szCs w:val="16"/>
        </w:rPr>
        <w:t xml:space="preserve"> </w:t>
      </w:r>
      <w:r w:rsidRPr="00D34BEB">
        <w:rPr>
          <w:rFonts w:asciiTheme="majorHAnsi" w:hAnsiTheme="majorHAnsi"/>
          <w:sz w:val="16"/>
          <w:szCs w:val="16"/>
          <w:shd w:val="clear" w:color="auto" w:fill="FFFFFF"/>
        </w:rPr>
        <w:t xml:space="preserve">IHR Court. Case of Herrera Ulloa vs. Costa Rica. Preliminary Exceptions, Merits, Reparations and Costs. Judgment of July 2, 2004. Series C No. 107, para.158 through 161; IHR Court. Case of Mendoza and others vs. Argentina. Preliminary Exceptions, Merits and Reparations. Judgment of May 14, 2013. Series C No. 260. para.242. </w:t>
      </w:r>
      <w:r w:rsidRPr="00D34BEB">
        <w:rPr>
          <w:rFonts w:asciiTheme="majorHAnsi" w:hAnsiTheme="majorHAnsi"/>
          <w:sz w:val="16"/>
          <w:szCs w:val="16"/>
        </w:rPr>
        <w:t xml:space="preserve"> </w:t>
      </w:r>
    </w:p>
  </w:footnote>
  <w:footnote w:id="16">
    <w:p w14:paraId="7520E801" w14:textId="5BC0EC99" w:rsidR="00F323C0" w:rsidRPr="00D34BEB" w:rsidRDefault="00F323C0" w:rsidP="00F323C0">
      <w:pPr>
        <w:pStyle w:val="NormalWeb"/>
        <w:ind w:firstLine="720"/>
        <w:jc w:val="both"/>
        <w:rPr>
          <w:rFonts w:asciiTheme="majorHAnsi" w:hAnsiTheme="majorHAnsi"/>
          <w:sz w:val="16"/>
          <w:szCs w:val="16"/>
        </w:rPr>
      </w:pPr>
      <w:r w:rsidRPr="00D34BEB">
        <w:rPr>
          <w:rStyle w:val="FootnoteReference"/>
          <w:rFonts w:asciiTheme="majorHAnsi" w:eastAsia="Trebuchet MS" w:hAnsiTheme="majorHAnsi"/>
          <w:sz w:val="16"/>
          <w:szCs w:val="16"/>
        </w:rPr>
        <w:footnoteRef/>
      </w:r>
      <w:r w:rsidRPr="00D34BEB">
        <w:rPr>
          <w:rFonts w:asciiTheme="majorHAnsi" w:hAnsiTheme="majorHAnsi"/>
          <w:sz w:val="16"/>
          <w:szCs w:val="16"/>
        </w:rPr>
        <w:t xml:space="preserve"> </w:t>
      </w:r>
      <w:r w:rsidRPr="00D34BEB">
        <w:rPr>
          <w:rFonts w:asciiTheme="majorHAnsi" w:hAnsiTheme="majorHAnsi" w:cs="Calibri"/>
          <w:sz w:val="16"/>
          <w:szCs w:val="16"/>
        </w:rPr>
        <w:t xml:space="preserve">IHR Court., </w:t>
      </w:r>
      <w:r w:rsidRPr="00D34BEB">
        <w:rPr>
          <w:rFonts w:asciiTheme="majorHAnsi" w:hAnsiTheme="majorHAnsi" w:cs="Calibri"/>
          <w:iCs/>
          <w:sz w:val="16"/>
          <w:szCs w:val="16"/>
        </w:rPr>
        <w:t>Case of Herrera Ulloa vs. Costa Rica. Judgment on Preliminary Exceptions, Merits, Reparations and Costs. July 2, 2004. Series C No. 107, para. 165; UN Human Rights Committee. Gómez Vázquez vs. Spain. Communication No. 701/1996. Decision of August 11, 2000, para.</w:t>
      </w:r>
      <w:r w:rsidRPr="00D34BEB">
        <w:rPr>
          <w:rFonts w:asciiTheme="majorHAnsi" w:hAnsiTheme="majorHAnsi" w:cs="Calibri"/>
          <w:sz w:val="16"/>
          <w:szCs w:val="16"/>
        </w:rPr>
        <w:t xml:space="preserve">11.1. </w:t>
      </w:r>
    </w:p>
  </w:footnote>
  <w:footnote w:id="17">
    <w:p w14:paraId="0A7160EF" w14:textId="638F2D8F" w:rsidR="00F323C0" w:rsidRPr="00D34BEB" w:rsidRDefault="00F323C0" w:rsidP="00F323C0">
      <w:pPr>
        <w:pStyle w:val="FootnoteText"/>
        <w:ind w:firstLine="720"/>
        <w:jc w:val="both"/>
        <w:rPr>
          <w:rFonts w:asciiTheme="majorHAnsi" w:hAnsiTheme="majorHAnsi"/>
          <w:sz w:val="16"/>
          <w:szCs w:val="16"/>
        </w:rPr>
      </w:pPr>
      <w:r w:rsidRPr="00D34BEB">
        <w:rPr>
          <w:rStyle w:val="FootnoteReference"/>
          <w:rFonts w:asciiTheme="majorHAnsi" w:hAnsiTheme="majorHAnsi"/>
          <w:sz w:val="16"/>
          <w:szCs w:val="16"/>
        </w:rPr>
        <w:footnoteRef/>
      </w:r>
      <w:r w:rsidRPr="00D34BEB">
        <w:rPr>
          <w:rFonts w:asciiTheme="majorHAnsi" w:hAnsiTheme="majorHAnsi"/>
          <w:sz w:val="16"/>
          <w:szCs w:val="16"/>
        </w:rPr>
        <w:t xml:space="preserve"> IHR Court., </w:t>
      </w:r>
      <w:r w:rsidR="00A577D5" w:rsidRPr="00D34BEB">
        <w:rPr>
          <w:rFonts w:asciiTheme="majorHAnsi" w:hAnsiTheme="majorHAnsi"/>
          <w:iCs/>
          <w:sz w:val="16"/>
          <w:szCs w:val="16"/>
        </w:rPr>
        <w:t>Case of Herrera Ulloa vs. Costa Rica. Judgment on Preliminary Exceptions, Merits, Reparations and Costs. July 2, 2004. Series C No. 107, para.</w:t>
      </w:r>
      <w:r w:rsidRPr="00D34BEB">
        <w:rPr>
          <w:rFonts w:asciiTheme="majorHAnsi" w:hAnsiTheme="majorHAnsi"/>
          <w:sz w:val="16"/>
          <w:szCs w:val="16"/>
        </w:rPr>
        <w:t>158</w:t>
      </w:r>
    </w:p>
  </w:footnote>
  <w:footnote w:id="18">
    <w:p w14:paraId="3AA059F6" w14:textId="2BD13C73" w:rsidR="00F323C0" w:rsidRPr="00D34BEB" w:rsidRDefault="00F323C0" w:rsidP="00F323C0">
      <w:pPr>
        <w:pStyle w:val="FootnoteText"/>
        <w:ind w:firstLine="720"/>
        <w:jc w:val="both"/>
        <w:rPr>
          <w:rFonts w:asciiTheme="majorHAnsi" w:hAnsiTheme="majorHAnsi"/>
          <w:sz w:val="16"/>
          <w:szCs w:val="16"/>
        </w:rPr>
      </w:pPr>
      <w:r w:rsidRPr="00D34BEB">
        <w:rPr>
          <w:rStyle w:val="FootnoteReference"/>
          <w:rFonts w:asciiTheme="majorHAnsi" w:hAnsiTheme="majorHAnsi"/>
          <w:sz w:val="16"/>
          <w:szCs w:val="16"/>
        </w:rPr>
        <w:footnoteRef/>
      </w:r>
      <w:r w:rsidRPr="00D34BEB">
        <w:rPr>
          <w:rFonts w:asciiTheme="majorHAnsi" w:hAnsiTheme="majorHAnsi"/>
          <w:sz w:val="16"/>
          <w:szCs w:val="16"/>
        </w:rPr>
        <w:t xml:space="preserve"> IHR Court. </w:t>
      </w:r>
      <w:r w:rsidR="00A577D5" w:rsidRPr="00D34BEB">
        <w:rPr>
          <w:rFonts w:asciiTheme="majorHAnsi" w:hAnsiTheme="majorHAnsi"/>
          <w:iCs/>
          <w:sz w:val="16"/>
          <w:szCs w:val="16"/>
        </w:rPr>
        <w:t>Case of Barreto Leiva vs. Venezuela. Judgment on the Merits, Reparations and Costs, November 17, 2009. Series C No. 206, para. 90</w:t>
      </w:r>
      <w:r w:rsidRPr="00D34BEB">
        <w:rPr>
          <w:rFonts w:asciiTheme="majorHAnsi" w:hAnsiTheme="majorHAnsi"/>
          <w:sz w:val="16"/>
          <w:szCs w:val="16"/>
        </w:rPr>
        <w:t>.</w:t>
      </w:r>
    </w:p>
  </w:footnote>
  <w:footnote w:id="19">
    <w:p w14:paraId="34A8017E" w14:textId="017B6397" w:rsidR="00F323C0" w:rsidRPr="00D34BEB" w:rsidRDefault="00F323C0" w:rsidP="00F323C0">
      <w:pPr>
        <w:pStyle w:val="FootnoteText"/>
        <w:ind w:firstLine="720"/>
        <w:jc w:val="both"/>
        <w:rPr>
          <w:rFonts w:asciiTheme="majorHAnsi" w:hAnsiTheme="majorHAnsi"/>
          <w:sz w:val="16"/>
          <w:szCs w:val="16"/>
        </w:rPr>
      </w:pPr>
      <w:r w:rsidRPr="00D34BEB">
        <w:rPr>
          <w:rStyle w:val="FootnoteReference"/>
          <w:rFonts w:asciiTheme="majorHAnsi" w:hAnsiTheme="majorHAnsi"/>
          <w:sz w:val="16"/>
          <w:szCs w:val="16"/>
        </w:rPr>
        <w:footnoteRef/>
      </w:r>
      <w:r w:rsidRPr="00D34BEB">
        <w:rPr>
          <w:rFonts w:asciiTheme="majorHAnsi" w:hAnsiTheme="majorHAnsi"/>
          <w:sz w:val="16"/>
          <w:szCs w:val="16"/>
        </w:rPr>
        <w:t xml:space="preserve"> </w:t>
      </w:r>
      <w:r w:rsidRPr="00D34BEB">
        <w:rPr>
          <w:rStyle w:val="Strong"/>
          <w:rFonts w:asciiTheme="majorHAnsi" w:eastAsia="Cambria" w:hAnsiTheme="majorHAnsi"/>
          <w:b w:val="0"/>
          <w:bCs w:val="0"/>
          <w:sz w:val="16"/>
          <w:szCs w:val="16"/>
          <w:shd w:val="clear" w:color="auto" w:fill="FFFFFF"/>
        </w:rPr>
        <w:t>IHR Court.</w:t>
      </w:r>
      <w:r w:rsidRPr="00D34BEB">
        <w:rPr>
          <w:rStyle w:val="Strong"/>
          <w:rFonts w:asciiTheme="majorHAnsi" w:eastAsia="Cambria" w:hAnsiTheme="majorHAnsi"/>
          <w:sz w:val="16"/>
          <w:szCs w:val="16"/>
          <w:shd w:val="clear" w:color="auto" w:fill="FFFFFF"/>
        </w:rPr>
        <w:t xml:space="preserve"> </w:t>
      </w:r>
      <w:r w:rsidR="00A577D5" w:rsidRPr="00D34BEB">
        <w:rPr>
          <w:rFonts w:asciiTheme="majorHAnsi" w:hAnsiTheme="majorHAnsi"/>
          <w:sz w:val="16"/>
          <w:szCs w:val="16"/>
          <w:shd w:val="clear" w:color="auto" w:fill="FFFFFF"/>
        </w:rPr>
        <w:t>Case of Amrhein and others vs. Costa Rica. Preliminary Exceptions, Merits, Reparations and Costs. Judgment of April 25, 2018. Series C No. 354. paras. 272-274</w:t>
      </w:r>
      <w:r w:rsidRPr="00D34BEB">
        <w:rPr>
          <w:rFonts w:asciiTheme="majorHAnsi" w:hAnsiTheme="majorHAnsi"/>
          <w:sz w:val="16"/>
          <w:szCs w:val="16"/>
          <w:shd w:val="clear" w:color="auto" w:fill="FFFFFF"/>
        </w:rPr>
        <w:t>.</w:t>
      </w:r>
    </w:p>
  </w:footnote>
  <w:footnote w:id="20">
    <w:p w14:paraId="2C4E116C" w14:textId="2D12F838" w:rsidR="00F323C0" w:rsidRPr="00D34BEB" w:rsidRDefault="00F323C0" w:rsidP="00F323C0">
      <w:pPr>
        <w:pStyle w:val="FootnoteText"/>
        <w:ind w:firstLine="720"/>
        <w:jc w:val="both"/>
      </w:pPr>
      <w:r w:rsidRPr="00D34BEB">
        <w:rPr>
          <w:rStyle w:val="FootnoteReference"/>
          <w:rFonts w:asciiTheme="majorHAnsi" w:hAnsiTheme="majorHAnsi"/>
          <w:sz w:val="16"/>
          <w:szCs w:val="16"/>
        </w:rPr>
        <w:footnoteRef/>
      </w:r>
      <w:r w:rsidRPr="00D34BEB">
        <w:rPr>
          <w:rFonts w:asciiTheme="majorHAnsi" w:hAnsiTheme="majorHAnsi"/>
          <w:sz w:val="16"/>
          <w:szCs w:val="16"/>
        </w:rPr>
        <w:t xml:space="preserve"> </w:t>
      </w:r>
      <w:r w:rsidR="00A577D5" w:rsidRPr="00D34BEB">
        <w:rPr>
          <w:rStyle w:val="Strong"/>
          <w:rFonts w:asciiTheme="majorHAnsi" w:eastAsia="Cambria" w:hAnsiTheme="majorHAnsi"/>
          <w:b w:val="0"/>
          <w:bCs w:val="0"/>
          <w:sz w:val="16"/>
          <w:szCs w:val="16"/>
          <w:shd w:val="clear" w:color="auto" w:fill="FFFFFF"/>
        </w:rPr>
        <w:t>IHR Court. Case of Norín Catrimán and others (Leaders, Members and Activist of the Mapuche Indigenous People) vs. Chile. Merits, Reparations and Costs. Judgment of May 29, 2014. Series C No. 279. para. 270</w:t>
      </w:r>
      <w:r w:rsidRPr="00D34BEB">
        <w:rPr>
          <w:rStyle w:val="Strong"/>
          <w:rFonts w:asciiTheme="majorHAnsi" w:eastAsia="Cambria" w:hAnsiTheme="majorHAnsi"/>
          <w:b w:val="0"/>
          <w:bCs w:val="0"/>
          <w:sz w:val="16"/>
          <w:szCs w:val="16"/>
          <w:shd w:val="clear" w:color="auto" w:fill="FFFFFF"/>
        </w:rPr>
        <w:t>.</w:t>
      </w:r>
      <w:r w:rsidRPr="00D34BEB">
        <w:rPr>
          <w:rStyle w:val="Strong"/>
          <w:rFonts w:asciiTheme="majorHAnsi" w:eastAsia="Cambria" w:hAnsiTheme="majorHAnsi"/>
          <w:sz w:val="16"/>
          <w:szCs w:val="16"/>
          <w:shd w:val="clear" w:color="auto" w:fill="FFFFFF"/>
        </w:rPr>
        <w:t xml:space="preserve"> </w:t>
      </w:r>
      <w:r w:rsidRPr="00D34BEB">
        <w:rPr>
          <w:rFonts w:asciiTheme="majorHAnsi" w:hAnsiTheme="majorHAnsi"/>
          <w:sz w:val="16"/>
          <w:szCs w:val="16"/>
        </w:rPr>
        <w:t xml:space="preserve">  </w:t>
      </w:r>
    </w:p>
  </w:footnote>
  <w:footnote w:id="21">
    <w:p w14:paraId="49FF1D1F" w14:textId="207C7597" w:rsidR="00F323C0" w:rsidRPr="00D34BEB" w:rsidRDefault="00F323C0" w:rsidP="00D004A9">
      <w:pPr>
        <w:pStyle w:val="FootnoteText"/>
        <w:ind w:firstLine="720"/>
        <w:jc w:val="both"/>
        <w:rPr>
          <w:rFonts w:ascii="Cambria" w:hAnsi="Cambria"/>
          <w:sz w:val="16"/>
          <w:szCs w:val="16"/>
        </w:rPr>
      </w:pPr>
      <w:r w:rsidRPr="00D34BEB">
        <w:rPr>
          <w:rStyle w:val="FootnoteReference"/>
          <w:rFonts w:ascii="Cambria" w:hAnsi="Cambria"/>
          <w:sz w:val="16"/>
          <w:szCs w:val="16"/>
        </w:rPr>
        <w:footnoteRef/>
      </w:r>
      <w:r w:rsidRPr="00D34BEB">
        <w:rPr>
          <w:rFonts w:ascii="Cambria" w:hAnsi="Cambria"/>
          <w:sz w:val="16"/>
          <w:szCs w:val="16"/>
        </w:rPr>
        <w:t xml:space="preserve"> </w:t>
      </w:r>
      <w:r w:rsidR="00A577D5" w:rsidRPr="00D34BEB">
        <w:rPr>
          <w:rFonts w:ascii="Cambria" w:hAnsi="Cambria"/>
          <w:sz w:val="16"/>
          <w:szCs w:val="16"/>
        </w:rPr>
        <w:t>IACHR. Report No. 55/97. Case 11.137. Merits. Juan Carlos Abella. Argentina. November 18, 1997</w:t>
      </w:r>
      <w:r w:rsidRPr="00D34BEB">
        <w:rPr>
          <w:rFonts w:ascii="Cambria" w:hAnsi="Cambria"/>
          <w:sz w:val="16"/>
          <w:szCs w:val="16"/>
        </w:rPr>
        <w:t>. P</w:t>
      </w:r>
      <w:r w:rsidR="00D34BEB" w:rsidRPr="00D34BEB">
        <w:rPr>
          <w:rFonts w:ascii="Cambria" w:hAnsi="Cambria"/>
          <w:sz w:val="16"/>
          <w:szCs w:val="16"/>
        </w:rPr>
        <w:t>ara</w:t>
      </w:r>
      <w:r w:rsidRPr="00D34BEB">
        <w:rPr>
          <w:rFonts w:ascii="Cambria" w:hAnsi="Cambria"/>
          <w:sz w:val="16"/>
          <w:szCs w:val="16"/>
        </w:rPr>
        <w:t xml:space="preserve">. 261. </w:t>
      </w:r>
    </w:p>
  </w:footnote>
  <w:footnote w:id="22">
    <w:p w14:paraId="5B0D13A3" w14:textId="283579EF" w:rsidR="00F323C0" w:rsidRPr="00D34BEB" w:rsidRDefault="00F323C0" w:rsidP="00D004A9">
      <w:pPr>
        <w:pStyle w:val="NormalWeb"/>
        <w:ind w:firstLine="720"/>
        <w:jc w:val="both"/>
        <w:rPr>
          <w:rFonts w:ascii="Cambria" w:hAnsi="Cambria"/>
          <w:sz w:val="16"/>
          <w:szCs w:val="16"/>
        </w:rPr>
      </w:pPr>
      <w:r w:rsidRPr="00D34BEB">
        <w:rPr>
          <w:rStyle w:val="FootnoteReference"/>
          <w:rFonts w:ascii="Cambria" w:eastAsia="Trebuchet MS" w:hAnsi="Cambria"/>
          <w:sz w:val="16"/>
          <w:szCs w:val="16"/>
        </w:rPr>
        <w:footnoteRef/>
      </w:r>
      <w:r w:rsidRPr="00D34BEB">
        <w:rPr>
          <w:rFonts w:ascii="Cambria" w:hAnsi="Cambria"/>
          <w:sz w:val="16"/>
          <w:szCs w:val="16"/>
        </w:rPr>
        <w:t xml:space="preserve"> </w:t>
      </w:r>
      <w:r w:rsidR="00A577D5" w:rsidRPr="00D34BEB">
        <w:rPr>
          <w:rFonts w:ascii="Cambria" w:hAnsi="Cambria" w:cs="Calibri"/>
          <w:sz w:val="16"/>
          <w:szCs w:val="16"/>
        </w:rPr>
        <w:t>IACHR, Report No. 172/10, Case 12.561, Merits, César Alberto Mendoza and others ("Prison and life imprisonment of adolescents"), Argentina, November 2, 2010, para. 189</w:t>
      </w:r>
      <w:r w:rsidRPr="00D34BEB">
        <w:rPr>
          <w:rFonts w:ascii="Cambria" w:hAnsi="Cambria"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3C4749"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D3B66B58"/>
    <w:lvl w:ilvl="0" w:tplc="AD6CB186">
      <w:start w:val="1"/>
      <w:numFmt w:val="decimal"/>
      <w:lvlText w:val="%1."/>
      <w:lvlJc w:val="left"/>
      <w:pPr>
        <w:tabs>
          <w:tab w:val="num" w:pos="720"/>
        </w:tabs>
        <w:ind w:left="0" w:firstLine="720"/>
      </w:pPr>
      <w:rPr>
        <w:rFonts w:hint="default"/>
        <w:b w:val="0"/>
        <w:bCs/>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09564475">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606813836">
    <w:abstractNumId w:val="4"/>
  </w:num>
  <w:num w:numId="3" w16cid:durableId="951670372">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347677188">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399789983">
    <w:abstractNumId w:val="6"/>
  </w:num>
  <w:num w:numId="6" w16cid:durableId="1088845777">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215091894">
    <w:abstractNumId w:val="57"/>
  </w:num>
  <w:num w:numId="8" w16cid:durableId="376321760">
    <w:abstractNumId w:val="22"/>
  </w:num>
  <w:num w:numId="9" w16cid:durableId="308170427">
    <w:abstractNumId w:val="49"/>
  </w:num>
  <w:num w:numId="10" w16cid:durableId="168088952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027215362">
    <w:abstractNumId w:val="28"/>
  </w:num>
  <w:num w:numId="12" w16cid:durableId="779910614">
    <w:abstractNumId w:val="55"/>
  </w:num>
  <w:num w:numId="13" w16cid:durableId="2056419387">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788862405">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99761782">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829175887">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684621882">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21847826">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76700132">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990331973">
    <w:abstractNumId w:val="7"/>
  </w:num>
  <w:num w:numId="21" w16cid:durableId="877862922">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2119374569">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786436062">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829516373">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76205840">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3119595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201477482">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2071532139">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48812657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64425873">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48895780">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94118492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47567914">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696618676">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105617638">
    <w:abstractNumId w:val="18"/>
  </w:num>
  <w:num w:numId="36" w16cid:durableId="220988025">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3741865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54652908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46207301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644162981">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882471505">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580410237">
    <w:abstractNumId w:val="39"/>
  </w:num>
  <w:num w:numId="43" w16cid:durableId="1742025095">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945189477">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91496446">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742021684">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94650206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621771569">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2077627782">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103796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483938374">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313729419">
    <w:abstractNumId w:val="43"/>
  </w:num>
  <w:num w:numId="53" w16cid:durableId="1292780975">
    <w:abstractNumId w:val="0"/>
  </w:num>
  <w:num w:numId="54" w16cid:durableId="1626540545">
    <w:abstractNumId w:val="38"/>
  </w:num>
  <w:num w:numId="55" w16cid:durableId="1040014095">
    <w:abstractNumId w:val="39"/>
  </w:num>
  <w:num w:numId="56" w16cid:durableId="478502565">
    <w:abstractNumId w:val="45"/>
  </w:num>
  <w:num w:numId="57" w16cid:durableId="1954095151">
    <w:abstractNumId w:val="1"/>
  </w:num>
  <w:num w:numId="58" w16cid:durableId="456875351">
    <w:abstractNumId w:val="2"/>
  </w:num>
  <w:num w:numId="59" w16cid:durableId="1073505158">
    <w:abstractNumId w:val="8"/>
  </w:num>
  <w:num w:numId="60" w16cid:durableId="601184087">
    <w:abstractNumId w:val="9"/>
  </w:num>
  <w:num w:numId="61" w16cid:durableId="2094932573">
    <w:abstractNumId w:val="10"/>
  </w:num>
  <w:num w:numId="62" w16cid:durableId="18243612">
    <w:abstractNumId w:val="12"/>
  </w:num>
  <w:num w:numId="63" w16cid:durableId="1860502844">
    <w:abstractNumId w:val="13"/>
  </w:num>
  <w:num w:numId="64" w16cid:durableId="80034454">
    <w:abstractNumId w:val="14"/>
  </w:num>
  <w:num w:numId="65" w16cid:durableId="1100251086">
    <w:abstractNumId w:val="15"/>
  </w:num>
  <w:num w:numId="66" w16cid:durableId="884222910">
    <w:abstractNumId w:val="16"/>
  </w:num>
  <w:num w:numId="67" w16cid:durableId="1782914406">
    <w:abstractNumId w:val="17"/>
  </w:num>
  <w:num w:numId="68" w16cid:durableId="2008169866">
    <w:abstractNumId w:val="19"/>
  </w:num>
  <w:num w:numId="69" w16cid:durableId="383599912">
    <w:abstractNumId w:val="20"/>
  </w:num>
  <w:num w:numId="70" w16cid:durableId="181937071">
    <w:abstractNumId w:val="23"/>
  </w:num>
  <w:num w:numId="71" w16cid:durableId="1042170151">
    <w:abstractNumId w:val="24"/>
  </w:num>
  <w:num w:numId="72" w16cid:durableId="935746881">
    <w:abstractNumId w:val="25"/>
  </w:num>
  <w:num w:numId="73" w16cid:durableId="457115680">
    <w:abstractNumId w:val="27"/>
  </w:num>
  <w:num w:numId="74" w16cid:durableId="1599751706">
    <w:abstractNumId w:val="29"/>
  </w:num>
  <w:num w:numId="75" w16cid:durableId="814100670">
    <w:abstractNumId w:val="30"/>
  </w:num>
  <w:num w:numId="76" w16cid:durableId="659620467">
    <w:abstractNumId w:val="31"/>
  </w:num>
  <w:num w:numId="77" w16cid:durableId="745999814">
    <w:abstractNumId w:val="32"/>
  </w:num>
  <w:num w:numId="78" w16cid:durableId="1106149164">
    <w:abstractNumId w:val="33"/>
  </w:num>
  <w:num w:numId="79" w16cid:durableId="501432526">
    <w:abstractNumId w:val="34"/>
  </w:num>
  <w:num w:numId="80" w16cid:durableId="303512044">
    <w:abstractNumId w:val="35"/>
  </w:num>
  <w:num w:numId="81" w16cid:durableId="1245067003">
    <w:abstractNumId w:val="36"/>
  </w:num>
  <w:num w:numId="82" w16cid:durableId="533737061">
    <w:abstractNumId w:val="40"/>
  </w:num>
  <w:num w:numId="83" w16cid:durableId="746926384">
    <w:abstractNumId w:val="41"/>
  </w:num>
  <w:num w:numId="84" w16cid:durableId="458770273">
    <w:abstractNumId w:val="47"/>
  </w:num>
  <w:num w:numId="85" w16cid:durableId="297492593">
    <w:abstractNumId w:val="50"/>
  </w:num>
  <w:num w:numId="86" w16cid:durableId="65686269">
    <w:abstractNumId w:val="52"/>
  </w:num>
  <w:num w:numId="87" w16cid:durableId="1248156171">
    <w:abstractNumId w:val="54"/>
  </w:num>
  <w:num w:numId="88" w16cid:durableId="1215462391">
    <w:abstractNumId w:val="56"/>
  </w:num>
  <w:num w:numId="89" w16cid:durableId="128058583">
    <w:abstractNumId w:val="58"/>
  </w:num>
  <w:num w:numId="90" w16cid:durableId="1009914232">
    <w:abstractNumId w:val="59"/>
  </w:num>
  <w:num w:numId="91" w16cid:durableId="820124281">
    <w:abstractNumId w:val="60"/>
  </w:num>
  <w:num w:numId="92" w16cid:durableId="292637384">
    <w:abstractNumId w:val="61"/>
  </w:num>
  <w:num w:numId="93" w16cid:durableId="1214807657">
    <w:abstractNumId w:val="62"/>
  </w:num>
  <w:num w:numId="94" w16cid:durableId="7879810">
    <w:abstractNumId w:val="21"/>
  </w:num>
  <w:num w:numId="95" w16cid:durableId="1873372669">
    <w:abstractNumId w:val="42"/>
  </w:num>
  <w:num w:numId="96" w16cid:durableId="645817943">
    <w:abstractNumId w:val="53"/>
  </w:num>
  <w:num w:numId="97" w16cid:durableId="1400666531">
    <w:abstractNumId w:val="51"/>
  </w:num>
  <w:num w:numId="98" w16cid:durableId="208347111">
    <w:abstractNumId w:val="46"/>
  </w:num>
  <w:num w:numId="99" w16cid:durableId="1112213603">
    <w:abstractNumId w:val="37"/>
  </w:num>
  <w:num w:numId="100" w16cid:durableId="1644240404">
    <w:abstractNumId w:val="3"/>
  </w:num>
  <w:num w:numId="101" w16cid:durableId="1100955568">
    <w:abstractNumId w:val="26"/>
  </w:num>
  <w:num w:numId="102" w16cid:durableId="2025739805">
    <w:abstractNumId w:val="48"/>
  </w:num>
  <w:num w:numId="103" w16cid:durableId="1664313997">
    <w:abstractNumId w:val="5"/>
  </w:num>
  <w:num w:numId="104" w16cid:durableId="592593905">
    <w:abstractNumId w:val="11"/>
  </w:num>
  <w:num w:numId="105" w16cid:durableId="258831238">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70D7"/>
    <w:rsid w:val="000111A8"/>
    <w:rsid w:val="0001788C"/>
    <w:rsid w:val="00022CF5"/>
    <w:rsid w:val="00036A8A"/>
    <w:rsid w:val="00040C3A"/>
    <w:rsid w:val="00052D69"/>
    <w:rsid w:val="000639C0"/>
    <w:rsid w:val="00070F3A"/>
    <w:rsid w:val="00070FC3"/>
    <w:rsid w:val="000716C5"/>
    <w:rsid w:val="00075E23"/>
    <w:rsid w:val="00092F32"/>
    <w:rsid w:val="0009344A"/>
    <w:rsid w:val="000A575F"/>
    <w:rsid w:val="000C4365"/>
    <w:rsid w:val="000D10DB"/>
    <w:rsid w:val="00124116"/>
    <w:rsid w:val="0013104F"/>
    <w:rsid w:val="00137EBA"/>
    <w:rsid w:val="00145EDC"/>
    <w:rsid w:val="00153084"/>
    <w:rsid w:val="00167A34"/>
    <w:rsid w:val="001714B4"/>
    <w:rsid w:val="001777E2"/>
    <w:rsid w:val="0018037F"/>
    <w:rsid w:val="001A5F27"/>
    <w:rsid w:val="001A65E4"/>
    <w:rsid w:val="001A7870"/>
    <w:rsid w:val="001B59F6"/>
    <w:rsid w:val="001C1B41"/>
    <w:rsid w:val="001C228B"/>
    <w:rsid w:val="001E366B"/>
    <w:rsid w:val="001F1902"/>
    <w:rsid w:val="00210E0E"/>
    <w:rsid w:val="00210F4B"/>
    <w:rsid w:val="00230163"/>
    <w:rsid w:val="0023351C"/>
    <w:rsid w:val="00247403"/>
    <w:rsid w:val="00247542"/>
    <w:rsid w:val="002519AB"/>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2A03"/>
    <w:rsid w:val="00314078"/>
    <w:rsid w:val="00321AFD"/>
    <w:rsid w:val="00322450"/>
    <w:rsid w:val="003246B5"/>
    <w:rsid w:val="0033169F"/>
    <w:rsid w:val="003414AC"/>
    <w:rsid w:val="00356185"/>
    <w:rsid w:val="00360380"/>
    <w:rsid w:val="003771A3"/>
    <w:rsid w:val="00386CF0"/>
    <w:rsid w:val="003A4348"/>
    <w:rsid w:val="003C32BC"/>
    <w:rsid w:val="003C4749"/>
    <w:rsid w:val="003E3E03"/>
    <w:rsid w:val="003F1BBF"/>
    <w:rsid w:val="00411645"/>
    <w:rsid w:val="004162B1"/>
    <w:rsid w:val="004165C2"/>
    <w:rsid w:val="00450A4A"/>
    <w:rsid w:val="004666FB"/>
    <w:rsid w:val="00466D0B"/>
    <w:rsid w:val="00467B7E"/>
    <w:rsid w:val="0049419D"/>
    <w:rsid w:val="004B2762"/>
    <w:rsid w:val="004B7EB6"/>
    <w:rsid w:val="004C41DE"/>
    <w:rsid w:val="004C4B62"/>
    <w:rsid w:val="004D6025"/>
    <w:rsid w:val="004D72BC"/>
    <w:rsid w:val="004F0D69"/>
    <w:rsid w:val="004F6B67"/>
    <w:rsid w:val="00501399"/>
    <w:rsid w:val="005067A0"/>
    <w:rsid w:val="00507BC4"/>
    <w:rsid w:val="005128E4"/>
    <w:rsid w:val="00525560"/>
    <w:rsid w:val="005357A6"/>
    <w:rsid w:val="005406C2"/>
    <w:rsid w:val="00544C49"/>
    <w:rsid w:val="00561A56"/>
    <w:rsid w:val="005622B6"/>
    <w:rsid w:val="0057402A"/>
    <w:rsid w:val="005771D0"/>
    <w:rsid w:val="005816E5"/>
    <w:rsid w:val="0059191A"/>
    <w:rsid w:val="005921FF"/>
    <w:rsid w:val="00592718"/>
    <w:rsid w:val="005A6D0E"/>
    <w:rsid w:val="005B222D"/>
    <w:rsid w:val="005B52B0"/>
    <w:rsid w:val="005B6806"/>
    <w:rsid w:val="005C00F9"/>
    <w:rsid w:val="005C1596"/>
    <w:rsid w:val="005C4225"/>
    <w:rsid w:val="005F0F33"/>
    <w:rsid w:val="00600DEB"/>
    <w:rsid w:val="00605DE2"/>
    <w:rsid w:val="00613027"/>
    <w:rsid w:val="00627C9F"/>
    <w:rsid w:val="0063114E"/>
    <w:rsid w:val="006311DA"/>
    <w:rsid w:val="006311E9"/>
    <w:rsid w:val="006318B2"/>
    <w:rsid w:val="00632354"/>
    <w:rsid w:val="00642810"/>
    <w:rsid w:val="00652333"/>
    <w:rsid w:val="00653EA6"/>
    <w:rsid w:val="006614CA"/>
    <w:rsid w:val="00677B74"/>
    <w:rsid w:val="0068009E"/>
    <w:rsid w:val="006A1041"/>
    <w:rsid w:val="006A17D2"/>
    <w:rsid w:val="006A73E6"/>
    <w:rsid w:val="006B2D5C"/>
    <w:rsid w:val="006C4EB1"/>
    <w:rsid w:val="006D4707"/>
    <w:rsid w:val="006E0166"/>
    <w:rsid w:val="006E7B34"/>
    <w:rsid w:val="00701B24"/>
    <w:rsid w:val="0070398B"/>
    <w:rsid w:val="0071495F"/>
    <w:rsid w:val="0073798E"/>
    <w:rsid w:val="00745899"/>
    <w:rsid w:val="007607C4"/>
    <w:rsid w:val="0076643F"/>
    <w:rsid w:val="00781653"/>
    <w:rsid w:val="007A2F70"/>
    <w:rsid w:val="007B0D84"/>
    <w:rsid w:val="007C3334"/>
    <w:rsid w:val="007C52BB"/>
    <w:rsid w:val="007D2B98"/>
    <w:rsid w:val="007F196E"/>
    <w:rsid w:val="00803F1C"/>
    <w:rsid w:val="0080600E"/>
    <w:rsid w:val="00817612"/>
    <w:rsid w:val="00837C45"/>
    <w:rsid w:val="00853419"/>
    <w:rsid w:val="0087004C"/>
    <w:rsid w:val="00897E12"/>
    <w:rsid w:val="008D43BA"/>
    <w:rsid w:val="008E3759"/>
    <w:rsid w:val="009041DC"/>
    <w:rsid w:val="009104B4"/>
    <w:rsid w:val="009228DA"/>
    <w:rsid w:val="00925FCD"/>
    <w:rsid w:val="0093441A"/>
    <w:rsid w:val="00954BF7"/>
    <w:rsid w:val="0096706E"/>
    <w:rsid w:val="00974438"/>
    <w:rsid w:val="00976F08"/>
    <w:rsid w:val="00981FBA"/>
    <w:rsid w:val="009B381B"/>
    <w:rsid w:val="009B4B4A"/>
    <w:rsid w:val="009C5B59"/>
    <w:rsid w:val="009D7611"/>
    <w:rsid w:val="009E53DE"/>
    <w:rsid w:val="009E566A"/>
    <w:rsid w:val="00A0577C"/>
    <w:rsid w:val="00A12DBC"/>
    <w:rsid w:val="00A43458"/>
    <w:rsid w:val="00A52158"/>
    <w:rsid w:val="00A528D1"/>
    <w:rsid w:val="00A577D5"/>
    <w:rsid w:val="00A66BE5"/>
    <w:rsid w:val="00AD37C1"/>
    <w:rsid w:val="00AE31E9"/>
    <w:rsid w:val="00AE66EC"/>
    <w:rsid w:val="00AE6F91"/>
    <w:rsid w:val="00AF5571"/>
    <w:rsid w:val="00B04A2C"/>
    <w:rsid w:val="00B06BB7"/>
    <w:rsid w:val="00B167E9"/>
    <w:rsid w:val="00B179ED"/>
    <w:rsid w:val="00B314DB"/>
    <w:rsid w:val="00B31EBE"/>
    <w:rsid w:val="00B3718B"/>
    <w:rsid w:val="00B44B23"/>
    <w:rsid w:val="00B4632A"/>
    <w:rsid w:val="00B911A2"/>
    <w:rsid w:val="00B92E49"/>
    <w:rsid w:val="00BA276C"/>
    <w:rsid w:val="00BB306F"/>
    <w:rsid w:val="00BC1641"/>
    <w:rsid w:val="00BD232B"/>
    <w:rsid w:val="00BD2E42"/>
    <w:rsid w:val="00BD4B89"/>
    <w:rsid w:val="00C21762"/>
    <w:rsid w:val="00C24543"/>
    <w:rsid w:val="00C256A2"/>
    <w:rsid w:val="00C27B38"/>
    <w:rsid w:val="00C32E0C"/>
    <w:rsid w:val="00C3492D"/>
    <w:rsid w:val="00C55560"/>
    <w:rsid w:val="00C66B72"/>
    <w:rsid w:val="00C7199C"/>
    <w:rsid w:val="00C9567A"/>
    <w:rsid w:val="00C96D76"/>
    <w:rsid w:val="00CA6577"/>
    <w:rsid w:val="00CB2660"/>
    <w:rsid w:val="00CC5E90"/>
    <w:rsid w:val="00CD046C"/>
    <w:rsid w:val="00CE5199"/>
    <w:rsid w:val="00CE66D5"/>
    <w:rsid w:val="00D004A9"/>
    <w:rsid w:val="00D34786"/>
    <w:rsid w:val="00D34BEB"/>
    <w:rsid w:val="00D40A1E"/>
    <w:rsid w:val="00D533C0"/>
    <w:rsid w:val="00D712D3"/>
    <w:rsid w:val="00D71422"/>
    <w:rsid w:val="00D7145E"/>
    <w:rsid w:val="00D75084"/>
    <w:rsid w:val="00D7558D"/>
    <w:rsid w:val="00D81D92"/>
    <w:rsid w:val="00D919E9"/>
    <w:rsid w:val="00D93446"/>
    <w:rsid w:val="00DA7B5F"/>
    <w:rsid w:val="00DF078B"/>
    <w:rsid w:val="00DF350D"/>
    <w:rsid w:val="00E227C1"/>
    <w:rsid w:val="00E43157"/>
    <w:rsid w:val="00E47F3D"/>
    <w:rsid w:val="00E533FF"/>
    <w:rsid w:val="00E709B3"/>
    <w:rsid w:val="00E7588C"/>
    <w:rsid w:val="00E850B6"/>
    <w:rsid w:val="00E8789F"/>
    <w:rsid w:val="00E97B71"/>
    <w:rsid w:val="00EB454D"/>
    <w:rsid w:val="00ED0D1B"/>
    <w:rsid w:val="00EE3522"/>
    <w:rsid w:val="00EF619B"/>
    <w:rsid w:val="00F00B55"/>
    <w:rsid w:val="00F1380F"/>
    <w:rsid w:val="00F140E4"/>
    <w:rsid w:val="00F14F0E"/>
    <w:rsid w:val="00F15A3B"/>
    <w:rsid w:val="00F24C29"/>
    <w:rsid w:val="00F253CC"/>
    <w:rsid w:val="00F323C0"/>
    <w:rsid w:val="00F42B71"/>
    <w:rsid w:val="00F56BA5"/>
    <w:rsid w:val="00F621C3"/>
    <w:rsid w:val="00F644E6"/>
    <w:rsid w:val="00F9653B"/>
    <w:rsid w:val="00FB62CF"/>
    <w:rsid w:val="00FC3EB4"/>
    <w:rsid w:val="00FC6C58"/>
    <w:rsid w:val="00FD5EDB"/>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FootnotesrefssChar1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5622B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F323C0"/>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F323C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character" w:styleId="Strong">
    <w:name w:val="Strong"/>
    <w:uiPriority w:val="22"/>
    <w:qFormat/>
    <w:rsid w:val="00F323C0"/>
    <w:rPr>
      <w:b/>
      <w:bCs/>
    </w:rPr>
  </w:style>
  <w:style w:type="character" w:customStyle="1" w:styleId="normaltextrun">
    <w:name w:val="normaltextrun"/>
    <w:basedOn w:val="DefaultParagraphFont"/>
    <w:rsid w:val="00D00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BA63A16B334F54BBB6598241CA9E45"/>
        <w:category>
          <w:name w:val="General"/>
          <w:gallery w:val="placeholder"/>
        </w:category>
        <w:types>
          <w:type w:val="bbPlcHdr"/>
        </w:types>
        <w:behaviors>
          <w:behavior w:val="content"/>
        </w:behaviors>
        <w:guid w:val="{962B6FE5-6969-4552-B608-D144E4FDEF9D}"/>
      </w:docPartPr>
      <w:docPartBody>
        <w:p w:rsidR="00770BFF" w:rsidRDefault="00283EAF" w:rsidP="00283EAF">
          <w:pPr>
            <w:pStyle w:val="2BBA63A16B334F54BBB6598241CA9E45"/>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B46AA"/>
    <w:rsid w:val="000F01A3"/>
    <w:rsid w:val="001268BF"/>
    <w:rsid w:val="00283EAF"/>
    <w:rsid w:val="00334FDA"/>
    <w:rsid w:val="00357051"/>
    <w:rsid w:val="004108B1"/>
    <w:rsid w:val="005C4DB0"/>
    <w:rsid w:val="00770BFF"/>
    <w:rsid w:val="00A928AF"/>
    <w:rsid w:val="00AB44F1"/>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3EAF"/>
    <w:rPr>
      <w:color w:val="808080"/>
    </w:rPr>
  </w:style>
  <w:style w:type="paragraph" w:customStyle="1" w:styleId="2BBA63A16B334F54BBB6598241CA9E45">
    <w:name w:val="2BBA63A16B334F54BBB6598241CA9E45"/>
    <w:rsid w:val="00283EAF"/>
    <w:pPr>
      <w:spacing w:after="160" w:line="259" w:lineRule="auto"/>
    </w:pPr>
    <w:rPr>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352EB-2758-4B2A-B36F-CAA128A0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4388</Words>
  <Characters>25012</Characters>
  <Application>Microsoft Office Word</Application>
  <DocSecurity>0</DocSecurity>
  <Lines>208</Lines>
  <Paragraphs>58</Paragraphs>
  <ScaleCrop>false</ScaleCrop>
  <Company/>
  <LinksUpToDate>false</LinksUpToDate>
  <CharactersWithSpaces>29342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2023-09-11T19:04:00Z</dcterms:created>
  <dcterms:modified xsi:type="dcterms:W3CDTF">2023-09-11T19:04:00Z</dcterms:modified>
</cp:coreProperties>
</file>