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CB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89CCFB3" w:rsidR="00040C3A" w:rsidRPr="002902F0" w:rsidRDefault="00040C3A" w:rsidP="005128E4">
      <w:pPr>
        <w:tabs>
          <w:tab w:val="center" w:pos="5400"/>
        </w:tabs>
        <w:suppressAutoHyphens/>
        <w:jc w:val="center"/>
        <w:rPr>
          <w:rFonts w:asciiTheme="majorHAnsi" w:hAnsiTheme="majorHAnsi"/>
          <w:sz w:val="22"/>
          <w:szCs w:val="22"/>
        </w:rPr>
      </w:pPr>
    </w:p>
    <w:p w14:paraId="5FCF0358" w14:textId="77777777" w:rsidR="00040C3A" w:rsidRPr="002902F0" w:rsidRDefault="00040C3A" w:rsidP="005128E4">
      <w:pPr>
        <w:tabs>
          <w:tab w:val="center" w:pos="5400"/>
        </w:tabs>
        <w:suppressAutoHyphens/>
        <w:jc w:val="center"/>
        <w:rPr>
          <w:rFonts w:asciiTheme="majorHAnsi" w:hAnsiTheme="majorHAnsi"/>
          <w:sz w:val="22"/>
          <w:szCs w:val="22"/>
        </w:rPr>
      </w:pPr>
    </w:p>
    <w:p w14:paraId="23C02B60" w14:textId="77777777" w:rsidR="005B52B0" w:rsidRPr="002902F0" w:rsidRDefault="005B52B0" w:rsidP="005128E4">
      <w:pPr>
        <w:tabs>
          <w:tab w:val="center" w:pos="5400"/>
        </w:tabs>
        <w:suppressAutoHyphens/>
        <w:jc w:val="center"/>
        <w:rPr>
          <w:rFonts w:asciiTheme="majorHAnsi" w:hAnsiTheme="majorHAnsi"/>
          <w:sz w:val="22"/>
          <w:szCs w:val="22"/>
        </w:rPr>
      </w:pPr>
    </w:p>
    <w:p w14:paraId="1E4CC4A3" w14:textId="77777777" w:rsidR="005B52B0" w:rsidRPr="002902F0" w:rsidRDefault="005B52B0" w:rsidP="005128E4">
      <w:pPr>
        <w:tabs>
          <w:tab w:val="center" w:pos="5400"/>
        </w:tabs>
        <w:suppressAutoHyphens/>
        <w:jc w:val="center"/>
        <w:rPr>
          <w:rFonts w:asciiTheme="majorHAnsi" w:hAnsiTheme="majorHAnsi"/>
          <w:sz w:val="22"/>
          <w:szCs w:val="22"/>
        </w:rPr>
      </w:pPr>
    </w:p>
    <w:p w14:paraId="022074FD" w14:textId="77777777" w:rsidR="005B52B0" w:rsidRPr="002902F0" w:rsidRDefault="005B52B0" w:rsidP="005128E4">
      <w:pPr>
        <w:tabs>
          <w:tab w:val="center" w:pos="5400"/>
        </w:tabs>
        <w:suppressAutoHyphens/>
        <w:jc w:val="center"/>
        <w:rPr>
          <w:rFonts w:asciiTheme="majorHAnsi" w:hAnsiTheme="majorHAnsi"/>
          <w:sz w:val="22"/>
          <w:szCs w:val="22"/>
        </w:rPr>
      </w:pPr>
    </w:p>
    <w:p w14:paraId="3234C43C" w14:textId="77777777" w:rsidR="00040C3A" w:rsidRPr="002902F0" w:rsidRDefault="00040C3A" w:rsidP="00040C3A">
      <w:pPr>
        <w:tabs>
          <w:tab w:val="center" w:pos="5400"/>
        </w:tabs>
        <w:suppressAutoHyphens/>
        <w:jc w:val="center"/>
        <w:rPr>
          <w:rFonts w:asciiTheme="majorHAnsi" w:hAnsiTheme="majorHAnsi"/>
          <w:sz w:val="22"/>
          <w:szCs w:val="22"/>
        </w:rPr>
      </w:pPr>
    </w:p>
    <w:p w14:paraId="2D58FFBA" w14:textId="77777777" w:rsidR="00040C3A" w:rsidRPr="002902F0" w:rsidRDefault="00040C3A" w:rsidP="00040C3A">
      <w:pPr>
        <w:tabs>
          <w:tab w:val="center" w:pos="5400"/>
        </w:tabs>
        <w:suppressAutoHyphens/>
        <w:jc w:val="center"/>
        <w:rPr>
          <w:rFonts w:asciiTheme="majorHAnsi" w:hAnsiTheme="majorHAnsi"/>
          <w:sz w:val="22"/>
          <w:szCs w:val="22"/>
        </w:rPr>
      </w:pPr>
    </w:p>
    <w:p w14:paraId="4A574974" w14:textId="77777777" w:rsidR="00040C3A" w:rsidRPr="002902F0" w:rsidRDefault="00040C3A" w:rsidP="00040C3A">
      <w:pPr>
        <w:tabs>
          <w:tab w:val="center" w:pos="5400"/>
        </w:tabs>
        <w:suppressAutoHyphens/>
        <w:jc w:val="center"/>
        <w:rPr>
          <w:rFonts w:asciiTheme="majorHAnsi" w:hAnsiTheme="majorHAnsi"/>
          <w:sz w:val="22"/>
          <w:szCs w:val="22"/>
        </w:rPr>
      </w:pPr>
    </w:p>
    <w:p w14:paraId="11A9BA8A" w14:textId="77777777" w:rsidR="00040C3A" w:rsidRPr="002902F0" w:rsidRDefault="00E533FF"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035DA488">
                <wp:simplePos x="0" y="0"/>
                <wp:positionH relativeFrom="column">
                  <wp:posOffset>1213164</wp:posOffset>
                </wp:positionH>
                <wp:positionV relativeFrom="paragraph">
                  <wp:posOffset>79023</wp:posOffset>
                </wp:positionV>
                <wp:extent cx="5441133"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441133"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405C2E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6527B">
                              <w:rPr>
                                <w:rFonts w:asciiTheme="majorHAnsi" w:hAnsiTheme="majorHAnsi" w:cs="Arial"/>
                                <w:b/>
                                <w:bCs/>
                                <w:color w:val="0D0D0D" w:themeColor="text1" w:themeTint="F2"/>
                                <w:sz w:val="36"/>
                                <w:szCs w:val="40"/>
                              </w:rPr>
                              <w:t>53</w:t>
                            </w:r>
                            <w:r w:rsidR="00322450" w:rsidRPr="004B7EB6">
                              <w:rPr>
                                <w:rFonts w:asciiTheme="majorHAnsi" w:hAnsiTheme="majorHAnsi" w:cs="Arial"/>
                                <w:b/>
                                <w:bCs/>
                                <w:color w:val="0D0D0D" w:themeColor="text1" w:themeTint="F2"/>
                                <w:sz w:val="36"/>
                                <w:szCs w:val="40"/>
                              </w:rPr>
                              <w:t>/</w:t>
                            </w:r>
                            <w:r w:rsidR="00F07BC4">
                              <w:rPr>
                                <w:rFonts w:asciiTheme="majorHAnsi" w:hAnsiTheme="majorHAnsi" w:cs="Arial"/>
                                <w:b/>
                                <w:bCs/>
                                <w:color w:val="0D0D0D" w:themeColor="text1" w:themeTint="F2"/>
                                <w:sz w:val="36"/>
                                <w:szCs w:val="40"/>
                              </w:rPr>
                              <w:t>23</w:t>
                            </w:r>
                          </w:p>
                          <w:p w14:paraId="081F51F3" w14:textId="792B26C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F07BC4">
                              <w:rPr>
                                <w:rFonts w:asciiTheme="majorHAnsi" w:hAnsiTheme="majorHAnsi" w:cs="Arial"/>
                                <w:b/>
                                <w:bCs/>
                                <w:color w:val="0D0D0D" w:themeColor="text1" w:themeTint="F2"/>
                                <w:sz w:val="36"/>
                                <w:szCs w:val="40"/>
                              </w:rPr>
                              <w:t>353-08</w:t>
                            </w:r>
                          </w:p>
                          <w:p w14:paraId="34978E5A" w14:textId="077B5D7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4E47C22" w14:textId="63A6D734" w:rsidR="00F07BC4" w:rsidRPr="00247565" w:rsidRDefault="00F07BC4" w:rsidP="00F07BC4">
                            <w:pPr>
                              <w:spacing w:line="276" w:lineRule="auto"/>
                              <w:rPr>
                                <w:rFonts w:asciiTheme="majorHAnsi" w:hAnsiTheme="majorHAnsi" w:cs="Arial"/>
                                <w:color w:val="0D0D0D" w:themeColor="text1" w:themeTint="F2"/>
                                <w:szCs w:val="22"/>
                                <w:lang w:val="es-AR"/>
                              </w:rPr>
                            </w:pPr>
                            <w:r w:rsidRPr="000E2454">
                              <w:rPr>
                                <w:rFonts w:asciiTheme="majorHAnsi" w:hAnsiTheme="majorHAnsi" w:cs="Arial"/>
                                <w:color w:val="0D0D0D" w:themeColor="text1" w:themeTint="F2"/>
                                <w:szCs w:val="22"/>
                                <w:lang w:val="es-US"/>
                              </w:rPr>
                              <w:t xml:space="preserve">JONATHAN CHINCHILLA JIMÉNEZ </w:t>
                            </w:r>
                            <w:r w:rsidR="00E130E5" w:rsidRPr="00247565">
                              <w:rPr>
                                <w:rFonts w:asciiTheme="majorHAnsi" w:hAnsiTheme="majorHAnsi" w:cs="Arial"/>
                                <w:color w:val="0D0D0D" w:themeColor="text1" w:themeTint="F2"/>
                                <w:szCs w:val="22"/>
                                <w:lang w:val="es-AR"/>
                              </w:rPr>
                              <w:t>&amp;</w:t>
                            </w:r>
                            <w:r w:rsidRPr="00247565">
                              <w:rPr>
                                <w:rFonts w:asciiTheme="majorHAnsi" w:hAnsiTheme="majorHAnsi" w:cs="Arial"/>
                                <w:color w:val="0D0D0D" w:themeColor="text1" w:themeTint="F2"/>
                                <w:szCs w:val="22"/>
                                <w:lang w:val="es-AR"/>
                              </w:rPr>
                              <w:t xml:space="preserve"> MOISÉS GERARDO VIZCAYNO PORRAS</w:t>
                            </w:r>
                          </w:p>
                          <w:p w14:paraId="48EBC31A" w14:textId="0A200C33" w:rsidR="00F42B71" w:rsidRPr="00D6527B" w:rsidRDefault="00F07BC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D6527B">
                              <w:rPr>
                                <w:rFonts w:ascii="Cambria" w:hAnsi="Cambria" w:cs="Arial"/>
                                <w:color w:val="0D0D0D"/>
                                <w:szCs w:val="22"/>
                                <w:lang w:val="pt-BR"/>
                              </w:rPr>
                              <w:t>COSTA 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5pt;margin-top:6.2pt;width:428.4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" filled="f" stroked="f" strokeweight=".5pt">
                <v:textbox>
                  <w:txbxContent>
                    <w:p w14:paraId="6F7C2188" w14:textId="2405C2E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6527B">
                        <w:rPr>
                          <w:rFonts w:asciiTheme="majorHAnsi" w:hAnsiTheme="majorHAnsi" w:cs="Arial"/>
                          <w:b/>
                          <w:bCs/>
                          <w:color w:val="0D0D0D" w:themeColor="text1" w:themeTint="F2"/>
                          <w:sz w:val="36"/>
                          <w:szCs w:val="40"/>
                        </w:rPr>
                        <w:t>53</w:t>
                      </w:r>
                      <w:r w:rsidR="00322450" w:rsidRPr="004B7EB6">
                        <w:rPr>
                          <w:rFonts w:asciiTheme="majorHAnsi" w:hAnsiTheme="majorHAnsi" w:cs="Arial"/>
                          <w:b/>
                          <w:bCs/>
                          <w:color w:val="0D0D0D" w:themeColor="text1" w:themeTint="F2"/>
                          <w:sz w:val="36"/>
                          <w:szCs w:val="40"/>
                        </w:rPr>
                        <w:t>/</w:t>
                      </w:r>
                      <w:r w:rsidR="00F07BC4">
                        <w:rPr>
                          <w:rFonts w:asciiTheme="majorHAnsi" w:hAnsiTheme="majorHAnsi" w:cs="Arial"/>
                          <w:b/>
                          <w:bCs/>
                          <w:color w:val="0D0D0D" w:themeColor="text1" w:themeTint="F2"/>
                          <w:sz w:val="36"/>
                          <w:szCs w:val="40"/>
                        </w:rPr>
                        <w:t>23</w:t>
                      </w:r>
                    </w:p>
                    <w:p w14:paraId="081F51F3" w14:textId="792B26C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F07BC4">
                        <w:rPr>
                          <w:rFonts w:asciiTheme="majorHAnsi" w:hAnsiTheme="majorHAnsi" w:cs="Arial"/>
                          <w:b/>
                          <w:bCs/>
                          <w:color w:val="0D0D0D" w:themeColor="text1" w:themeTint="F2"/>
                          <w:sz w:val="36"/>
                          <w:szCs w:val="40"/>
                        </w:rPr>
                        <w:t>353-08</w:t>
                      </w:r>
                    </w:p>
                    <w:p w14:paraId="34978E5A" w14:textId="077B5D7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4E47C22" w14:textId="63A6D734" w:rsidR="00F07BC4" w:rsidRPr="00247565" w:rsidRDefault="00F07BC4" w:rsidP="00F07BC4">
                      <w:pPr>
                        <w:spacing w:line="276" w:lineRule="auto"/>
                        <w:rPr>
                          <w:rFonts w:asciiTheme="majorHAnsi" w:hAnsiTheme="majorHAnsi" w:cs="Arial"/>
                          <w:color w:val="0D0D0D" w:themeColor="text1" w:themeTint="F2"/>
                          <w:szCs w:val="22"/>
                          <w:lang w:val="es-AR"/>
                        </w:rPr>
                      </w:pPr>
                      <w:r w:rsidRPr="000E2454">
                        <w:rPr>
                          <w:rFonts w:asciiTheme="majorHAnsi" w:hAnsiTheme="majorHAnsi" w:cs="Arial"/>
                          <w:color w:val="0D0D0D" w:themeColor="text1" w:themeTint="F2"/>
                          <w:szCs w:val="22"/>
                          <w:lang w:val="es-US"/>
                        </w:rPr>
                        <w:t xml:space="preserve">JONATHAN CHINCHILLA JIMÉNEZ </w:t>
                      </w:r>
                      <w:r w:rsidR="00E130E5" w:rsidRPr="00247565">
                        <w:rPr>
                          <w:rFonts w:asciiTheme="majorHAnsi" w:hAnsiTheme="majorHAnsi" w:cs="Arial"/>
                          <w:color w:val="0D0D0D" w:themeColor="text1" w:themeTint="F2"/>
                          <w:szCs w:val="22"/>
                          <w:lang w:val="es-AR"/>
                        </w:rPr>
                        <w:t>&amp;</w:t>
                      </w:r>
                      <w:r w:rsidRPr="00247565">
                        <w:rPr>
                          <w:rFonts w:asciiTheme="majorHAnsi" w:hAnsiTheme="majorHAnsi" w:cs="Arial"/>
                          <w:color w:val="0D0D0D" w:themeColor="text1" w:themeTint="F2"/>
                          <w:szCs w:val="22"/>
                          <w:lang w:val="es-AR"/>
                        </w:rPr>
                        <w:t xml:space="preserve"> MOISÉS GERARDO VIZCAYNO PORRAS</w:t>
                      </w:r>
                    </w:p>
                    <w:p w14:paraId="48EBC31A" w14:textId="0A200C33" w:rsidR="00F42B71" w:rsidRPr="00D6527B" w:rsidRDefault="00F07BC4"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D6527B">
                        <w:rPr>
                          <w:rFonts w:ascii="Cambria" w:hAnsi="Cambria" w:cs="Arial"/>
                          <w:color w:val="0D0D0D"/>
                          <w:szCs w:val="22"/>
                          <w:lang w:val="pt-BR"/>
                        </w:rPr>
                        <w:t>COSTA 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29AD6BC" w:rsidR="00627C9F" w:rsidRPr="00247565" w:rsidRDefault="009E566A" w:rsidP="009E566A">
                            <w:pPr>
                              <w:jc w:val="right"/>
                              <w:rPr>
                                <w:rFonts w:asciiTheme="minorHAnsi" w:hAnsiTheme="minorHAnsi"/>
                                <w:color w:val="FFFFFF" w:themeColor="background1"/>
                                <w:sz w:val="22"/>
                              </w:rPr>
                            </w:pPr>
                            <w:r w:rsidRPr="00247565">
                              <w:rPr>
                                <w:rFonts w:asciiTheme="minorHAnsi" w:hAnsiTheme="minorHAnsi"/>
                                <w:color w:val="FFFFFF" w:themeColor="background1"/>
                                <w:sz w:val="22"/>
                              </w:rPr>
                              <w:t>OEA/Ser.L/V/II</w:t>
                            </w:r>
                          </w:p>
                          <w:p w14:paraId="4AA08A8C" w14:textId="639159A5" w:rsidR="00627C9F" w:rsidRPr="00247565" w:rsidRDefault="00CA6577" w:rsidP="009E566A">
                            <w:pPr>
                              <w:jc w:val="right"/>
                              <w:rPr>
                                <w:rFonts w:asciiTheme="minorHAnsi" w:hAnsiTheme="minorHAnsi"/>
                                <w:color w:val="FFFFFF" w:themeColor="background1"/>
                                <w:sz w:val="22"/>
                              </w:rPr>
                            </w:pPr>
                            <w:r w:rsidRPr="00247565">
                              <w:rPr>
                                <w:rFonts w:asciiTheme="minorHAnsi" w:hAnsiTheme="minorHAnsi"/>
                                <w:color w:val="FFFFFF" w:themeColor="background1"/>
                                <w:sz w:val="22"/>
                              </w:rPr>
                              <w:t xml:space="preserve">Doc. </w:t>
                            </w:r>
                            <w:r w:rsidR="00E130E5" w:rsidRPr="00247565">
                              <w:rPr>
                                <w:rFonts w:asciiTheme="minorHAnsi" w:hAnsiTheme="minorHAnsi"/>
                                <w:color w:val="FFFFFF" w:themeColor="background1"/>
                                <w:sz w:val="22"/>
                              </w:rPr>
                              <w:t>61</w:t>
                            </w:r>
                          </w:p>
                          <w:p w14:paraId="0BEFF61A" w14:textId="608FDBF0" w:rsidR="00627C9F" w:rsidRPr="00E130E5" w:rsidRDefault="00022CF5" w:rsidP="009E566A">
                            <w:pPr>
                              <w:jc w:val="right"/>
                              <w:rPr>
                                <w:rFonts w:asciiTheme="minorHAnsi" w:hAnsiTheme="minorHAnsi"/>
                                <w:color w:val="FFFFFF" w:themeColor="background1"/>
                                <w:sz w:val="22"/>
                              </w:rPr>
                            </w:pPr>
                            <w:r w:rsidRPr="00247565">
                              <w:rPr>
                                <w:rFonts w:asciiTheme="minorHAnsi" w:hAnsiTheme="minorHAnsi"/>
                                <w:color w:val="FFFFFF" w:themeColor="background1"/>
                                <w:sz w:val="22"/>
                              </w:rPr>
                              <w:t xml:space="preserve"> </w:t>
                            </w:r>
                            <w:r w:rsidR="00077064">
                              <w:rPr>
                                <w:rFonts w:asciiTheme="minorHAnsi" w:hAnsiTheme="minorHAnsi"/>
                                <w:color w:val="FFFFFF" w:themeColor="background1"/>
                                <w:sz w:val="22"/>
                              </w:rPr>
                              <w:t>10 May</w:t>
                            </w:r>
                            <w:r w:rsidR="000C4365" w:rsidRPr="00E130E5">
                              <w:rPr>
                                <w:rFonts w:asciiTheme="minorHAnsi" w:hAnsiTheme="minorHAnsi"/>
                                <w:color w:val="FFFFFF" w:themeColor="background1"/>
                                <w:sz w:val="22"/>
                              </w:rPr>
                              <w:t xml:space="preserve"> </w:t>
                            </w:r>
                            <w:r w:rsidR="006614CA" w:rsidRPr="00E130E5">
                              <w:rPr>
                                <w:rFonts w:asciiTheme="minorHAnsi" w:hAnsiTheme="minorHAnsi"/>
                                <w:color w:val="FFFFFF" w:themeColor="background1"/>
                                <w:sz w:val="22"/>
                              </w:rPr>
                              <w:t>202</w:t>
                            </w:r>
                            <w:r w:rsidR="00F07BC4" w:rsidRPr="00E130E5">
                              <w:rPr>
                                <w:rFonts w:asciiTheme="minorHAnsi" w:hAnsiTheme="minorHAnsi"/>
                                <w:color w:val="FFFFFF" w:themeColor="background1"/>
                                <w:sz w:val="22"/>
                              </w:rPr>
                              <w:t>3</w:t>
                            </w:r>
                          </w:p>
                          <w:p w14:paraId="0FC103BD" w14:textId="41C234B7" w:rsidR="00627C9F" w:rsidRPr="00E130E5" w:rsidRDefault="00627C9F" w:rsidP="009E566A">
                            <w:pPr>
                              <w:jc w:val="right"/>
                              <w:rPr>
                                <w:rFonts w:asciiTheme="minorHAnsi" w:hAnsiTheme="minorHAnsi"/>
                                <w:color w:val="FFFFFF" w:themeColor="background1"/>
                                <w:sz w:val="22"/>
                              </w:rPr>
                            </w:pPr>
                            <w:r w:rsidRPr="00E130E5">
                              <w:rPr>
                                <w:rFonts w:asciiTheme="minorHAnsi" w:hAnsiTheme="minorHAnsi"/>
                                <w:color w:val="FFFFFF" w:themeColor="background1"/>
                                <w:sz w:val="22"/>
                              </w:rPr>
                              <w:t>Original:</w:t>
                            </w:r>
                            <w:r w:rsidR="002C1641" w:rsidRPr="00E130E5">
                              <w:rPr>
                                <w:rFonts w:asciiTheme="minorHAnsi" w:hAnsiTheme="minorHAnsi"/>
                                <w:color w:val="FFFFFF" w:themeColor="background1"/>
                                <w:sz w:val="22"/>
                              </w:rPr>
                              <w:t xml:space="preserve"> </w:t>
                            </w:r>
                            <w:r w:rsidR="00F42B71" w:rsidRPr="00E130E5">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129AD6BC" w:rsidR="00627C9F" w:rsidRPr="00247565" w:rsidRDefault="009E566A" w:rsidP="009E566A">
                      <w:pPr>
                        <w:jc w:val="right"/>
                        <w:rPr>
                          <w:rFonts w:asciiTheme="minorHAnsi" w:hAnsiTheme="minorHAnsi"/>
                          <w:color w:val="FFFFFF" w:themeColor="background1"/>
                          <w:sz w:val="22"/>
                        </w:rPr>
                      </w:pPr>
                      <w:r w:rsidRPr="00247565">
                        <w:rPr>
                          <w:rFonts w:asciiTheme="minorHAnsi" w:hAnsiTheme="minorHAnsi"/>
                          <w:color w:val="FFFFFF" w:themeColor="background1"/>
                          <w:sz w:val="22"/>
                        </w:rPr>
                        <w:t>OEA/Ser.L/V/II</w:t>
                      </w:r>
                    </w:p>
                    <w:p w14:paraId="4AA08A8C" w14:textId="639159A5" w:rsidR="00627C9F" w:rsidRPr="00247565" w:rsidRDefault="00CA6577" w:rsidP="009E566A">
                      <w:pPr>
                        <w:jc w:val="right"/>
                        <w:rPr>
                          <w:rFonts w:asciiTheme="minorHAnsi" w:hAnsiTheme="minorHAnsi"/>
                          <w:color w:val="FFFFFF" w:themeColor="background1"/>
                          <w:sz w:val="22"/>
                        </w:rPr>
                      </w:pPr>
                      <w:r w:rsidRPr="00247565">
                        <w:rPr>
                          <w:rFonts w:asciiTheme="minorHAnsi" w:hAnsiTheme="minorHAnsi"/>
                          <w:color w:val="FFFFFF" w:themeColor="background1"/>
                          <w:sz w:val="22"/>
                        </w:rPr>
                        <w:t xml:space="preserve">Doc. </w:t>
                      </w:r>
                      <w:r w:rsidR="00E130E5" w:rsidRPr="00247565">
                        <w:rPr>
                          <w:rFonts w:asciiTheme="minorHAnsi" w:hAnsiTheme="minorHAnsi"/>
                          <w:color w:val="FFFFFF" w:themeColor="background1"/>
                          <w:sz w:val="22"/>
                        </w:rPr>
                        <w:t>61</w:t>
                      </w:r>
                    </w:p>
                    <w:p w14:paraId="0BEFF61A" w14:textId="608FDBF0" w:rsidR="00627C9F" w:rsidRPr="00E130E5" w:rsidRDefault="00022CF5" w:rsidP="009E566A">
                      <w:pPr>
                        <w:jc w:val="right"/>
                        <w:rPr>
                          <w:rFonts w:asciiTheme="minorHAnsi" w:hAnsiTheme="minorHAnsi"/>
                          <w:color w:val="FFFFFF" w:themeColor="background1"/>
                          <w:sz w:val="22"/>
                        </w:rPr>
                      </w:pPr>
                      <w:r w:rsidRPr="00247565">
                        <w:rPr>
                          <w:rFonts w:asciiTheme="minorHAnsi" w:hAnsiTheme="minorHAnsi"/>
                          <w:color w:val="FFFFFF" w:themeColor="background1"/>
                          <w:sz w:val="22"/>
                        </w:rPr>
                        <w:t xml:space="preserve"> </w:t>
                      </w:r>
                      <w:r w:rsidR="00077064">
                        <w:rPr>
                          <w:rFonts w:asciiTheme="minorHAnsi" w:hAnsiTheme="minorHAnsi"/>
                          <w:color w:val="FFFFFF" w:themeColor="background1"/>
                          <w:sz w:val="22"/>
                        </w:rPr>
                        <w:t>10 May</w:t>
                      </w:r>
                      <w:r w:rsidR="000C4365" w:rsidRPr="00E130E5">
                        <w:rPr>
                          <w:rFonts w:asciiTheme="minorHAnsi" w:hAnsiTheme="minorHAnsi"/>
                          <w:color w:val="FFFFFF" w:themeColor="background1"/>
                          <w:sz w:val="22"/>
                        </w:rPr>
                        <w:t xml:space="preserve"> </w:t>
                      </w:r>
                      <w:r w:rsidR="006614CA" w:rsidRPr="00E130E5">
                        <w:rPr>
                          <w:rFonts w:asciiTheme="minorHAnsi" w:hAnsiTheme="minorHAnsi"/>
                          <w:color w:val="FFFFFF" w:themeColor="background1"/>
                          <w:sz w:val="22"/>
                        </w:rPr>
                        <w:t>202</w:t>
                      </w:r>
                      <w:r w:rsidR="00F07BC4" w:rsidRPr="00E130E5">
                        <w:rPr>
                          <w:rFonts w:asciiTheme="minorHAnsi" w:hAnsiTheme="minorHAnsi"/>
                          <w:color w:val="FFFFFF" w:themeColor="background1"/>
                          <w:sz w:val="22"/>
                        </w:rPr>
                        <w:t>3</w:t>
                      </w:r>
                    </w:p>
                    <w:p w14:paraId="0FC103BD" w14:textId="41C234B7" w:rsidR="00627C9F" w:rsidRPr="00E130E5" w:rsidRDefault="00627C9F" w:rsidP="009E566A">
                      <w:pPr>
                        <w:jc w:val="right"/>
                        <w:rPr>
                          <w:rFonts w:asciiTheme="minorHAnsi" w:hAnsiTheme="minorHAnsi"/>
                          <w:color w:val="FFFFFF" w:themeColor="background1"/>
                          <w:sz w:val="22"/>
                        </w:rPr>
                      </w:pPr>
                      <w:r w:rsidRPr="00E130E5">
                        <w:rPr>
                          <w:rFonts w:asciiTheme="minorHAnsi" w:hAnsiTheme="minorHAnsi"/>
                          <w:color w:val="FFFFFF" w:themeColor="background1"/>
                          <w:sz w:val="22"/>
                        </w:rPr>
                        <w:t>Original:</w:t>
                      </w:r>
                      <w:r w:rsidR="002C1641" w:rsidRPr="00E130E5">
                        <w:rPr>
                          <w:rFonts w:asciiTheme="minorHAnsi" w:hAnsiTheme="minorHAnsi"/>
                          <w:color w:val="FFFFFF" w:themeColor="background1"/>
                          <w:sz w:val="22"/>
                        </w:rPr>
                        <w:t xml:space="preserve"> </w:t>
                      </w:r>
                      <w:r w:rsidR="00F42B71" w:rsidRPr="00E130E5">
                        <w:rPr>
                          <w:rFonts w:asciiTheme="minorHAnsi" w:hAnsiTheme="minorHAnsi"/>
                          <w:color w:val="FFFFFF" w:themeColor="background1"/>
                          <w:sz w:val="22"/>
                        </w:rPr>
                        <w:t>Spanish</w:t>
                      </w:r>
                    </w:p>
                  </w:txbxContent>
                </v:textbox>
              </v:shape>
            </w:pict>
          </mc:Fallback>
        </mc:AlternateContent>
      </w:r>
    </w:p>
    <w:p w14:paraId="3765F9FA" w14:textId="77777777" w:rsidR="00040C3A" w:rsidRPr="002902F0" w:rsidRDefault="00040C3A" w:rsidP="00040C3A">
      <w:pPr>
        <w:tabs>
          <w:tab w:val="center" w:pos="5400"/>
        </w:tabs>
        <w:suppressAutoHyphens/>
        <w:jc w:val="center"/>
        <w:rPr>
          <w:rFonts w:asciiTheme="majorHAnsi" w:hAnsiTheme="majorHAnsi"/>
          <w:sz w:val="22"/>
          <w:szCs w:val="22"/>
        </w:rPr>
      </w:pPr>
    </w:p>
    <w:p w14:paraId="5E33CE59" w14:textId="77777777" w:rsidR="00040C3A" w:rsidRPr="002902F0"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2902F0" w:rsidRDefault="00040C3A" w:rsidP="00040C3A">
      <w:pPr>
        <w:tabs>
          <w:tab w:val="center" w:pos="5400"/>
        </w:tabs>
        <w:suppressAutoHyphens/>
        <w:jc w:val="center"/>
        <w:rPr>
          <w:rFonts w:asciiTheme="majorHAnsi" w:hAnsiTheme="majorHAnsi"/>
          <w:sz w:val="22"/>
          <w:szCs w:val="22"/>
        </w:rPr>
      </w:pPr>
    </w:p>
    <w:p w14:paraId="43677EE2" w14:textId="77777777" w:rsidR="00040C3A" w:rsidRPr="002902F0" w:rsidRDefault="00040C3A" w:rsidP="00040C3A">
      <w:pPr>
        <w:tabs>
          <w:tab w:val="center" w:pos="5400"/>
        </w:tabs>
        <w:suppressAutoHyphens/>
        <w:jc w:val="center"/>
        <w:rPr>
          <w:rFonts w:asciiTheme="majorHAnsi" w:hAnsiTheme="majorHAnsi"/>
          <w:sz w:val="22"/>
          <w:szCs w:val="22"/>
        </w:rPr>
      </w:pPr>
    </w:p>
    <w:p w14:paraId="747B776B" w14:textId="77777777" w:rsidR="00040C3A" w:rsidRPr="002902F0" w:rsidRDefault="00040C3A" w:rsidP="00040C3A">
      <w:pPr>
        <w:tabs>
          <w:tab w:val="center" w:pos="5400"/>
        </w:tabs>
        <w:suppressAutoHyphens/>
        <w:jc w:val="center"/>
        <w:rPr>
          <w:rFonts w:asciiTheme="majorHAnsi" w:hAnsiTheme="majorHAnsi"/>
          <w:sz w:val="22"/>
          <w:szCs w:val="22"/>
        </w:rPr>
      </w:pPr>
    </w:p>
    <w:p w14:paraId="3FA14379" w14:textId="77777777" w:rsidR="00040C3A" w:rsidRPr="002902F0" w:rsidRDefault="00040C3A" w:rsidP="00040C3A">
      <w:pPr>
        <w:tabs>
          <w:tab w:val="center" w:pos="5400"/>
        </w:tabs>
        <w:suppressAutoHyphens/>
        <w:jc w:val="center"/>
        <w:rPr>
          <w:rFonts w:asciiTheme="majorHAnsi" w:hAnsiTheme="majorHAnsi"/>
          <w:sz w:val="22"/>
          <w:szCs w:val="22"/>
        </w:rPr>
      </w:pPr>
    </w:p>
    <w:p w14:paraId="28A65FAF" w14:textId="77777777" w:rsidR="005128E4" w:rsidRPr="002902F0" w:rsidRDefault="005128E4" w:rsidP="00040C3A">
      <w:pPr>
        <w:tabs>
          <w:tab w:val="center" w:pos="5400"/>
        </w:tabs>
        <w:suppressAutoHyphens/>
        <w:jc w:val="center"/>
        <w:rPr>
          <w:rFonts w:asciiTheme="majorHAnsi" w:hAnsiTheme="majorHAnsi"/>
          <w:sz w:val="22"/>
          <w:szCs w:val="22"/>
        </w:rPr>
      </w:pPr>
    </w:p>
    <w:p w14:paraId="11B1978A" w14:textId="77777777" w:rsidR="00040C3A" w:rsidRPr="002902F0" w:rsidRDefault="00040C3A" w:rsidP="00040C3A">
      <w:pPr>
        <w:tabs>
          <w:tab w:val="center" w:pos="5400"/>
        </w:tabs>
        <w:suppressAutoHyphens/>
        <w:jc w:val="center"/>
        <w:rPr>
          <w:rFonts w:asciiTheme="majorHAnsi" w:hAnsiTheme="majorHAnsi"/>
          <w:sz w:val="22"/>
          <w:szCs w:val="22"/>
        </w:rPr>
      </w:pPr>
    </w:p>
    <w:p w14:paraId="650F503D" w14:textId="77777777" w:rsidR="005128E4" w:rsidRPr="002902F0" w:rsidRDefault="005128E4" w:rsidP="00040C3A">
      <w:pPr>
        <w:tabs>
          <w:tab w:val="center" w:pos="5400"/>
        </w:tabs>
        <w:suppressAutoHyphens/>
        <w:jc w:val="center"/>
        <w:rPr>
          <w:rFonts w:asciiTheme="majorHAnsi" w:hAnsiTheme="majorHAnsi"/>
          <w:sz w:val="22"/>
          <w:szCs w:val="22"/>
        </w:rPr>
      </w:pPr>
    </w:p>
    <w:p w14:paraId="17861C77" w14:textId="77777777" w:rsidR="005128E4" w:rsidRPr="002902F0" w:rsidRDefault="005128E4" w:rsidP="00040C3A">
      <w:pPr>
        <w:tabs>
          <w:tab w:val="center" w:pos="5400"/>
        </w:tabs>
        <w:suppressAutoHyphens/>
        <w:jc w:val="center"/>
        <w:rPr>
          <w:rFonts w:asciiTheme="majorHAnsi" w:hAnsiTheme="majorHAnsi"/>
          <w:sz w:val="22"/>
          <w:szCs w:val="22"/>
        </w:rPr>
      </w:pPr>
    </w:p>
    <w:p w14:paraId="0EFEAEB7" w14:textId="77777777" w:rsidR="005128E4" w:rsidRPr="002902F0" w:rsidRDefault="005128E4" w:rsidP="00040C3A">
      <w:pPr>
        <w:tabs>
          <w:tab w:val="center" w:pos="5400"/>
        </w:tabs>
        <w:suppressAutoHyphens/>
        <w:jc w:val="center"/>
        <w:rPr>
          <w:rFonts w:asciiTheme="majorHAnsi" w:hAnsiTheme="majorHAnsi"/>
          <w:sz w:val="22"/>
          <w:szCs w:val="22"/>
        </w:rPr>
      </w:pPr>
    </w:p>
    <w:p w14:paraId="5B815FC5" w14:textId="77777777" w:rsidR="00040C3A" w:rsidRPr="002902F0" w:rsidRDefault="00040C3A" w:rsidP="00040C3A">
      <w:pPr>
        <w:tabs>
          <w:tab w:val="center" w:pos="5400"/>
        </w:tabs>
        <w:suppressAutoHyphens/>
        <w:jc w:val="center"/>
        <w:rPr>
          <w:rFonts w:asciiTheme="majorHAnsi" w:hAnsiTheme="majorHAnsi"/>
          <w:sz w:val="22"/>
          <w:szCs w:val="22"/>
        </w:rPr>
      </w:pPr>
    </w:p>
    <w:p w14:paraId="0D43F8BD" w14:textId="77777777" w:rsidR="00040C3A" w:rsidRPr="002902F0" w:rsidRDefault="00040C3A" w:rsidP="00040C3A">
      <w:pPr>
        <w:tabs>
          <w:tab w:val="center" w:pos="5400"/>
        </w:tabs>
        <w:suppressAutoHyphens/>
        <w:jc w:val="center"/>
        <w:rPr>
          <w:rFonts w:asciiTheme="majorHAnsi" w:hAnsiTheme="majorHAnsi"/>
          <w:sz w:val="22"/>
          <w:szCs w:val="22"/>
        </w:rPr>
      </w:pPr>
    </w:p>
    <w:p w14:paraId="03AA1AEB" w14:textId="77777777" w:rsidR="002C1641" w:rsidRPr="002902F0" w:rsidRDefault="002C1641" w:rsidP="00040C3A">
      <w:pPr>
        <w:tabs>
          <w:tab w:val="center" w:pos="5400"/>
        </w:tabs>
        <w:suppressAutoHyphens/>
        <w:jc w:val="center"/>
        <w:rPr>
          <w:rFonts w:asciiTheme="majorHAnsi" w:hAnsiTheme="majorHAnsi"/>
          <w:sz w:val="18"/>
          <w:szCs w:val="22"/>
        </w:rPr>
      </w:pPr>
    </w:p>
    <w:p w14:paraId="2FD75BF3" w14:textId="77777777" w:rsidR="002C1641" w:rsidRPr="002902F0" w:rsidRDefault="002C1641" w:rsidP="00040C3A">
      <w:pPr>
        <w:tabs>
          <w:tab w:val="center" w:pos="5400"/>
        </w:tabs>
        <w:suppressAutoHyphens/>
        <w:jc w:val="center"/>
        <w:rPr>
          <w:rFonts w:asciiTheme="majorHAnsi" w:hAnsiTheme="majorHAnsi"/>
          <w:sz w:val="18"/>
          <w:szCs w:val="22"/>
        </w:rPr>
      </w:pPr>
    </w:p>
    <w:p w14:paraId="73EF440E" w14:textId="77777777" w:rsidR="002C1641" w:rsidRPr="002902F0" w:rsidRDefault="002C1641" w:rsidP="00040C3A">
      <w:pPr>
        <w:tabs>
          <w:tab w:val="center" w:pos="5400"/>
        </w:tabs>
        <w:suppressAutoHyphens/>
        <w:jc w:val="center"/>
        <w:rPr>
          <w:rFonts w:asciiTheme="majorHAnsi" w:hAnsiTheme="majorHAnsi"/>
          <w:sz w:val="18"/>
          <w:szCs w:val="22"/>
        </w:rPr>
      </w:pPr>
    </w:p>
    <w:p w14:paraId="3D12B191" w14:textId="77777777" w:rsidR="002C1641" w:rsidRPr="002902F0" w:rsidRDefault="002C1641" w:rsidP="00040C3A">
      <w:pPr>
        <w:tabs>
          <w:tab w:val="center" w:pos="5400"/>
        </w:tabs>
        <w:suppressAutoHyphens/>
        <w:jc w:val="center"/>
        <w:rPr>
          <w:rFonts w:asciiTheme="majorHAnsi" w:hAnsiTheme="majorHAnsi"/>
          <w:sz w:val="18"/>
          <w:szCs w:val="22"/>
        </w:rPr>
      </w:pPr>
    </w:p>
    <w:p w14:paraId="1132D17C" w14:textId="77777777" w:rsidR="002C1641" w:rsidRPr="002902F0" w:rsidRDefault="002C1641" w:rsidP="00040C3A">
      <w:pPr>
        <w:tabs>
          <w:tab w:val="center" w:pos="5400"/>
        </w:tabs>
        <w:suppressAutoHyphens/>
        <w:jc w:val="center"/>
        <w:rPr>
          <w:rFonts w:asciiTheme="majorHAnsi" w:hAnsiTheme="majorHAnsi"/>
          <w:sz w:val="18"/>
          <w:szCs w:val="22"/>
        </w:rPr>
      </w:pPr>
    </w:p>
    <w:p w14:paraId="659B324C" w14:textId="77777777" w:rsidR="002C1641" w:rsidRPr="002902F0" w:rsidRDefault="002C1641" w:rsidP="00040C3A">
      <w:pPr>
        <w:tabs>
          <w:tab w:val="center" w:pos="5400"/>
        </w:tabs>
        <w:suppressAutoHyphens/>
        <w:jc w:val="center"/>
        <w:rPr>
          <w:rFonts w:asciiTheme="majorHAnsi" w:hAnsiTheme="majorHAnsi"/>
          <w:sz w:val="18"/>
          <w:szCs w:val="22"/>
        </w:rPr>
      </w:pPr>
    </w:p>
    <w:p w14:paraId="0DE58CEA" w14:textId="77777777" w:rsidR="002C1641" w:rsidRPr="002902F0" w:rsidRDefault="002C1641" w:rsidP="00040C3A">
      <w:pPr>
        <w:tabs>
          <w:tab w:val="center" w:pos="5400"/>
        </w:tabs>
        <w:suppressAutoHyphens/>
        <w:jc w:val="center"/>
        <w:rPr>
          <w:rFonts w:asciiTheme="majorHAnsi" w:hAnsiTheme="majorHAnsi"/>
          <w:sz w:val="18"/>
          <w:szCs w:val="22"/>
        </w:rPr>
      </w:pPr>
    </w:p>
    <w:p w14:paraId="3A5BB7C9" w14:textId="77777777" w:rsidR="002C1641" w:rsidRPr="002902F0" w:rsidRDefault="002C1641" w:rsidP="00040C3A">
      <w:pPr>
        <w:tabs>
          <w:tab w:val="center" w:pos="5400"/>
        </w:tabs>
        <w:suppressAutoHyphens/>
        <w:jc w:val="center"/>
        <w:rPr>
          <w:rFonts w:asciiTheme="majorHAnsi" w:hAnsiTheme="majorHAnsi"/>
          <w:sz w:val="18"/>
          <w:szCs w:val="22"/>
        </w:rPr>
      </w:pPr>
    </w:p>
    <w:p w14:paraId="6BA67E7F" w14:textId="77777777" w:rsidR="002C1641" w:rsidRPr="002902F0" w:rsidRDefault="002C1641" w:rsidP="00040C3A">
      <w:pPr>
        <w:tabs>
          <w:tab w:val="center" w:pos="5400"/>
        </w:tabs>
        <w:suppressAutoHyphens/>
        <w:jc w:val="center"/>
        <w:rPr>
          <w:rFonts w:asciiTheme="majorHAnsi" w:hAnsiTheme="majorHAnsi"/>
          <w:sz w:val="18"/>
          <w:szCs w:val="22"/>
        </w:rPr>
      </w:pPr>
    </w:p>
    <w:p w14:paraId="6D4FBE3A" w14:textId="77777777" w:rsidR="002C1641" w:rsidRPr="002902F0" w:rsidRDefault="002C1641" w:rsidP="00040C3A">
      <w:pPr>
        <w:tabs>
          <w:tab w:val="center" w:pos="5400"/>
        </w:tabs>
        <w:suppressAutoHyphens/>
        <w:jc w:val="center"/>
        <w:rPr>
          <w:rFonts w:asciiTheme="majorHAnsi" w:hAnsiTheme="majorHAnsi"/>
          <w:sz w:val="18"/>
          <w:szCs w:val="22"/>
        </w:rPr>
      </w:pPr>
    </w:p>
    <w:p w14:paraId="2741AD16" w14:textId="3DA30131" w:rsidR="002C1641" w:rsidRPr="002902F0" w:rsidRDefault="00F07BC4" w:rsidP="00040C3A">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0E87D56">
                <wp:simplePos x="0" y="0"/>
                <wp:positionH relativeFrom="column">
                  <wp:posOffset>1208314</wp:posOffset>
                </wp:positionH>
                <wp:positionV relativeFrom="paragraph">
                  <wp:posOffset>104866</wp:posOffset>
                </wp:positionV>
                <wp:extent cx="4595495" cy="73279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732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7E33DA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077064">
                              <w:rPr>
                                <w:rFonts w:asciiTheme="majorHAnsi" w:hAnsiTheme="majorHAnsi"/>
                                <w:color w:val="0D0D0D" w:themeColor="text1" w:themeTint="F2"/>
                                <w:sz w:val="18"/>
                                <w:szCs w:val="20"/>
                              </w:rPr>
                              <w:t>May 10</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F07BC4">
                              <w:rPr>
                                <w:rFonts w:asciiTheme="majorHAnsi" w:hAnsiTheme="majorHAnsi"/>
                                <w:color w:val="0D0D0D" w:themeColor="text1" w:themeTint="F2"/>
                                <w:sz w:val="18"/>
                                <w:szCs w:val="20"/>
                              </w:rPr>
                              <w:t>3</w:t>
                            </w:r>
                            <w:r w:rsidR="0007706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15pt;margin-top:8.25pt;width:361.85pt;height:5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" filled="f" stroked="f" strokeweight=".5pt">
                <v:textbox>
                  <w:txbxContent>
                    <w:p w14:paraId="29BF637A" w14:textId="17E33DA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077064">
                        <w:rPr>
                          <w:rFonts w:asciiTheme="majorHAnsi" w:hAnsiTheme="majorHAnsi"/>
                          <w:color w:val="0D0D0D" w:themeColor="text1" w:themeTint="F2"/>
                          <w:sz w:val="18"/>
                          <w:szCs w:val="20"/>
                        </w:rPr>
                        <w:t>May 10</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F07BC4">
                        <w:rPr>
                          <w:rFonts w:asciiTheme="majorHAnsi" w:hAnsiTheme="majorHAnsi"/>
                          <w:color w:val="0D0D0D" w:themeColor="text1" w:themeTint="F2"/>
                          <w:sz w:val="18"/>
                          <w:szCs w:val="20"/>
                        </w:rPr>
                        <w:t>3</w:t>
                      </w:r>
                      <w:r w:rsidR="00077064">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1D99DBC4" w14:textId="2BCF984A" w:rsidR="002C1641" w:rsidRPr="002902F0" w:rsidRDefault="002C1641" w:rsidP="00040C3A">
      <w:pPr>
        <w:tabs>
          <w:tab w:val="center" w:pos="5400"/>
        </w:tabs>
        <w:suppressAutoHyphens/>
        <w:jc w:val="center"/>
        <w:rPr>
          <w:rFonts w:asciiTheme="majorHAnsi" w:hAnsiTheme="majorHAnsi"/>
          <w:sz w:val="18"/>
          <w:szCs w:val="22"/>
        </w:rPr>
      </w:pPr>
    </w:p>
    <w:p w14:paraId="3290BF94" w14:textId="1A11F2F9" w:rsidR="002C1641" w:rsidRPr="002902F0" w:rsidRDefault="002C1641" w:rsidP="00040C3A">
      <w:pPr>
        <w:tabs>
          <w:tab w:val="center" w:pos="5400"/>
        </w:tabs>
        <w:suppressAutoHyphens/>
        <w:jc w:val="center"/>
        <w:rPr>
          <w:rFonts w:asciiTheme="majorHAnsi" w:hAnsiTheme="majorHAnsi"/>
          <w:sz w:val="18"/>
          <w:szCs w:val="22"/>
        </w:rPr>
      </w:pPr>
    </w:p>
    <w:p w14:paraId="76124E47" w14:textId="77777777" w:rsidR="002C1641" w:rsidRPr="002902F0" w:rsidRDefault="002C1641" w:rsidP="00040C3A">
      <w:pPr>
        <w:tabs>
          <w:tab w:val="center" w:pos="5400"/>
        </w:tabs>
        <w:suppressAutoHyphens/>
        <w:jc w:val="center"/>
        <w:rPr>
          <w:rFonts w:asciiTheme="majorHAnsi" w:hAnsiTheme="majorHAnsi"/>
          <w:sz w:val="18"/>
          <w:szCs w:val="22"/>
        </w:rPr>
      </w:pPr>
    </w:p>
    <w:p w14:paraId="3751FEDE" w14:textId="77777777" w:rsidR="002C1641" w:rsidRPr="002902F0" w:rsidRDefault="002C1641" w:rsidP="00040C3A">
      <w:pPr>
        <w:tabs>
          <w:tab w:val="center" w:pos="5400"/>
        </w:tabs>
        <w:suppressAutoHyphens/>
        <w:jc w:val="center"/>
        <w:rPr>
          <w:rFonts w:asciiTheme="majorHAnsi" w:hAnsiTheme="majorHAnsi"/>
          <w:sz w:val="18"/>
          <w:szCs w:val="22"/>
        </w:rPr>
      </w:pPr>
    </w:p>
    <w:p w14:paraId="5FAB54E7" w14:textId="77777777" w:rsidR="002C1641" w:rsidRPr="002902F0" w:rsidRDefault="002C1641" w:rsidP="00040C3A">
      <w:pPr>
        <w:tabs>
          <w:tab w:val="center" w:pos="5400"/>
        </w:tabs>
        <w:suppressAutoHyphens/>
        <w:jc w:val="center"/>
        <w:rPr>
          <w:rFonts w:asciiTheme="majorHAnsi" w:hAnsiTheme="majorHAnsi"/>
          <w:sz w:val="18"/>
          <w:szCs w:val="22"/>
        </w:rPr>
      </w:pPr>
    </w:p>
    <w:p w14:paraId="4AE4FBFB" w14:textId="77777777" w:rsidR="002C1641" w:rsidRPr="002902F0" w:rsidRDefault="002C1641" w:rsidP="00040C3A">
      <w:pPr>
        <w:tabs>
          <w:tab w:val="center" w:pos="5400"/>
        </w:tabs>
        <w:suppressAutoHyphens/>
        <w:jc w:val="center"/>
        <w:rPr>
          <w:rFonts w:asciiTheme="majorHAnsi" w:hAnsiTheme="majorHAnsi"/>
          <w:sz w:val="18"/>
          <w:szCs w:val="22"/>
        </w:rPr>
      </w:pPr>
    </w:p>
    <w:p w14:paraId="4DA3B2C3" w14:textId="77777777" w:rsidR="002C1641" w:rsidRPr="002902F0"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6810127" w:rsidR="00F644E6" w:rsidRPr="00F07BC4" w:rsidRDefault="00F644E6" w:rsidP="00F644E6">
                            <w:pPr>
                              <w:spacing w:line="276" w:lineRule="auto"/>
                              <w:rPr>
                                <w:rFonts w:asciiTheme="majorHAnsi" w:hAnsiTheme="majorHAnsi"/>
                                <w:color w:val="595959" w:themeColor="text1" w:themeTint="A6"/>
                                <w:sz w:val="18"/>
                              </w:rPr>
                            </w:pPr>
                            <w:r w:rsidRPr="00F07BC4">
                              <w:rPr>
                                <w:rFonts w:asciiTheme="majorHAnsi" w:hAnsiTheme="majorHAnsi"/>
                                <w:b/>
                                <w:color w:val="595959" w:themeColor="text1" w:themeTint="A6"/>
                                <w:sz w:val="18"/>
                              </w:rPr>
                              <w:t xml:space="preserve">Cite as: </w:t>
                            </w:r>
                            <w:r w:rsidR="00F07BC4" w:rsidRPr="00F07BC4">
                              <w:rPr>
                                <w:rFonts w:asciiTheme="majorHAnsi" w:hAnsiTheme="majorHAnsi"/>
                                <w:color w:val="595959" w:themeColor="text1" w:themeTint="A6"/>
                                <w:sz w:val="18"/>
                                <w:szCs w:val="18"/>
                              </w:rPr>
                              <w:t xml:space="preserve">IACHR, Report No. </w:t>
                            </w:r>
                            <w:r w:rsidR="00140E33">
                              <w:rPr>
                                <w:rFonts w:asciiTheme="majorHAnsi" w:hAnsiTheme="majorHAnsi"/>
                                <w:color w:val="595959" w:themeColor="text1" w:themeTint="A6"/>
                                <w:sz w:val="18"/>
                                <w:szCs w:val="18"/>
                              </w:rPr>
                              <w:t>53</w:t>
                            </w:r>
                            <w:r w:rsidR="00F07BC4" w:rsidRPr="002902F0">
                              <w:rPr>
                                <w:rFonts w:asciiTheme="majorHAnsi" w:hAnsiTheme="majorHAnsi"/>
                                <w:color w:val="595959" w:themeColor="text1" w:themeTint="A6"/>
                                <w:sz w:val="18"/>
                                <w:szCs w:val="18"/>
                              </w:rPr>
                              <w:t xml:space="preserve">/23. Petition 353-08. Inadmissibility. </w:t>
                            </w:r>
                            <w:r w:rsidR="00F07BC4" w:rsidRPr="00F07BC4">
                              <w:rPr>
                                <w:rFonts w:asciiTheme="majorHAnsi" w:hAnsiTheme="majorHAnsi"/>
                                <w:color w:val="595959" w:themeColor="text1" w:themeTint="A6"/>
                                <w:sz w:val="18"/>
                                <w:szCs w:val="18"/>
                              </w:rPr>
                              <w:t xml:space="preserve">Jonathan Chinchilla Jiménez and Moisés Gerardo Vizcayno Porras. Costa Rica. </w:t>
                            </w:r>
                            <w:r w:rsidR="00140E33">
                              <w:rPr>
                                <w:rFonts w:asciiTheme="majorHAnsi" w:hAnsiTheme="majorHAnsi"/>
                                <w:color w:val="595959" w:themeColor="text1" w:themeTint="A6"/>
                                <w:sz w:val="18"/>
                                <w:szCs w:val="18"/>
                              </w:rPr>
                              <w:t>May 10, 2023</w:t>
                            </w:r>
                            <w:r w:rsidR="00F07BC4" w:rsidRPr="00F07B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66810127" w:rsidR="00F644E6" w:rsidRPr="00F07BC4" w:rsidRDefault="00F644E6" w:rsidP="00F644E6">
                      <w:pPr>
                        <w:spacing w:line="276" w:lineRule="auto"/>
                        <w:rPr>
                          <w:rFonts w:asciiTheme="majorHAnsi" w:hAnsiTheme="majorHAnsi"/>
                          <w:color w:val="595959" w:themeColor="text1" w:themeTint="A6"/>
                          <w:sz w:val="18"/>
                        </w:rPr>
                      </w:pPr>
                      <w:r w:rsidRPr="00F07BC4">
                        <w:rPr>
                          <w:rFonts w:asciiTheme="majorHAnsi" w:hAnsiTheme="majorHAnsi"/>
                          <w:b/>
                          <w:color w:val="595959" w:themeColor="text1" w:themeTint="A6"/>
                          <w:sz w:val="18"/>
                        </w:rPr>
                        <w:t xml:space="preserve">Cite as: </w:t>
                      </w:r>
                      <w:r w:rsidR="00F07BC4" w:rsidRPr="00F07BC4">
                        <w:rPr>
                          <w:rFonts w:asciiTheme="majorHAnsi" w:hAnsiTheme="majorHAnsi"/>
                          <w:color w:val="595959" w:themeColor="text1" w:themeTint="A6"/>
                          <w:sz w:val="18"/>
                          <w:szCs w:val="18"/>
                        </w:rPr>
                        <w:t xml:space="preserve">IACHR, Report No. </w:t>
                      </w:r>
                      <w:r w:rsidR="00140E33">
                        <w:rPr>
                          <w:rFonts w:asciiTheme="majorHAnsi" w:hAnsiTheme="majorHAnsi"/>
                          <w:color w:val="595959" w:themeColor="text1" w:themeTint="A6"/>
                          <w:sz w:val="18"/>
                          <w:szCs w:val="18"/>
                        </w:rPr>
                        <w:t>53</w:t>
                      </w:r>
                      <w:r w:rsidR="00F07BC4" w:rsidRPr="002902F0">
                        <w:rPr>
                          <w:rFonts w:asciiTheme="majorHAnsi" w:hAnsiTheme="majorHAnsi"/>
                          <w:color w:val="595959" w:themeColor="text1" w:themeTint="A6"/>
                          <w:sz w:val="18"/>
                          <w:szCs w:val="18"/>
                        </w:rPr>
                        <w:t xml:space="preserve">/23. Petition 353-08. Inadmissibility. </w:t>
                      </w:r>
                      <w:r w:rsidR="00F07BC4" w:rsidRPr="00F07BC4">
                        <w:rPr>
                          <w:rFonts w:asciiTheme="majorHAnsi" w:hAnsiTheme="majorHAnsi"/>
                          <w:color w:val="595959" w:themeColor="text1" w:themeTint="A6"/>
                          <w:sz w:val="18"/>
                          <w:szCs w:val="18"/>
                        </w:rPr>
                        <w:t xml:space="preserve">Jonathan Chinchilla Jiménez and Moisés Gerardo Vizcayno Porras. Costa Rica. </w:t>
                      </w:r>
                      <w:r w:rsidR="00140E33">
                        <w:rPr>
                          <w:rFonts w:asciiTheme="majorHAnsi" w:hAnsiTheme="majorHAnsi"/>
                          <w:color w:val="595959" w:themeColor="text1" w:themeTint="A6"/>
                          <w:sz w:val="18"/>
                          <w:szCs w:val="18"/>
                        </w:rPr>
                        <w:t>May 10, 2023</w:t>
                      </w:r>
                      <w:r w:rsidR="00F07BC4" w:rsidRPr="00F07BC4">
                        <w:rPr>
                          <w:rFonts w:asciiTheme="majorHAnsi" w:hAnsiTheme="majorHAnsi"/>
                          <w:color w:val="595959" w:themeColor="text1" w:themeTint="A6"/>
                          <w:sz w:val="18"/>
                          <w:szCs w:val="18"/>
                        </w:rPr>
                        <w:t>.</w:t>
                      </w:r>
                    </w:p>
                  </w:txbxContent>
                </v:textbox>
              </v:shape>
            </w:pict>
          </mc:Fallback>
        </mc:AlternateContent>
      </w:r>
    </w:p>
    <w:p w14:paraId="1C0DAFDE" w14:textId="77777777" w:rsidR="002C1641" w:rsidRPr="002902F0" w:rsidRDefault="002C1641" w:rsidP="00040C3A">
      <w:pPr>
        <w:tabs>
          <w:tab w:val="center" w:pos="5400"/>
        </w:tabs>
        <w:suppressAutoHyphens/>
        <w:jc w:val="center"/>
        <w:rPr>
          <w:rFonts w:asciiTheme="majorHAnsi" w:hAnsiTheme="majorHAnsi"/>
          <w:sz w:val="18"/>
          <w:szCs w:val="22"/>
        </w:rPr>
      </w:pPr>
    </w:p>
    <w:p w14:paraId="5420A6FF" w14:textId="77777777" w:rsidR="002C1641" w:rsidRPr="002902F0" w:rsidRDefault="002C1641" w:rsidP="00040C3A">
      <w:pPr>
        <w:tabs>
          <w:tab w:val="center" w:pos="5400"/>
        </w:tabs>
        <w:suppressAutoHyphens/>
        <w:jc w:val="center"/>
        <w:rPr>
          <w:rFonts w:asciiTheme="majorHAnsi" w:hAnsiTheme="majorHAnsi"/>
          <w:sz w:val="18"/>
          <w:szCs w:val="22"/>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4457ADB" w:rsidR="003C32BC" w:rsidRPr="003C32BC" w:rsidRDefault="00140E33"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576DCDB">
                <wp:simplePos x="0" y="0"/>
                <wp:positionH relativeFrom="column">
                  <wp:posOffset>1203960</wp:posOffset>
                </wp:positionH>
                <wp:positionV relativeFrom="paragraph">
                  <wp:posOffset>692622</wp:posOffset>
                </wp:positionV>
                <wp:extent cx="2085975" cy="606583"/>
                <wp:effectExtent l="0" t="0" r="9525" b="3175"/>
                <wp:wrapNone/>
                <wp:docPr id="2" name="Text Box 2"/>
                <wp:cNvGraphicFramePr/>
                <a:graphic xmlns:a="http://schemas.openxmlformats.org/drawingml/2006/main">
                  <a:graphicData uri="http://schemas.microsoft.com/office/word/2010/wordprocessingShape">
                    <wps:wsp>
                      <wps:cNvSpPr txBox="1"/>
                      <wps:spPr>
                        <a:xfrm>
                          <a:off x="0" y="0"/>
                          <a:ext cx="2085975" cy="6065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390C1D42">
                                  <wp:extent cx="1732305" cy="442306"/>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6377" cy="4433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4.8pt;margin-top:54.55pt;width:164.25pt;height:4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" fillcolor="white [3201]" stroked="f" strokeweight=".5pt">
                <v:textbox>
                  <w:txbxContent>
                    <w:p w14:paraId="5A8E7A7D" w14:textId="68521452" w:rsidR="003C32BC" w:rsidRDefault="005406C2">
                      <w:r>
                        <w:rPr>
                          <w:noProof/>
                        </w:rPr>
                        <w:drawing>
                          <wp:inline distT="0" distB="0" distL="0" distR="0" wp14:anchorId="2FE289A6" wp14:editId="390C1D42">
                            <wp:extent cx="1732305" cy="442306"/>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6377" cy="443346"/>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72A421DF">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5B1337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40E3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55B1337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40E33">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557" w:type="dxa"/>
            <w:vAlign w:val="center"/>
          </w:tcPr>
          <w:p w14:paraId="0674C7B8" w14:textId="7AFB57C8" w:rsidR="00F621C3" w:rsidRPr="000B6B7A" w:rsidRDefault="00F07BC4" w:rsidP="009163FC">
            <w:pPr>
              <w:jc w:val="both"/>
              <w:rPr>
                <w:rFonts w:ascii="Cambria" w:hAnsi="Cambria"/>
                <w:bCs/>
                <w:sz w:val="20"/>
                <w:szCs w:val="20"/>
              </w:rPr>
            </w:pPr>
            <w:r>
              <w:rPr>
                <w:rFonts w:ascii="Cambria" w:hAnsi="Cambria"/>
                <w:bCs/>
                <w:sz w:val="20"/>
                <w:szCs w:val="20"/>
                <w:lang w:val="es-US"/>
              </w:rPr>
              <w:t>Moisés Gerardo Vizcayno Porras</w:t>
            </w:r>
          </w:p>
        </w:tc>
      </w:tr>
      <w:tr w:rsidR="00F621C3" w:rsidRPr="00F97402"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A70C19"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557" w:type="dxa"/>
            <w:vAlign w:val="center"/>
          </w:tcPr>
          <w:p w14:paraId="60895337" w14:textId="1BDACC19" w:rsidR="00F621C3" w:rsidRPr="00F07BC4" w:rsidRDefault="00F07BC4" w:rsidP="009163FC">
            <w:pPr>
              <w:jc w:val="both"/>
              <w:rPr>
                <w:rFonts w:ascii="Cambria" w:hAnsi="Cambria"/>
                <w:bCs/>
                <w:sz w:val="20"/>
                <w:szCs w:val="20"/>
                <w:lang w:val="es-AR"/>
              </w:rPr>
            </w:pPr>
            <w:r w:rsidRPr="00F07BC4">
              <w:rPr>
                <w:rFonts w:ascii="Cambria" w:hAnsi="Cambria"/>
                <w:bCs/>
                <w:sz w:val="20"/>
                <w:szCs w:val="20"/>
                <w:lang w:val="es-AR"/>
              </w:rPr>
              <w:t xml:space="preserve">Jonathan Chinchilla Jiménez, Moisés Gerardo Vizcayno Porras </w:t>
            </w:r>
            <w:r>
              <w:rPr>
                <w:rFonts w:ascii="Cambria" w:hAnsi="Cambria"/>
                <w:bCs/>
                <w:sz w:val="20"/>
                <w:szCs w:val="20"/>
                <w:lang w:val="es-AR"/>
              </w:rPr>
              <w:t xml:space="preserve">and </w:t>
            </w:r>
            <w:r w:rsidRPr="00F07BC4">
              <w:rPr>
                <w:rFonts w:ascii="Cambria" w:hAnsi="Cambria"/>
                <w:bCs/>
                <w:sz w:val="20"/>
                <w:szCs w:val="20"/>
                <w:lang w:val="es-AR"/>
              </w:rPr>
              <w:t>Moisés Gerardo Vizcayno Solano</w:t>
            </w:r>
          </w:p>
        </w:tc>
      </w:tr>
      <w:tr w:rsidR="00F621C3"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557" w:type="dxa"/>
            <w:vAlign w:val="center"/>
          </w:tcPr>
          <w:p w14:paraId="3539D391" w14:textId="4066CEF6" w:rsidR="00F621C3" w:rsidRPr="000B6B7A" w:rsidRDefault="00F07BC4" w:rsidP="009163FC">
            <w:pPr>
              <w:jc w:val="both"/>
              <w:rPr>
                <w:rFonts w:ascii="Cambria" w:hAnsi="Cambria"/>
                <w:bCs/>
                <w:sz w:val="20"/>
                <w:szCs w:val="20"/>
              </w:rPr>
            </w:pPr>
            <w:r>
              <w:rPr>
                <w:rFonts w:ascii="Cambria" w:hAnsi="Cambria"/>
                <w:bCs/>
                <w:sz w:val="20"/>
                <w:szCs w:val="20"/>
              </w:rPr>
              <w:t>Costa Rica</w:t>
            </w:r>
          </w:p>
        </w:tc>
      </w:tr>
      <w:tr w:rsidR="00E47F3D"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557" w:type="dxa"/>
            <w:vAlign w:val="center"/>
          </w:tcPr>
          <w:p w14:paraId="51EEF9D2" w14:textId="389CEE69" w:rsidR="00E47F3D" w:rsidRPr="002902F0" w:rsidRDefault="00F07BC4" w:rsidP="009163FC">
            <w:pPr>
              <w:jc w:val="both"/>
              <w:rPr>
                <w:rFonts w:ascii="Cambria" w:hAnsi="Cambria"/>
                <w:bCs/>
                <w:sz w:val="20"/>
                <w:szCs w:val="20"/>
              </w:rPr>
            </w:pPr>
            <w:r>
              <w:rPr>
                <w:rFonts w:ascii="Cambria" w:hAnsi="Cambria"/>
                <w:bCs/>
                <w:sz w:val="20"/>
                <w:szCs w:val="20"/>
              </w:rPr>
              <w:t>Articles 5 (humane treatment), 8</w:t>
            </w:r>
            <w:r w:rsidR="00E90E6E">
              <w:rPr>
                <w:rFonts w:ascii="Cambria" w:hAnsi="Cambria"/>
                <w:bCs/>
                <w:sz w:val="20"/>
                <w:szCs w:val="20"/>
              </w:rPr>
              <w:t xml:space="preserve"> (fair trial) and 25 (judicial protection) of the American Convention on Human Rights</w:t>
            </w:r>
            <w:r w:rsidR="00E90E6E">
              <w:rPr>
                <w:rStyle w:val="FootnoteReference"/>
                <w:rFonts w:ascii="Cambria" w:hAnsi="Cambria"/>
                <w:bCs/>
                <w:sz w:val="20"/>
                <w:szCs w:val="20"/>
                <w:lang w:val="es-ES"/>
              </w:rPr>
              <w:footnoteReference w:id="2"/>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721C0A79" w:rsidR="00F621C3" w:rsidRPr="000B6B7A" w:rsidRDefault="00E90E6E" w:rsidP="009163FC">
            <w:pPr>
              <w:jc w:val="both"/>
              <w:rPr>
                <w:rFonts w:ascii="Cambria" w:hAnsi="Cambria"/>
                <w:bCs/>
                <w:sz w:val="20"/>
                <w:szCs w:val="20"/>
              </w:rPr>
            </w:pPr>
            <w:r>
              <w:rPr>
                <w:rFonts w:ascii="Cambria" w:hAnsi="Cambria"/>
                <w:bCs/>
                <w:sz w:val="20"/>
                <w:szCs w:val="20"/>
              </w:rPr>
              <w:t>March 25, 2008</w:t>
            </w:r>
          </w:p>
        </w:tc>
      </w:tr>
      <w:tr w:rsidR="00F621C3"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5384D3F0" w:rsidR="00F621C3" w:rsidRPr="000B6B7A" w:rsidRDefault="00E90E6E" w:rsidP="009163FC">
            <w:pPr>
              <w:jc w:val="both"/>
              <w:rPr>
                <w:rFonts w:ascii="Cambria" w:hAnsi="Cambria"/>
                <w:bCs/>
                <w:sz w:val="20"/>
                <w:szCs w:val="20"/>
              </w:rPr>
            </w:pPr>
            <w:r>
              <w:rPr>
                <w:rFonts w:ascii="Cambria" w:hAnsi="Cambria"/>
                <w:bCs/>
                <w:sz w:val="20"/>
                <w:szCs w:val="20"/>
              </w:rPr>
              <w:t xml:space="preserve">October 24, </w:t>
            </w:r>
            <w:r w:rsidR="00247565">
              <w:rPr>
                <w:rFonts w:ascii="Cambria" w:hAnsi="Cambria"/>
                <w:bCs/>
                <w:sz w:val="20"/>
                <w:szCs w:val="20"/>
              </w:rPr>
              <w:t>2012,</w:t>
            </w:r>
            <w:r>
              <w:rPr>
                <w:rFonts w:ascii="Cambria" w:hAnsi="Cambria"/>
                <w:bCs/>
                <w:sz w:val="20"/>
                <w:szCs w:val="20"/>
              </w:rPr>
              <w:t xml:space="preserve"> and June 14, 2016</w:t>
            </w:r>
          </w:p>
        </w:tc>
      </w:tr>
      <w:tr w:rsidR="00F621C3"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514D7CA7" w:rsidR="00F621C3" w:rsidRPr="000B6B7A" w:rsidRDefault="00E90E6E" w:rsidP="009163FC">
            <w:pPr>
              <w:jc w:val="both"/>
              <w:rPr>
                <w:rFonts w:ascii="Cambria" w:hAnsi="Cambria"/>
                <w:bCs/>
                <w:sz w:val="20"/>
                <w:szCs w:val="20"/>
              </w:rPr>
            </w:pPr>
            <w:r>
              <w:rPr>
                <w:rFonts w:ascii="Cambria" w:hAnsi="Cambria"/>
                <w:bCs/>
                <w:sz w:val="20"/>
                <w:szCs w:val="20"/>
              </w:rPr>
              <w:t>July 8, 2016</w:t>
            </w:r>
          </w:p>
        </w:tc>
      </w:tr>
      <w:tr w:rsidR="00F621C3"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68D214C3" w:rsidR="00F621C3" w:rsidRPr="000B6B7A" w:rsidRDefault="00E90E6E" w:rsidP="009163FC">
            <w:pPr>
              <w:jc w:val="both"/>
              <w:rPr>
                <w:rFonts w:ascii="Cambria" w:hAnsi="Cambria"/>
                <w:bCs/>
                <w:sz w:val="20"/>
                <w:szCs w:val="20"/>
              </w:rPr>
            </w:pPr>
            <w:r>
              <w:rPr>
                <w:rFonts w:ascii="Cambria" w:hAnsi="Cambria"/>
                <w:bCs/>
                <w:sz w:val="20"/>
                <w:szCs w:val="20"/>
              </w:rPr>
              <w:t xml:space="preserve">November 8, </w:t>
            </w:r>
            <w:r w:rsidR="00247565">
              <w:rPr>
                <w:rFonts w:ascii="Cambria" w:hAnsi="Cambria"/>
                <w:bCs/>
                <w:sz w:val="20"/>
                <w:szCs w:val="20"/>
              </w:rPr>
              <w:t>2016,</w:t>
            </w:r>
            <w:r>
              <w:rPr>
                <w:rFonts w:ascii="Cambria" w:hAnsi="Cambria"/>
                <w:bCs/>
                <w:sz w:val="20"/>
                <w:szCs w:val="20"/>
              </w:rPr>
              <w:t xml:space="preserve"> and December 2, 2016</w:t>
            </w:r>
          </w:p>
        </w:tc>
      </w:tr>
      <w:tr w:rsidR="003771A3" w:rsidRPr="000B6B7A" w14:paraId="718737D9" w14:textId="77777777" w:rsidTr="00AE31E9">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557" w:type="dxa"/>
            <w:vAlign w:val="center"/>
          </w:tcPr>
          <w:p w14:paraId="1C4A82C3" w14:textId="23F35A7C" w:rsidR="003771A3" w:rsidRPr="000B6B7A" w:rsidRDefault="00E90E6E" w:rsidP="009163FC">
            <w:pPr>
              <w:jc w:val="both"/>
              <w:rPr>
                <w:rFonts w:ascii="Cambria" w:hAnsi="Cambria"/>
                <w:bCs/>
                <w:sz w:val="20"/>
                <w:szCs w:val="20"/>
              </w:rPr>
            </w:pPr>
            <w:r>
              <w:rPr>
                <w:rFonts w:ascii="Cambria" w:hAnsi="Cambria"/>
                <w:bCs/>
                <w:sz w:val="20"/>
                <w:szCs w:val="20"/>
              </w:rPr>
              <w:t>December 19, 2018</w:t>
            </w:r>
          </w:p>
        </w:tc>
      </w:tr>
      <w:tr w:rsidR="003771A3" w:rsidRPr="000B6B7A" w14:paraId="09808A81" w14:textId="77777777" w:rsidTr="00AE31E9">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557" w:type="dxa"/>
            <w:vAlign w:val="center"/>
          </w:tcPr>
          <w:p w14:paraId="6F6B7BFD" w14:textId="5DF89169" w:rsidR="003771A3" w:rsidRPr="000B6B7A" w:rsidRDefault="00E90E6E" w:rsidP="009163FC">
            <w:pPr>
              <w:jc w:val="both"/>
              <w:rPr>
                <w:rFonts w:ascii="Cambria" w:hAnsi="Cambria"/>
                <w:bCs/>
                <w:sz w:val="20"/>
                <w:szCs w:val="20"/>
              </w:rPr>
            </w:pPr>
            <w:r>
              <w:rPr>
                <w:rFonts w:ascii="Cambria" w:hAnsi="Cambria"/>
                <w:bCs/>
                <w:sz w:val="20"/>
                <w:szCs w:val="20"/>
              </w:rPr>
              <w:t xml:space="preserve">January 14, </w:t>
            </w:r>
            <w:r w:rsidR="00247565">
              <w:rPr>
                <w:rFonts w:ascii="Cambria" w:hAnsi="Cambria"/>
                <w:bCs/>
                <w:sz w:val="20"/>
                <w:szCs w:val="20"/>
              </w:rPr>
              <w:t>2019,</w:t>
            </w:r>
            <w:r>
              <w:rPr>
                <w:rFonts w:ascii="Cambria" w:hAnsi="Cambria"/>
                <w:bCs/>
                <w:sz w:val="20"/>
                <w:szCs w:val="20"/>
              </w:rPr>
              <w:t xml:space="preserve"> and May 16, 2020</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23CCCB8A" w:rsidR="00F621C3" w:rsidRPr="000B6B7A" w:rsidRDefault="00E90E6E"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9C98EF8" w:rsidR="00F621C3" w:rsidRPr="000B6B7A" w:rsidRDefault="00E90E6E"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66BD97C6" w:rsidR="00F621C3" w:rsidRPr="000B6B7A" w:rsidRDefault="00E90E6E"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1E5CA6FC" w:rsidR="00F621C3" w:rsidRPr="000B6B7A" w:rsidRDefault="00E90E6E" w:rsidP="009163FC">
            <w:pPr>
              <w:jc w:val="both"/>
              <w:rPr>
                <w:rFonts w:asciiTheme="majorHAnsi" w:hAnsiTheme="majorHAnsi"/>
                <w:bCs/>
                <w:sz w:val="20"/>
                <w:szCs w:val="20"/>
              </w:rPr>
            </w:pPr>
            <w:r>
              <w:rPr>
                <w:rFonts w:asciiTheme="majorHAnsi" w:hAnsiTheme="majorHAnsi"/>
                <w:bCs/>
                <w:sz w:val="20"/>
                <w:szCs w:val="20"/>
              </w:rPr>
              <w:t>Yes, American Convention (instrument of ratification deposited on April 8, 1970)</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0031DD04" w:rsidR="00F621C3" w:rsidRPr="000B6B7A" w:rsidRDefault="00E90E6E"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748EA888" w:rsidR="00F621C3" w:rsidRPr="000B6B7A" w:rsidRDefault="00E90E6E" w:rsidP="009163FC">
            <w:pPr>
              <w:jc w:val="both"/>
              <w:rPr>
                <w:rFonts w:ascii="Cambria" w:hAnsi="Cambria"/>
                <w:bCs/>
                <w:sz w:val="20"/>
                <w:szCs w:val="20"/>
              </w:rPr>
            </w:pPr>
            <w:r>
              <w:rPr>
                <w:rFonts w:ascii="Cambria" w:hAnsi="Cambria"/>
                <w:bCs/>
                <w:sz w:val="20"/>
                <w:szCs w:val="20"/>
              </w:rPr>
              <w:t>N</w:t>
            </w:r>
            <w:r w:rsidR="00095B41">
              <w:rPr>
                <w:rFonts w:ascii="Cambria" w:hAnsi="Cambria"/>
                <w:bCs/>
                <w:sz w:val="20"/>
                <w:szCs w:val="20"/>
              </w:rPr>
              <w:t>/A</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9E326DF" w:rsidR="00F621C3" w:rsidRPr="000B6B7A" w:rsidRDefault="00E90E6E" w:rsidP="009163FC">
            <w:pPr>
              <w:rPr>
                <w:rFonts w:ascii="Cambria" w:hAnsi="Cambria"/>
                <w:bCs/>
                <w:sz w:val="20"/>
                <w:szCs w:val="20"/>
              </w:rPr>
            </w:pPr>
            <w:r>
              <w:rPr>
                <w:rFonts w:ascii="Cambria" w:hAnsi="Cambria"/>
                <w:bCs/>
                <w:sz w:val="20"/>
                <w:szCs w:val="20"/>
              </w:rPr>
              <w:t>No, in the terms of Section VII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6DE49EC" w:rsidR="00F621C3" w:rsidRPr="000B6B7A" w:rsidRDefault="00E90E6E" w:rsidP="009163FC">
            <w:pPr>
              <w:rPr>
                <w:rFonts w:asciiTheme="majorHAnsi" w:hAnsiTheme="majorHAnsi"/>
                <w:bCs/>
                <w:sz w:val="20"/>
                <w:szCs w:val="20"/>
              </w:rPr>
            </w:pPr>
            <w:r>
              <w:rPr>
                <w:rFonts w:asciiTheme="majorHAnsi" w:hAnsiTheme="majorHAnsi"/>
                <w:bCs/>
                <w:sz w:val="20"/>
                <w:szCs w:val="20"/>
              </w:rPr>
              <w:t>N</w:t>
            </w:r>
            <w:r w:rsidR="008939E6">
              <w:rPr>
                <w:rFonts w:asciiTheme="majorHAnsi" w:hAnsiTheme="majorHAnsi"/>
                <w:bCs/>
                <w:sz w:val="20"/>
                <w:szCs w:val="20"/>
              </w:rPr>
              <w:t>/</w:t>
            </w:r>
            <w:r w:rsidR="00C00408">
              <w:rPr>
                <w:rFonts w:asciiTheme="majorHAnsi" w:hAnsiTheme="majorHAnsi"/>
                <w:bCs/>
                <w:sz w:val="20"/>
                <w:szCs w:val="20"/>
              </w:rPr>
              <w:t>A</w:t>
            </w:r>
          </w:p>
        </w:tc>
      </w:tr>
    </w:tbl>
    <w:p w14:paraId="6C8A8232" w14:textId="77777777" w:rsidR="00C00408" w:rsidRDefault="00C00408" w:rsidP="00C00408">
      <w:pPr>
        <w:rPr>
          <w:rFonts w:asciiTheme="majorHAnsi" w:hAnsiTheme="majorHAnsi"/>
          <w:b/>
          <w:sz w:val="20"/>
          <w:szCs w:val="20"/>
        </w:rPr>
      </w:pPr>
    </w:p>
    <w:p w14:paraId="538EF9AE" w14:textId="77777777" w:rsidR="00C00408" w:rsidRDefault="00C00408" w:rsidP="00C00408">
      <w:pPr>
        <w:ind w:firstLine="720"/>
        <w:rPr>
          <w:rFonts w:asciiTheme="majorHAnsi" w:hAnsiTheme="majorHAnsi"/>
          <w:b/>
          <w:sz w:val="20"/>
          <w:szCs w:val="20"/>
        </w:rPr>
      </w:pPr>
    </w:p>
    <w:p w14:paraId="629E2DE8" w14:textId="088AE565" w:rsidR="00F621C3" w:rsidRPr="00C00408" w:rsidRDefault="00F621C3" w:rsidP="00C00408">
      <w:pPr>
        <w:ind w:firstLine="720"/>
        <w:rPr>
          <w:rFonts w:asciiTheme="majorHAnsi" w:hAnsiTheme="majorHAnsi"/>
          <w:b/>
          <w:sz w:val="20"/>
          <w:szCs w:val="20"/>
        </w:rPr>
      </w:pPr>
      <w:r w:rsidRPr="002902F0">
        <w:rPr>
          <w:rFonts w:asciiTheme="majorHAnsi" w:hAnsiTheme="majorHAnsi"/>
          <w:b/>
          <w:sz w:val="20"/>
          <w:szCs w:val="20"/>
        </w:rPr>
        <w:t xml:space="preserve">V. </w:t>
      </w:r>
      <w:r w:rsidRPr="002902F0">
        <w:rPr>
          <w:rFonts w:asciiTheme="majorHAnsi" w:hAnsiTheme="majorHAnsi"/>
          <w:b/>
          <w:sz w:val="20"/>
          <w:szCs w:val="20"/>
        </w:rPr>
        <w:tab/>
      </w:r>
      <w:r w:rsidR="00E90E6E" w:rsidRPr="00C00408">
        <w:rPr>
          <w:rFonts w:asciiTheme="majorHAnsi" w:hAnsiTheme="majorHAnsi"/>
          <w:b/>
          <w:sz w:val="20"/>
          <w:szCs w:val="20"/>
        </w:rPr>
        <w:t>POSITIONS OF THE PARTIES</w:t>
      </w:r>
    </w:p>
    <w:p w14:paraId="08ED6CDD" w14:textId="30B9F6D1" w:rsidR="00E90E6E" w:rsidRPr="00C00408" w:rsidRDefault="00F32918" w:rsidP="00E90E6E">
      <w:pPr>
        <w:spacing w:before="240" w:after="240"/>
        <w:ind w:firstLine="720"/>
        <w:jc w:val="both"/>
        <w:rPr>
          <w:rFonts w:asciiTheme="majorHAnsi" w:hAnsiTheme="majorHAnsi"/>
          <w:bCs/>
          <w:i/>
          <w:iCs/>
          <w:sz w:val="20"/>
          <w:szCs w:val="20"/>
        </w:rPr>
      </w:pPr>
      <w:r w:rsidRPr="00C00408">
        <w:rPr>
          <w:rFonts w:asciiTheme="majorHAnsi" w:hAnsiTheme="majorHAnsi"/>
          <w:bCs/>
          <w:i/>
          <w:iCs/>
          <w:sz w:val="20"/>
          <w:szCs w:val="20"/>
        </w:rPr>
        <w:t>Allegations of the petitioner</w:t>
      </w:r>
    </w:p>
    <w:p w14:paraId="1D9CE85F" w14:textId="6C6F13EE" w:rsidR="00F32918" w:rsidRPr="00C00408" w:rsidRDefault="00F32918" w:rsidP="00E90E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 xml:space="preserve">Mr. Vizcayno Porras denounces that the State criminally convicted him, along with his son, Mr. Vizcayno Solano, and Mr. Chinchilla Jiménez, after a process that did not respect the principle of impartiality, </w:t>
      </w:r>
      <w:r w:rsidR="001076A2" w:rsidRPr="00C00408">
        <w:rPr>
          <w:rFonts w:asciiTheme="majorHAnsi" w:hAnsiTheme="majorHAnsi"/>
          <w:sz w:val="20"/>
          <w:szCs w:val="20"/>
        </w:rPr>
        <w:lastRenderedPageBreak/>
        <w:t xml:space="preserve">and to the right to present </w:t>
      </w:r>
      <w:r w:rsidR="00614D49" w:rsidRPr="00C00408">
        <w:rPr>
          <w:rFonts w:asciiTheme="majorHAnsi" w:hAnsiTheme="majorHAnsi"/>
          <w:sz w:val="20"/>
          <w:szCs w:val="20"/>
        </w:rPr>
        <w:t>evidence</w:t>
      </w:r>
      <w:r w:rsidRPr="00C00408">
        <w:rPr>
          <w:rFonts w:asciiTheme="majorHAnsi" w:hAnsiTheme="majorHAnsi"/>
          <w:sz w:val="20"/>
          <w:szCs w:val="20"/>
        </w:rPr>
        <w:t xml:space="preserve"> and</w:t>
      </w:r>
      <w:r w:rsidR="00614D49" w:rsidRPr="00C00408">
        <w:rPr>
          <w:rFonts w:asciiTheme="majorHAnsi" w:hAnsiTheme="majorHAnsi"/>
          <w:sz w:val="20"/>
          <w:szCs w:val="20"/>
        </w:rPr>
        <w:t xml:space="preserve"> </w:t>
      </w:r>
      <w:r w:rsidR="001076A2" w:rsidRPr="00C00408">
        <w:rPr>
          <w:rFonts w:asciiTheme="majorHAnsi" w:hAnsiTheme="majorHAnsi"/>
          <w:sz w:val="20"/>
          <w:szCs w:val="20"/>
        </w:rPr>
        <w:t>to</w:t>
      </w:r>
      <w:r w:rsidRPr="00C00408">
        <w:rPr>
          <w:rFonts w:asciiTheme="majorHAnsi" w:hAnsiTheme="majorHAnsi"/>
          <w:sz w:val="20"/>
          <w:szCs w:val="20"/>
        </w:rPr>
        <w:t xml:space="preserve"> due motivation. Likewise, he </w:t>
      </w:r>
      <w:r w:rsidR="00614D49" w:rsidRPr="00C00408">
        <w:rPr>
          <w:rFonts w:asciiTheme="majorHAnsi" w:hAnsiTheme="majorHAnsi"/>
          <w:sz w:val="20"/>
          <w:szCs w:val="20"/>
        </w:rPr>
        <w:t>argues</w:t>
      </w:r>
      <w:r w:rsidRPr="00C00408">
        <w:rPr>
          <w:rFonts w:asciiTheme="majorHAnsi" w:hAnsiTheme="majorHAnsi"/>
          <w:sz w:val="20"/>
          <w:szCs w:val="20"/>
        </w:rPr>
        <w:t xml:space="preserve"> that they did not have the opportunity to fully appeal their </w:t>
      </w:r>
      <w:r w:rsidR="00614D49" w:rsidRPr="00C00408">
        <w:rPr>
          <w:rFonts w:asciiTheme="majorHAnsi" w:hAnsiTheme="majorHAnsi"/>
          <w:sz w:val="20"/>
          <w:szCs w:val="20"/>
        </w:rPr>
        <w:t>conviction</w:t>
      </w:r>
      <w:r w:rsidRPr="00C00408">
        <w:rPr>
          <w:rFonts w:asciiTheme="majorHAnsi" w:hAnsiTheme="majorHAnsi"/>
          <w:sz w:val="20"/>
          <w:szCs w:val="20"/>
        </w:rPr>
        <w:t>.</w:t>
      </w:r>
    </w:p>
    <w:p w14:paraId="6DCD978A" w14:textId="7E95A9D3" w:rsidR="00614D49" w:rsidRPr="00C00408" w:rsidRDefault="00614D49" w:rsidP="00E90E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 xml:space="preserve">He describes that on December 23, 2005, the San José Trial Court, Desamparados venue, sentenced him along with Messrs. Chinchilla Jiménez and Viscayno Porras to five years in prison for the crime of aggravated robbery. He states that on February 3, 2006, they filed an appeal, </w:t>
      </w:r>
      <w:r w:rsidR="001543A9" w:rsidRPr="00C00408">
        <w:rPr>
          <w:rFonts w:asciiTheme="majorHAnsi" w:hAnsiTheme="majorHAnsi"/>
          <w:sz w:val="20"/>
          <w:szCs w:val="20"/>
        </w:rPr>
        <w:t xml:space="preserve">disputing the justification of the conviction and the sentence imposed, </w:t>
      </w:r>
      <w:r w:rsidRPr="00C00408">
        <w:rPr>
          <w:rFonts w:asciiTheme="majorHAnsi" w:hAnsiTheme="majorHAnsi"/>
          <w:sz w:val="20"/>
          <w:szCs w:val="20"/>
        </w:rPr>
        <w:t>but on May 9, 2006, the Third Chamber of Cassation of the Supreme Court of Justice confirmed the conviction</w:t>
      </w:r>
      <w:r w:rsidR="001543A9" w:rsidRPr="00C00408">
        <w:rPr>
          <w:rFonts w:asciiTheme="majorHAnsi" w:hAnsiTheme="majorHAnsi"/>
          <w:sz w:val="20"/>
          <w:szCs w:val="20"/>
        </w:rPr>
        <w:t>, considering that it was adequately motivated.</w:t>
      </w:r>
    </w:p>
    <w:p w14:paraId="7D83C6D0" w14:textId="206C58A0" w:rsidR="00614D49" w:rsidRPr="00C00408" w:rsidRDefault="00614D49" w:rsidP="00614D4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He affirms that all domestic remedies were exhausted with this last decision, leaving them without the possibility of fully appealing their conviction. Notwithstanding, he states that on November 17, 2006, his defense filed an appeal for review, alleging that the right to a tribunal established by law and to present evidence was infringed, but on February 11, 2008, the Third Chamber of Cassation of the Supreme Court rejected such action, considering that it did not meet the requirements established in domestic law for it to be admissible.</w:t>
      </w:r>
    </w:p>
    <w:p w14:paraId="05BA7044" w14:textId="2A761EB5" w:rsidR="00614D49" w:rsidRPr="00C00408" w:rsidRDefault="00614D49" w:rsidP="00E90E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 xml:space="preserve">In addition to these events, in its additional observations, the petitioner adds that on December 20, 2006, the Trial Court of the First Judicial Circuit of San José, in another criminal case, sentenced Mr. Vizcayno Solano to seven years imprisonment for the crime of aggravated robbery. It </w:t>
      </w:r>
      <w:r w:rsidR="001076A2" w:rsidRPr="00C00408">
        <w:rPr>
          <w:rFonts w:asciiTheme="majorHAnsi" w:hAnsiTheme="majorHAnsi"/>
          <w:sz w:val="20"/>
          <w:szCs w:val="20"/>
        </w:rPr>
        <w:t>holds</w:t>
      </w:r>
      <w:r w:rsidRPr="00C00408">
        <w:rPr>
          <w:rFonts w:asciiTheme="majorHAnsi" w:hAnsiTheme="majorHAnsi"/>
          <w:sz w:val="20"/>
          <w:szCs w:val="20"/>
        </w:rPr>
        <w:t xml:space="preserve"> that on March 1, 2007, the defense counsel of said alleged victim filed an appeal for review, alleging that irregularities were committed in this last criminal proceeding, but on May 12, 2009, the Third Chamber of the Supreme Court of Justice dismissed such action.</w:t>
      </w:r>
    </w:p>
    <w:p w14:paraId="73C0775D" w14:textId="4614E478" w:rsidR="001076A2" w:rsidRPr="00C00408" w:rsidRDefault="001076A2" w:rsidP="00E90E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Based on these facts, the petitioner denounces that the State violated the right to appeal the conviction established in Article 8.2.h) of the Convention, alleging that in Costa Rica there is no ordinary remedy to challenge a first instance conviction, and, as a result, they had to directly file a cassation appeal. Likewise, it argues that the principle of impartiality was affected, since the court that sentenced him had previously heard a proceeding against him and, additionally, some of its members had filed a complaint against him, for which reason they were not objective. Likewise, he maintains that his right to present evidence and to due motivation were infringed, since the pertinent steps were not taken for a couple of key witnesses to appear in person and provide their statements in the proceeding.</w:t>
      </w:r>
    </w:p>
    <w:p w14:paraId="7F35237D" w14:textId="51969B6D" w:rsidR="00E90E6E" w:rsidRPr="00C00408" w:rsidRDefault="001076A2" w:rsidP="00E90E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C00408">
        <w:rPr>
          <w:rFonts w:asciiTheme="majorHAnsi" w:hAnsiTheme="majorHAnsi"/>
          <w:i/>
          <w:iCs/>
          <w:sz w:val="20"/>
          <w:szCs w:val="20"/>
        </w:rPr>
        <w:t>Allegations of the Costa Rican State</w:t>
      </w:r>
    </w:p>
    <w:p w14:paraId="304BEA3F" w14:textId="1A123F4A" w:rsidR="001076A2" w:rsidRPr="00C00408" w:rsidRDefault="001076A2" w:rsidP="00E90E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The State, for its part, replies that the petition is inadmissible due to failure to exhaust domestic remedies. It affirms that the alleged victims did not comply with exhausting the domestic remedies before filing their petition, since they did not use t the special review mechanisms based on the procedural reforms carried out in favor of people with a final judgment.</w:t>
      </w:r>
    </w:p>
    <w:p w14:paraId="516F86E2" w14:textId="42FFB98A" w:rsidR="00883A55" w:rsidRPr="00C00408" w:rsidRDefault="00883A55" w:rsidP="00E61B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 xml:space="preserve">Regarding </w:t>
      </w:r>
      <w:r w:rsidR="00E61B97" w:rsidRPr="00C00408">
        <w:rPr>
          <w:rFonts w:asciiTheme="majorHAnsi" w:hAnsiTheme="majorHAnsi"/>
          <w:sz w:val="20"/>
          <w:szCs w:val="20"/>
        </w:rPr>
        <w:t>this</w:t>
      </w:r>
      <w:r w:rsidRPr="00C00408">
        <w:rPr>
          <w:rFonts w:asciiTheme="majorHAnsi" w:hAnsiTheme="majorHAnsi"/>
          <w:sz w:val="20"/>
          <w:szCs w:val="20"/>
        </w:rPr>
        <w:t xml:space="preserve"> point</w:t>
      </w:r>
      <w:r w:rsidR="00E61B97" w:rsidRPr="00C00408">
        <w:rPr>
          <w:rFonts w:asciiTheme="majorHAnsi" w:hAnsiTheme="majorHAnsi"/>
          <w:sz w:val="20"/>
          <w:szCs w:val="20"/>
        </w:rPr>
        <w:t>,</w:t>
      </w:r>
      <w:r w:rsidRPr="00C00408">
        <w:rPr>
          <w:rFonts w:asciiTheme="majorHAnsi" w:hAnsiTheme="majorHAnsi"/>
          <w:sz w:val="20"/>
          <w:szCs w:val="20"/>
        </w:rPr>
        <w:t xml:space="preserve"> it highlights that the alleged victims did not use them despite the fact that they are designed precisely for those people with final convictions and who consider their right to appeal their conviction violated, in accordance with the Article 8.2.h) of the Convention. Along these lines, the State states that at the time it was notified of this petition, Messrs. Chinchilla Jiménez and Vizcayno Porras, between 2006 and 2011, had the opportunity to file the procedure established in the transitory provisions of Law Noº 8503</w:t>
      </w:r>
      <w:r w:rsidRPr="00C00408">
        <w:rPr>
          <w:rStyle w:val="FootnoteReference"/>
          <w:rFonts w:asciiTheme="majorHAnsi" w:hAnsiTheme="majorHAnsi"/>
          <w:sz w:val="20"/>
          <w:szCs w:val="20"/>
          <w:lang w:val="es-AR"/>
        </w:rPr>
        <w:footnoteReference w:id="4"/>
      </w:r>
      <w:r w:rsidRPr="00C00408">
        <w:rPr>
          <w:rFonts w:asciiTheme="majorHAnsi" w:hAnsiTheme="majorHAnsi"/>
          <w:sz w:val="20"/>
          <w:szCs w:val="20"/>
        </w:rPr>
        <w:t xml:space="preserve"> and, in the alternative, that they could use the special review mechanism provided for in Transitory III of Law No. 8837</w:t>
      </w:r>
      <w:r w:rsidRPr="00C00408">
        <w:rPr>
          <w:rStyle w:val="FootnoteReference"/>
          <w:rFonts w:asciiTheme="majorHAnsi" w:hAnsiTheme="majorHAnsi"/>
          <w:sz w:val="20"/>
          <w:szCs w:val="20"/>
          <w:lang w:val="es-AR"/>
        </w:rPr>
        <w:footnoteReference w:id="5"/>
      </w:r>
      <w:r w:rsidRPr="00C00408">
        <w:rPr>
          <w:rFonts w:asciiTheme="majorHAnsi" w:hAnsiTheme="majorHAnsi"/>
          <w:sz w:val="20"/>
          <w:szCs w:val="20"/>
        </w:rPr>
        <w:t xml:space="preserve">. Therefore, it argues that the domestic law provided additional options </w:t>
      </w:r>
      <w:r w:rsidR="006628CE" w:rsidRPr="00C00408">
        <w:rPr>
          <w:rFonts w:asciiTheme="majorHAnsi" w:hAnsiTheme="majorHAnsi"/>
          <w:sz w:val="20"/>
          <w:szCs w:val="20"/>
        </w:rPr>
        <w:t>for</w:t>
      </w:r>
      <w:r w:rsidRPr="00C00408">
        <w:rPr>
          <w:rFonts w:asciiTheme="majorHAnsi" w:hAnsiTheme="majorHAnsi"/>
          <w:sz w:val="20"/>
          <w:szCs w:val="20"/>
        </w:rPr>
        <w:t xml:space="preserve"> the alleged victim </w:t>
      </w:r>
      <w:r w:rsidR="006628CE" w:rsidRPr="00C00408">
        <w:rPr>
          <w:rFonts w:asciiTheme="majorHAnsi" w:hAnsiTheme="majorHAnsi"/>
          <w:sz w:val="20"/>
          <w:szCs w:val="20"/>
        </w:rPr>
        <w:t>to use</w:t>
      </w:r>
      <w:r w:rsidRPr="00C00408">
        <w:rPr>
          <w:rFonts w:asciiTheme="majorHAnsi" w:hAnsiTheme="majorHAnsi"/>
          <w:sz w:val="20"/>
          <w:szCs w:val="20"/>
        </w:rPr>
        <w:t xml:space="preserve"> at the appropriate procedural moment, and despite this, </w:t>
      </w:r>
      <w:r w:rsidR="006628CE" w:rsidRPr="00C00408">
        <w:rPr>
          <w:rFonts w:asciiTheme="majorHAnsi" w:hAnsiTheme="majorHAnsi"/>
          <w:sz w:val="20"/>
          <w:szCs w:val="20"/>
        </w:rPr>
        <w:t>the petitioner did not do so</w:t>
      </w:r>
      <w:r w:rsidRPr="00C00408">
        <w:rPr>
          <w:rFonts w:asciiTheme="majorHAnsi" w:hAnsiTheme="majorHAnsi"/>
          <w:sz w:val="20"/>
          <w:szCs w:val="20"/>
        </w:rPr>
        <w:t>.</w:t>
      </w:r>
    </w:p>
    <w:p w14:paraId="6E76040E" w14:textId="6DE13B37" w:rsidR="006628CE" w:rsidRPr="00C00408" w:rsidRDefault="006628CE" w:rsidP="00E90E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lastRenderedPageBreak/>
        <w:t xml:space="preserve">Lastly, it highlights that the alleged victims did not request a comprehensive review of their </w:t>
      </w:r>
      <w:r w:rsidR="009F4773" w:rsidRPr="00C00408">
        <w:rPr>
          <w:rFonts w:asciiTheme="majorHAnsi" w:hAnsiTheme="majorHAnsi"/>
          <w:sz w:val="20"/>
          <w:szCs w:val="20"/>
        </w:rPr>
        <w:t xml:space="preserve">conviction </w:t>
      </w:r>
      <w:r w:rsidRPr="00C00408">
        <w:rPr>
          <w:rFonts w:asciiTheme="majorHAnsi" w:hAnsiTheme="majorHAnsi"/>
          <w:sz w:val="20"/>
          <w:szCs w:val="20"/>
        </w:rPr>
        <w:t xml:space="preserve">or </w:t>
      </w:r>
      <w:r w:rsidR="009F4773" w:rsidRPr="00C00408">
        <w:rPr>
          <w:rFonts w:asciiTheme="majorHAnsi" w:hAnsiTheme="majorHAnsi"/>
          <w:sz w:val="20"/>
          <w:szCs w:val="20"/>
        </w:rPr>
        <w:t>argued an infringement</w:t>
      </w:r>
      <w:r w:rsidRPr="00C00408">
        <w:rPr>
          <w:rFonts w:asciiTheme="majorHAnsi" w:hAnsiTheme="majorHAnsi"/>
          <w:sz w:val="20"/>
          <w:szCs w:val="20"/>
        </w:rPr>
        <w:t xml:space="preserve"> of Article 8.2.h) of the Convention when using the </w:t>
      </w:r>
      <w:r w:rsidR="009F4773" w:rsidRPr="00C00408">
        <w:rPr>
          <w:rFonts w:asciiTheme="majorHAnsi" w:hAnsiTheme="majorHAnsi"/>
          <w:sz w:val="20"/>
          <w:szCs w:val="20"/>
        </w:rPr>
        <w:t xml:space="preserve">cassation </w:t>
      </w:r>
      <w:r w:rsidRPr="00C00408">
        <w:rPr>
          <w:rFonts w:asciiTheme="majorHAnsi" w:hAnsiTheme="majorHAnsi"/>
          <w:sz w:val="20"/>
          <w:szCs w:val="20"/>
        </w:rPr>
        <w:t xml:space="preserve">appeal or extraordinary review </w:t>
      </w:r>
      <w:r w:rsidR="009F4773" w:rsidRPr="00C00408">
        <w:rPr>
          <w:rFonts w:asciiTheme="majorHAnsi" w:hAnsiTheme="majorHAnsi"/>
          <w:sz w:val="20"/>
          <w:szCs w:val="20"/>
        </w:rPr>
        <w:t>remedies</w:t>
      </w:r>
      <w:r w:rsidRPr="00C00408">
        <w:rPr>
          <w:rFonts w:asciiTheme="majorHAnsi" w:hAnsiTheme="majorHAnsi"/>
          <w:sz w:val="20"/>
          <w:szCs w:val="20"/>
        </w:rPr>
        <w:t xml:space="preserve">. Along these lines, </w:t>
      </w:r>
      <w:r w:rsidR="009F4773" w:rsidRPr="00C00408">
        <w:rPr>
          <w:rFonts w:asciiTheme="majorHAnsi" w:hAnsiTheme="majorHAnsi"/>
          <w:sz w:val="20"/>
          <w:szCs w:val="20"/>
        </w:rPr>
        <w:t>the State</w:t>
      </w:r>
      <w:r w:rsidRPr="00C00408">
        <w:rPr>
          <w:rFonts w:asciiTheme="majorHAnsi" w:hAnsiTheme="majorHAnsi"/>
          <w:sz w:val="20"/>
          <w:szCs w:val="20"/>
        </w:rPr>
        <w:t xml:space="preserve"> points out that it was not until September 21, </w:t>
      </w:r>
      <w:r w:rsidR="00247565" w:rsidRPr="00C00408">
        <w:rPr>
          <w:rFonts w:asciiTheme="majorHAnsi" w:hAnsiTheme="majorHAnsi"/>
          <w:sz w:val="20"/>
          <w:szCs w:val="20"/>
        </w:rPr>
        <w:t>2008,</w:t>
      </w:r>
      <w:r w:rsidRPr="00C00408">
        <w:rPr>
          <w:rFonts w:asciiTheme="majorHAnsi" w:hAnsiTheme="majorHAnsi"/>
          <w:sz w:val="20"/>
          <w:szCs w:val="20"/>
        </w:rPr>
        <w:t xml:space="preserve"> that the petitioner submitted an extension of the arguments in favor of Mr. Vizcayno Solano, in which </w:t>
      </w:r>
      <w:r w:rsidR="009F4773" w:rsidRPr="00C00408">
        <w:rPr>
          <w:rFonts w:asciiTheme="majorHAnsi" w:hAnsiTheme="majorHAnsi"/>
          <w:sz w:val="20"/>
          <w:szCs w:val="20"/>
        </w:rPr>
        <w:t>it</w:t>
      </w:r>
      <w:r w:rsidRPr="00C00408">
        <w:rPr>
          <w:rFonts w:asciiTheme="majorHAnsi" w:hAnsiTheme="majorHAnsi"/>
          <w:sz w:val="20"/>
          <w:szCs w:val="20"/>
        </w:rPr>
        <w:t xml:space="preserve"> argued a violation of his right to appeal the </w:t>
      </w:r>
      <w:r w:rsidR="001C5C19" w:rsidRPr="00C00408">
        <w:rPr>
          <w:rFonts w:asciiTheme="majorHAnsi" w:hAnsiTheme="majorHAnsi"/>
          <w:sz w:val="20"/>
          <w:szCs w:val="20"/>
        </w:rPr>
        <w:t>conviction</w:t>
      </w:r>
      <w:r w:rsidRPr="00C00408">
        <w:rPr>
          <w:rFonts w:asciiTheme="majorHAnsi" w:hAnsiTheme="majorHAnsi"/>
          <w:sz w:val="20"/>
          <w:szCs w:val="20"/>
        </w:rPr>
        <w:t xml:space="preserve"> before the </w:t>
      </w:r>
      <w:r w:rsidR="001C5C19" w:rsidRPr="00C00408">
        <w:rPr>
          <w:rFonts w:asciiTheme="majorHAnsi" w:hAnsiTheme="majorHAnsi"/>
          <w:sz w:val="20"/>
          <w:szCs w:val="20"/>
        </w:rPr>
        <w:t>appropriate</w:t>
      </w:r>
      <w:r w:rsidRPr="00C00408">
        <w:rPr>
          <w:rFonts w:asciiTheme="majorHAnsi" w:hAnsiTheme="majorHAnsi"/>
          <w:sz w:val="20"/>
          <w:szCs w:val="20"/>
        </w:rPr>
        <w:t xml:space="preserve"> instances. In the State's opinion, the expansion of the petition after the resolution of the review procedure raises doubts as to the intention of the petitioner and could denote </w:t>
      </w:r>
      <w:r w:rsidR="00713729" w:rsidRPr="00C00408">
        <w:rPr>
          <w:rFonts w:asciiTheme="majorHAnsi" w:hAnsiTheme="majorHAnsi"/>
          <w:sz w:val="20"/>
          <w:szCs w:val="20"/>
        </w:rPr>
        <w:t>litigation strategy that is far from</w:t>
      </w:r>
      <w:r w:rsidRPr="00C00408">
        <w:rPr>
          <w:rFonts w:asciiTheme="majorHAnsi" w:hAnsiTheme="majorHAnsi"/>
          <w:sz w:val="20"/>
          <w:szCs w:val="20"/>
        </w:rPr>
        <w:t xml:space="preserve"> good faith.</w:t>
      </w:r>
    </w:p>
    <w:p w14:paraId="02333865" w14:textId="5AC0E44B" w:rsidR="00713729" w:rsidRPr="00C00408" w:rsidRDefault="00713729" w:rsidP="00E90E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C00408">
        <w:rPr>
          <w:rFonts w:asciiTheme="majorHAnsi" w:hAnsiTheme="majorHAnsi"/>
          <w:bCs/>
          <w:sz w:val="20"/>
          <w:szCs w:val="20"/>
        </w:rPr>
        <w:t>Additionally, the State argues that the alleged facts do not characterize a human rights violation that is attributable to it. On the contrary, it argues that the petitioner wants the Commission to act as a fourth judicial instance and review the factual and legal assessments made by the domestic judges and courts that acted in the sphere of their competence.</w:t>
      </w:r>
    </w:p>
    <w:p w14:paraId="4CCD937B" w14:textId="4BEBA4C5" w:rsidR="00713729" w:rsidRPr="00C00408" w:rsidRDefault="00713729" w:rsidP="00E90E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C00408">
        <w:rPr>
          <w:rFonts w:asciiTheme="majorHAnsi" w:hAnsiTheme="majorHAnsi"/>
          <w:bCs/>
          <w:sz w:val="20"/>
          <w:szCs w:val="20"/>
        </w:rPr>
        <w:t xml:space="preserve">In this regard, the State emphasizes that it is not valid to argue, as the petitioner does, that there is a breach of the obligation to respect the right to judicial guarantees, since the Costa Rican authorities have afforded administrative and judicial mechanisms which are respectful of the rules of due process, safeguarding </w:t>
      </w:r>
      <w:r w:rsidR="004916AF" w:rsidRPr="00C00408">
        <w:rPr>
          <w:rFonts w:asciiTheme="majorHAnsi" w:hAnsiTheme="majorHAnsi"/>
          <w:bCs/>
          <w:sz w:val="20"/>
          <w:szCs w:val="20"/>
        </w:rPr>
        <w:t>the guarantees to an independent and impartial tribunal previously established by law</w:t>
      </w:r>
      <w:r w:rsidRPr="00C00408">
        <w:rPr>
          <w:rFonts w:asciiTheme="majorHAnsi" w:hAnsiTheme="majorHAnsi"/>
          <w:bCs/>
          <w:sz w:val="20"/>
          <w:szCs w:val="20"/>
        </w:rPr>
        <w:t xml:space="preserve">, as well as the </w:t>
      </w:r>
      <w:r w:rsidR="00C270FC" w:rsidRPr="00C00408">
        <w:rPr>
          <w:rFonts w:asciiTheme="majorHAnsi" w:hAnsiTheme="majorHAnsi"/>
          <w:bCs/>
          <w:sz w:val="20"/>
          <w:szCs w:val="20"/>
        </w:rPr>
        <w:t>establishment</w:t>
      </w:r>
      <w:r w:rsidRPr="00C00408">
        <w:rPr>
          <w:rFonts w:asciiTheme="majorHAnsi" w:hAnsiTheme="majorHAnsi"/>
          <w:bCs/>
          <w:sz w:val="20"/>
          <w:szCs w:val="20"/>
        </w:rPr>
        <w:t xml:space="preserve"> of suitable</w:t>
      </w:r>
      <w:r w:rsidR="00C270FC" w:rsidRPr="00C00408">
        <w:rPr>
          <w:rFonts w:asciiTheme="majorHAnsi" w:hAnsiTheme="majorHAnsi"/>
          <w:bCs/>
          <w:sz w:val="20"/>
          <w:szCs w:val="20"/>
        </w:rPr>
        <w:t xml:space="preserve"> mechanisms</w:t>
      </w:r>
      <w:r w:rsidRPr="00C00408">
        <w:rPr>
          <w:rFonts w:asciiTheme="majorHAnsi" w:hAnsiTheme="majorHAnsi"/>
          <w:bCs/>
          <w:sz w:val="20"/>
          <w:szCs w:val="20"/>
        </w:rPr>
        <w:t xml:space="preserve"> to determine the rights of citizens. </w:t>
      </w:r>
      <w:r w:rsidR="00C270FC" w:rsidRPr="00C00408">
        <w:rPr>
          <w:rFonts w:asciiTheme="majorHAnsi" w:hAnsiTheme="majorHAnsi"/>
          <w:bCs/>
          <w:sz w:val="20"/>
          <w:szCs w:val="20"/>
        </w:rPr>
        <w:t xml:space="preserve">The State </w:t>
      </w:r>
      <w:r w:rsidRPr="00C00408">
        <w:rPr>
          <w:rFonts w:asciiTheme="majorHAnsi" w:hAnsiTheme="majorHAnsi"/>
          <w:bCs/>
          <w:sz w:val="20"/>
          <w:szCs w:val="20"/>
        </w:rPr>
        <w:t xml:space="preserve">stresses that if the alleged victims decided not to resort to these mechanisms or did not use them correctly, international responsibility cannot be attributed to </w:t>
      </w:r>
      <w:r w:rsidR="00C270FC" w:rsidRPr="00C00408">
        <w:rPr>
          <w:rFonts w:asciiTheme="majorHAnsi" w:hAnsiTheme="majorHAnsi"/>
          <w:bCs/>
          <w:sz w:val="20"/>
          <w:szCs w:val="20"/>
        </w:rPr>
        <w:t>it</w:t>
      </w:r>
      <w:r w:rsidRPr="00C00408">
        <w:rPr>
          <w:rFonts w:asciiTheme="majorHAnsi" w:hAnsiTheme="majorHAnsi"/>
          <w:bCs/>
          <w:sz w:val="20"/>
          <w:szCs w:val="20"/>
        </w:rPr>
        <w:t xml:space="preserve"> for such lack of diligence. For this reason, it requests the Commission to declare this matter inadmissible, and accordingly</w:t>
      </w:r>
      <w:r w:rsidR="00C270FC" w:rsidRPr="00C00408">
        <w:rPr>
          <w:rFonts w:asciiTheme="majorHAnsi" w:hAnsiTheme="majorHAnsi"/>
          <w:bCs/>
          <w:sz w:val="20"/>
          <w:szCs w:val="20"/>
        </w:rPr>
        <w:t xml:space="preserve"> to</w:t>
      </w:r>
      <w:r w:rsidRPr="00C00408">
        <w:rPr>
          <w:rFonts w:asciiTheme="majorHAnsi" w:hAnsiTheme="majorHAnsi"/>
          <w:bCs/>
          <w:sz w:val="20"/>
          <w:szCs w:val="20"/>
        </w:rPr>
        <w:t xml:space="preserve"> order </w:t>
      </w:r>
      <w:r w:rsidR="00C270FC" w:rsidRPr="00C00408">
        <w:rPr>
          <w:rFonts w:asciiTheme="majorHAnsi" w:hAnsiTheme="majorHAnsi"/>
          <w:bCs/>
          <w:sz w:val="20"/>
          <w:szCs w:val="20"/>
        </w:rPr>
        <w:t>that it be</w:t>
      </w:r>
      <w:r w:rsidRPr="00C00408">
        <w:rPr>
          <w:rFonts w:asciiTheme="majorHAnsi" w:hAnsiTheme="majorHAnsi"/>
          <w:bCs/>
          <w:sz w:val="20"/>
          <w:szCs w:val="20"/>
        </w:rPr>
        <w:t xml:space="preserve"> archive</w:t>
      </w:r>
      <w:r w:rsidR="00C270FC" w:rsidRPr="00C00408">
        <w:rPr>
          <w:rFonts w:asciiTheme="majorHAnsi" w:hAnsiTheme="majorHAnsi"/>
          <w:bCs/>
          <w:sz w:val="20"/>
          <w:szCs w:val="20"/>
        </w:rPr>
        <w:t>d</w:t>
      </w:r>
      <w:r w:rsidRPr="00C00408">
        <w:rPr>
          <w:rFonts w:asciiTheme="majorHAnsi" w:hAnsiTheme="majorHAnsi"/>
          <w:bCs/>
          <w:sz w:val="20"/>
          <w:szCs w:val="20"/>
        </w:rPr>
        <w:t>.</w:t>
      </w:r>
    </w:p>
    <w:p w14:paraId="25B7A17E" w14:textId="02A30BA8" w:rsidR="00F32918" w:rsidRPr="00C00408" w:rsidRDefault="00F32918" w:rsidP="00F621C3">
      <w:pPr>
        <w:spacing w:before="240" w:after="240"/>
        <w:ind w:firstLine="720"/>
        <w:jc w:val="both"/>
        <w:rPr>
          <w:rFonts w:asciiTheme="majorHAnsi" w:eastAsia="Cambria" w:hAnsiTheme="majorHAnsi" w:cs="Cambria"/>
          <w:b/>
          <w:bCs/>
          <w:color w:val="000000"/>
          <w:sz w:val="20"/>
          <w:szCs w:val="20"/>
          <w:u w:color="000000"/>
          <w:lang w:eastAsia="es-ES"/>
        </w:rPr>
      </w:pPr>
      <w:r w:rsidRPr="00C00408">
        <w:rPr>
          <w:rFonts w:asciiTheme="majorHAnsi" w:eastAsia="Cambria" w:hAnsiTheme="majorHAnsi" w:cs="Cambria"/>
          <w:b/>
          <w:bCs/>
          <w:color w:val="000000"/>
          <w:sz w:val="20"/>
          <w:szCs w:val="20"/>
          <w:u w:color="000000"/>
          <w:lang w:eastAsia="es-ES"/>
        </w:rPr>
        <w:t xml:space="preserve">VI. </w:t>
      </w:r>
      <w:r w:rsidRPr="00C00408">
        <w:rPr>
          <w:rFonts w:asciiTheme="majorHAnsi" w:eastAsia="Cambria" w:hAnsiTheme="majorHAnsi" w:cs="Cambria"/>
          <w:b/>
          <w:bCs/>
          <w:color w:val="000000"/>
          <w:sz w:val="20"/>
          <w:szCs w:val="20"/>
          <w:u w:color="000000"/>
          <w:lang w:eastAsia="es-ES"/>
        </w:rPr>
        <w:tab/>
        <w:t>PRELIMINARY CONSIDERATIONS</w:t>
      </w:r>
    </w:p>
    <w:p w14:paraId="370B47EA" w14:textId="0E98AB91" w:rsidR="00C270FC" w:rsidRPr="00C00408" w:rsidRDefault="00F34397"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C00408">
        <w:rPr>
          <w:rFonts w:asciiTheme="majorHAnsi" w:hAnsiTheme="majorHAnsi"/>
          <w:bCs/>
          <w:sz w:val="20"/>
          <w:szCs w:val="20"/>
        </w:rPr>
        <w:t xml:space="preserve">The Commission notes that the main purpose of this petition is to question the infringement of the right to appeal the conviction, enshrined in Article 8.2.h) of the American Convention. Because of this, given that different decisions have been issued within the Inter-American system on this matter, based on the changes implemented in the Costa Rican criminal procedure legislation, the IACHR deems it necessary to carry out a </w:t>
      </w:r>
      <w:r w:rsidR="002902F0" w:rsidRPr="00C00408">
        <w:rPr>
          <w:rFonts w:asciiTheme="majorHAnsi" w:hAnsiTheme="majorHAnsi"/>
          <w:bCs/>
          <w:sz w:val="20"/>
          <w:szCs w:val="20"/>
        </w:rPr>
        <w:t xml:space="preserve">summary </w:t>
      </w:r>
      <w:r w:rsidRPr="00C00408">
        <w:rPr>
          <w:rFonts w:asciiTheme="majorHAnsi" w:hAnsiTheme="majorHAnsi"/>
          <w:bCs/>
          <w:sz w:val="20"/>
          <w:szCs w:val="20"/>
        </w:rPr>
        <w:t>of these pronouncements in order to identify standards that allow to properly resolve this petition.</w:t>
      </w:r>
    </w:p>
    <w:p w14:paraId="0233376B" w14:textId="46BEB9DD" w:rsidR="003C4C5B" w:rsidRPr="00C00408" w:rsidRDefault="003C4C5B"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 xml:space="preserve">Thus, in its judgment of July 2, 2004, in the Case of </w:t>
      </w:r>
      <w:r w:rsidRPr="00C00408">
        <w:rPr>
          <w:rFonts w:asciiTheme="majorHAnsi" w:hAnsiTheme="majorHAnsi"/>
          <w:i/>
          <w:iCs/>
          <w:sz w:val="20"/>
          <w:szCs w:val="20"/>
        </w:rPr>
        <w:t>Herrera Ulloa v. Costa Rica</w:t>
      </w:r>
      <w:r w:rsidRPr="00C00408">
        <w:rPr>
          <w:rFonts w:asciiTheme="majorHAnsi" w:hAnsiTheme="majorHAnsi"/>
          <w:sz w:val="20"/>
          <w:szCs w:val="20"/>
        </w:rPr>
        <w:t>, the Inter-American Court of Human Rights</w:t>
      </w:r>
      <w:r w:rsidRPr="00C00408">
        <w:rPr>
          <w:rStyle w:val="FootnoteReference"/>
          <w:rFonts w:asciiTheme="majorHAnsi" w:hAnsiTheme="majorHAnsi"/>
          <w:bCs/>
          <w:sz w:val="20"/>
          <w:szCs w:val="20"/>
          <w:lang w:val="es-ES_tradnl"/>
        </w:rPr>
        <w:footnoteReference w:id="6"/>
      </w:r>
      <w:r w:rsidRPr="00C00408">
        <w:rPr>
          <w:rFonts w:asciiTheme="majorHAnsi" w:hAnsiTheme="majorHAnsi"/>
          <w:sz w:val="20"/>
          <w:szCs w:val="20"/>
        </w:rPr>
        <w:t xml:space="preserve"> examined a regulation included in the Code of Criminal Procedure since 1998 and concluded that it </w:t>
      </w:r>
      <w:r w:rsidR="003109AD" w:rsidRPr="00C00408">
        <w:rPr>
          <w:rFonts w:asciiTheme="majorHAnsi" w:hAnsiTheme="majorHAnsi"/>
          <w:sz w:val="20"/>
          <w:szCs w:val="20"/>
        </w:rPr>
        <w:t>did not possess “</w:t>
      </w:r>
      <w:r w:rsidR="003109AD" w:rsidRPr="00C00408">
        <w:rPr>
          <w:rFonts w:asciiTheme="majorHAnsi" w:hAnsiTheme="majorHAnsi"/>
          <w:i/>
          <w:iCs/>
          <w:sz w:val="20"/>
          <w:szCs w:val="20"/>
        </w:rPr>
        <w:t>a liberal remedy that would permit the higher court to do a thorough analysis or examination of all the issues debated and analyzed in the lower court”</w:t>
      </w:r>
      <w:r w:rsidR="003109AD" w:rsidRPr="00C00408">
        <w:rPr>
          <w:rFonts w:asciiTheme="majorHAnsi" w:hAnsiTheme="majorHAnsi"/>
          <w:sz w:val="20"/>
          <w:szCs w:val="20"/>
        </w:rPr>
        <w:t>, given the limitations of the appeal for cassation in the criminal jurisdiction</w:t>
      </w:r>
      <w:r w:rsidR="003109AD" w:rsidRPr="00C00408">
        <w:rPr>
          <w:rStyle w:val="FootnoteReference"/>
          <w:rFonts w:asciiTheme="majorHAnsi" w:hAnsiTheme="majorHAnsi"/>
          <w:sz w:val="20"/>
          <w:szCs w:val="20"/>
          <w:lang w:val="es-US"/>
        </w:rPr>
        <w:footnoteReference w:id="7"/>
      </w:r>
      <w:r w:rsidR="003109AD" w:rsidRPr="00C00408">
        <w:rPr>
          <w:rFonts w:asciiTheme="majorHAnsi" w:hAnsiTheme="majorHAnsi"/>
          <w:sz w:val="20"/>
          <w:szCs w:val="20"/>
        </w:rPr>
        <w:t xml:space="preserve">. Therefore, the Inter-American Court declared that the Costa Rican State violated articles 8.2.h) of the Convention in relation to its articles 1.1 and 2 to the detriment of Mr. Mauricio Herrera Ulloa, by not having guarantees his right to appeal the conviction; and order Costa Rica to </w:t>
      </w:r>
      <w:r w:rsidR="003109AD" w:rsidRPr="00C00408">
        <w:rPr>
          <w:rFonts w:asciiTheme="majorHAnsi" w:hAnsiTheme="majorHAnsi"/>
          <w:i/>
          <w:iCs/>
          <w:sz w:val="20"/>
          <w:szCs w:val="20"/>
        </w:rPr>
        <w:t>“adapt its domestic legal system to conform to the provisions of Article 8(2)(h) of the Convention, in relation to Article 2 thereof”</w:t>
      </w:r>
      <w:r w:rsidR="003109AD" w:rsidRPr="00C00408">
        <w:rPr>
          <w:rStyle w:val="FootnoteReference"/>
          <w:rFonts w:asciiTheme="majorHAnsi" w:hAnsiTheme="majorHAnsi"/>
          <w:sz w:val="20"/>
          <w:szCs w:val="20"/>
        </w:rPr>
        <w:t xml:space="preserve"> </w:t>
      </w:r>
      <w:r w:rsidR="003109AD" w:rsidRPr="00C00408">
        <w:rPr>
          <w:rStyle w:val="FootnoteReference"/>
          <w:rFonts w:asciiTheme="majorHAnsi" w:hAnsiTheme="majorHAnsi"/>
          <w:sz w:val="20"/>
          <w:szCs w:val="20"/>
          <w:lang w:val="es-US"/>
        </w:rPr>
        <w:footnoteReference w:id="8"/>
      </w:r>
      <w:r w:rsidR="003109AD" w:rsidRPr="00C00408">
        <w:rPr>
          <w:rFonts w:asciiTheme="majorHAnsi" w:hAnsiTheme="majorHAnsi"/>
          <w:sz w:val="20"/>
          <w:szCs w:val="20"/>
        </w:rPr>
        <w:t xml:space="preserve">. </w:t>
      </w:r>
    </w:p>
    <w:p w14:paraId="3008695E" w14:textId="63431C10" w:rsidR="003109AD" w:rsidRPr="00C00408" w:rsidRDefault="003109AD"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As a consequence of this judgment, Costa Rica reformed the regulation of its criminal procedure to have a regulation in accordance with the obligations enshrined in Article 8.2.h) of the American Convention. Thus, on June 6, 2006, Law No. 8503, called the “</w:t>
      </w:r>
      <w:r w:rsidR="001A582A" w:rsidRPr="00C00408">
        <w:rPr>
          <w:rFonts w:asciiTheme="majorHAnsi" w:hAnsiTheme="majorHAnsi"/>
          <w:sz w:val="20"/>
          <w:szCs w:val="20"/>
        </w:rPr>
        <w:t>Law on the Opening of Criminal Cassation</w:t>
      </w:r>
      <w:r w:rsidRPr="00C00408">
        <w:rPr>
          <w:rFonts w:asciiTheme="majorHAnsi" w:hAnsiTheme="majorHAnsi"/>
          <w:sz w:val="20"/>
          <w:szCs w:val="20"/>
        </w:rPr>
        <w:t xml:space="preserve">”, came into force, which modified and added different articles of the Code of Criminal Procedure related to appeals </w:t>
      </w:r>
      <w:r w:rsidRPr="00C00408">
        <w:rPr>
          <w:rFonts w:asciiTheme="majorHAnsi" w:hAnsiTheme="majorHAnsi"/>
          <w:sz w:val="20"/>
          <w:szCs w:val="20"/>
        </w:rPr>
        <w:lastRenderedPageBreak/>
        <w:t xml:space="preserve">and review appeals. Likewise, and in what is relevant to the present case, said legislation established in its Transitory I, a special review procedure for </w:t>
      </w:r>
      <w:r w:rsidRPr="00C00408">
        <w:rPr>
          <w:rFonts w:asciiTheme="majorHAnsi" w:hAnsiTheme="majorHAnsi"/>
          <w:i/>
          <w:iCs/>
          <w:sz w:val="20"/>
          <w:szCs w:val="20"/>
        </w:rPr>
        <w:t xml:space="preserve">“persons convicted of a criminal act with a date prior to this Law, who have been prevented from filing an appeal for cassation against the conviction, due to the rules that regulated its admissibility on that date […] invoking, in each case, the grievance and the factual and legal aspects that </w:t>
      </w:r>
      <w:r w:rsidR="001A582A" w:rsidRPr="00C00408">
        <w:rPr>
          <w:rFonts w:asciiTheme="majorHAnsi" w:hAnsiTheme="majorHAnsi"/>
          <w:i/>
          <w:iCs/>
          <w:sz w:val="20"/>
          <w:szCs w:val="20"/>
        </w:rPr>
        <w:t xml:space="preserve">could not be heard </w:t>
      </w:r>
      <w:r w:rsidRPr="00C00408">
        <w:rPr>
          <w:rFonts w:asciiTheme="majorHAnsi" w:hAnsiTheme="majorHAnsi"/>
          <w:i/>
          <w:iCs/>
          <w:sz w:val="20"/>
          <w:szCs w:val="20"/>
        </w:rPr>
        <w:t>in cassation.”</w:t>
      </w:r>
      <w:r w:rsidR="001A582A" w:rsidRPr="00C00408">
        <w:rPr>
          <w:rFonts w:asciiTheme="majorHAnsi" w:hAnsiTheme="majorHAnsi"/>
          <w:i/>
          <w:iCs/>
          <w:sz w:val="20"/>
          <w:szCs w:val="20"/>
        </w:rPr>
        <w:t xml:space="preserve"> </w:t>
      </w:r>
      <w:r w:rsidR="001A582A" w:rsidRPr="00C00408">
        <w:rPr>
          <w:rFonts w:asciiTheme="majorHAnsi" w:hAnsiTheme="majorHAnsi"/>
          <w:sz w:val="20"/>
          <w:szCs w:val="20"/>
        </w:rPr>
        <w:t>In light of this, the Inter-American Court considered that</w:t>
      </w:r>
      <w:r w:rsidR="001A582A" w:rsidRPr="00C00408">
        <w:rPr>
          <w:rFonts w:asciiTheme="majorHAnsi" w:hAnsiTheme="majorHAnsi"/>
          <w:i/>
          <w:iCs/>
          <w:sz w:val="20"/>
          <w:szCs w:val="20"/>
        </w:rPr>
        <w:t xml:space="preserve"> “through the grounds for review created by transitory provision I, a person convicted of a criminal offense could, in principle, obtain a comprehensive review of the judgment, including the factual and legal aspects”</w:t>
      </w:r>
      <w:r w:rsidR="001A582A" w:rsidRPr="00C00408">
        <w:rPr>
          <w:rStyle w:val="FootnoteReference"/>
          <w:rFonts w:asciiTheme="majorHAnsi" w:hAnsiTheme="majorHAnsi"/>
          <w:sz w:val="20"/>
          <w:szCs w:val="20"/>
        </w:rPr>
        <w:t xml:space="preserve"> </w:t>
      </w:r>
      <w:r w:rsidR="001A582A" w:rsidRPr="00C00408">
        <w:rPr>
          <w:rStyle w:val="FootnoteReference"/>
          <w:rFonts w:asciiTheme="majorHAnsi" w:hAnsiTheme="majorHAnsi"/>
          <w:sz w:val="20"/>
          <w:szCs w:val="20"/>
          <w:lang w:val="es-ES"/>
        </w:rPr>
        <w:footnoteReference w:id="9"/>
      </w:r>
      <w:r w:rsidR="001A582A" w:rsidRPr="00C00408">
        <w:rPr>
          <w:rFonts w:asciiTheme="majorHAnsi" w:hAnsiTheme="majorHAnsi"/>
          <w:sz w:val="20"/>
          <w:szCs w:val="20"/>
        </w:rPr>
        <w:t>.</w:t>
      </w:r>
    </w:p>
    <w:p w14:paraId="1723C0C4" w14:textId="7E81D35C" w:rsidR="001A582A" w:rsidRPr="00C00408" w:rsidRDefault="001A582A"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00408">
        <w:rPr>
          <w:rFonts w:asciiTheme="majorHAnsi" w:hAnsiTheme="majorHAnsi"/>
          <w:sz w:val="20"/>
          <w:szCs w:val="20"/>
        </w:rPr>
        <w:t>Additionally, both the Commission and the I/A Court HR also verified that Law No. 8837 was published on June 9, 2010, entitled “Creation of the appeal of the conviction, other reforms to the challenge regime and implementation of new orality rules in criminal proceedings”, effective as of December 9, 2011; which created and regulated the appeal. In addition, Transitory III of said norm regulated two additional cases: i) for persons whose convictions were final at the time the law entered into force, it was established that they may file, for a single time, a review procedure in the first six months; and ii) for persons whose appeals were pending resolution at the time the law entered into force, it was established that they could request the conversion of the appeal already presented to an appeal in accordance with the new norm.</w:t>
      </w:r>
    </w:p>
    <w:p w14:paraId="0845F20C" w14:textId="2E57C2DC" w:rsidR="001A582A" w:rsidRPr="00C00408" w:rsidRDefault="001A582A"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00408">
        <w:rPr>
          <w:rFonts w:asciiTheme="majorHAnsi" w:hAnsiTheme="majorHAnsi"/>
          <w:sz w:val="20"/>
          <w:szCs w:val="20"/>
        </w:rPr>
        <w:t xml:space="preserve">As a consequence of the aforementioned modifications, in the judgment of the case of </w:t>
      </w:r>
      <w:r w:rsidRPr="00C00408">
        <w:rPr>
          <w:rFonts w:asciiTheme="majorHAnsi" w:hAnsiTheme="majorHAnsi"/>
          <w:i/>
          <w:iCs/>
          <w:sz w:val="20"/>
          <w:szCs w:val="20"/>
        </w:rPr>
        <w:t>Amrhein et al. v. Costa Rica</w:t>
      </w:r>
      <w:r w:rsidRPr="00C00408">
        <w:rPr>
          <w:rFonts w:asciiTheme="majorHAnsi" w:hAnsiTheme="majorHAnsi"/>
          <w:sz w:val="20"/>
          <w:szCs w:val="20"/>
        </w:rPr>
        <w:t xml:space="preserve"> on April 25, 2018, the Inter-American Court re-evaluated the Costa Rican criminal procedure regulation; and expanded its legal criteria both regarding the exhaustion of domestic jurisdiction, as well as the analysis of the merits of cases on the same subject.</w:t>
      </w:r>
    </w:p>
    <w:p w14:paraId="33974245" w14:textId="76BCCD31" w:rsidR="001A582A" w:rsidRPr="00C00408" w:rsidRDefault="001A582A" w:rsidP="00592A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00408">
        <w:rPr>
          <w:rFonts w:asciiTheme="majorHAnsi" w:hAnsiTheme="majorHAnsi"/>
          <w:sz w:val="20"/>
          <w:szCs w:val="20"/>
        </w:rPr>
        <w:t xml:space="preserve">In relation to the first point, the Commission highlights that, in such case, the Inter-American Court considered that the alleged victims should have filed the appeal for special review based on Transitory I of Law 8503 of 2006 during the admissibility </w:t>
      </w:r>
      <w:r w:rsidR="00F94A43" w:rsidRPr="00C00408">
        <w:rPr>
          <w:rFonts w:asciiTheme="majorHAnsi" w:hAnsiTheme="majorHAnsi"/>
          <w:sz w:val="20"/>
          <w:szCs w:val="20"/>
        </w:rPr>
        <w:t>stage</w:t>
      </w:r>
      <w:r w:rsidRPr="00C00408">
        <w:rPr>
          <w:rFonts w:asciiTheme="majorHAnsi" w:hAnsiTheme="majorHAnsi"/>
          <w:sz w:val="20"/>
          <w:szCs w:val="20"/>
        </w:rPr>
        <w:t xml:space="preserve"> of the petition, since it was specifically intended for people with </w:t>
      </w:r>
      <w:r w:rsidR="00F94A43" w:rsidRPr="00C00408">
        <w:rPr>
          <w:rFonts w:asciiTheme="majorHAnsi" w:hAnsiTheme="majorHAnsi"/>
          <w:sz w:val="20"/>
          <w:szCs w:val="20"/>
        </w:rPr>
        <w:t>final</w:t>
      </w:r>
      <w:r w:rsidRPr="00C00408">
        <w:rPr>
          <w:rFonts w:asciiTheme="majorHAnsi" w:hAnsiTheme="majorHAnsi"/>
          <w:sz w:val="20"/>
          <w:szCs w:val="20"/>
        </w:rPr>
        <w:t xml:space="preserve"> convictions; </w:t>
      </w:r>
      <w:r w:rsidR="00F94A43" w:rsidRPr="00C00408">
        <w:rPr>
          <w:rFonts w:asciiTheme="majorHAnsi" w:hAnsiTheme="majorHAnsi"/>
          <w:sz w:val="20"/>
          <w:szCs w:val="20"/>
        </w:rPr>
        <w:t>a</w:t>
      </w:r>
      <w:r w:rsidRPr="00C00408">
        <w:rPr>
          <w:rFonts w:asciiTheme="majorHAnsi" w:hAnsiTheme="majorHAnsi"/>
          <w:sz w:val="20"/>
          <w:szCs w:val="20"/>
        </w:rPr>
        <w:t>nd because of that,</w:t>
      </w:r>
      <w:r w:rsidR="00F94A43" w:rsidRPr="00C00408">
        <w:rPr>
          <w:rFonts w:asciiTheme="majorHAnsi" w:hAnsiTheme="majorHAnsi"/>
          <w:sz w:val="20"/>
          <w:szCs w:val="20"/>
        </w:rPr>
        <w:t xml:space="preserve"> </w:t>
      </w:r>
      <w:r w:rsidR="00F94A43" w:rsidRPr="00C00408">
        <w:rPr>
          <w:rFonts w:asciiTheme="majorHAnsi" w:hAnsiTheme="majorHAnsi"/>
          <w:i/>
          <w:iCs/>
          <w:sz w:val="20"/>
          <w:szCs w:val="20"/>
        </w:rPr>
        <w:t>“the fact that it is an exceptional remedy cannot be decisive, per se, to conclude that is it ineffective”</w:t>
      </w:r>
      <w:r w:rsidR="00F94A43" w:rsidRPr="00C00408">
        <w:rPr>
          <w:rStyle w:val="FootnoteReference"/>
          <w:rFonts w:asciiTheme="majorHAnsi" w:hAnsiTheme="majorHAnsi"/>
          <w:i/>
          <w:iCs/>
          <w:sz w:val="20"/>
          <w:szCs w:val="20"/>
          <w:lang w:val="es-ES"/>
        </w:rPr>
        <w:footnoteReference w:id="10"/>
      </w:r>
      <w:r w:rsidR="00F94A43" w:rsidRPr="00C00408">
        <w:rPr>
          <w:rFonts w:asciiTheme="majorHAnsi" w:hAnsiTheme="majorHAnsi"/>
          <w:i/>
          <w:iCs/>
          <w:sz w:val="20"/>
          <w:szCs w:val="20"/>
        </w:rPr>
        <w:t xml:space="preserve">. </w:t>
      </w:r>
      <w:r w:rsidR="00F94A43" w:rsidRPr="00C00408">
        <w:rPr>
          <w:rFonts w:asciiTheme="majorHAnsi" w:hAnsiTheme="majorHAnsi"/>
          <w:sz w:val="20"/>
          <w:szCs w:val="20"/>
        </w:rPr>
        <w:t>Consequently, following the aforementioned jurisprudence, the Commission considers that, in order to determine the admissibility of a matter on this subject, it must determine whether the aforementioned appeal was available to the alleged victims after the issuance of their conviction, and if so, verify whether or not they have exhausted such a remedy.</w:t>
      </w:r>
    </w:p>
    <w:p w14:paraId="327BDE92" w14:textId="41F83115" w:rsidR="000E2454" w:rsidRPr="00C00408" w:rsidRDefault="00F94A43" w:rsidP="000E24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00408">
        <w:rPr>
          <w:rFonts w:asciiTheme="majorHAnsi" w:hAnsiTheme="majorHAnsi"/>
          <w:sz w:val="20"/>
          <w:szCs w:val="20"/>
        </w:rPr>
        <w:t xml:space="preserve">Finally, for the purposes of analyzing the characterization of the petitions, the Commission notes that the Inter-American Court concluded in the aforementioned judgment that it was not appropriate </w:t>
      </w:r>
      <w:r w:rsidRPr="00C00408">
        <w:rPr>
          <w:rFonts w:asciiTheme="majorHAnsi" w:hAnsiTheme="majorHAnsi"/>
          <w:i/>
          <w:iCs/>
          <w:sz w:val="20"/>
          <w:szCs w:val="20"/>
        </w:rPr>
        <w:t>“to declare a violation of Article 2 of the American Convention because of the way in which the Costa Rican appeals system is regulated, or because of the manner in which the State addressed the situation of persons whose convictions were already final prior to the entry into force of Laws 8503 and 8837 (…) because through said reforms, it remedied the deficiencies in the application of the appeal rules (…)”</w:t>
      </w:r>
      <w:r w:rsidRPr="00C00408">
        <w:rPr>
          <w:rStyle w:val="FootnoteReference"/>
          <w:rFonts w:asciiTheme="majorHAnsi" w:hAnsiTheme="majorHAnsi"/>
          <w:sz w:val="20"/>
          <w:szCs w:val="20"/>
          <w:lang w:val="es-ES"/>
        </w:rPr>
        <w:footnoteReference w:id="11"/>
      </w:r>
      <w:r w:rsidRPr="00C00408">
        <w:rPr>
          <w:rFonts w:asciiTheme="majorHAnsi" w:hAnsiTheme="majorHAnsi"/>
          <w:sz w:val="20"/>
          <w:szCs w:val="20"/>
        </w:rPr>
        <w:t xml:space="preserve">. Likewise, it recalls that in the </w:t>
      </w:r>
      <w:r w:rsidR="00E36971" w:rsidRPr="00C00408">
        <w:rPr>
          <w:rFonts w:asciiTheme="majorHAnsi" w:hAnsiTheme="majorHAnsi"/>
          <w:sz w:val="20"/>
          <w:szCs w:val="20"/>
        </w:rPr>
        <w:t>supervision of compliance order</w:t>
      </w:r>
      <w:r w:rsidRPr="00C00408">
        <w:rPr>
          <w:rFonts w:asciiTheme="majorHAnsi" w:hAnsiTheme="majorHAnsi"/>
          <w:sz w:val="20"/>
          <w:szCs w:val="20"/>
        </w:rPr>
        <w:t xml:space="preserve"> of November 22, </w:t>
      </w:r>
      <w:r w:rsidR="00247565" w:rsidRPr="00C00408">
        <w:rPr>
          <w:rFonts w:asciiTheme="majorHAnsi" w:hAnsiTheme="majorHAnsi"/>
          <w:sz w:val="20"/>
          <w:szCs w:val="20"/>
        </w:rPr>
        <w:t>2010,</w:t>
      </w:r>
      <w:r w:rsidRPr="00C00408">
        <w:rPr>
          <w:rFonts w:asciiTheme="majorHAnsi" w:hAnsiTheme="majorHAnsi"/>
          <w:sz w:val="20"/>
          <w:szCs w:val="20"/>
        </w:rPr>
        <w:t xml:space="preserve"> in the case of Herrera Ulloa vs. Costa Rica, the Court positively valued the reforms introduced in the criminal procedure legislation and, by virtue of such modifications, concluded that </w:t>
      </w:r>
      <w:r w:rsidR="00E36971" w:rsidRPr="00C00408">
        <w:rPr>
          <w:rFonts w:asciiTheme="majorHAnsi" w:hAnsiTheme="majorHAnsi"/>
          <w:i/>
          <w:iCs/>
          <w:sz w:val="20"/>
          <w:szCs w:val="20"/>
        </w:rPr>
        <w:t>“by ensuring increased monitoring of judgments issued by a trial court in criminal law matters at the domestic level”</w:t>
      </w:r>
      <w:r w:rsidR="00E36971" w:rsidRPr="00C00408">
        <w:rPr>
          <w:rStyle w:val="FootnoteReference"/>
          <w:rFonts w:asciiTheme="majorHAnsi" w:hAnsiTheme="majorHAnsi"/>
          <w:sz w:val="20"/>
          <w:szCs w:val="20"/>
        </w:rPr>
        <w:t xml:space="preserve"> </w:t>
      </w:r>
      <w:r w:rsidR="00E36971" w:rsidRPr="00C00408">
        <w:rPr>
          <w:rStyle w:val="FootnoteReference"/>
          <w:rFonts w:asciiTheme="majorHAnsi" w:hAnsiTheme="majorHAnsi"/>
          <w:sz w:val="20"/>
          <w:szCs w:val="20"/>
          <w:lang w:val="es-ES"/>
        </w:rPr>
        <w:footnoteReference w:id="12"/>
      </w:r>
      <w:r w:rsidR="00E36971" w:rsidRPr="00C00408">
        <w:rPr>
          <w:rFonts w:asciiTheme="majorHAnsi" w:hAnsiTheme="majorHAnsi"/>
          <w:sz w:val="20"/>
          <w:szCs w:val="20"/>
        </w:rPr>
        <w:t xml:space="preserve">, Costa Rica had fully complied with </w:t>
      </w:r>
      <w:r w:rsidRPr="00C00408">
        <w:rPr>
          <w:rFonts w:asciiTheme="majorHAnsi" w:hAnsiTheme="majorHAnsi"/>
          <w:sz w:val="20"/>
          <w:szCs w:val="20"/>
        </w:rPr>
        <w:t>adapting its internal legislation.</w:t>
      </w:r>
    </w:p>
    <w:p w14:paraId="21AA7317" w14:textId="77777777" w:rsidR="000E2454" w:rsidRPr="00C00408" w:rsidRDefault="00E36971" w:rsidP="000E24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00408">
        <w:rPr>
          <w:rFonts w:asciiTheme="majorHAnsi" w:hAnsiTheme="majorHAnsi"/>
          <w:sz w:val="20"/>
          <w:szCs w:val="20"/>
        </w:rPr>
        <w:t xml:space="preserve">Notwithstanding this, the Commission emphasizes that the aforementioned norms granted those whose convictions had already acquired the status of res judicata the possibility of filing a review procedure, although subject to compliance with certain requirements. In the case of Law 8503, the Commission notes that the appellant was required to invoke in his presentation </w:t>
      </w:r>
      <w:r w:rsidRPr="00C00408">
        <w:rPr>
          <w:rFonts w:asciiTheme="majorHAnsi" w:hAnsiTheme="majorHAnsi"/>
          <w:i/>
          <w:iCs/>
          <w:sz w:val="20"/>
          <w:szCs w:val="20"/>
        </w:rPr>
        <w:t>“the grievance and the aspects of fact and law that could not be heard in cassation”</w:t>
      </w:r>
      <w:r w:rsidRPr="00C00408">
        <w:rPr>
          <w:rFonts w:asciiTheme="majorHAnsi" w:hAnsiTheme="majorHAnsi"/>
          <w:sz w:val="20"/>
          <w:szCs w:val="20"/>
        </w:rPr>
        <w:t xml:space="preserve">. For its part, Transitory III of Law 8837 demanded for the admissibility </w:t>
      </w:r>
      <w:r w:rsidRPr="00C00408">
        <w:rPr>
          <w:rFonts w:asciiTheme="majorHAnsi" w:hAnsiTheme="majorHAnsi"/>
          <w:sz w:val="20"/>
          <w:szCs w:val="20"/>
        </w:rPr>
        <w:lastRenderedPageBreak/>
        <w:t xml:space="preserve">of the review procedure that the convicted person </w:t>
      </w:r>
      <w:r w:rsidRPr="00C00408">
        <w:rPr>
          <w:rFonts w:asciiTheme="majorHAnsi" w:hAnsiTheme="majorHAnsi"/>
          <w:i/>
          <w:iCs/>
          <w:sz w:val="20"/>
          <w:szCs w:val="20"/>
        </w:rPr>
        <w:t>“had previously alleged the violation of Article 8.2.h of the Convention”</w:t>
      </w:r>
      <w:r w:rsidRPr="00C00408">
        <w:rPr>
          <w:rFonts w:asciiTheme="majorHAnsi" w:hAnsiTheme="majorHAnsi"/>
          <w:sz w:val="20"/>
          <w:szCs w:val="20"/>
        </w:rPr>
        <w:t>.</w:t>
      </w:r>
      <w:r w:rsidR="000E2454" w:rsidRPr="00C00408">
        <w:rPr>
          <w:rFonts w:asciiTheme="majorHAnsi" w:hAnsiTheme="majorHAnsi"/>
          <w:sz w:val="20"/>
          <w:szCs w:val="20"/>
        </w:rPr>
        <w:t xml:space="preserve"> </w:t>
      </w:r>
    </w:p>
    <w:p w14:paraId="137506AB" w14:textId="77777777" w:rsidR="000E2454" w:rsidRPr="00C00408" w:rsidRDefault="000E2454" w:rsidP="000E24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00408">
        <w:rPr>
          <w:rFonts w:asciiTheme="majorHAnsi" w:hAnsiTheme="majorHAnsi"/>
          <w:sz w:val="20"/>
          <w:szCs w:val="20"/>
        </w:rPr>
        <w:t>In this vain, the Commission reaffirms that the way in which the review procedure set out by Transitory I provision of law 8503 could generate limitations with regard to the accessibility of the remedy and, therefore, it does not guarantee by itself the right to a thorough examination of the conviction of all those individuals that were convicted during the time that the original text of the Code of Criminal Procedure was in force</w:t>
      </w:r>
      <w:r w:rsidRPr="00C00408">
        <w:rPr>
          <w:rStyle w:val="FootnoteReference"/>
          <w:rFonts w:asciiTheme="majorHAnsi" w:hAnsiTheme="majorHAnsi" w:cs="Calibri"/>
          <w:sz w:val="20"/>
          <w:szCs w:val="20"/>
          <w:lang w:val="es-ES"/>
        </w:rPr>
        <w:footnoteReference w:id="13"/>
      </w:r>
      <w:r w:rsidRPr="00C00408">
        <w:rPr>
          <w:rFonts w:asciiTheme="majorHAnsi" w:hAnsiTheme="majorHAnsi"/>
          <w:sz w:val="20"/>
          <w:szCs w:val="20"/>
        </w:rPr>
        <w:t>. An identical conclusion can be reached with regards to the motion for review enshrined in Transitory III provision of law 8837, given that the rule included the requisite to have previously alleged the violation of the right to appeal as a condition for admissibility of the motion.</w:t>
      </w:r>
    </w:p>
    <w:p w14:paraId="51F973E9" w14:textId="77777777" w:rsidR="000E2454" w:rsidRPr="00C00408" w:rsidRDefault="000E2454" w:rsidP="000E24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00408">
        <w:rPr>
          <w:rFonts w:asciiTheme="majorHAnsi" w:hAnsiTheme="majorHAnsi"/>
          <w:sz w:val="20"/>
          <w:szCs w:val="20"/>
        </w:rPr>
        <w:t>Nevertheless, the Commission acknowledges, first, that the Constitutional Chamber of the Supreme Court of Justice of Costa Rica made reference, in repeated statements, to the need to “ensure the right to appeal, excluding formalities that prevent the review of convictions, with the purpose of fulfilling what is established by article 8.2.h of the Convention”</w:t>
      </w:r>
      <w:r w:rsidRPr="00C00408">
        <w:rPr>
          <w:rStyle w:val="FootnoteReference"/>
          <w:rFonts w:asciiTheme="majorHAnsi" w:hAnsiTheme="majorHAnsi"/>
          <w:sz w:val="20"/>
          <w:szCs w:val="20"/>
          <w:lang w:val="es-ES"/>
        </w:rPr>
        <w:footnoteReference w:id="14"/>
      </w:r>
      <w:r w:rsidRPr="00C00408">
        <w:rPr>
          <w:rFonts w:asciiTheme="majorHAnsi" w:hAnsiTheme="majorHAnsi"/>
          <w:sz w:val="20"/>
          <w:szCs w:val="20"/>
        </w:rPr>
        <w:t>.</w:t>
      </w:r>
    </w:p>
    <w:p w14:paraId="3283BE47" w14:textId="77777777" w:rsidR="000E2454" w:rsidRPr="00C00408" w:rsidRDefault="000E2454" w:rsidP="000E24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00408">
        <w:rPr>
          <w:rFonts w:asciiTheme="majorHAnsi" w:hAnsiTheme="majorHAnsi"/>
          <w:sz w:val="20"/>
          <w:szCs w:val="20"/>
        </w:rPr>
        <w:t>Additionally, the IACHR considers that, despite the obstacles to the admissibility of the procedure included in the drafting of Transitory I provision of law 8503, the review procedure recognized in it meant an opportunity which was additional to the writ of cassation for a convicted individual to obtain a thorough review of his or her conviction. Said thorough review was dependent, in essence, of the way in which judges in higher courts interpreted the procedural rules in force in light of the jurisprudence of the Constitutional Chamber of the Supreme Court of Justice of Costa Rica, of article 8.2.h and of the decision of the Inter-American Court of Human Rights in the “Herrera Ulloa” case.</w:t>
      </w:r>
    </w:p>
    <w:p w14:paraId="2839CC1F" w14:textId="77777777" w:rsidR="000E2454" w:rsidRPr="00C00408" w:rsidRDefault="000E2454" w:rsidP="000E24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00408">
        <w:rPr>
          <w:rFonts w:asciiTheme="majorHAnsi" w:hAnsiTheme="majorHAnsi"/>
          <w:sz w:val="20"/>
          <w:szCs w:val="20"/>
        </w:rPr>
        <w:t xml:space="preserve">In particular, and in line with the decision of the Court, the Commission notes that, taking into account that such legislative reforms to the Costa Rican criminal appeal system were adopted as a result of the decisions of the Inter-American Human Rights System, it is reasonable to establish as a condition of admissibility of the review procedure that the interested party had to invoke the possible errors which the lower judge or court may have made. </w:t>
      </w:r>
    </w:p>
    <w:p w14:paraId="7C0959AC" w14:textId="6130CD1D" w:rsidR="000E2454" w:rsidRPr="00C00408" w:rsidRDefault="000E2454" w:rsidP="000E24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00408">
        <w:rPr>
          <w:rFonts w:asciiTheme="majorHAnsi" w:hAnsiTheme="majorHAnsi"/>
          <w:sz w:val="20"/>
          <w:szCs w:val="20"/>
        </w:rPr>
        <w:t>Consequently, taking into account the existing specificities with regard to this matter in the Costa Rican system, resulting from the decisions adopted by the Inter-American System, and in line with the decision of the Inter-American Court of Human Rights in the “Amrhein” case, the Commission considers that it is not appropriate to undertake an abstract assessment of each of the remedies available in the law of criminal procedure, but rather, a “case by case analysis of the remedies actually filed by the alleged victims to determine if the way in which they were decided by the Costa Rican appeals system, taking its reforms into account, respected their right to a thorough review of their convictions”</w:t>
      </w:r>
      <w:r w:rsidRPr="00C00408">
        <w:rPr>
          <w:rStyle w:val="FootnoteReference"/>
          <w:rFonts w:asciiTheme="majorHAnsi" w:hAnsiTheme="majorHAnsi"/>
          <w:sz w:val="20"/>
          <w:szCs w:val="20"/>
          <w:lang w:val="es-ES"/>
        </w:rPr>
        <w:footnoteReference w:id="15"/>
      </w:r>
      <w:r w:rsidRPr="00C00408">
        <w:rPr>
          <w:rFonts w:asciiTheme="majorHAnsi" w:hAnsiTheme="majorHAnsi"/>
          <w:sz w:val="20"/>
          <w:szCs w:val="20"/>
        </w:rPr>
        <w:t>. This in principle requires a substantive analysis by the IACHR, unless from the information of the parties it is observed that the facts raised by the petitioner do not characterize prima facie violations of the American Convention, in the terms of its Article 47.</w:t>
      </w:r>
    </w:p>
    <w:p w14:paraId="55505107" w14:textId="7F550763" w:rsidR="00F621C3" w:rsidRPr="00C00408" w:rsidRDefault="00F621C3" w:rsidP="00C004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r w:rsidRPr="00C00408">
        <w:rPr>
          <w:rFonts w:asciiTheme="majorHAnsi" w:eastAsia="Cambria" w:hAnsiTheme="majorHAnsi" w:cs="Cambria"/>
          <w:b/>
          <w:bCs/>
          <w:color w:val="000000"/>
          <w:sz w:val="20"/>
          <w:szCs w:val="20"/>
          <w:u w:color="000000"/>
          <w:lang w:eastAsia="es-ES"/>
        </w:rPr>
        <w:t>V</w:t>
      </w:r>
      <w:r w:rsidR="00F32918" w:rsidRPr="00C00408">
        <w:rPr>
          <w:rFonts w:asciiTheme="majorHAnsi" w:eastAsia="Cambria" w:hAnsiTheme="majorHAnsi" w:cs="Cambria"/>
          <w:b/>
          <w:bCs/>
          <w:color w:val="000000"/>
          <w:sz w:val="20"/>
          <w:szCs w:val="20"/>
          <w:u w:color="000000"/>
          <w:lang w:eastAsia="es-ES"/>
        </w:rPr>
        <w:t>I</w:t>
      </w:r>
      <w:r w:rsidRPr="00C00408">
        <w:rPr>
          <w:rFonts w:asciiTheme="majorHAnsi" w:eastAsia="Cambria" w:hAnsiTheme="majorHAnsi" w:cs="Cambria"/>
          <w:b/>
          <w:bCs/>
          <w:color w:val="000000"/>
          <w:sz w:val="20"/>
          <w:szCs w:val="20"/>
          <w:u w:color="000000"/>
          <w:lang w:eastAsia="es-ES"/>
        </w:rPr>
        <w:t>I.</w:t>
      </w:r>
      <w:r w:rsidRPr="00C00408">
        <w:rPr>
          <w:rFonts w:asciiTheme="majorHAnsi" w:eastAsia="Cambria" w:hAnsiTheme="majorHAnsi" w:cs="Cambria"/>
          <w:b/>
          <w:bCs/>
          <w:color w:val="000000"/>
          <w:sz w:val="20"/>
          <w:szCs w:val="20"/>
          <w:u w:color="000000"/>
          <w:lang w:eastAsia="es-ES"/>
        </w:rPr>
        <w:tab/>
      </w:r>
      <w:r w:rsidR="001F1902" w:rsidRPr="00C00408">
        <w:rPr>
          <w:rFonts w:asciiTheme="majorHAnsi" w:hAnsiTheme="majorHAnsi"/>
          <w:b/>
          <w:bCs/>
          <w:sz w:val="20"/>
          <w:szCs w:val="20"/>
        </w:rPr>
        <w:t xml:space="preserve">ANALYSIS OF </w:t>
      </w:r>
      <w:r w:rsidRPr="00C00408">
        <w:rPr>
          <w:rFonts w:asciiTheme="majorHAnsi" w:hAnsiTheme="majorHAnsi"/>
          <w:b/>
          <w:sz w:val="20"/>
          <w:szCs w:val="20"/>
        </w:rPr>
        <w:t>EXHAUSTION OF DOMESTIC REMEDIES AND TIMELINESS OF THE PETITION</w:t>
      </w:r>
      <w:r w:rsidRPr="00C00408">
        <w:rPr>
          <w:rFonts w:asciiTheme="majorHAnsi" w:eastAsia="Cambria" w:hAnsiTheme="majorHAnsi" w:cs="Cambria"/>
          <w:b/>
          <w:bCs/>
          <w:color w:val="000000"/>
          <w:sz w:val="20"/>
          <w:szCs w:val="20"/>
          <w:u w:color="000000"/>
          <w:lang w:eastAsia="es-ES"/>
        </w:rPr>
        <w:t xml:space="preserve"> </w:t>
      </w:r>
    </w:p>
    <w:p w14:paraId="7BDF2B20" w14:textId="27901A64" w:rsidR="00E36971" w:rsidRPr="00C00408" w:rsidRDefault="00E36971"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Based on the previously stated considerations, the Commission observes that, in this matter, on February 3, 2006, the Third Criminal Chamber of the Supreme Court of Justice dismissed the appeal for cassation filed by the alleged victims against their conviction of December</w:t>
      </w:r>
      <w:r w:rsidR="002902F0" w:rsidRPr="00C00408">
        <w:rPr>
          <w:rFonts w:asciiTheme="majorHAnsi" w:hAnsiTheme="majorHAnsi"/>
          <w:sz w:val="20"/>
          <w:szCs w:val="20"/>
        </w:rPr>
        <w:t xml:space="preserve"> 23,</w:t>
      </w:r>
      <w:r w:rsidRPr="00C00408">
        <w:rPr>
          <w:rFonts w:asciiTheme="majorHAnsi" w:hAnsiTheme="majorHAnsi"/>
          <w:sz w:val="20"/>
          <w:szCs w:val="20"/>
        </w:rPr>
        <w:t xml:space="preserve"> 2005. The IACHR also notes that, additionally, on May 12, 2009, the Third Chamber of the Supreme Court of Justice dismissed the appeal for review filed by Mr. Vizcayno Solano against the conviction imposed on him in another proceeding on December 20, 2006.</w:t>
      </w:r>
    </w:p>
    <w:p w14:paraId="5F3814C3" w14:textId="1E6A972A" w:rsidR="00E36971" w:rsidRPr="00C00408" w:rsidRDefault="00E36971" w:rsidP="00F3291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lastRenderedPageBreak/>
        <w:t>On this point, the State submits, among other arguments, that the alleged victim could request a comprehensive review of his sentence through the special review mechanisms established in Transitory I of Law No. 8503 and in Transitory IIII of Law No. 8837 and, despite this, he did not use these remedies.</w:t>
      </w:r>
    </w:p>
    <w:p w14:paraId="7F30EFFE" w14:textId="038AF219" w:rsidR="001543A9" w:rsidRPr="00C00408" w:rsidRDefault="001543A9" w:rsidP="001543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According to the arguments presented, the Commission observes that the State fulfilled its duty to specify the internal remedies that were not exhausted and the reasons why these were adequate and effective to address the legal situation of the alleged victim. Indeed, since its first jurisprudence, the Inter-American Court established that "</w:t>
      </w:r>
      <w:r w:rsidRPr="00C00408">
        <w:rPr>
          <w:rFonts w:asciiTheme="majorHAnsi" w:hAnsiTheme="majorHAnsi"/>
          <w:i/>
          <w:iCs/>
          <w:sz w:val="20"/>
          <w:szCs w:val="20"/>
        </w:rPr>
        <w:t>the State that alleges non-exhaustion has the burden of identifying the internal remedies that must be exhausted and their effectiveness</w:t>
      </w:r>
      <w:r w:rsidRPr="00C00408">
        <w:rPr>
          <w:rFonts w:asciiTheme="majorHAnsi" w:hAnsiTheme="majorHAnsi"/>
          <w:sz w:val="20"/>
          <w:szCs w:val="20"/>
        </w:rPr>
        <w:t>"</w:t>
      </w:r>
      <w:r w:rsidRPr="00C00408">
        <w:rPr>
          <w:rStyle w:val="FootnoteReference"/>
          <w:rFonts w:asciiTheme="majorHAnsi" w:hAnsiTheme="majorHAnsi"/>
          <w:sz w:val="20"/>
          <w:szCs w:val="20"/>
        </w:rPr>
        <w:footnoteReference w:id="16"/>
      </w:r>
      <w:r w:rsidRPr="00C00408">
        <w:rPr>
          <w:rFonts w:asciiTheme="majorHAnsi" w:hAnsiTheme="majorHAnsi"/>
          <w:sz w:val="20"/>
          <w:szCs w:val="20"/>
        </w:rPr>
        <w:t>. Specifically, the information provided shows that, after the denial of their appeals, the alleged victims had the special review mechanism established in Transitory I of Law No. 8503 available to him to challenge his conviction and achieve a comprehensive review of such judgment, since this provision entered into force on June 6, 2006.</w:t>
      </w:r>
    </w:p>
    <w:p w14:paraId="1373D10C" w14:textId="77777777" w:rsidR="001543A9" w:rsidRPr="00C00408" w:rsidRDefault="001543A9" w:rsidP="001543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In this regard, the Commission reiterates that the Inter-American Court considered that the aforementioned mechanism, together with Transitory IIII of Law No. 8837, allows guaranteeing the right to a comprehensive review of a conviction and, therefore, complies with the obligation established in Article 8.2.h) of the American Convention. Under this understanding, the precedent of the Amrhein and others vs. Costa Rica case established that alleged victims who allege an impact on the right contemplated in said Article 8.2.h) and/or other related guarantees must use such remedies if they were available at the time of the events, or otherwise demonstrate their lack of accessibility or suitability. In a consistent sense, the Commission has also considered that when the State fulfills its duty to question in a timely manner the exhaustion of internal remedies, it is up to the petitioner to replicate this information</w:t>
      </w:r>
      <w:r w:rsidRPr="00C00408">
        <w:rPr>
          <w:rStyle w:val="FootnoteReference"/>
          <w:rFonts w:asciiTheme="majorHAnsi" w:hAnsiTheme="majorHAnsi"/>
          <w:sz w:val="20"/>
          <w:szCs w:val="20"/>
        </w:rPr>
        <w:footnoteReference w:id="17"/>
      </w:r>
      <w:r w:rsidRPr="00C00408">
        <w:rPr>
          <w:rFonts w:asciiTheme="majorHAnsi" w:hAnsiTheme="majorHAnsi"/>
          <w:sz w:val="20"/>
          <w:szCs w:val="20"/>
        </w:rPr>
        <w:t>.</w:t>
      </w:r>
    </w:p>
    <w:p w14:paraId="5D2770E1" w14:textId="77777777" w:rsidR="001543A9" w:rsidRPr="00C00408" w:rsidRDefault="001543A9" w:rsidP="001543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In that sense, since the petitioner does not present arguments aimed at replicating the arguments and information presented by Costa Rica, nor questions that, in the case at hand, the special review mechanism lacked any element that affects its suitability or effectiveness, the Commission concludes that, in application of the standards established by the Inter-American Court of Human Rights, the present case does not meet the requirement provided in Article 46.1.a) of the American Convention and, consequently, it is appropriate to declare the present petition inadmissible.</w:t>
      </w:r>
    </w:p>
    <w:p w14:paraId="7A35DB74" w14:textId="2DE48374" w:rsidR="001543A9" w:rsidRPr="00C00408" w:rsidRDefault="001543A9" w:rsidP="001543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Finally, since the requirement of prior exhaustion of internal remedies was not met and none of the exceptions provided for in Article 46.2 of the Convention are configured, there is no basis for examining the requirement of presentation of the petition.</w:t>
      </w:r>
    </w:p>
    <w:p w14:paraId="5A70550C" w14:textId="77777777" w:rsidR="00F621C3" w:rsidRPr="00C00408" w:rsidRDefault="00F621C3" w:rsidP="00F621C3">
      <w:pPr>
        <w:pStyle w:val="ListParagraph"/>
        <w:spacing w:before="240" w:after="240"/>
        <w:jc w:val="both"/>
        <w:rPr>
          <w:rFonts w:asciiTheme="majorHAnsi" w:hAnsiTheme="majorHAnsi"/>
          <w:b/>
          <w:bCs/>
          <w:sz w:val="20"/>
          <w:szCs w:val="20"/>
        </w:rPr>
      </w:pPr>
      <w:r w:rsidRPr="00C00408">
        <w:rPr>
          <w:rFonts w:asciiTheme="majorHAnsi" w:hAnsiTheme="majorHAnsi"/>
          <w:b/>
          <w:bCs/>
          <w:sz w:val="20"/>
          <w:szCs w:val="20"/>
        </w:rPr>
        <w:t xml:space="preserve">VIII. </w:t>
      </w:r>
      <w:r w:rsidRPr="00C00408">
        <w:rPr>
          <w:rFonts w:asciiTheme="majorHAnsi" w:hAnsiTheme="majorHAnsi"/>
          <w:b/>
          <w:bCs/>
          <w:sz w:val="20"/>
          <w:szCs w:val="20"/>
        </w:rPr>
        <w:tab/>
        <w:t>DECISION</w:t>
      </w:r>
    </w:p>
    <w:p w14:paraId="7B069E47" w14:textId="703C07ED" w:rsidR="00F621C3" w:rsidRPr="00C00408" w:rsidRDefault="00F621C3" w:rsidP="00F621C3">
      <w:pPr>
        <w:pStyle w:val="ListParagraph"/>
        <w:numPr>
          <w:ilvl w:val="0"/>
          <w:numId w:val="105"/>
        </w:numPr>
        <w:rPr>
          <w:rFonts w:asciiTheme="majorHAnsi" w:eastAsia="Arial Unicode MS" w:hAnsiTheme="majorHAnsi" w:cs="Times New Roman"/>
          <w:color w:val="auto"/>
          <w:sz w:val="20"/>
          <w:szCs w:val="20"/>
          <w:lang w:eastAsia="en-US"/>
        </w:rPr>
      </w:pPr>
      <w:r w:rsidRPr="00C00408">
        <w:rPr>
          <w:rFonts w:asciiTheme="majorHAnsi" w:hAnsiTheme="majorHAnsi"/>
          <w:sz w:val="20"/>
          <w:szCs w:val="20"/>
        </w:rPr>
        <w:t xml:space="preserve">To find the instant petition </w:t>
      </w:r>
      <w:r w:rsidRPr="00C00408">
        <w:rPr>
          <w:rFonts w:asciiTheme="majorHAnsi" w:hAnsiTheme="majorHAnsi"/>
          <w:color w:val="auto"/>
          <w:sz w:val="20"/>
          <w:szCs w:val="20"/>
        </w:rPr>
        <w:t>inadmissible</w:t>
      </w:r>
      <w:r w:rsidRPr="00C00408">
        <w:rPr>
          <w:rFonts w:asciiTheme="majorHAnsi" w:eastAsia="Arial Unicode MS" w:hAnsiTheme="majorHAnsi" w:cs="Times New Roman"/>
          <w:color w:val="auto"/>
          <w:sz w:val="20"/>
          <w:szCs w:val="20"/>
          <w:lang w:eastAsia="en-US"/>
        </w:rPr>
        <w:t>;</w:t>
      </w:r>
      <w:r w:rsidR="001F1902" w:rsidRPr="00C00408">
        <w:rPr>
          <w:rFonts w:asciiTheme="majorHAnsi" w:eastAsia="Arial Unicode MS" w:hAnsiTheme="majorHAnsi" w:cs="Times New Roman"/>
          <w:color w:val="auto"/>
          <w:sz w:val="20"/>
          <w:szCs w:val="20"/>
          <w:lang w:eastAsia="en-US"/>
        </w:rPr>
        <w:t xml:space="preserve"> and</w:t>
      </w:r>
    </w:p>
    <w:p w14:paraId="47F30965" w14:textId="77777777" w:rsidR="00F621C3" w:rsidRPr="00C00408" w:rsidRDefault="00F621C3" w:rsidP="00F621C3">
      <w:pPr>
        <w:pStyle w:val="ListParagraph"/>
        <w:rPr>
          <w:rFonts w:asciiTheme="majorHAnsi" w:eastAsia="Arial Unicode MS" w:hAnsiTheme="majorHAnsi" w:cs="Times New Roman"/>
          <w:color w:val="auto"/>
          <w:sz w:val="20"/>
          <w:szCs w:val="20"/>
          <w:lang w:eastAsia="en-US"/>
        </w:rPr>
      </w:pPr>
    </w:p>
    <w:p w14:paraId="22CC8DDA" w14:textId="46A61F18" w:rsidR="00F621C3" w:rsidRPr="00C0040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00408">
        <w:rPr>
          <w:rFonts w:asciiTheme="majorHAnsi" w:hAnsiTheme="majorHAnsi"/>
          <w:sz w:val="20"/>
          <w:szCs w:val="20"/>
        </w:rPr>
        <w:t>To notify the parties of this decision;</w:t>
      </w:r>
      <w:r w:rsidR="001F1902" w:rsidRPr="00C00408">
        <w:rPr>
          <w:rFonts w:asciiTheme="majorHAnsi" w:hAnsiTheme="majorHAnsi"/>
          <w:sz w:val="20"/>
          <w:szCs w:val="20"/>
        </w:rPr>
        <w:t xml:space="preserve"> </w:t>
      </w:r>
      <w:r w:rsidRPr="00C00408">
        <w:rPr>
          <w:rFonts w:asciiTheme="majorHAnsi" w:hAnsiTheme="majorHAnsi"/>
          <w:sz w:val="20"/>
          <w:szCs w:val="20"/>
        </w:rPr>
        <w:t xml:space="preserve">and </w:t>
      </w:r>
      <w:r w:rsidR="001F1902" w:rsidRPr="00C00408">
        <w:rPr>
          <w:rFonts w:asciiTheme="majorHAnsi" w:hAnsiTheme="majorHAnsi"/>
          <w:sz w:val="20"/>
          <w:szCs w:val="20"/>
        </w:rPr>
        <w:t>t</w:t>
      </w:r>
      <w:r w:rsidRPr="00C00408">
        <w:rPr>
          <w:rFonts w:asciiTheme="majorHAnsi" w:hAnsiTheme="majorHAnsi"/>
          <w:sz w:val="20"/>
          <w:szCs w:val="20"/>
        </w:rPr>
        <w:t>o publish this decision and include it in its Annual Report to the General Assembly of the Organization of American States.</w:t>
      </w:r>
    </w:p>
    <w:p w14:paraId="1C6AA622" w14:textId="684C7852" w:rsidR="00F621C3" w:rsidRPr="00C00408" w:rsidRDefault="00A21442" w:rsidP="00F06D66">
      <w:pPr>
        <w:suppressAutoHyphens/>
        <w:ind w:firstLine="720"/>
        <w:jc w:val="both"/>
        <w:rPr>
          <w:rFonts w:asciiTheme="majorHAnsi" w:hAnsiTheme="majorHAnsi"/>
          <w:sz w:val="20"/>
          <w:szCs w:val="20"/>
        </w:rPr>
      </w:pPr>
      <w:r w:rsidRPr="006D25D7">
        <w:rPr>
          <w:rFonts w:ascii="Cambria" w:hAnsi="Cambria"/>
          <w:spacing w:val="-2"/>
          <w:sz w:val="20"/>
        </w:rPr>
        <w:t xml:space="preserve">Approved by the Inter-American Commission on Human Rights on the </w:t>
      </w:r>
      <w:r w:rsidR="006828E6">
        <w:rPr>
          <w:rFonts w:ascii="Cambria" w:hAnsi="Cambria"/>
          <w:spacing w:val="-2"/>
          <w:sz w:val="20"/>
        </w:rPr>
        <w:t>10</w:t>
      </w:r>
      <w:r w:rsidR="006828E6" w:rsidRPr="006828E6">
        <w:rPr>
          <w:rFonts w:ascii="Cambria" w:hAnsi="Cambria"/>
          <w:spacing w:val="-2"/>
          <w:sz w:val="20"/>
          <w:vertAlign w:val="superscript"/>
        </w:rPr>
        <w:t>th</w:t>
      </w:r>
      <w:r w:rsidR="006828E6">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247565">
        <w:rPr>
          <w:rFonts w:ascii="Cambria" w:hAnsi="Cambria"/>
          <w:spacing w:val="-2"/>
          <w:sz w:val="20"/>
        </w:rPr>
        <w:t>May</w:t>
      </w:r>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Carlos Bernal Pulido</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42743A32" w14:textId="77777777" w:rsidR="00F621C3" w:rsidRPr="00C00408"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C00408"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C00408" w:rsidRDefault="00F621C3" w:rsidP="00F621C3">
      <w:pPr>
        <w:rPr>
          <w:rFonts w:asciiTheme="majorHAnsi" w:hAnsiTheme="majorHAnsi" w:cs="Calibri"/>
          <w:sz w:val="20"/>
          <w:szCs w:val="20"/>
        </w:rPr>
      </w:pPr>
    </w:p>
    <w:p w14:paraId="2122B46A" w14:textId="77777777" w:rsidR="00C55560" w:rsidRPr="00C00408" w:rsidRDefault="00C55560" w:rsidP="00230163">
      <w:pPr>
        <w:tabs>
          <w:tab w:val="left" w:pos="2820"/>
        </w:tabs>
        <w:suppressAutoHyphens/>
        <w:spacing w:line="276" w:lineRule="auto"/>
        <w:rPr>
          <w:rFonts w:asciiTheme="majorHAnsi" w:hAnsiTheme="majorHAnsi"/>
          <w:sz w:val="20"/>
          <w:szCs w:val="20"/>
        </w:rPr>
      </w:pPr>
    </w:p>
    <w:sectPr w:rsidR="00C55560" w:rsidRPr="00C00408"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D5F8" w14:textId="77777777" w:rsidR="0014725B" w:rsidRDefault="0014725B" w:rsidP="00036A8A">
      <w:r>
        <w:separator/>
      </w:r>
    </w:p>
  </w:endnote>
  <w:endnote w:type="continuationSeparator" w:id="0">
    <w:p w14:paraId="58026990" w14:textId="77777777" w:rsidR="0014725B" w:rsidRDefault="0014725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B403" w14:textId="77777777" w:rsidR="0014725B" w:rsidRPr="00036A8A" w:rsidRDefault="0014725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F4C4B06" w14:textId="77777777" w:rsidR="0014725B" w:rsidRPr="00036A8A" w:rsidRDefault="0014725B" w:rsidP="00036A8A">
      <w:pPr>
        <w:rPr>
          <w:rFonts w:asciiTheme="majorHAnsi" w:hAnsiTheme="majorHAnsi"/>
          <w:sz w:val="16"/>
          <w:szCs w:val="16"/>
        </w:rPr>
      </w:pPr>
      <w:r w:rsidRPr="00036A8A">
        <w:rPr>
          <w:rFonts w:asciiTheme="majorHAnsi" w:hAnsiTheme="majorHAnsi"/>
          <w:sz w:val="16"/>
          <w:szCs w:val="16"/>
        </w:rPr>
        <w:separator/>
      </w:r>
    </w:p>
    <w:p w14:paraId="5CE711E6" w14:textId="77777777" w:rsidR="0014725B" w:rsidRPr="00036A8A" w:rsidRDefault="0014725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C87951E" w14:textId="77777777" w:rsidR="0014725B" w:rsidRPr="0093441A" w:rsidRDefault="0014725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6B30C88" w14:textId="20416FEE" w:rsidR="00E90E6E" w:rsidRPr="002902F0" w:rsidRDefault="00E90E6E" w:rsidP="00E90E6E">
      <w:pPr>
        <w:pStyle w:val="FootnoteText"/>
        <w:ind w:firstLine="720"/>
        <w:jc w:val="both"/>
      </w:pPr>
      <w:r w:rsidRPr="00916C1D">
        <w:rPr>
          <w:rStyle w:val="FootnoteReference"/>
          <w:rFonts w:asciiTheme="majorHAnsi" w:hAnsiTheme="majorHAnsi"/>
          <w:sz w:val="16"/>
          <w:szCs w:val="16"/>
        </w:rPr>
        <w:footnoteRef/>
      </w:r>
      <w:r w:rsidRPr="002902F0">
        <w:rPr>
          <w:rFonts w:asciiTheme="majorHAnsi" w:hAnsiTheme="majorHAnsi"/>
          <w:sz w:val="16"/>
          <w:szCs w:val="16"/>
        </w:rPr>
        <w:t xml:space="preserve"> </w:t>
      </w:r>
      <w:r w:rsidR="00E36971" w:rsidRPr="002902F0">
        <w:rPr>
          <w:rFonts w:asciiTheme="majorHAnsi" w:hAnsiTheme="majorHAnsi"/>
          <w:sz w:val="16"/>
          <w:szCs w:val="16"/>
        </w:rPr>
        <w:t>Hereinafter, “the American Convention” or “the Convention”</w:t>
      </w:r>
    </w:p>
  </w:footnote>
  <w:footnote w:id="3">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7AA5D051" w14:textId="7FA7E238" w:rsidR="00883A55" w:rsidRPr="00E36971" w:rsidRDefault="00883A55" w:rsidP="00E36971">
      <w:pPr>
        <w:pStyle w:val="FootnoteText"/>
        <w:ind w:firstLine="720"/>
        <w:jc w:val="both"/>
        <w:rPr>
          <w:rFonts w:asciiTheme="majorHAnsi" w:hAnsiTheme="majorHAnsi"/>
          <w:sz w:val="16"/>
          <w:szCs w:val="16"/>
        </w:rPr>
      </w:pPr>
      <w:r w:rsidRPr="002D3BB2">
        <w:rPr>
          <w:rStyle w:val="FootnoteReference"/>
          <w:rFonts w:asciiTheme="majorHAnsi" w:hAnsiTheme="majorHAnsi"/>
          <w:sz w:val="16"/>
          <w:szCs w:val="16"/>
          <w:lang w:val="es-PE"/>
        </w:rPr>
        <w:footnoteRef/>
      </w:r>
      <w:r w:rsidRPr="00E36971">
        <w:rPr>
          <w:rFonts w:asciiTheme="majorHAnsi" w:hAnsiTheme="majorHAnsi"/>
          <w:sz w:val="16"/>
          <w:szCs w:val="16"/>
        </w:rPr>
        <w:t xml:space="preserve"> </w:t>
      </w:r>
      <w:r w:rsidR="00E36971" w:rsidRPr="00E36971">
        <w:rPr>
          <w:rFonts w:asciiTheme="majorHAnsi" w:hAnsiTheme="majorHAnsi"/>
          <w:sz w:val="16"/>
          <w:szCs w:val="16"/>
        </w:rPr>
        <w:t xml:space="preserve">Law No. 8503.- Transitory 1.- Persons convicted of a criminal act with a date prior to this Law, who have been prevented from filing an appeal </w:t>
      </w:r>
      <w:r w:rsidR="00E36971">
        <w:rPr>
          <w:rFonts w:asciiTheme="majorHAnsi" w:hAnsiTheme="majorHAnsi"/>
          <w:sz w:val="16"/>
          <w:szCs w:val="16"/>
        </w:rPr>
        <w:t xml:space="preserve">for cassation </w:t>
      </w:r>
      <w:r w:rsidR="00E36971" w:rsidRPr="00E36971">
        <w:rPr>
          <w:rFonts w:asciiTheme="majorHAnsi" w:hAnsiTheme="majorHAnsi"/>
          <w:sz w:val="16"/>
          <w:szCs w:val="16"/>
        </w:rPr>
        <w:t xml:space="preserve">against the </w:t>
      </w:r>
      <w:r w:rsidR="00E36971">
        <w:rPr>
          <w:rFonts w:asciiTheme="majorHAnsi" w:hAnsiTheme="majorHAnsi"/>
          <w:sz w:val="16"/>
          <w:szCs w:val="16"/>
        </w:rPr>
        <w:t>conviction</w:t>
      </w:r>
      <w:r w:rsidR="00E36971" w:rsidRPr="00E36971">
        <w:rPr>
          <w:rFonts w:asciiTheme="majorHAnsi" w:hAnsiTheme="majorHAnsi"/>
          <w:sz w:val="16"/>
          <w:szCs w:val="16"/>
        </w:rPr>
        <w:t xml:space="preserve">, due to the rules that regulated </w:t>
      </w:r>
      <w:r w:rsidR="00E36971">
        <w:rPr>
          <w:rFonts w:asciiTheme="majorHAnsi" w:hAnsiTheme="majorHAnsi"/>
          <w:sz w:val="16"/>
          <w:szCs w:val="16"/>
        </w:rPr>
        <w:t>it</w:t>
      </w:r>
      <w:r w:rsidR="00E36971" w:rsidRPr="00E36971">
        <w:rPr>
          <w:rFonts w:asciiTheme="majorHAnsi" w:hAnsiTheme="majorHAnsi"/>
          <w:sz w:val="16"/>
          <w:szCs w:val="16"/>
        </w:rPr>
        <w:t xml:space="preserve"> admissibility in that date, may raise the review of the </w:t>
      </w:r>
      <w:r w:rsidR="00E36971">
        <w:rPr>
          <w:rFonts w:asciiTheme="majorHAnsi" w:hAnsiTheme="majorHAnsi"/>
          <w:sz w:val="16"/>
          <w:szCs w:val="16"/>
        </w:rPr>
        <w:t>conviction</w:t>
      </w:r>
      <w:r w:rsidR="00E36971" w:rsidRPr="00E36971">
        <w:rPr>
          <w:rFonts w:asciiTheme="majorHAnsi" w:hAnsiTheme="majorHAnsi"/>
          <w:sz w:val="16"/>
          <w:szCs w:val="16"/>
        </w:rPr>
        <w:t xml:space="preserve"> before the competent court, invoking in each case, the grievance and the factual and legal aspects that </w:t>
      </w:r>
      <w:r w:rsidR="00E36971">
        <w:rPr>
          <w:rFonts w:asciiTheme="majorHAnsi" w:hAnsiTheme="majorHAnsi"/>
          <w:sz w:val="16"/>
          <w:szCs w:val="16"/>
        </w:rPr>
        <w:t xml:space="preserve">could not be heard </w:t>
      </w:r>
      <w:r w:rsidR="00E36971" w:rsidRPr="00E36971">
        <w:rPr>
          <w:rFonts w:asciiTheme="majorHAnsi" w:hAnsiTheme="majorHAnsi"/>
          <w:sz w:val="16"/>
          <w:szCs w:val="16"/>
        </w:rPr>
        <w:t>in cassation.</w:t>
      </w:r>
    </w:p>
  </w:footnote>
  <w:footnote w:id="5">
    <w:p w14:paraId="4266CEC6" w14:textId="16F56FE0" w:rsidR="00620E8C" w:rsidRPr="00E36971" w:rsidRDefault="00883A55" w:rsidP="00620E8C">
      <w:pPr>
        <w:ind w:firstLine="720"/>
        <w:jc w:val="both"/>
        <w:rPr>
          <w:rFonts w:asciiTheme="majorHAnsi" w:hAnsiTheme="majorHAnsi"/>
          <w:sz w:val="16"/>
          <w:szCs w:val="16"/>
        </w:rPr>
      </w:pPr>
      <w:r w:rsidRPr="00F42786">
        <w:rPr>
          <w:rStyle w:val="FootnoteReference"/>
          <w:rFonts w:asciiTheme="majorHAnsi" w:hAnsiTheme="majorHAnsi"/>
          <w:sz w:val="16"/>
          <w:szCs w:val="16"/>
        </w:rPr>
        <w:footnoteRef/>
      </w:r>
      <w:r w:rsidRPr="00E36971">
        <w:rPr>
          <w:rFonts w:asciiTheme="majorHAnsi" w:hAnsiTheme="majorHAnsi"/>
          <w:sz w:val="16"/>
          <w:szCs w:val="16"/>
        </w:rPr>
        <w:t xml:space="preserve"> </w:t>
      </w:r>
      <w:r w:rsidR="00E36971" w:rsidRPr="00E36971">
        <w:rPr>
          <w:rFonts w:asciiTheme="majorHAnsi" w:hAnsiTheme="majorHAnsi"/>
          <w:sz w:val="16"/>
          <w:szCs w:val="16"/>
        </w:rPr>
        <w:t xml:space="preserve">Law No. 8837.- Transitory III.-In all matters that have a final judgment at the time this Law enters into force, and in which the violation of Article 8.2.h) of the American Convention on Human Rights has previously been alleged, the convicted person will have the right to file, only once, during the first six months, a review procedure that will be heard in accordance with the powers established in this Law, by the old Courts of Cassation or the Third Criminal Chamber. In matters that are pending resolution and </w:t>
      </w:r>
      <w:r w:rsidR="00E36971">
        <w:rPr>
          <w:rFonts w:asciiTheme="majorHAnsi" w:hAnsiTheme="majorHAnsi"/>
          <w:sz w:val="16"/>
          <w:szCs w:val="16"/>
        </w:rPr>
        <w:t>in which</w:t>
      </w:r>
      <w:r w:rsidR="00E36971" w:rsidRPr="00E36971">
        <w:rPr>
          <w:rFonts w:asciiTheme="majorHAnsi" w:hAnsiTheme="majorHAnsi"/>
          <w:sz w:val="16"/>
          <w:szCs w:val="16"/>
        </w:rPr>
        <w:t xml:space="preserve"> the violation of article 8.2 h of the American Convention on Human Rights has previously been alleged, the appellant will be given a period of two months to readapt his appeal</w:t>
      </w:r>
      <w:r w:rsidR="00E36971">
        <w:rPr>
          <w:rFonts w:asciiTheme="majorHAnsi" w:hAnsiTheme="majorHAnsi"/>
          <w:sz w:val="16"/>
          <w:szCs w:val="16"/>
        </w:rPr>
        <w:t xml:space="preserve"> for cassation</w:t>
      </w:r>
      <w:r w:rsidR="00E36971" w:rsidRPr="00E36971">
        <w:rPr>
          <w:rFonts w:asciiTheme="majorHAnsi" w:hAnsiTheme="majorHAnsi"/>
          <w:sz w:val="16"/>
          <w:szCs w:val="16"/>
        </w:rPr>
        <w:t xml:space="preserve"> to an appeal, which will be presented before the old Courts of Cassation or the Third Chamber, as appropriate, which will forward the file to the new Courts of Appeal for resolution. Under penalty of inadmissibility, the grievance must be specifically specified.</w:t>
      </w:r>
    </w:p>
  </w:footnote>
  <w:footnote w:id="6">
    <w:p w14:paraId="392954D5" w14:textId="017CC47F" w:rsidR="003C4C5B" w:rsidRPr="00620E8C" w:rsidRDefault="003C4C5B" w:rsidP="003C4C5B">
      <w:pPr>
        <w:pStyle w:val="FootnoteText"/>
        <w:ind w:firstLine="720"/>
        <w:jc w:val="both"/>
        <w:rPr>
          <w:rFonts w:asciiTheme="majorHAnsi" w:hAnsiTheme="majorHAnsi"/>
          <w:sz w:val="16"/>
          <w:szCs w:val="16"/>
        </w:rPr>
      </w:pPr>
      <w:r w:rsidRPr="00EA3787">
        <w:rPr>
          <w:rStyle w:val="FootnoteReference"/>
          <w:rFonts w:asciiTheme="majorHAnsi" w:hAnsiTheme="majorHAnsi"/>
          <w:sz w:val="16"/>
          <w:szCs w:val="16"/>
        </w:rPr>
        <w:footnoteRef/>
      </w:r>
      <w:r w:rsidRPr="00620E8C">
        <w:rPr>
          <w:rFonts w:asciiTheme="majorHAnsi" w:hAnsiTheme="majorHAnsi"/>
          <w:sz w:val="16"/>
          <w:szCs w:val="16"/>
        </w:rPr>
        <w:t xml:space="preserve"> </w:t>
      </w:r>
      <w:r w:rsidR="00620E8C" w:rsidRPr="00620E8C">
        <w:rPr>
          <w:rFonts w:asciiTheme="majorHAnsi" w:hAnsiTheme="majorHAnsi"/>
          <w:sz w:val="16"/>
          <w:szCs w:val="16"/>
        </w:rPr>
        <w:t>Hereinafter, the “Inter-American Court” or the “I/A Cour</w:t>
      </w:r>
      <w:r w:rsidR="00620E8C">
        <w:rPr>
          <w:rFonts w:asciiTheme="majorHAnsi" w:hAnsiTheme="majorHAnsi"/>
          <w:sz w:val="16"/>
          <w:szCs w:val="16"/>
        </w:rPr>
        <w:t>t H.R.”</w:t>
      </w:r>
      <w:r w:rsidRPr="00620E8C">
        <w:rPr>
          <w:rFonts w:asciiTheme="majorHAnsi" w:hAnsiTheme="majorHAnsi"/>
          <w:sz w:val="16"/>
          <w:szCs w:val="16"/>
        </w:rPr>
        <w:t>.</w:t>
      </w:r>
    </w:p>
  </w:footnote>
  <w:footnote w:id="7">
    <w:p w14:paraId="0BDA21CB" w14:textId="36E7936E" w:rsidR="003109AD" w:rsidRPr="00620E8C" w:rsidRDefault="003109AD" w:rsidP="003109AD">
      <w:pPr>
        <w:pStyle w:val="FootnoteText"/>
        <w:ind w:firstLine="720"/>
        <w:jc w:val="both"/>
        <w:rPr>
          <w:rFonts w:asciiTheme="majorHAnsi" w:hAnsiTheme="majorHAnsi"/>
          <w:sz w:val="16"/>
          <w:szCs w:val="16"/>
        </w:rPr>
      </w:pPr>
      <w:r w:rsidRPr="00EA3787">
        <w:rPr>
          <w:rStyle w:val="FootnoteReference"/>
          <w:rFonts w:asciiTheme="majorHAnsi" w:hAnsiTheme="majorHAnsi"/>
          <w:sz w:val="16"/>
          <w:szCs w:val="16"/>
        </w:rPr>
        <w:footnoteRef/>
      </w:r>
      <w:r w:rsidRPr="00620E8C">
        <w:rPr>
          <w:rFonts w:asciiTheme="majorHAnsi" w:hAnsiTheme="majorHAnsi"/>
          <w:sz w:val="16"/>
          <w:szCs w:val="16"/>
        </w:rPr>
        <w:t xml:space="preserve"> </w:t>
      </w:r>
      <w:r w:rsidR="00620E8C" w:rsidRPr="00620E8C">
        <w:rPr>
          <w:rFonts w:asciiTheme="majorHAnsi" w:hAnsiTheme="majorHAnsi"/>
          <w:sz w:val="16"/>
          <w:szCs w:val="16"/>
        </w:rPr>
        <w:t>I/A Court H.R., Case of Herrera Ulloa v. Costa Rica. Preliminary Objections, Merits, Reparations and Costs. Judgment of July 2, 2004. Series C No. 107</w:t>
      </w:r>
      <w:r w:rsidRPr="00620E8C">
        <w:rPr>
          <w:rFonts w:asciiTheme="majorHAnsi" w:hAnsiTheme="majorHAnsi"/>
          <w:sz w:val="16"/>
          <w:szCs w:val="16"/>
        </w:rPr>
        <w:t>, p</w:t>
      </w:r>
      <w:r w:rsidR="00620E8C" w:rsidRPr="00620E8C">
        <w:rPr>
          <w:rFonts w:asciiTheme="majorHAnsi" w:hAnsiTheme="majorHAnsi"/>
          <w:sz w:val="16"/>
          <w:szCs w:val="16"/>
        </w:rPr>
        <w:t>ara</w:t>
      </w:r>
      <w:r w:rsidRPr="00620E8C">
        <w:rPr>
          <w:rFonts w:asciiTheme="majorHAnsi" w:hAnsiTheme="majorHAnsi"/>
          <w:sz w:val="16"/>
          <w:szCs w:val="16"/>
        </w:rPr>
        <w:t xml:space="preserve">. 167. </w:t>
      </w:r>
    </w:p>
  </w:footnote>
  <w:footnote w:id="8">
    <w:p w14:paraId="6C2446D8" w14:textId="6C0308C0" w:rsidR="003109AD" w:rsidRPr="00620E8C" w:rsidRDefault="003109AD" w:rsidP="003109AD">
      <w:pPr>
        <w:pStyle w:val="FootnoteText"/>
        <w:ind w:firstLine="720"/>
        <w:jc w:val="both"/>
      </w:pPr>
      <w:r w:rsidRPr="004D0E62">
        <w:rPr>
          <w:rStyle w:val="FootnoteReference"/>
          <w:rFonts w:asciiTheme="majorHAnsi" w:hAnsiTheme="majorHAnsi"/>
          <w:sz w:val="16"/>
          <w:szCs w:val="16"/>
        </w:rPr>
        <w:footnoteRef/>
      </w:r>
      <w:r w:rsidRPr="00620E8C">
        <w:rPr>
          <w:rFonts w:asciiTheme="majorHAnsi" w:hAnsiTheme="majorHAnsi"/>
          <w:sz w:val="16"/>
          <w:szCs w:val="16"/>
        </w:rPr>
        <w:t xml:space="preserve"> </w:t>
      </w:r>
      <w:r w:rsidR="00620E8C" w:rsidRPr="00620E8C">
        <w:rPr>
          <w:rFonts w:asciiTheme="majorHAnsi" w:hAnsiTheme="majorHAnsi"/>
          <w:sz w:val="16"/>
          <w:szCs w:val="16"/>
        </w:rPr>
        <w:t>I/A Court H.R., Case of Herrera Ulloa v. Costa Rica. Preliminary Objections, Merits, Reparations and Costs. Judgment of July 2, 2004. Series C No. 107</w:t>
      </w:r>
      <w:r w:rsidRPr="00620E8C">
        <w:rPr>
          <w:rFonts w:asciiTheme="majorHAnsi" w:hAnsiTheme="majorHAnsi"/>
          <w:sz w:val="16"/>
          <w:szCs w:val="16"/>
        </w:rPr>
        <w:t>, p</w:t>
      </w:r>
      <w:r w:rsidR="00620E8C" w:rsidRPr="00620E8C">
        <w:rPr>
          <w:rFonts w:asciiTheme="majorHAnsi" w:hAnsiTheme="majorHAnsi"/>
          <w:sz w:val="16"/>
          <w:szCs w:val="16"/>
        </w:rPr>
        <w:t>ara.</w:t>
      </w:r>
      <w:r w:rsidRPr="00620E8C">
        <w:rPr>
          <w:rFonts w:asciiTheme="majorHAnsi" w:hAnsiTheme="majorHAnsi"/>
          <w:sz w:val="16"/>
          <w:szCs w:val="16"/>
        </w:rPr>
        <w:t xml:space="preserve"> 198.</w:t>
      </w:r>
    </w:p>
  </w:footnote>
  <w:footnote w:id="9">
    <w:p w14:paraId="1230553F" w14:textId="082696F1" w:rsidR="001A582A" w:rsidRPr="002902F0" w:rsidRDefault="001A582A" w:rsidP="001A582A">
      <w:pPr>
        <w:pStyle w:val="FootnoteText"/>
        <w:ind w:firstLine="720"/>
        <w:jc w:val="both"/>
        <w:rPr>
          <w:rFonts w:asciiTheme="majorHAnsi" w:hAnsiTheme="majorHAnsi"/>
          <w:sz w:val="16"/>
          <w:szCs w:val="16"/>
        </w:rPr>
      </w:pPr>
      <w:r w:rsidRPr="006A7DCD">
        <w:rPr>
          <w:rStyle w:val="FootnoteReference"/>
          <w:rFonts w:asciiTheme="majorHAnsi" w:hAnsiTheme="majorHAnsi"/>
          <w:sz w:val="16"/>
          <w:szCs w:val="16"/>
        </w:rPr>
        <w:footnoteRef/>
      </w:r>
      <w:r w:rsidRPr="00620E8C">
        <w:rPr>
          <w:rFonts w:asciiTheme="majorHAnsi" w:hAnsiTheme="majorHAnsi"/>
          <w:sz w:val="16"/>
          <w:szCs w:val="16"/>
        </w:rPr>
        <w:t xml:space="preserve"> </w:t>
      </w:r>
      <w:r w:rsidR="00620E8C" w:rsidRPr="00620E8C">
        <w:rPr>
          <w:rFonts w:asciiTheme="majorHAnsi" w:hAnsiTheme="majorHAnsi"/>
          <w:sz w:val="16"/>
          <w:szCs w:val="16"/>
        </w:rPr>
        <w:t xml:space="preserve">I/A Court H.R., Case of Amrhein et al. v. Costa Rica. Preliminary Objections, Merits, Reparations and Costs. </w:t>
      </w:r>
      <w:r w:rsidR="00620E8C" w:rsidRPr="002902F0">
        <w:rPr>
          <w:rFonts w:asciiTheme="majorHAnsi" w:hAnsiTheme="majorHAnsi"/>
          <w:sz w:val="16"/>
          <w:szCs w:val="16"/>
        </w:rPr>
        <w:t>Judgment of April 25, 2018. Series C No. 354</w:t>
      </w:r>
      <w:r w:rsidRPr="002902F0">
        <w:rPr>
          <w:rFonts w:asciiTheme="majorHAnsi" w:hAnsiTheme="majorHAnsi"/>
          <w:sz w:val="16"/>
          <w:szCs w:val="16"/>
        </w:rPr>
        <w:t>, p</w:t>
      </w:r>
      <w:r w:rsidR="00620E8C" w:rsidRPr="002902F0">
        <w:rPr>
          <w:rFonts w:asciiTheme="majorHAnsi" w:hAnsiTheme="majorHAnsi"/>
          <w:sz w:val="16"/>
          <w:szCs w:val="16"/>
        </w:rPr>
        <w:t>ara</w:t>
      </w:r>
      <w:r w:rsidRPr="002902F0">
        <w:rPr>
          <w:rFonts w:asciiTheme="majorHAnsi" w:hAnsiTheme="majorHAnsi"/>
          <w:sz w:val="16"/>
          <w:szCs w:val="16"/>
        </w:rPr>
        <w:t>. 262.</w:t>
      </w:r>
    </w:p>
  </w:footnote>
  <w:footnote w:id="10">
    <w:p w14:paraId="6F708BC4" w14:textId="60208951" w:rsidR="00F94A43" w:rsidRPr="00FC058D" w:rsidRDefault="00F94A43" w:rsidP="00F94A43">
      <w:pPr>
        <w:pStyle w:val="FootnoteText"/>
        <w:ind w:firstLine="720"/>
        <w:jc w:val="both"/>
        <w:rPr>
          <w:rFonts w:asciiTheme="majorHAnsi" w:hAnsiTheme="majorHAnsi"/>
          <w:sz w:val="16"/>
          <w:szCs w:val="16"/>
        </w:rPr>
      </w:pPr>
      <w:r w:rsidRPr="004D0E62">
        <w:rPr>
          <w:rStyle w:val="FootnoteReference"/>
          <w:rFonts w:asciiTheme="majorHAnsi" w:hAnsiTheme="majorHAnsi"/>
          <w:sz w:val="16"/>
          <w:szCs w:val="16"/>
        </w:rPr>
        <w:footnoteRef/>
      </w:r>
      <w:r w:rsidRPr="00620E8C">
        <w:rPr>
          <w:rFonts w:asciiTheme="majorHAnsi" w:hAnsiTheme="majorHAnsi"/>
          <w:sz w:val="16"/>
          <w:szCs w:val="16"/>
        </w:rPr>
        <w:t xml:space="preserve"> </w:t>
      </w:r>
      <w:r w:rsidR="00620E8C" w:rsidRPr="00620E8C">
        <w:rPr>
          <w:rFonts w:asciiTheme="majorHAnsi" w:hAnsiTheme="majorHAnsi"/>
          <w:sz w:val="16"/>
          <w:szCs w:val="16"/>
        </w:rPr>
        <w:t xml:space="preserve">I/A Court H.R., Case </w:t>
      </w:r>
      <w:r w:rsidR="00620E8C" w:rsidRPr="000E2454">
        <w:rPr>
          <w:rFonts w:asciiTheme="majorHAnsi" w:hAnsiTheme="majorHAnsi"/>
          <w:sz w:val="16"/>
          <w:szCs w:val="16"/>
        </w:rPr>
        <w:t xml:space="preserve">of Amrhein et al. v. Costa Rica. Preliminary Objections, Merits, Reparations and Costs. </w:t>
      </w:r>
      <w:r w:rsidR="00620E8C" w:rsidRPr="00FC058D">
        <w:rPr>
          <w:rFonts w:asciiTheme="majorHAnsi" w:hAnsiTheme="majorHAnsi"/>
          <w:sz w:val="16"/>
          <w:szCs w:val="16"/>
        </w:rPr>
        <w:t>Judgment of April 25, 2018. Series C No. 354</w:t>
      </w:r>
      <w:r w:rsidRPr="00FC058D">
        <w:rPr>
          <w:rFonts w:asciiTheme="majorHAnsi" w:hAnsiTheme="majorHAnsi"/>
          <w:sz w:val="16"/>
          <w:szCs w:val="16"/>
        </w:rPr>
        <w:t>, p</w:t>
      </w:r>
      <w:r w:rsidR="00620E8C" w:rsidRPr="00FC058D">
        <w:rPr>
          <w:rFonts w:asciiTheme="majorHAnsi" w:hAnsiTheme="majorHAnsi"/>
          <w:sz w:val="16"/>
          <w:szCs w:val="16"/>
        </w:rPr>
        <w:t>ara</w:t>
      </w:r>
      <w:r w:rsidRPr="00FC058D">
        <w:rPr>
          <w:rFonts w:asciiTheme="majorHAnsi" w:hAnsiTheme="majorHAnsi"/>
          <w:sz w:val="16"/>
          <w:szCs w:val="16"/>
        </w:rPr>
        <w:t xml:space="preserve">. 48. </w:t>
      </w:r>
    </w:p>
  </w:footnote>
  <w:footnote w:id="11">
    <w:p w14:paraId="257038B4" w14:textId="1D1BD28D" w:rsidR="00F94A43" w:rsidRPr="00FC058D" w:rsidRDefault="00F94A43" w:rsidP="00F94A43">
      <w:pPr>
        <w:pStyle w:val="FootnoteText"/>
        <w:ind w:firstLine="720"/>
        <w:jc w:val="both"/>
      </w:pPr>
      <w:r w:rsidRPr="000E2454">
        <w:rPr>
          <w:rStyle w:val="FootnoteReference"/>
          <w:rFonts w:asciiTheme="majorHAnsi" w:hAnsiTheme="majorHAnsi"/>
          <w:sz w:val="16"/>
          <w:szCs w:val="16"/>
        </w:rPr>
        <w:footnoteRef/>
      </w:r>
      <w:r w:rsidRPr="000E2454">
        <w:rPr>
          <w:rFonts w:asciiTheme="majorHAnsi" w:hAnsiTheme="majorHAnsi"/>
          <w:sz w:val="16"/>
          <w:szCs w:val="16"/>
        </w:rPr>
        <w:t xml:space="preserve"> </w:t>
      </w:r>
      <w:r w:rsidR="000E2454" w:rsidRPr="006B6341">
        <w:rPr>
          <w:rFonts w:asciiTheme="majorHAnsi" w:hAnsiTheme="majorHAnsi"/>
          <w:sz w:val="16"/>
          <w:szCs w:val="16"/>
        </w:rPr>
        <w:t>IHR Court, Case of Amrhein and others vs. Costa Rica. Preliminary Exceptions, Merits, Reparations and Costs. Judgment of April 25, 2018. Series C No. 354, para.</w:t>
      </w:r>
      <w:r w:rsidR="000E2454">
        <w:rPr>
          <w:rFonts w:asciiTheme="majorHAnsi" w:hAnsiTheme="majorHAnsi"/>
          <w:sz w:val="16"/>
          <w:szCs w:val="16"/>
        </w:rPr>
        <w:t xml:space="preserve"> </w:t>
      </w:r>
      <w:r w:rsidR="000E2454" w:rsidRPr="006B6341">
        <w:rPr>
          <w:rFonts w:asciiTheme="majorHAnsi" w:hAnsiTheme="majorHAnsi"/>
          <w:sz w:val="16"/>
          <w:szCs w:val="16"/>
        </w:rPr>
        <w:t xml:space="preserve">265. </w:t>
      </w:r>
      <w:r w:rsidRPr="00FC058D">
        <w:rPr>
          <w:rFonts w:asciiTheme="majorHAnsi" w:hAnsiTheme="majorHAnsi"/>
          <w:sz w:val="16"/>
          <w:szCs w:val="16"/>
        </w:rPr>
        <w:t xml:space="preserve"> </w:t>
      </w:r>
    </w:p>
  </w:footnote>
  <w:footnote w:id="12">
    <w:p w14:paraId="524268DF" w14:textId="77777777" w:rsidR="00E36971" w:rsidRPr="00FC058D" w:rsidRDefault="00E36971" w:rsidP="00E36971">
      <w:pPr>
        <w:pStyle w:val="FootnoteText"/>
        <w:ind w:firstLine="720"/>
        <w:jc w:val="both"/>
        <w:rPr>
          <w:rFonts w:asciiTheme="majorHAnsi" w:hAnsiTheme="majorHAnsi"/>
          <w:sz w:val="16"/>
          <w:szCs w:val="16"/>
        </w:rPr>
      </w:pPr>
      <w:r w:rsidRPr="000E2454">
        <w:rPr>
          <w:rStyle w:val="FootnoteReference"/>
          <w:rFonts w:asciiTheme="majorHAnsi" w:hAnsiTheme="majorHAnsi"/>
          <w:sz w:val="16"/>
          <w:szCs w:val="16"/>
        </w:rPr>
        <w:footnoteRef/>
      </w:r>
      <w:r w:rsidRPr="00FC058D">
        <w:rPr>
          <w:rFonts w:asciiTheme="majorHAnsi" w:hAnsiTheme="majorHAnsi"/>
          <w:sz w:val="16"/>
          <w:szCs w:val="16"/>
        </w:rPr>
        <w:t xml:space="preserve"> Corte IDH. Caso Herrera Ulloa Vs. Costa Rica. </w:t>
      </w:r>
      <w:r w:rsidRPr="00247565">
        <w:rPr>
          <w:rFonts w:asciiTheme="majorHAnsi" w:hAnsiTheme="majorHAnsi"/>
          <w:sz w:val="16"/>
          <w:szCs w:val="16"/>
        </w:rPr>
        <w:t xml:space="preserve">Supervisión de Cumplimiento de Sentencia. </w:t>
      </w:r>
      <w:r w:rsidRPr="000E2454">
        <w:rPr>
          <w:rFonts w:asciiTheme="majorHAnsi" w:hAnsiTheme="majorHAnsi"/>
          <w:sz w:val="16"/>
          <w:szCs w:val="16"/>
          <w:lang w:val="es-US"/>
        </w:rPr>
        <w:t xml:space="preserve">Resolución de la Corte Interamericana de Derechos Humanos de 22 de noviembre de 2010, párr. </w:t>
      </w:r>
      <w:r w:rsidRPr="00FC058D">
        <w:rPr>
          <w:rFonts w:asciiTheme="majorHAnsi" w:hAnsiTheme="majorHAnsi"/>
          <w:sz w:val="16"/>
          <w:szCs w:val="16"/>
        </w:rPr>
        <w:t xml:space="preserve">16. </w:t>
      </w:r>
    </w:p>
  </w:footnote>
  <w:footnote w:id="13">
    <w:p w14:paraId="3F61C152" w14:textId="77777777" w:rsidR="000E2454" w:rsidRPr="000E2454" w:rsidRDefault="000E2454" w:rsidP="00005A4D">
      <w:pPr>
        <w:pStyle w:val="FootnoteText"/>
        <w:ind w:firstLine="720"/>
        <w:jc w:val="both"/>
        <w:rPr>
          <w:rFonts w:ascii="Cambria" w:hAnsi="Cambria"/>
          <w:sz w:val="16"/>
          <w:szCs w:val="16"/>
        </w:rPr>
      </w:pPr>
      <w:r w:rsidRPr="000E2454">
        <w:rPr>
          <w:rStyle w:val="FootnoteReference"/>
          <w:rFonts w:ascii="Cambria" w:hAnsi="Cambria"/>
          <w:sz w:val="16"/>
          <w:szCs w:val="16"/>
        </w:rPr>
        <w:footnoteRef/>
      </w:r>
      <w:r w:rsidRPr="000E2454">
        <w:rPr>
          <w:rFonts w:ascii="Cambria" w:hAnsi="Cambria"/>
          <w:sz w:val="16"/>
          <w:szCs w:val="16"/>
        </w:rPr>
        <w:t xml:space="preserve"> IACHR. Report No. 33/14. Case 18.820. Merits. Manfred Amrhein and others. Costa Rica. April 4, 2014. Paras. 217-220.</w:t>
      </w:r>
    </w:p>
  </w:footnote>
  <w:footnote w:id="14">
    <w:p w14:paraId="24424008" w14:textId="77777777" w:rsidR="000E2454" w:rsidRPr="007C2972" w:rsidRDefault="000E2454" w:rsidP="00005A4D">
      <w:pPr>
        <w:pStyle w:val="FootnoteText"/>
        <w:ind w:firstLine="720"/>
        <w:jc w:val="both"/>
        <w:rPr>
          <w:rFonts w:ascii="Cambria" w:hAnsi="Cambria"/>
          <w:sz w:val="16"/>
          <w:szCs w:val="16"/>
        </w:rPr>
      </w:pPr>
      <w:r w:rsidRPr="000E2454">
        <w:rPr>
          <w:rStyle w:val="FootnoteReference"/>
          <w:rFonts w:ascii="Cambria" w:hAnsi="Cambria"/>
          <w:sz w:val="16"/>
          <w:szCs w:val="16"/>
        </w:rPr>
        <w:footnoteRef/>
      </w:r>
      <w:r w:rsidRPr="000E2454">
        <w:rPr>
          <w:rFonts w:ascii="Cambria" w:hAnsi="Cambria"/>
          <w:sz w:val="16"/>
          <w:szCs w:val="16"/>
        </w:rPr>
        <w:t xml:space="preserve"> I/A Court H.R. Case of Amrhein and others v. Costa Rica. Preliminary Objections, Merits, Reparations and Costs. Judgment of April 25, 2018. Series C No. 354, para 260.</w:t>
      </w:r>
    </w:p>
  </w:footnote>
  <w:footnote w:id="15">
    <w:p w14:paraId="1C9F3332" w14:textId="77777777" w:rsidR="000E2454" w:rsidRPr="008A4C6E" w:rsidRDefault="000E2454" w:rsidP="00005A4D">
      <w:pPr>
        <w:pStyle w:val="FootnoteText"/>
        <w:ind w:firstLine="720"/>
        <w:jc w:val="both"/>
        <w:rPr>
          <w:rFonts w:ascii="Cambria" w:hAnsi="Cambria"/>
          <w:sz w:val="16"/>
          <w:szCs w:val="16"/>
        </w:rPr>
      </w:pPr>
      <w:r w:rsidRPr="008D6948">
        <w:rPr>
          <w:rStyle w:val="FootnoteReference"/>
          <w:rFonts w:ascii="Cambria" w:hAnsi="Cambria"/>
          <w:sz w:val="16"/>
          <w:szCs w:val="16"/>
          <w:lang w:val="es-ES"/>
        </w:rPr>
        <w:footnoteRef/>
      </w:r>
      <w:r w:rsidRPr="008D6948">
        <w:rPr>
          <w:rFonts w:ascii="Cambria" w:hAnsi="Cambria"/>
          <w:sz w:val="16"/>
          <w:szCs w:val="16"/>
        </w:rPr>
        <w:t xml:space="preserve"> I/A Court H.R. Case of Amrhein and others v. Costa Rica. Preliminary Objections, Merits, Reparations and Costs. </w:t>
      </w:r>
      <w:r w:rsidRPr="008A4C6E">
        <w:rPr>
          <w:rFonts w:ascii="Cambria" w:hAnsi="Cambria"/>
          <w:sz w:val="16"/>
          <w:szCs w:val="16"/>
        </w:rPr>
        <w:t>Judgment of April 25, 2018. Series C No. 354, para 266.</w:t>
      </w:r>
    </w:p>
  </w:footnote>
  <w:footnote w:id="16">
    <w:p w14:paraId="39A754FE" w14:textId="77777777" w:rsidR="001543A9" w:rsidRPr="0008381B" w:rsidRDefault="001543A9" w:rsidP="001543A9">
      <w:pPr>
        <w:pStyle w:val="FootnoteText"/>
        <w:ind w:firstLine="720"/>
        <w:jc w:val="both"/>
        <w:rPr>
          <w:rFonts w:asciiTheme="majorHAnsi" w:hAnsiTheme="majorHAnsi"/>
          <w:color w:val="auto"/>
          <w:sz w:val="16"/>
          <w:szCs w:val="16"/>
        </w:rPr>
      </w:pPr>
      <w:r w:rsidRPr="0008381B">
        <w:rPr>
          <w:rStyle w:val="FootnoteReference"/>
          <w:rFonts w:asciiTheme="majorHAnsi" w:hAnsiTheme="majorHAnsi"/>
          <w:color w:val="auto"/>
          <w:sz w:val="16"/>
          <w:szCs w:val="16"/>
        </w:rPr>
        <w:footnoteRef/>
      </w:r>
      <w:r w:rsidRPr="0008381B">
        <w:rPr>
          <w:rFonts w:asciiTheme="majorHAnsi" w:hAnsiTheme="majorHAnsi"/>
          <w:color w:val="auto"/>
          <w:sz w:val="16"/>
          <w:szCs w:val="16"/>
        </w:rPr>
        <w:t xml:space="preserve"> I/A Court H.R., Case of Velásquez Rodríguez v. Honduras. Preliminary Objections. Judgment of June 26, 1987. Series C No. 1, para 88; and Case of Cuya Lavy et al. v. Peru. Preliminary Objections, Merits, Reparations and Costs. Judgment of September 28, 2021. Series C No. 438.</w:t>
      </w:r>
    </w:p>
  </w:footnote>
  <w:footnote w:id="17">
    <w:p w14:paraId="637476BA" w14:textId="77777777" w:rsidR="001543A9" w:rsidRDefault="001543A9" w:rsidP="001543A9">
      <w:pPr>
        <w:pStyle w:val="FootnoteText"/>
        <w:ind w:firstLine="720"/>
        <w:jc w:val="both"/>
      </w:pPr>
      <w:r w:rsidRPr="0008381B">
        <w:rPr>
          <w:rStyle w:val="FootnoteReference"/>
          <w:rFonts w:asciiTheme="majorHAnsi" w:hAnsiTheme="majorHAnsi"/>
          <w:color w:val="auto"/>
          <w:sz w:val="16"/>
          <w:szCs w:val="16"/>
        </w:rPr>
        <w:footnoteRef/>
      </w:r>
      <w:r w:rsidRPr="0008381B">
        <w:rPr>
          <w:rFonts w:asciiTheme="majorHAnsi" w:hAnsiTheme="majorHAnsi"/>
          <w:color w:val="auto"/>
          <w:sz w:val="16"/>
          <w:szCs w:val="16"/>
        </w:rPr>
        <w:t xml:space="preserve"> IACHR, Report No. 168/17, Petition 1502-07. Admissibility. Miguel Ángel Morales Morales. Peru. December 1, 2017, para.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70C1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57"/>
  </w:num>
  <w:num w:numId="8" w16cid:durableId="376321760">
    <w:abstractNumId w:val="22"/>
  </w:num>
  <w:num w:numId="9" w16cid:durableId="308170427">
    <w:abstractNumId w:val="49"/>
  </w:num>
  <w:num w:numId="10" w16cid:durableId="168088952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8"/>
  </w:num>
  <w:num w:numId="12" w16cid:durableId="779910614">
    <w:abstractNumId w:val="55"/>
  </w:num>
  <w:num w:numId="13" w16cid:durableId="2056419387">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7"/>
  </w:num>
  <w:num w:numId="21" w16cid:durableId="87786292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8"/>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39"/>
  </w:num>
  <w:num w:numId="43" w16cid:durableId="174202509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3"/>
  </w:num>
  <w:num w:numId="53" w16cid:durableId="1292780975">
    <w:abstractNumId w:val="0"/>
  </w:num>
  <w:num w:numId="54" w16cid:durableId="1626540545">
    <w:abstractNumId w:val="38"/>
  </w:num>
  <w:num w:numId="55" w16cid:durableId="1040014095">
    <w:abstractNumId w:val="39"/>
  </w:num>
  <w:num w:numId="56" w16cid:durableId="478502565">
    <w:abstractNumId w:val="45"/>
  </w:num>
  <w:num w:numId="57" w16cid:durableId="1954095151">
    <w:abstractNumId w:val="1"/>
  </w:num>
  <w:num w:numId="58" w16cid:durableId="456875351">
    <w:abstractNumId w:val="2"/>
  </w:num>
  <w:num w:numId="59" w16cid:durableId="1073505158">
    <w:abstractNumId w:val="8"/>
  </w:num>
  <w:num w:numId="60" w16cid:durableId="601184087">
    <w:abstractNumId w:val="9"/>
  </w:num>
  <w:num w:numId="61" w16cid:durableId="2094932573">
    <w:abstractNumId w:val="10"/>
  </w:num>
  <w:num w:numId="62" w16cid:durableId="18243612">
    <w:abstractNumId w:val="12"/>
  </w:num>
  <w:num w:numId="63" w16cid:durableId="1860502844">
    <w:abstractNumId w:val="13"/>
  </w:num>
  <w:num w:numId="64" w16cid:durableId="80034454">
    <w:abstractNumId w:val="14"/>
  </w:num>
  <w:num w:numId="65" w16cid:durableId="1100251086">
    <w:abstractNumId w:val="15"/>
  </w:num>
  <w:num w:numId="66" w16cid:durableId="884222910">
    <w:abstractNumId w:val="16"/>
  </w:num>
  <w:num w:numId="67" w16cid:durableId="1782914406">
    <w:abstractNumId w:val="17"/>
  </w:num>
  <w:num w:numId="68" w16cid:durableId="2008169866">
    <w:abstractNumId w:val="19"/>
  </w:num>
  <w:num w:numId="69" w16cid:durableId="383599912">
    <w:abstractNumId w:val="20"/>
  </w:num>
  <w:num w:numId="70" w16cid:durableId="181937071">
    <w:abstractNumId w:val="23"/>
  </w:num>
  <w:num w:numId="71" w16cid:durableId="1042170151">
    <w:abstractNumId w:val="24"/>
  </w:num>
  <w:num w:numId="72" w16cid:durableId="935746881">
    <w:abstractNumId w:val="25"/>
  </w:num>
  <w:num w:numId="73" w16cid:durableId="457115680">
    <w:abstractNumId w:val="27"/>
  </w:num>
  <w:num w:numId="74" w16cid:durableId="1599751706">
    <w:abstractNumId w:val="29"/>
  </w:num>
  <w:num w:numId="75" w16cid:durableId="814100670">
    <w:abstractNumId w:val="30"/>
  </w:num>
  <w:num w:numId="76" w16cid:durableId="659620467">
    <w:abstractNumId w:val="31"/>
  </w:num>
  <w:num w:numId="77" w16cid:durableId="745999814">
    <w:abstractNumId w:val="32"/>
  </w:num>
  <w:num w:numId="78" w16cid:durableId="1106149164">
    <w:abstractNumId w:val="33"/>
  </w:num>
  <w:num w:numId="79" w16cid:durableId="501432526">
    <w:abstractNumId w:val="34"/>
  </w:num>
  <w:num w:numId="80" w16cid:durableId="303512044">
    <w:abstractNumId w:val="35"/>
  </w:num>
  <w:num w:numId="81" w16cid:durableId="1245067003">
    <w:abstractNumId w:val="36"/>
  </w:num>
  <w:num w:numId="82" w16cid:durableId="533737061">
    <w:abstractNumId w:val="40"/>
  </w:num>
  <w:num w:numId="83" w16cid:durableId="746926384">
    <w:abstractNumId w:val="41"/>
  </w:num>
  <w:num w:numId="84" w16cid:durableId="458770273">
    <w:abstractNumId w:val="47"/>
  </w:num>
  <w:num w:numId="85" w16cid:durableId="297492593">
    <w:abstractNumId w:val="50"/>
  </w:num>
  <w:num w:numId="86" w16cid:durableId="65686269">
    <w:abstractNumId w:val="52"/>
  </w:num>
  <w:num w:numId="87" w16cid:durableId="1248156171">
    <w:abstractNumId w:val="54"/>
  </w:num>
  <w:num w:numId="88" w16cid:durableId="1215462391">
    <w:abstractNumId w:val="56"/>
  </w:num>
  <w:num w:numId="89" w16cid:durableId="128058583">
    <w:abstractNumId w:val="58"/>
  </w:num>
  <w:num w:numId="90" w16cid:durableId="1009914232">
    <w:abstractNumId w:val="59"/>
  </w:num>
  <w:num w:numId="91" w16cid:durableId="820124281">
    <w:abstractNumId w:val="60"/>
  </w:num>
  <w:num w:numId="92" w16cid:durableId="292637384">
    <w:abstractNumId w:val="61"/>
  </w:num>
  <w:num w:numId="93" w16cid:durableId="1214807657">
    <w:abstractNumId w:val="62"/>
  </w:num>
  <w:num w:numId="94" w16cid:durableId="7879810">
    <w:abstractNumId w:val="21"/>
  </w:num>
  <w:num w:numId="95" w16cid:durableId="1873372669">
    <w:abstractNumId w:val="42"/>
  </w:num>
  <w:num w:numId="96" w16cid:durableId="645817943">
    <w:abstractNumId w:val="53"/>
  </w:num>
  <w:num w:numId="97" w16cid:durableId="1400666531">
    <w:abstractNumId w:val="51"/>
  </w:num>
  <w:num w:numId="98" w16cid:durableId="208347111">
    <w:abstractNumId w:val="46"/>
  </w:num>
  <w:num w:numId="99" w16cid:durableId="1112213603">
    <w:abstractNumId w:val="37"/>
  </w:num>
  <w:num w:numId="100" w16cid:durableId="1644240404">
    <w:abstractNumId w:val="3"/>
  </w:num>
  <w:num w:numId="101" w16cid:durableId="1100955568">
    <w:abstractNumId w:val="26"/>
  </w:num>
  <w:num w:numId="102" w16cid:durableId="2025739805">
    <w:abstractNumId w:val="48"/>
  </w:num>
  <w:num w:numId="103" w16cid:durableId="1664313997">
    <w:abstractNumId w:val="5"/>
  </w:num>
  <w:num w:numId="104" w16cid:durableId="592593905">
    <w:abstractNumId w:val="11"/>
  </w:num>
  <w:num w:numId="105" w16cid:durableId="25883123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A4D"/>
    <w:rsid w:val="000070D7"/>
    <w:rsid w:val="000111A8"/>
    <w:rsid w:val="0001788C"/>
    <w:rsid w:val="00022CF5"/>
    <w:rsid w:val="00036A8A"/>
    <w:rsid w:val="00040C3A"/>
    <w:rsid w:val="000639C0"/>
    <w:rsid w:val="00070F3A"/>
    <w:rsid w:val="000716C5"/>
    <w:rsid w:val="00075E23"/>
    <w:rsid w:val="00077064"/>
    <w:rsid w:val="00092F32"/>
    <w:rsid w:val="0009344A"/>
    <w:rsid w:val="00095B41"/>
    <w:rsid w:val="000A575F"/>
    <w:rsid w:val="000C4365"/>
    <w:rsid w:val="000D10DB"/>
    <w:rsid w:val="000E2454"/>
    <w:rsid w:val="00100EB8"/>
    <w:rsid w:val="001076A2"/>
    <w:rsid w:val="00124116"/>
    <w:rsid w:val="0013104F"/>
    <w:rsid w:val="00137EBA"/>
    <w:rsid w:val="00140E33"/>
    <w:rsid w:val="00145EDC"/>
    <w:rsid w:val="0014725B"/>
    <w:rsid w:val="00153084"/>
    <w:rsid w:val="001543A9"/>
    <w:rsid w:val="00167A34"/>
    <w:rsid w:val="001714B4"/>
    <w:rsid w:val="0018037F"/>
    <w:rsid w:val="001A582A"/>
    <w:rsid w:val="001A5F27"/>
    <w:rsid w:val="001A65E4"/>
    <w:rsid w:val="001A7870"/>
    <w:rsid w:val="001C1B41"/>
    <w:rsid w:val="001C5C19"/>
    <w:rsid w:val="001E366B"/>
    <w:rsid w:val="001F1902"/>
    <w:rsid w:val="00210E0E"/>
    <w:rsid w:val="00210F4B"/>
    <w:rsid w:val="00230163"/>
    <w:rsid w:val="0023351C"/>
    <w:rsid w:val="00247403"/>
    <w:rsid w:val="002474F5"/>
    <w:rsid w:val="00247542"/>
    <w:rsid w:val="00247565"/>
    <w:rsid w:val="00257893"/>
    <w:rsid w:val="00266092"/>
    <w:rsid w:val="00266B61"/>
    <w:rsid w:val="0026712A"/>
    <w:rsid w:val="002704DB"/>
    <w:rsid w:val="002760CE"/>
    <w:rsid w:val="002902F0"/>
    <w:rsid w:val="002B7A85"/>
    <w:rsid w:val="002C1641"/>
    <w:rsid w:val="002D7EA2"/>
    <w:rsid w:val="002E15DF"/>
    <w:rsid w:val="002E187C"/>
    <w:rsid w:val="002E6E57"/>
    <w:rsid w:val="00301075"/>
    <w:rsid w:val="00302733"/>
    <w:rsid w:val="003109AD"/>
    <w:rsid w:val="00311A4F"/>
    <w:rsid w:val="00314078"/>
    <w:rsid w:val="00321AFD"/>
    <w:rsid w:val="00322450"/>
    <w:rsid w:val="003246B5"/>
    <w:rsid w:val="0033169F"/>
    <w:rsid w:val="003414AC"/>
    <w:rsid w:val="00356185"/>
    <w:rsid w:val="00360380"/>
    <w:rsid w:val="003771A3"/>
    <w:rsid w:val="00386CF0"/>
    <w:rsid w:val="003A4348"/>
    <w:rsid w:val="003C32BC"/>
    <w:rsid w:val="003C4C5B"/>
    <w:rsid w:val="003E3E03"/>
    <w:rsid w:val="003F1BBF"/>
    <w:rsid w:val="004162B1"/>
    <w:rsid w:val="004165C2"/>
    <w:rsid w:val="00437524"/>
    <w:rsid w:val="00450A4A"/>
    <w:rsid w:val="004666FB"/>
    <w:rsid w:val="00466D0B"/>
    <w:rsid w:val="00467B7E"/>
    <w:rsid w:val="00485462"/>
    <w:rsid w:val="004916AF"/>
    <w:rsid w:val="0049419D"/>
    <w:rsid w:val="004B2762"/>
    <w:rsid w:val="004B7EB6"/>
    <w:rsid w:val="004C41DE"/>
    <w:rsid w:val="004C4B62"/>
    <w:rsid w:val="004D6025"/>
    <w:rsid w:val="004D72BC"/>
    <w:rsid w:val="004F6B67"/>
    <w:rsid w:val="00501399"/>
    <w:rsid w:val="00507BC4"/>
    <w:rsid w:val="005128E4"/>
    <w:rsid w:val="00525560"/>
    <w:rsid w:val="005357A6"/>
    <w:rsid w:val="005406C2"/>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14D49"/>
    <w:rsid w:val="00620E8C"/>
    <w:rsid w:val="00627C9F"/>
    <w:rsid w:val="006311DA"/>
    <w:rsid w:val="006311E9"/>
    <w:rsid w:val="006318B2"/>
    <w:rsid w:val="00632354"/>
    <w:rsid w:val="00642810"/>
    <w:rsid w:val="00652333"/>
    <w:rsid w:val="00653EA6"/>
    <w:rsid w:val="006614CA"/>
    <w:rsid w:val="006628CE"/>
    <w:rsid w:val="0068009E"/>
    <w:rsid w:val="006828E6"/>
    <w:rsid w:val="006A17D2"/>
    <w:rsid w:val="006A73E6"/>
    <w:rsid w:val="006B2D5C"/>
    <w:rsid w:val="006C4EB1"/>
    <w:rsid w:val="006D4707"/>
    <w:rsid w:val="006E0166"/>
    <w:rsid w:val="006E7B34"/>
    <w:rsid w:val="00701B24"/>
    <w:rsid w:val="00713729"/>
    <w:rsid w:val="0071495F"/>
    <w:rsid w:val="0073798E"/>
    <w:rsid w:val="00745899"/>
    <w:rsid w:val="007607C4"/>
    <w:rsid w:val="0076643F"/>
    <w:rsid w:val="00781653"/>
    <w:rsid w:val="007A2F70"/>
    <w:rsid w:val="007C3334"/>
    <w:rsid w:val="007C52BB"/>
    <w:rsid w:val="007D2B98"/>
    <w:rsid w:val="007F196E"/>
    <w:rsid w:val="00803F1C"/>
    <w:rsid w:val="0080600E"/>
    <w:rsid w:val="00817612"/>
    <w:rsid w:val="00837C45"/>
    <w:rsid w:val="00853419"/>
    <w:rsid w:val="00883A55"/>
    <w:rsid w:val="008939E6"/>
    <w:rsid w:val="00897E12"/>
    <w:rsid w:val="008D43BA"/>
    <w:rsid w:val="008E3759"/>
    <w:rsid w:val="009041DC"/>
    <w:rsid w:val="009104B4"/>
    <w:rsid w:val="009228DA"/>
    <w:rsid w:val="00925FCD"/>
    <w:rsid w:val="0093441A"/>
    <w:rsid w:val="00954BF7"/>
    <w:rsid w:val="0096706E"/>
    <w:rsid w:val="00981FBA"/>
    <w:rsid w:val="00982E8D"/>
    <w:rsid w:val="009B381B"/>
    <w:rsid w:val="009D7611"/>
    <w:rsid w:val="009E53DE"/>
    <w:rsid w:val="009E566A"/>
    <w:rsid w:val="009F4773"/>
    <w:rsid w:val="00A0577C"/>
    <w:rsid w:val="00A12DBC"/>
    <w:rsid w:val="00A21442"/>
    <w:rsid w:val="00A43458"/>
    <w:rsid w:val="00A528D1"/>
    <w:rsid w:val="00A66BE5"/>
    <w:rsid w:val="00A70C19"/>
    <w:rsid w:val="00A927D5"/>
    <w:rsid w:val="00AD37C1"/>
    <w:rsid w:val="00AE31E9"/>
    <w:rsid w:val="00AE66EC"/>
    <w:rsid w:val="00AE6F91"/>
    <w:rsid w:val="00AF5571"/>
    <w:rsid w:val="00B04A2C"/>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00408"/>
    <w:rsid w:val="00C15AEB"/>
    <w:rsid w:val="00C21762"/>
    <w:rsid w:val="00C24543"/>
    <w:rsid w:val="00C256A2"/>
    <w:rsid w:val="00C270FC"/>
    <w:rsid w:val="00C3492D"/>
    <w:rsid w:val="00C55560"/>
    <w:rsid w:val="00C66B72"/>
    <w:rsid w:val="00C9567A"/>
    <w:rsid w:val="00CA6577"/>
    <w:rsid w:val="00CB2660"/>
    <w:rsid w:val="00CC5E90"/>
    <w:rsid w:val="00CD046C"/>
    <w:rsid w:val="00CD753C"/>
    <w:rsid w:val="00CE5199"/>
    <w:rsid w:val="00CE66D5"/>
    <w:rsid w:val="00D34786"/>
    <w:rsid w:val="00D40A1E"/>
    <w:rsid w:val="00D533C0"/>
    <w:rsid w:val="00D6527B"/>
    <w:rsid w:val="00D712D3"/>
    <w:rsid w:val="00D71422"/>
    <w:rsid w:val="00D7145E"/>
    <w:rsid w:val="00D75084"/>
    <w:rsid w:val="00D7558D"/>
    <w:rsid w:val="00D81D92"/>
    <w:rsid w:val="00D93446"/>
    <w:rsid w:val="00DA7B5F"/>
    <w:rsid w:val="00DF078B"/>
    <w:rsid w:val="00DF350D"/>
    <w:rsid w:val="00E130E5"/>
    <w:rsid w:val="00E227C1"/>
    <w:rsid w:val="00E34F5F"/>
    <w:rsid w:val="00E36971"/>
    <w:rsid w:val="00E43157"/>
    <w:rsid w:val="00E47F3D"/>
    <w:rsid w:val="00E533FF"/>
    <w:rsid w:val="00E61B97"/>
    <w:rsid w:val="00E709B3"/>
    <w:rsid w:val="00E7588C"/>
    <w:rsid w:val="00E850B6"/>
    <w:rsid w:val="00E8789F"/>
    <w:rsid w:val="00E90E6E"/>
    <w:rsid w:val="00E97B71"/>
    <w:rsid w:val="00EB454D"/>
    <w:rsid w:val="00ED0D1B"/>
    <w:rsid w:val="00EE3522"/>
    <w:rsid w:val="00EF619B"/>
    <w:rsid w:val="00F00B55"/>
    <w:rsid w:val="00F06D66"/>
    <w:rsid w:val="00F07BC4"/>
    <w:rsid w:val="00F1380F"/>
    <w:rsid w:val="00F140E4"/>
    <w:rsid w:val="00F14F0E"/>
    <w:rsid w:val="00F15A3B"/>
    <w:rsid w:val="00F24C29"/>
    <w:rsid w:val="00F253CC"/>
    <w:rsid w:val="00F32918"/>
    <w:rsid w:val="00F34397"/>
    <w:rsid w:val="00F42B71"/>
    <w:rsid w:val="00F56BA5"/>
    <w:rsid w:val="00F621C3"/>
    <w:rsid w:val="00F644E6"/>
    <w:rsid w:val="00F94A43"/>
    <w:rsid w:val="00F9653B"/>
    <w:rsid w:val="00F97402"/>
    <w:rsid w:val="00FB62CF"/>
    <w:rsid w:val="00FC058D"/>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74"/>
      </w:numPr>
    </w:pPr>
  </w:style>
  <w:style w:type="numbering" w:customStyle="1" w:styleId="List1">
    <w:name w:val="List 1"/>
    <w:basedOn w:val="NoList"/>
    <w:pPr>
      <w:numPr>
        <w:numId w:val="2"/>
      </w:numPr>
    </w:pPr>
  </w:style>
  <w:style w:type="numbering" w:customStyle="1" w:styleId="List210">
    <w:name w:val="List 21"/>
    <w:basedOn w:val="NoList"/>
    <w:pPr>
      <w:numPr>
        <w:numId w:val="95"/>
      </w:numPr>
    </w:pPr>
  </w:style>
  <w:style w:type="numbering" w:customStyle="1" w:styleId="List31">
    <w:name w:val="List 31"/>
    <w:basedOn w:val="NoList"/>
    <w:pPr>
      <w:numPr>
        <w:numId w:val="94"/>
      </w:numPr>
    </w:pPr>
  </w:style>
  <w:style w:type="numbering" w:customStyle="1" w:styleId="List41">
    <w:name w:val="List 41"/>
    <w:basedOn w:val="NoList"/>
    <w:pPr>
      <w:numPr>
        <w:numId w:val="5"/>
      </w:numPr>
    </w:pPr>
  </w:style>
  <w:style w:type="numbering" w:customStyle="1" w:styleId="List510">
    <w:name w:val="List 51"/>
    <w:basedOn w:val="NoList"/>
    <w:pPr>
      <w:numPr>
        <w:numId w:val="98"/>
      </w:numPr>
    </w:pPr>
  </w:style>
  <w:style w:type="numbering" w:customStyle="1" w:styleId="List6">
    <w:name w:val="List 6"/>
    <w:basedOn w:val="NoList"/>
    <w:pPr>
      <w:numPr>
        <w:numId w:val="7"/>
      </w:numPr>
    </w:pPr>
  </w:style>
  <w:style w:type="numbering" w:customStyle="1" w:styleId="List7">
    <w:name w:val="List 7"/>
    <w:basedOn w:val="NoList"/>
    <w:pPr>
      <w:numPr>
        <w:numId w:val="8"/>
      </w:numPr>
    </w:pPr>
  </w:style>
  <w:style w:type="numbering" w:customStyle="1" w:styleId="List8">
    <w:name w:val="List 8"/>
    <w:basedOn w:val="NoList"/>
    <w:pPr>
      <w:numPr>
        <w:numId w:val="9"/>
      </w:numPr>
    </w:pPr>
  </w:style>
  <w:style w:type="numbering" w:customStyle="1" w:styleId="List9">
    <w:name w:val="List 9"/>
    <w:basedOn w:val="NoList"/>
    <w:pPr>
      <w:numPr>
        <w:numId w:val="65"/>
      </w:numPr>
    </w:pPr>
  </w:style>
  <w:style w:type="numbering" w:customStyle="1" w:styleId="List10">
    <w:name w:val="List 10"/>
    <w:basedOn w:val="NoList"/>
    <w:pPr>
      <w:numPr>
        <w:numId w:val="11"/>
      </w:numPr>
    </w:pPr>
  </w:style>
  <w:style w:type="numbering" w:customStyle="1" w:styleId="List11">
    <w:name w:val="List 11"/>
    <w:basedOn w:val="NoList"/>
    <w:pPr>
      <w:numPr>
        <w:numId w:val="20"/>
      </w:numPr>
    </w:pPr>
  </w:style>
  <w:style w:type="numbering" w:customStyle="1" w:styleId="List12">
    <w:name w:val="List 12"/>
    <w:basedOn w:val="NoList"/>
    <w:pPr>
      <w:numPr>
        <w:numId w:val="79"/>
      </w:numPr>
    </w:pPr>
  </w:style>
  <w:style w:type="numbering" w:customStyle="1" w:styleId="List13">
    <w:name w:val="List 13"/>
    <w:basedOn w:val="NoList"/>
    <w:pPr>
      <w:numPr>
        <w:numId w:val="85"/>
      </w:numPr>
    </w:pPr>
  </w:style>
  <w:style w:type="numbering" w:customStyle="1" w:styleId="List14">
    <w:name w:val="List 14"/>
    <w:basedOn w:val="NoList"/>
    <w:pPr>
      <w:numPr>
        <w:numId w:val="60"/>
      </w:numPr>
    </w:pPr>
  </w:style>
  <w:style w:type="numbering" w:customStyle="1" w:styleId="List15">
    <w:name w:val="List 15"/>
    <w:basedOn w:val="NoList"/>
    <w:pPr>
      <w:numPr>
        <w:numId w:val="59"/>
      </w:numPr>
    </w:pPr>
  </w:style>
  <w:style w:type="numbering" w:customStyle="1" w:styleId="List16">
    <w:name w:val="List 16"/>
    <w:basedOn w:val="NoList"/>
    <w:pPr>
      <w:numPr>
        <w:numId w:val="53"/>
      </w:numPr>
    </w:pPr>
  </w:style>
  <w:style w:type="numbering" w:customStyle="1" w:styleId="List17">
    <w:name w:val="List 17"/>
    <w:basedOn w:val="NoList"/>
    <w:pPr>
      <w:numPr>
        <w:numId w:val="68"/>
      </w:numPr>
    </w:pPr>
  </w:style>
  <w:style w:type="numbering" w:customStyle="1" w:styleId="List18">
    <w:name w:val="List 18"/>
    <w:basedOn w:val="NoList"/>
    <w:pPr>
      <w:numPr>
        <w:numId w:val="70"/>
      </w:numPr>
    </w:pPr>
  </w:style>
  <w:style w:type="numbering" w:customStyle="1" w:styleId="List19">
    <w:name w:val="List 19"/>
    <w:basedOn w:val="NoList"/>
    <w:pPr>
      <w:numPr>
        <w:numId w:val="62"/>
      </w:numPr>
    </w:pPr>
  </w:style>
  <w:style w:type="numbering" w:customStyle="1" w:styleId="List20">
    <w:name w:val="List 20"/>
    <w:basedOn w:val="NoList"/>
    <w:pPr>
      <w:numPr>
        <w:numId w:val="86"/>
      </w:numPr>
    </w:pPr>
  </w:style>
  <w:style w:type="numbering" w:customStyle="1" w:styleId="List21">
    <w:name w:val="List 21"/>
    <w:basedOn w:val="NoList"/>
    <w:pPr>
      <w:numPr>
        <w:numId w:val="81"/>
      </w:numPr>
    </w:pPr>
  </w:style>
  <w:style w:type="numbering" w:customStyle="1" w:styleId="List22">
    <w:name w:val="List 22"/>
    <w:basedOn w:val="NoList"/>
    <w:pPr>
      <w:numPr>
        <w:numId w:val="71"/>
      </w:numPr>
    </w:pPr>
  </w:style>
  <w:style w:type="numbering" w:customStyle="1" w:styleId="List23">
    <w:name w:val="List 23"/>
    <w:basedOn w:val="NoList"/>
    <w:pPr>
      <w:numPr>
        <w:numId w:val="61"/>
      </w:numPr>
    </w:pPr>
  </w:style>
  <w:style w:type="numbering" w:customStyle="1" w:styleId="List24">
    <w:name w:val="List 24"/>
    <w:basedOn w:val="NoList"/>
    <w:pPr>
      <w:numPr>
        <w:numId w:val="56"/>
      </w:numPr>
    </w:pPr>
  </w:style>
  <w:style w:type="numbering" w:customStyle="1" w:styleId="List25">
    <w:name w:val="List 25"/>
    <w:basedOn w:val="NoList"/>
    <w:pPr>
      <w:numPr>
        <w:numId w:val="58"/>
      </w:numPr>
    </w:pPr>
  </w:style>
  <w:style w:type="numbering" w:customStyle="1" w:styleId="List26">
    <w:name w:val="List 26"/>
    <w:basedOn w:val="NoList"/>
    <w:pPr>
      <w:numPr>
        <w:numId w:val="92"/>
      </w:numPr>
    </w:pPr>
  </w:style>
  <w:style w:type="numbering" w:customStyle="1" w:styleId="List27">
    <w:name w:val="List 27"/>
    <w:basedOn w:val="NoList"/>
    <w:pPr>
      <w:numPr>
        <w:numId w:val="84"/>
      </w:numPr>
    </w:pPr>
  </w:style>
  <w:style w:type="numbering" w:customStyle="1" w:styleId="List28">
    <w:name w:val="List 28"/>
    <w:basedOn w:val="NoList"/>
    <w:pPr>
      <w:numPr>
        <w:numId w:val="73"/>
      </w:numPr>
    </w:pPr>
  </w:style>
  <w:style w:type="numbering" w:customStyle="1" w:styleId="List29">
    <w:name w:val="List 29"/>
    <w:basedOn w:val="NoList"/>
    <w:pPr>
      <w:numPr>
        <w:numId w:val="77"/>
      </w:numPr>
    </w:pPr>
  </w:style>
  <w:style w:type="numbering" w:customStyle="1" w:styleId="List30">
    <w:name w:val="List 30"/>
    <w:basedOn w:val="NoList"/>
    <w:pPr>
      <w:numPr>
        <w:numId w:val="75"/>
      </w:numPr>
    </w:pPr>
  </w:style>
  <w:style w:type="numbering" w:customStyle="1" w:styleId="List310">
    <w:name w:val="List 31"/>
    <w:basedOn w:val="NoList"/>
    <w:pPr>
      <w:numPr>
        <w:numId w:val="88"/>
      </w:numPr>
    </w:pPr>
  </w:style>
  <w:style w:type="numbering" w:customStyle="1" w:styleId="List32">
    <w:name w:val="List 32"/>
    <w:basedOn w:val="NoList"/>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69"/>
      </w:numPr>
    </w:pPr>
  </w:style>
  <w:style w:type="numbering" w:customStyle="1" w:styleId="List34">
    <w:name w:val="List 34"/>
    <w:basedOn w:val="NoList"/>
    <w:pPr>
      <w:numPr>
        <w:numId w:val="54"/>
      </w:numPr>
    </w:pPr>
  </w:style>
  <w:style w:type="numbering" w:customStyle="1" w:styleId="List35">
    <w:name w:val="List 35"/>
    <w:basedOn w:val="NoList"/>
    <w:pPr>
      <w:numPr>
        <w:numId w:val="35"/>
      </w:numPr>
    </w:pPr>
  </w:style>
  <w:style w:type="numbering" w:customStyle="1" w:styleId="List36">
    <w:name w:val="List 36"/>
    <w:basedOn w:val="NoList"/>
    <w:pPr>
      <w:numPr>
        <w:numId w:val="57"/>
      </w:numPr>
    </w:pPr>
  </w:style>
  <w:style w:type="numbering" w:customStyle="1" w:styleId="List37">
    <w:name w:val="List 37"/>
    <w:basedOn w:val="NoList"/>
    <w:pPr>
      <w:numPr>
        <w:numId w:val="90"/>
      </w:numPr>
    </w:pPr>
  </w:style>
  <w:style w:type="numbering" w:customStyle="1" w:styleId="List38">
    <w:name w:val="List 38"/>
    <w:basedOn w:val="NoList"/>
    <w:pPr>
      <w:numPr>
        <w:numId w:val="78"/>
      </w:numPr>
    </w:pPr>
  </w:style>
  <w:style w:type="numbering" w:customStyle="1" w:styleId="List39">
    <w:name w:val="List 39"/>
    <w:basedOn w:val="NoList"/>
    <w:pPr>
      <w:numPr>
        <w:numId w:val="89"/>
      </w:numPr>
    </w:pPr>
  </w:style>
  <w:style w:type="numbering" w:customStyle="1" w:styleId="List40">
    <w:name w:val="List 40"/>
    <w:basedOn w:val="NoList"/>
    <w:pPr>
      <w:numPr>
        <w:numId w:val="64"/>
      </w:numPr>
    </w:pPr>
  </w:style>
  <w:style w:type="numbering" w:customStyle="1" w:styleId="List410">
    <w:name w:val="List 41"/>
    <w:basedOn w:val="NoList"/>
    <w:pPr>
      <w:numPr>
        <w:numId w:val="87"/>
      </w:numPr>
    </w:pPr>
  </w:style>
  <w:style w:type="numbering" w:customStyle="1" w:styleId="List42">
    <w:name w:val="List 42"/>
    <w:basedOn w:val="NoList"/>
    <w:pPr>
      <w:numPr>
        <w:numId w:val="42"/>
      </w:numPr>
    </w:pPr>
  </w:style>
  <w:style w:type="numbering" w:customStyle="1" w:styleId="List43">
    <w:name w:val="List 43"/>
    <w:basedOn w:val="NoList"/>
    <w:pPr>
      <w:numPr>
        <w:numId w:val="66"/>
      </w:numPr>
    </w:pPr>
  </w:style>
  <w:style w:type="numbering" w:customStyle="1" w:styleId="List44">
    <w:name w:val="List 44"/>
    <w:basedOn w:val="NoList"/>
    <w:pPr>
      <w:numPr>
        <w:numId w:val="83"/>
      </w:numPr>
    </w:pPr>
  </w:style>
  <w:style w:type="numbering" w:customStyle="1" w:styleId="List45">
    <w:name w:val="List 45"/>
    <w:basedOn w:val="NoList"/>
    <w:pPr>
      <w:numPr>
        <w:numId w:val="63"/>
      </w:numPr>
    </w:pPr>
  </w:style>
  <w:style w:type="numbering" w:customStyle="1" w:styleId="List46">
    <w:name w:val="List 46"/>
    <w:basedOn w:val="NoList"/>
    <w:pPr>
      <w:numPr>
        <w:numId w:val="67"/>
      </w:numPr>
    </w:pPr>
  </w:style>
  <w:style w:type="numbering" w:customStyle="1" w:styleId="List47">
    <w:name w:val="List 47"/>
    <w:basedOn w:val="NoList"/>
    <w:pPr>
      <w:numPr>
        <w:numId w:val="72"/>
      </w:numPr>
    </w:pPr>
  </w:style>
  <w:style w:type="numbering" w:customStyle="1" w:styleId="List48">
    <w:name w:val="List 48"/>
    <w:basedOn w:val="NoList"/>
    <w:pPr>
      <w:numPr>
        <w:numId w:val="93"/>
      </w:numPr>
    </w:pPr>
  </w:style>
  <w:style w:type="numbering" w:customStyle="1" w:styleId="List49">
    <w:name w:val="List 49"/>
    <w:basedOn w:val="NoList"/>
    <w:pPr>
      <w:numPr>
        <w:numId w:val="82"/>
      </w:numPr>
    </w:pPr>
  </w:style>
  <w:style w:type="numbering" w:customStyle="1" w:styleId="List50">
    <w:name w:val="List 50"/>
    <w:basedOn w:val="NoList"/>
    <w:pPr>
      <w:numPr>
        <w:numId w:val="80"/>
      </w:numPr>
    </w:pPr>
  </w:style>
  <w:style w:type="numbering" w:customStyle="1" w:styleId="List51">
    <w:name w:val="List 51"/>
    <w:basedOn w:val="NoList"/>
    <w:pPr>
      <w:numPr>
        <w:numId w:val="76"/>
      </w:numPr>
    </w:pPr>
  </w:style>
  <w:style w:type="numbering" w:customStyle="1" w:styleId="List52">
    <w:name w:val="List 52"/>
    <w:basedOn w:val="NoList"/>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E90E6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F32918"/>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A2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20006">
      <w:bodyDiv w:val="1"/>
      <w:marLeft w:val="0"/>
      <w:marRight w:val="0"/>
      <w:marTop w:val="0"/>
      <w:marBottom w:val="0"/>
      <w:divBdr>
        <w:top w:val="none" w:sz="0" w:space="0" w:color="auto"/>
        <w:left w:val="none" w:sz="0" w:space="0" w:color="auto"/>
        <w:bottom w:val="none" w:sz="0" w:space="0" w:color="auto"/>
        <w:right w:val="none" w:sz="0" w:space="0" w:color="auto"/>
      </w:divBdr>
      <w:divsChild>
        <w:div w:id="1368608222">
          <w:marLeft w:val="0"/>
          <w:marRight w:val="0"/>
          <w:marTop w:val="0"/>
          <w:marBottom w:val="0"/>
          <w:divBdr>
            <w:top w:val="none" w:sz="0" w:space="0" w:color="auto"/>
            <w:left w:val="none" w:sz="0" w:space="0" w:color="auto"/>
            <w:bottom w:val="none" w:sz="0" w:space="0" w:color="auto"/>
            <w:right w:val="none" w:sz="0" w:space="0" w:color="auto"/>
          </w:divBdr>
        </w:div>
        <w:div w:id="153765323">
          <w:marLeft w:val="0"/>
          <w:marRight w:val="0"/>
          <w:marTop w:val="0"/>
          <w:marBottom w:val="0"/>
          <w:divBdr>
            <w:top w:val="none" w:sz="0" w:space="0" w:color="auto"/>
            <w:left w:val="none" w:sz="0" w:space="0" w:color="auto"/>
            <w:bottom w:val="none" w:sz="0" w:space="0" w:color="auto"/>
            <w:right w:val="none" w:sz="0" w:space="0" w:color="auto"/>
          </w:divBdr>
          <w:divsChild>
            <w:div w:id="590551263">
              <w:marLeft w:val="0"/>
              <w:marRight w:val="165"/>
              <w:marTop w:val="150"/>
              <w:marBottom w:val="0"/>
              <w:divBdr>
                <w:top w:val="none" w:sz="0" w:space="0" w:color="auto"/>
                <w:left w:val="none" w:sz="0" w:space="0" w:color="auto"/>
                <w:bottom w:val="none" w:sz="0" w:space="0" w:color="auto"/>
                <w:right w:val="none" w:sz="0" w:space="0" w:color="auto"/>
              </w:divBdr>
              <w:divsChild>
                <w:div w:id="1589657308">
                  <w:marLeft w:val="0"/>
                  <w:marRight w:val="0"/>
                  <w:marTop w:val="0"/>
                  <w:marBottom w:val="0"/>
                  <w:divBdr>
                    <w:top w:val="none" w:sz="0" w:space="0" w:color="auto"/>
                    <w:left w:val="none" w:sz="0" w:space="0" w:color="auto"/>
                    <w:bottom w:val="none" w:sz="0" w:space="0" w:color="auto"/>
                    <w:right w:val="none" w:sz="0" w:space="0" w:color="auto"/>
                  </w:divBdr>
                  <w:divsChild>
                    <w:div w:id="16571058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1264353">
      <w:bodyDiv w:val="1"/>
      <w:marLeft w:val="0"/>
      <w:marRight w:val="0"/>
      <w:marTop w:val="0"/>
      <w:marBottom w:val="0"/>
      <w:divBdr>
        <w:top w:val="none" w:sz="0" w:space="0" w:color="auto"/>
        <w:left w:val="none" w:sz="0" w:space="0" w:color="auto"/>
        <w:bottom w:val="none" w:sz="0" w:space="0" w:color="auto"/>
        <w:right w:val="none" w:sz="0" w:space="0" w:color="auto"/>
      </w:divBdr>
      <w:divsChild>
        <w:div w:id="2123573545">
          <w:marLeft w:val="0"/>
          <w:marRight w:val="0"/>
          <w:marTop w:val="0"/>
          <w:marBottom w:val="0"/>
          <w:divBdr>
            <w:top w:val="none" w:sz="0" w:space="0" w:color="auto"/>
            <w:left w:val="none" w:sz="0" w:space="0" w:color="auto"/>
            <w:bottom w:val="none" w:sz="0" w:space="0" w:color="auto"/>
            <w:right w:val="none" w:sz="0" w:space="0" w:color="auto"/>
          </w:divBdr>
        </w:div>
        <w:div w:id="45761126">
          <w:marLeft w:val="0"/>
          <w:marRight w:val="0"/>
          <w:marTop w:val="0"/>
          <w:marBottom w:val="0"/>
          <w:divBdr>
            <w:top w:val="none" w:sz="0" w:space="0" w:color="auto"/>
            <w:left w:val="none" w:sz="0" w:space="0" w:color="auto"/>
            <w:bottom w:val="none" w:sz="0" w:space="0" w:color="auto"/>
            <w:right w:val="none" w:sz="0" w:space="0" w:color="auto"/>
          </w:divBdr>
          <w:divsChild>
            <w:div w:id="1638954707">
              <w:marLeft w:val="0"/>
              <w:marRight w:val="165"/>
              <w:marTop w:val="150"/>
              <w:marBottom w:val="0"/>
              <w:divBdr>
                <w:top w:val="none" w:sz="0" w:space="0" w:color="auto"/>
                <w:left w:val="none" w:sz="0" w:space="0" w:color="auto"/>
                <w:bottom w:val="none" w:sz="0" w:space="0" w:color="auto"/>
                <w:right w:val="none" w:sz="0" w:space="0" w:color="auto"/>
              </w:divBdr>
              <w:divsChild>
                <w:div w:id="1155755512">
                  <w:marLeft w:val="0"/>
                  <w:marRight w:val="0"/>
                  <w:marTop w:val="0"/>
                  <w:marBottom w:val="0"/>
                  <w:divBdr>
                    <w:top w:val="none" w:sz="0" w:space="0" w:color="auto"/>
                    <w:left w:val="none" w:sz="0" w:space="0" w:color="auto"/>
                    <w:bottom w:val="none" w:sz="0" w:space="0" w:color="auto"/>
                    <w:right w:val="none" w:sz="0" w:space="0" w:color="auto"/>
                  </w:divBdr>
                  <w:divsChild>
                    <w:div w:id="2829981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473D2"/>
    <w:rsid w:val="000B46AA"/>
    <w:rsid w:val="001268BF"/>
    <w:rsid w:val="002C0C82"/>
    <w:rsid w:val="00357051"/>
    <w:rsid w:val="00372108"/>
    <w:rsid w:val="003B785D"/>
    <w:rsid w:val="004108B1"/>
    <w:rsid w:val="005471BF"/>
    <w:rsid w:val="00AB44F1"/>
    <w:rsid w:val="00E116EC"/>
    <w:rsid w:val="00E715BD"/>
    <w:rsid w:val="00EA0868"/>
    <w:rsid w:val="00F65D33"/>
    <w:rsid w:val="00F71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3164</Words>
  <Characters>18041</Characters>
  <Application>Microsoft Office Word</Application>
  <DocSecurity>0</DocSecurity>
  <Lines>150</Lines>
  <Paragraphs>42</Paragraphs>
  <ScaleCrop>false</ScaleCrop>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2023-07-10T21:34:00Z</dcterms:created>
  <dcterms:modified xsi:type="dcterms:W3CDTF">2023-07-10T21:34:00Z</dcterms:modified>
</cp:coreProperties>
</file>