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193B9F" w:rsidRDefault="006311DA" w:rsidP="00627C9F">
      <w:pPr>
        <w:jc w:val="both"/>
        <w:rPr>
          <w:rFonts w:asciiTheme="majorHAnsi" w:hAnsiTheme="majorHAnsi" w:cs="Univers"/>
          <w:b/>
          <w:bCs/>
          <w:sz w:val="22"/>
          <w:szCs w:val="22"/>
        </w:rPr>
      </w:pPr>
      <w:r w:rsidRPr="00193B9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DCB2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193B9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193B9F" w:rsidRDefault="00040C3A" w:rsidP="00040C3A">
      <w:pPr>
        <w:tabs>
          <w:tab w:val="center" w:pos="5400"/>
        </w:tabs>
        <w:suppressAutoHyphens/>
        <w:jc w:val="both"/>
        <w:rPr>
          <w:rFonts w:asciiTheme="majorHAnsi" w:hAnsiTheme="majorHAnsi"/>
          <w:sz w:val="22"/>
          <w:szCs w:val="22"/>
        </w:rPr>
      </w:pPr>
    </w:p>
    <w:p w14:paraId="54AC1FBF" w14:textId="77777777" w:rsidR="00040C3A" w:rsidRPr="00193B9F" w:rsidRDefault="00040C3A" w:rsidP="00040C3A">
      <w:pPr>
        <w:tabs>
          <w:tab w:val="center" w:pos="5400"/>
        </w:tabs>
        <w:suppressAutoHyphens/>
        <w:jc w:val="both"/>
        <w:rPr>
          <w:rFonts w:asciiTheme="majorHAnsi" w:hAnsiTheme="majorHAnsi"/>
          <w:sz w:val="22"/>
          <w:szCs w:val="22"/>
        </w:rPr>
      </w:pPr>
    </w:p>
    <w:p w14:paraId="6A4AC464" w14:textId="77777777" w:rsidR="005128E4" w:rsidRPr="00193B9F" w:rsidRDefault="005128E4" w:rsidP="00040C3A">
      <w:pPr>
        <w:tabs>
          <w:tab w:val="center" w:pos="5400"/>
        </w:tabs>
        <w:suppressAutoHyphens/>
        <w:rPr>
          <w:rFonts w:asciiTheme="majorHAnsi" w:hAnsiTheme="majorHAnsi"/>
          <w:sz w:val="22"/>
          <w:szCs w:val="22"/>
        </w:rPr>
      </w:pPr>
    </w:p>
    <w:p w14:paraId="515D20A5" w14:textId="77777777" w:rsidR="005128E4" w:rsidRPr="00193B9F" w:rsidRDefault="005128E4" w:rsidP="00040C3A">
      <w:pPr>
        <w:tabs>
          <w:tab w:val="center" w:pos="5400"/>
        </w:tabs>
        <w:suppressAutoHyphens/>
        <w:rPr>
          <w:rFonts w:asciiTheme="majorHAnsi" w:hAnsiTheme="majorHAnsi"/>
          <w:sz w:val="22"/>
          <w:szCs w:val="22"/>
        </w:rPr>
      </w:pPr>
    </w:p>
    <w:p w14:paraId="7CBA3E7E" w14:textId="77777777" w:rsidR="005128E4" w:rsidRPr="00193B9F" w:rsidRDefault="005128E4" w:rsidP="00040C3A">
      <w:pPr>
        <w:tabs>
          <w:tab w:val="center" w:pos="5400"/>
        </w:tabs>
        <w:suppressAutoHyphens/>
        <w:rPr>
          <w:rFonts w:asciiTheme="majorHAnsi" w:hAnsiTheme="majorHAnsi"/>
          <w:sz w:val="22"/>
          <w:szCs w:val="22"/>
        </w:rPr>
      </w:pPr>
    </w:p>
    <w:p w14:paraId="0FFC5ED6" w14:textId="77777777" w:rsidR="00040C3A" w:rsidRPr="00193B9F" w:rsidRDefault="00040C3A" w:rsidP="005128E4">
      <w:pPr>
        <w:tabs>
          <w:tab w:val="center" w:pos="5400"/>
        </w:tabs>
        <w:suppressAutoHyphens/>
        <w:jc w:val="center"/>
        <w:rPr>
          <w:rFonts w:asciiTheme="majorHAnsi" w:hAnsiTheme="majorHAnsi"/>
          <w:sz w:val="22"/>
          <w:szCs w:val="22"/>
        </w:rPr>
      </w:pPr>
    </w:p>
    <w:p w14:paraId="5FCF0358" w14:textId="77777777" w:rsidR="00040C3A" w:rsidRPr="00193B9F" w:rsidRDefault="00040C3A" w:rsidP="005128E4">
      <w:pPr>
        <w:tabs>
          <w:tab w:val="center" w:pos="5400"/>
        </w:tabs>
        <w:suppressAutoHyphens/>
        <w:jc w:val="center"/>
        <w:rPr>
          <w:rFonts w:asciiTheme="majorHAnsi" w:hAnsiTheme="majorHAnsi"/>
          <w:sz w:val="22"/>
          <w:szCs w:val="22"/>
        </w:rPr>
      </w:pPr>
    </w:p>
    <w:p w14:paraId="23C02B60" w14:textId="77777777" w:rsidR="005B52B0" w:rsidRPr="00193B9F" w:rsidRDefault="005B52B0" w:rsidP="005128E4">
      <w:pPr>
        <w:tabs>
          <w:tab w:val="center" w:pos="5400"/>
        </w:tabs>
        <w:suppressAutoHyphens/>
        <w:jc w:val="center"/>
        <w:rPr>
          <w:rFonts w:asciiTheme="majorHAnsi" w:hAnsiTheme="majorHAnsi"/>
          <w:sz w:val="22"/>
          <w:szCs w:val="22"/>
        </w:rPr>
      </w:pPr>
    </w:p>
    <w:p w14:paraId="1E4CC4A3" w14:textId="77777777" w:rsidR="005B52B0" w:rsidRPr="00193B9F" w:rsidRDefault="005B52B0" w:rsidP="005128E4">
      <w:pPr>
        <w:tabs>
          <w:tab w:val="center" w:pos="5400"/>
        </w:tabs>
        <w:suppressAutoHyphens/>
        <w:jc w:val="center"/>
        <w:rPr>
          <w:rFonts w:asciiTheme="majorHAnsi" w:hAnsiTheme="majorHAnsi"/>
          <w:sz w:val="22"/>
          <w:szCs w:val="22"/>
        </w:rPr>
      </w:pPr>
    </w:p>
    <w:p w14:paraId="022074FD" w14:textId="77777777" w:rsidR="005B52B0" w:rsidRPr="00193B9F" w:rsidRDefault="005B52B0" w:rsidP="005128E4">
      <w:pPr>
        <w:tabs>
          <w:tab w:val="center" w:pos="5400"/>
        </w:tabs>
        <w:suppressAutoHyphens/>
        <w:jc w:val="center"/>
        <w:rPr>
          <w:rFonts w:asciiTheme="majorHAnsi" w:hAnsiTheme="majorHAnsi"/>
          <w:sz w:val="22"/>
          <w:szCs w:val="22"/>
        </w:rPr>
      </w:pPr>
    </w:p>
    <w:p w14:paraId="3234C43C" w14:textId="77777777" w:rsidR="00040C3A" w:rsidRPr="00193B9F" w:rsidRDefault="00040C3A" w:rsidP="00040C3A">
      <w:pPr>
        <w:tabs>
          <w:tab w:val="center" w:pos="5400"/>
        </w:tabs>
        <w:suppressAutoHyphens/>
        <w:jc w:val="center"/>
        <w:rPr>
          <w:rFonts w:asciiTheme="majorHAnsi" w:hAnsiTheme="majorHAnsi"/>
          <w:sz w:val="22"/>
          <w:szCs w:val="22"/>
        </w:rPr>
      </w:pPr>
    </w:p>
    <w:p w14:paraId="2D58FFBA" w14:textId="77777777" w:rsidR="00040C3A" w:rsidRPr="00193B9F" w:rsidRDefault="00040C3A" w:rsidP="00040C3A">
      <w:pPr>
        <w:tabs>
          <w:tab w:val="center" w:pos="5400"/>
        </w:tabs>
        <w:suppressAutoHyphens/>
        <w:jc w:val="center"/>
        <w:rPr>
          <w:rFonts w:asciiTheme="majorHAnsi" w:hAnsiTheme="majorHAnsi"/>
          <w:sz w:val="22"/>
          <w:szCs w:val="22"/>
        </w:rPr>
      </w:pPr>
    </w:p>
    <w:p w14:paraId="4A574974" w14:textId="77777777" w:rsidR="00040C3A" w:rsidRPr="00193B9F" w:rsidRDefault="00040C3A" w:rsidP="00040C3A">
      <w:pPr>
        <w:tabs>
          <w:tab w:val="center" w:pos="5400"/>
        </w:tabs>
        <w:suppressAutoHyphens/>
        <w:jc w:val="center"/>
        <w:rPr>
          <w:rFonts w:asciiTheme="majorHAnsi" w:hAnsiTheme="majorHAnsi"/>
          <w:sz w:val="22"/>
          <w:szCs w:val="22"/>
        </w:rPr>
      </w:pPr>
    </w:p>
    <w:p w14:paraId="11A9BA8A" w14:textId="77777777" w:rsidR="00040C3A" w:rsidRPr="00193B9F" w:rsidRDefault="00E533FF" w:rsidP="00040C3A">
      <w:pPr>
        <w:tabs>
          <w:tab w:val="center" w:pos="5400"/>
        </w:tabs>
        <w:suppressAutoHyphens/>
        <w:jc w:val="center"/>
        <w:rPr>
          <w:rFonts w:asciiTheme="majorHAnsi" w:hAnsiTheme="majorHAnsi"/>
          <w:sz w:val="22"/>
          <w:szCs w:val="22"/>
        </w:rPr>
      </w:pPr>
      <w:r w:rsidRPr="00193B9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F8BB04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E1A60">
                              <w:rPr>
                                <w:rFonts w:asciiTheme="majorHAnsi" w:hAnsiTheme="majorHAnsi" w:cs="Arial"/>
                                <w:b/>
                                <w:bCs/>
                                <w:color w:val="0D0D0D" w:themeColor="text1" w:themeTint="F2"/>
                                <w:sz w:val="36"/>
                                <w:szCs w:val="40"/>
                              </w:rPr>
                              <w:t>134</w:t>
                            </w:r>
                            <w:r w:rsidR="00322450" w:rsidRPr="004B7EB6">
                              <w:rPr>
                                <w:rFonts w:asciiTheme="majorHAnsi" w:hAnsiTheme="majorHAnsi" w:cs="Arial"/>
                                <w:b/>
                                <w:bCs/>
                                <w:color w:val="0D0D0D" w:themeColor="text1" w:themeTint="F2"/>
                                <w:sz w:val="36"/>
                                <w:szCs w:val="40"/>
                              </w:rPr>
                              <w:t>/</w:t>
                            </w:r>
                            <w:r w:rsidR="008349C1">
                              <w:rPr>
                                <w:rFonts w:asciiTheme="majorHAnsi" w:hAnsiTheme="majorHAnsi" w:cs="Arial"/>
                                <w:b/>
                                <w:bCs/>
                                <w:color w:val="0D0D0D" w:themeColor="text1" w:themeTint="F2"/>
                                <w:sz w:val="36"/>
                                <w:szCs w:val="40"/>
                              </w:rPr>
                              <w:t>23</w:t>
                            </w:r>
                          </w:p>
                          <w:p w14:paraId="081F51F3" w14:textId="072D8F1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349C1">
                              <w:rPr>
                                <w:rFonts w:asciiTheme="majorHAnsi" w:hAnsiTheme="majorHAnsi" w:cs="Arial"/>
                                <w:b/>
                                <w:bCs/>
                                <w:color w:val="0D0D0D" w:themeColor="text1" w:themeTint="F2"/>
                                <w:sz w:val="36"/>
                                <w:szCs w:val="40"/>
                              </w:rPr>
                              <w:t>433</w:t>
                            </w:r>
                            <w:r w:rsidR="00F621C3">
                              <w:rPr>
                                <w:rFonts w:asciiTheme="majorHAnsi" w:hAnsiTheme="majorHAnsi" w:cs="Arial"/>
                                <w:b/>
                                <w:bCs/>
                                <w:color w:val="0D0D0D" w:themeColor="text1" w:themeTint="F2"/>
                                <w:sz w:val="36"/>
                                <w:szCs w:val="40"/>
                              </w:rPr>
                              <w:t>-</w:t>
                            </w:r>
                            <w:r w:rsidR="008349C1">
                              <w:rPr>
                                <w:rFonts w:asciiTheme="majorHAnsi" w:hAnsiTheme="majorHAnsi" w:cs="Arial"/>
                                <w:b/>
                                <w:bCs/>
                                <w:color w:val="0D0D0D" w:themeColor="text1" w:themeTint="F2"/>
                                <w:sz w:val="36"/>
                                <w:szCs w:val="40"/>
                              </w:rPr>
                              <w:t>13</w:t>
                            </w:r>
                          </w:p>
                          <w:p w14:paraId="34978E5A" w14:textId="5803C94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6FD0799" w14:textId="46ED731B" w:rsidR="008349C1" w:rsidRPr="00CF73A0" w:rsidRDefault="008349C1" w:rsidP="008349C1">
                            <w:pPr>
                              <w:spacing w:line="276" w:lineRule="auto"/>
                              <w:rPr>
                                <w:rFonts w:asciiTheme="majorHAnsi" w:hAnsiTheme="majorHAnsi" w:cs="Arial"/>
                                <w:color w:val="0D0D0D" w:themeColor="text1" w:themeTint="F2"/>
                                <w:szCs w:val="22"/>
                              </w:rPr>
                            </w:pPr>
                            <w:r w:rsidRPr="00CF73A0">
                              <w:rPr>
                                <w:rFonts w:asciiTheme="majorHAnsi" w:hAnsiTheme="majorHAnsi" w:cs="Arial"/>
                                <w:color w:val="0D0D0D" w:themeColor="text1" w:themeTint="F2"/>
                                <w:szCs w:val="22"/>
                              </w:rPr>
                              <w:t>ISY OBED MURILLO MENCÍAS AND OTHERS</w:t>
                            </w:r>
                          </w:p>
                          <w:p w14:paraId="48EBC31A" w14:textId="24194682" w:rsidR="00F42B71" w:rsidRPr="004B625D" w:rsidRDefault="008349C1" w:rsidP="008349C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5F8BB04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E1A60">
                        <w:rPr>
                          <w:rFonts w:asciiTheme="majorHAnsi" w:hAnsiTheme="majorHAnsi" w:cs="Arial"/>
                          <w:b/>
                          <w:bCs/>
                          <w:color w:val="0D0D0D" w:themeColor="text1" w:themeTint="F2"/>
                          <w:sz w:val="36"/>
                          <w:szCs w:val="40"/>
                        </w:rPr>
                        <w:t>134</w:t>
                      </w:r>
                      <w:r w:rsidR="00322450" w:rsidRPr="004B7EB6">
                        <w:rPr>
                          <w:rFonts w:asciiTheme="majorHAnsi" w:hAnsiTheme="majorHAnsi" w:cs="Arial"/>
                          <w:b/>
                          <w:bCs/>
                          <w:color w:val="0D0D0D" w:themeColor="text1" w:themeTint="F2"/>
                          <w:sz w:val="36"/>
                          <w:szCs w:val="40"/>
                        </w:rPr>
                        <w:t>/</w:t>
                      </w:r>
                      <w:r w:rsidR="008349C1">
                        <w:rPr>
                          <w:rFonts w:asciiTheme="majorHAnsi" w:hAnsiTheme="majorHAnsi" w:cs="Arial"/>
                          <w:b/>
                          <w:bCs/>
                          <w:color w:val="0D0D0D" w:themeColor="text1" w:themeTint="F2"/>
                          <w:sz w:val="36"/>
                          <w:szCs w:val="40"/>
                        </w:rPr>
                        <w:t>23</w:t>
                      </w:r>
                    </w:p>
                    <w:p w14:paraId="081F51F3" w14:textId="072D8F1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349C1">
                        <w:rPr>
                          <w:rFonts w:asciiTheme="majorHAnsi" w:hAnsiTheme="majorHAnsi" w:cs="Arial"/>
                          <w:b/>
                          <w:bCs/>
                          <w:color w:val="0D0D0D" w:themeColor="text1" w:themeTint="F2"/>
                          <w:sz w:val="36"/>
                          <w:szCs w:val="40"/>
                        </w:rPr>
                        <w:t>433</w:t>
                      </w:r>
                      <w:r w:rsidR="00F621C3">
                        <w:rPr>
                          <w:rFonts w:asciiTheme="majorHAnsi" w:hAnsiTheme="majorHAnsi" w:cs="Arial"/>
                          <w:b/>
                          <w:bCs/>
                          <w:color w:val="0D0D0D" w:themeColor="text1" w:themeTint="F2"/>
                          <w:sz w:val="36"/>
                          <w:szCs w:val="40"/>
                        </w:rPr>
                        <w:t>-</w:t>
                      </w:r>
                      <w:r w:rsidR="008349C1">
                        <w:rPr>
                          <w:rFonts w:asciiTheme="majorHAnsi" w:hAnsiTheme="majorHAnsi" w:cs="Arial"/>
                          <w:b/>
                          <w:bCs/>
                          <w:color w:val="0D0D0D" w:themeColor="text1" w:themeTint="F2"/>
                          <w:sz w:val="36"/>
                          <w:szCs w:val="40"/>
                        </w:rPr>
                        <w:t>13</w:t>
                      </w:r>
                    </w:p>
                    <w:p w14:paraId="34978E5A" w14:textId="5803C94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6FD0799" w14:textId="46ED731B" w:rsidR="008349C1" w:rsidRPr="00CF73A0" w:rsidRDefault="008349C1" w:rsidP="008349C1">
                      <w:pPr>
                        <w:spacing w:line="276" w:lineRule="auto"/>
                        <w:rPr>
                          <w:rFonts w:asciiTheme="majorHAnsi" w:hAnsiTheme="majorHAnsi" w:cs="Arial"/>
                          <w:color w:val="0D0D0D" w:themeColor="text1" w:themeTint="F2"/>
                          <w:szCs w:val="22"/>
                        </w:rPr>
                      </w:pPr>
                      <w:r w:rsidRPr="00CF73A0">
                        <w:rPr>
                          <w:rFonts w:asciiTheme="majorHAnsi" w:hAnsiTheme="majorHAnsi" w:cs="Arial"/>
                          <w:color w:val="0D0D0D" w:themeColor="text1" w:themeTint="F2"/>
                          <w:szCs w:val="22"/>
                        </w:rPr>
                        <w:t>ISY OBED MURILLO MENCÍAS AND OTHERS</w:t>
                      </w:r>
                    </w:p>
                    <w:p w14:paraId="48EBC31A" w14:textId="24194682" w:rsidR="00F42B71" w:rsidRPr="004B625D" w:rsidRDefault="008349C1" w:rsidP="008349C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HONDURAS</w:t>
                      </w:r>
                    </w:p>
                  </w:txbxContent>
                </v:textbox>
              </v:shape>
            </w:pict>
          </mc:Fallback>
        </mc:AlternateContent>
      </w:r>
      <w:r w:rsidR="004B7EB6" w:rsidRPr="00193B9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30CF25A"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OA</w:t>
                            </w:r>
                            <w:r w:rsidR="005574F9">
                              <w:rPr>
                                <w:rFonts w:asciiTheme="minorHAnsi" w:hAnsiTheme="minorHAnsi"/>
                                <w:color w:val="FFFFFF" w:themeColor="background1"/>
                                <w:sz w:val="22"/>
                                <w:lang w:val="pt-BR"/>
                              </w:rPr>
                              <w:t>S</w:t>
                            </w:r>
                            <w:r w:rsidRPr="00466D0B">
                              <w:rPr>
                                <w:rFonts w:asciiTheme="minorHAnsi" w:hAnsiTheme="minorHAnsi"/>
                                <w:color w:val="FFFFFF" w:themeColor="background1"/>
                                <w:sz w:val="22"/>
                                <w:lang w:val="pt-BR"/>
                              </w:rPr>
                              <w:t>/Ser.L/V/II.</w:t>
                            </w:r>
                          </w:p>
                          <w:p w14:paraId="4AA08A8C" w14:textId="2EFC5CB5" w:rsidR="00627C9F" w:rsidRPr="002E1A60" w:rsidRDefault="00CA6577" w:rsidP="009E566A">
                            <w:pPr>
                              <w:jc w:val="right"/>
                              <w:rPr>
                                <w:rFonts w:asciiTheme="minorHAnsi" w:hAnsiTheme="minorHAnsi"/>
                                <w:color w:val="FFFFFF" w:themeColor="background1"/>
                                <w:sz w:val="22"/>
                              </w:rPr>
                            </w:pPr>
                            <w:r w:rsidRPr="002E1A60">
                              <w:rPr>
                                <w:rFonts w:asciiTheme="minorHAnsi" w:hAnsiTheme="minorHAnsi"/>
                                <w:color w:val="FFFFFF" w:themeColor="background1"/>
                                <w:sz w:val="22"/>
                              </w:rPr>
                              <w:t xml:space="preserve">Doc. </w:t>
                            </w:r>
                            <w:r w:rsidR="002E1A60" w:rsidRPr="002E1A60">
                              <w:rPr>
                                <w:rFonts w:asciiTheme="minorHAnsi" w:hAnsiTheme="minorHAnsi"/>
                                <w:color w:val="FFFFFF" w:themeColor="background1"/>
                                <w:sz w:val="22"/>
                              </w:rPr>
                              <w:t>144</w:t>
                            </w:r>
                          </w:p>
                          <w:p w14:paraId="0BEFF61A" w14:textId="40F0CD01" w:rsidR="00627C9F" w:rsidRPr="002E1A60" w:rsidRDefault="00022CF5" w:rsidP="009E566A">
                            <w:pPr>
                              <w:jc w:val="right"/>
                              <w:rPr>
                                <w:rFonts w:asciiTheme="minorHAnsi" w:hAnsiTheme="minorHAnsi"/>
                                <w:color w:val="FFFFFF" w:themeColor="background1"/>
                                <w:sz w:val="22"/>
                              </w:rPr>
                            </w:pPr>
                            <w:r w:rsidRPr="002E1A60">
                              <w:rPr>
                                <w:rFonts w:asciiTheme="minorHAnsi" w:hAnsiTheme="minorHAnsi"/>
                                <w:color w:val="FFFFFF" w:themeColor="background1"/>
                                <w:sz w:val="22"/>
                              </w:rPr>
                              <w:t xml:space="preserve"> </w:t>
                            </w:r>
                            <w:r w:rsidR="002E1A60" w:rsidRPr="002E1A60">
                              <w:rPr>
                                <w:rFonts w:asciiTheme="minorHAnsi" w:hAnsiTheme="minorHAnsi"/>
                                <w:color w:val="FFFFFF" w:themeColor="background1"/>
                                <w:sz w:val="22"/>
                              </w:rPr>
                              <w:t>August</w:t>
                            </w:r>
                            <w:r w:rsidR="000C4365" w:rsidRPr="002E1A60">
                              <w:rPr>
                                <w:rFonts w:asciiTheme="minorHAnsi" w:hAnsiTheme="minorHAnsi"/>
                                <w:color w:val="FFFFFF" w:themeColor="background1"/>
                                <w:sz w:val="22"/>
                              </w:rPr>
                              <w:t xml:space="preserve"> </w:t>
                            </w:r>
                            <w:r w:rsidR="002E1A60" w:rsidRPr="002E1A60">
                              <w:rPr>
                                <w:rFonts w:asciiTheme="minorHAnsi" w:hAnsiTheme="minorHAnsi"/>
                                <w:color w:val="FFFFFF" w:themeColor="background1"/>
                                <w:sz w:val="22"/>
                              </w:rPr>
                              <w:t>1</w:t>
                            </w:r>
                            <w:r w:rsidR="000C4365" w:rsidRPr="002E1A60">
                              <w:rPr>
                                <w:rFonts w:asciiTheme="minorHAnsi" w:hAnsiTheme="minorHAnsi"/>
                                <w:color w:val="FFFFFF" w:themeColor="background1"/>
                                <w:sz w:val="22"/>
                              </w:rPr>
                              <w:t xml:space="preserve">, </w:t>
                            </w:r>
                            <w:r w:rsidR="006614CA" w:rsidRPr="002E1A60">
                              <w:rPr>
                                <w:rFonts w:asciiTheme="minorHAnsi" w:hAnsiTheme="minorHAnsi"/>
                                <w:color w:val="FFFFFF" w:themeColor="background1"/>
                                <w:sz w:val="22"/>
                              </w:rPr>
                              <w:t>202</w:t>
                            </w:r>
                            <w:r w:rsidR="005574F9" w:rsidRPr="002E1A60">
                              <w:rPr>
                                <w:rFonts w:asciiTheme="minorHAnsi" w:hAnsiTheme="minorHAnsi"/>
                                <w:color w:val="FFFFFF" w:themeColor="background1"/>
                                <w:sz w:val="22"/>
                              </w:rPr>
                              <w:t>3</w:t>
                            </w:r>
                          </w:p>
                          <w:p w14:paraId="0FC103BD" w14:textId="6EC48E1C" w:rsidR="00627C9F" w:rsidRPr="002E1A60" w:rsidRDefault="00627C9F" w:rsidP="009E566A">
                            <w:pPr>
                              <w:jc w:val="right"/>
                              <w:rPr>
                                <w:rFonts w:asciiTheme="minorHAnsi" w:hAnsiTheme="minorHAnsi"/>
                                <w:color w:val="FFFFFF" w:themeColor="background1"/>
                                <w:sz w:val="22"/>
                              </w:rPr>
                            </w:pPr>
                            <w:r w:rsidRPr="002E1A60">
                              <w:rPr>
                                <w:rFonts w:asciiTheme="minorHAnsi" w:hAnsiTheme="minorHAnsi"/>
                                <w:color w:val="FFFFFF" w:themeColor="background1"/>
                                <w:sz w:val="22"/>
                              </w:rPr>
                              <w:t>Original:</w:t>
                            </w:r>
                            <w:r w:rsidR="002C1641" w:rsidRPr="002E1A60">
                              <w:rPr>
                                <w:rFonts w:asciiTheme="minorHAnsi" w:hAnsiTheme="minorHAnsi"/>
                                <w:color w:val="FFFFFF" w:themeColor="background1"/>
                                <w:sz w:val="22"/>
                              </w:rPr>
                              <w:t xml:space="preserve"> </w:t>
                            </w:r>
                            <w:r w:rsidR="00F42B71" w:rsidRPr="002E1A6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30CF25A"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OA</w:t>
                      </w:r>
                      <w:r w:rsidR="005574F9">
                        <w:rPr>
                          <w:rFonts w:asciiTheme="minorHAnsi" w:hAnsiTheme="minorHAnsi"/>
                          <w:color w:val="FFFFFF" w:themeColor="background1"/>
                          <w:sz w:val="22"/>
                          <w:lang w:val="pt-BR"/>
                        </w:rPr>
                        <w:t>S</w:t>
                      </w:r>
                      <w:r w:rsidRPr="00466D0B">
                        <w:rPr>
                          <w:rFonts w:asciiTheme="minorHAnsi" w:hAnsiTheme="minorHAnsi"/>
                          <w:color w:val="FFFFFF" w:themeColor="background1"/>
                          <w:sz w:val="22"/>
                          <w:lang w:val="pt-BR"/>
                        </w:rPr>
                        <w:t>/Ser.L/V/II.</w:t>
                      </w:r>
                    </w:p>
                    <w:p w14:paraId="4AA08A8C" w14:textId="2EFC5CB5" w:rsidR="00627C9F" w:rsidRPr="002E1A60" w:rsidRDefault="00CA6577" w:rsidP="009E566A">
                      <w:pPr>
                        <w:jc w:val="right"/>
                        <w:rPr>
                          <w:rFonts w:asciiTheme="minorHAnsi" w:hAnsiTheme="minorHAnsi"/>
                          <w:color w:val="FFFFFF" w:themeColor="background1"/>
                          <w:sz w:val="22"/>
                        </w:rPr>
                      </w:pPr>
                      <w:r w:rsidRPr="002E1A60">
                        <w:rPr>
                          <w:rFonts w:asciiTheme="minorHAnsi" w:hAnsiTheme="minorHAnsi"/>
                          <w:color w:val="FFFFFF" w:themeColor="background1"/>
                          <w:sz w:val="22"/>
                        </w:rPr>
                        <w:t xml:space="preserve">Doc. </w:t>
                      </w:r>
                      <w:r w:rsidR="002E1A60" w:rsidRPr="002E1A60">
                        <w:rPr>
                          <w:rFonts w:asciiTheme="minorHAnsi" w:hAnsiTheme="minorHAnsi"/>
                          <w:color w:val="FFFFFF" w:themeColor="background1"/>
                          <w:sz w:val="22"/>
                        </w:rPr>
                        <w:t>144</w:t>
                      </w:r>
                    </w:p>
                    <w:p w14:paraId="0BEFF61A" w14:textId="40F0CD01" w:rsidR="00627C9F" w:rsidRPr="002E1A60" w:rsidRDefault="00022CF5" w:rsidP="009E566A">
                      <w:pPr>
                        <w:jc w:val="right"/>
                        <w:rPr>
                          <w:rFonts w:asciiTheme="minorHAnsi" w:hAnsiTheme="minorHAnsi"/>
                          <w:color w:val="FFFFFF" w:themeColor="background1"/>
                          <w:sz w:val="22"/>
                        </w:rPr>
                      </w:pPr>
                      <w:r w:rsidRPr="002E1A60">
                        <w:rPr>
                          <w:rFonts w:asciiTheme="minorHAnsi" w:hAnsiTheme="minorHAnsi"/>
                          <w:color w:val="FFFFFF" w:themeColor="background1"/>
                          <w:sz w:val="22"/>
                        </w:rPr>
                        <w:t xml:space="preserve"> </w:t>
                      </w:r>
                      <w:r w:rsidR="002E1A60" w:rsidRPr="002E1A60">
                        <w:rPr>
                          <w:rFonts w:asciiTheme="minorHAnsi" w:hAnsiTheme="minorHAnsi"/>
                          <w:color w:val="FFFFFF" w:themeColor="background1"/>
                          <w:sz w:val="22"/>
                        </w:rPr>
                        <w:t>August</w:t>
                      </w:r>
                      <w:r w:rsidR="000C4365" w:rsidRPr="002E1A60">
                        <w:rPr>
                          <w:rFonts w:asciiTheme="minorHAnsi" w:hAnsiTheme="minorHAnsi"/>
                          <w:color w:val="FFFFFF" w:themeColor="background1"/>
                          <w:sz w:val="22"/>
                        </w:rPr>
                        <w:t xml:space="preserve"> </w:t>
                      </w:r>
                      <w:r w:rsidR="002E1A60" w:rsidRPr="002E1A60">
                        <w:rPr>
                          <w:rFonts w:asciiTheme="minorHAnsi" w:hAnsiTheme="minorHAnsi"/>
                          <w:color w:val="FFFFFF" w:themeColor="background1"/>
                          <w:sz w:val="22"/>
                        </w:rPr>
                        <w:t>1</w:t>
                      </w:r>
                      <w:r w:rsidR="000C4365" w:rsidRPr="002E1A60">
                        <w:rPr>
                          <w:rFonts w:asciiTheme="minorHAnsi" w:hAnsiTheme="minorHAnsi"/>
                          <w:color w:val="FFFFFF" w:themeColor="background1"/>
                          <w:sz w:val="22"/>
                        </w:rPr>
                        <w:t xml:space="preserve">, </w:t>
                      </w:r>
                      <w:r w:rsidR="006614CA" w:rsidRPr="002E1A60">
                        <w:rPr>
                          <w:rFonts w:asciiTheme="minorHAnsi" w:hAnsiTheme="minorHAnsi"/>
                          <w:color w:val="FFFFFF" w:themeColor="background1"/>
                          <w:sz w:val="22"/>
                        </w:rPr>
                        <w:t>202</w:t>
                      </w:r>
                      <w:r w:rsidR="005574F9" w:rsidRPr="002E1A60">
                        <w:rPr>
                          <w:rFonts w:asciiTheme="minorHAnsi" w:hAnsiTheme="minorHAnsi"/>
                          <w:color w:val="FFFFFF" w:themeColor="background1"/>
                          <w:sz w:val="22"/>
                        </w:rPr>
                        <w:t>3</w:t>
                      </w:r>
                    </w:p>
                    <w:p w14:paraId="0FC103BD" w14:textId="6EC48E1C" w:rsidR="00627C9F" w:rsidRPr="002E1A60" w:rsidRDefault="00627C9F" w:rsidP="009E566A">
                      <w:pPr>
                        <w:jc w:val="right"/>
                        <w:rPr>
                          <w:rFonts w:asciiTheme="minorHAnsi" w:hAnsiTheme="minorHAnsi"/>
                          <w:color w:val="FFFFFF" w:themeColor="background1"/>
                          <w:sz w:val="22"/>
                        </w:rPr>
                      </w:pPr>
                      <w:r w:rsidRPr="002E1A60">
                        <w:rPr>
                          <w:rFonts w:asciiTheme="minorHAnsi" w:hAnsiTheme="minorHAnsi"/>
                          <w:color w:val="FFFFFF" w:themeColor="background1"/>
                          <w:sz w:val="22"/>
                        </w:rPr>
                        <w:t>Original:</w:t>
                      </w:r>
                      <w:r w:rsidR="002C1641" w:rsidRPr="002E1A60">
                        <w:rPr>
                          <w:rFonts w:asciiTheme="minorHAnsi" w:hAnsiTheme="minorHAnsi"/>
                          <w:color w:val="FFFFFF" w:themeColor="background1"/>
                          <w:sz w:val="22"/>
                        </w:rPr>
                        <w:t xml:space="preserve"> </w:t>
                      </w:r>
                      <w:r w:rsidR="00F42B71" w:rsidRPr="002E1A60">
                        <w:rPr>
                          <w:rFonts w:asciiTheme="minorHAnsi" w:hAnsiTheme="minorHAnsi"/>
                          <w:color w:val="FFFFFF" w:themeColor="background1"/>
                          <w:sz w:val="22"/>
                        </w:rPr>
                        <w:t>Spanish</w:t>
                      </w:r>
                    </w:p>
                  </w:txbxContent>
                </v:textbox>
              </v:shape>
            </w:pict>
          </mc:Fallback>
        </mc:AlternateContent>
      </w:r>
    </w:p>
    <w:p w14:paraId="3765F9FA" w14:textId="77777777" w:rsidR="00040C3A" w:rsidRPr="00193B9F" w:rsidRDefault="00040C3A" w:rsidP="00040C3A">
      <w:pPr>
        <w:tabs>
          <w:tab w:val="center" w:pos="5400"/>
        </w:tabs>
        <w:suppressAutoHyphens/>
        <w:jc w:val="center"/>
        <w:rPr>
          <w:rFonts w:asciiTheme="majorHAnsi" w:hAnsiTheme="majorHAnsi"/>
          <w:sz w:val="22"/>
          <w:szCs w:val="22"/>
        </w:rPr>
      </w:pPr>
    </w:p>
    <w:p w14:paraId="5E33CE59" w14:textId="77777777" w:rsidR="00040C3A" w:rsidRPr="00193B9F"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193B9F" w:rsidRDefault="00040C3A" w:rsidP="00040C3A">
      <w:pPr>
        <w:tabs>
          <w:tab w:val="center" w:pos="5400"/>
        </w:tabs>
        <w:suppressAutoHyphens/>
        <w:jc w:val="center"/>
        <w:rPr>
          <w:rFonts w:asciiTheme="majorHAnsi" w:hAnsiTheme="majorHAnsi"/>
          <w:sz w:val="22"/>
          <w:szCs w:val="22"/>
        </w:rPr>
      </w:pPr>
    </w:p>
    <w:p w14:paraId="43677EE2" w14:textId="77777777" w:rsidR="00040C3A" w:rsidRPr="00193B9F" w:rsidRDefault="00040C3A" w:rsidP="00040C3A">
      <w:pPr>
        <w:tabs>
          <w:tab w:val="center" w:pos="5400"/>
        </w:tabs>
        <w:suppressAutoHyphens/>
        <w:jc w:val="center"/>
        <w:rPr>
          <w:rFonts w:asciiTheme="majorHAnsi" w:hAnsiTheme="majorHAnsi"/>
          <w:sz w:val="22"/>
          <w:szCs w:val="22"/>
        </w:rPr>
      </w:pPr>
    </w:p>
    <w:p w14:paraId="747B776B" w14:textId="77777777" w:rsidR="00040C3A" w:rsidRPr="00193B9F" w:rsidRDefault="00040C3A" w:rsidP="00040C3A">
      <w:pPr>
        <w:tabs>
          <w:tab w:val="center" w:pos="5400"/>
        </w:tabs>
        <w:suppressAutoHyphens/>
        <w:jc w:val="center"/>
        <w:rPr>
          <w:rFonts w:asciiTheme="majorHAnsi" w:hAnsiTheme="majorHAnsi"/>
          <w:sz w:val="22"/>
          <w:szCs w:val="22"/>
        </w:rPr>
      </w:pPr>
    </w:p>
    <w:p w14:paraId="3FA14379" w14:textId="77777777" w:rsidR="00040C3A" w:rsidRPr="00193B9F" w:rsidRDefault="00040C3A" w:rsidP="00040C3A">
      <w:pPr>
        <w:tabs>
          <w:tab w:val="center" w:pos="5400"/>
        </w:tabs>
        <w:suppressAutoHyphens/>
        <w:jc w:val="center"/>
        <w:rPr>
          <w:rFonts w:asciiTheme="majorHAnsi" w:hAnsiTheme="majorHAnsi"/>
          <w:sz w:val="22"/>
          <w:szCs w:val="22"/>
        </w:rPr>
      </w:pPr>
    </w:p>
    <w:p w14:paraId="28A65FAF" w14:textId="77777777" w:rsidR="005128E4" w:rsidRPr="00193B9F" w:rsidRDefault="005128E4" w:rsidP="00040C3A">
      <w:pPr>
        <w:tabs>
          <w:tab w:val="center" w:pos="5400"/>
        </w:tabs>
        <w:suppressAutoHyphens/>
        <w:jc w:val="center"/>
        <w:rPr>
          <w:rFonts w:asciiTheme="majorHAnsi" w:hAnsiTheme="majorHAnsi"/>
          <w:sz w:val="22"/>
          <w:szCs w:val="22"/>
        </w:rPr>
      </w:pPr>
    </w:p>
    <w:p w14:paraId="11B1978A" w14:textId="77777777" w:rsidR="00040C3A" w:rsidRPr="00193B9F" w:rsidRDefault="00040C3A" w:rsidP="00040C3A">
      <w:pPr>
        <w:tabs>
          <w:tab w:val="center" w:pos="5400"/>
        </w:tabs>
        <w:suppressAutoHyphens/>
        <w:jc w:val="center"/>
        <w:rPr>
          <w:rFonts w:asciiTheme="majorHAnsi" w:hAnsiTheme="majorHAnsi"/>
          <w:sz w:val="22"/>
          <w:szCs w:val="22"/>
        </w:rPr>
      </w:pPr>
    </w:p>
    <w:p w14:paraId="650F503D" w14:textId="77777777" w:rsidR="005128E4" w:rsidRPr="00193B9F" w:rsidRDefault="005128E4" w:rsidP="00040C3A">
      <w:pPr>
        <w:tabs>
          <w:tab w:val="center" w:pos="5400"/>
        </w:tabs>
        <w:suppressAutoHyphens/>
        <w:jc w:val="center"/>
        <w:rPr>
          <w:rFonts w:asciiTheme="majorHAnsi" w:hAnsiTheme="majorHAnsi"/>
          <w:sz w:val="22"/>
          <w:szCs w:val="22"/>
        </w:rPr>
      </w:pPr>
    </w:p>
    <w:p w14:paraId="17861C77" w14:textId="77777777" w:rsidR="005128E4" w:rsidRPr="00193B9F" w:rsidRDefault="005128E4" w:rsidP="00040C3A">
      <w:pPr>
        <w:tabs>
          <w:tab w:val="center" w:pos="5400"/>
        </w:tabs>
        <w:suppressAutoHyphens/>
        <w:jc w:val="center"/>
        <w:rPr>
          <w:rFonts w:asciiTheme="majorHAnsi" w:hAnsiTheme="majorHAnsi"/>
          <w:sz w:val="22"/>
          <w:szCs w:val="22"/>
        </w:rPr>
      </w:pPr>
    </w:p>
    <w:p w14:paraId="0EFEAEB7" w14:textId="77777777" w:rsidR="005128E4" w:rsidRPr="00193B9F" w:rsidRDefault="005128E4" w:rsidP="00040C3A">
      <w:pPr>
        <w:tabs>
          <w:tab w:val="center" w:pos="5400"/>
        </w:tabs>
        <w:suppressAutoHyphens/>
        <w:jc w:val="center"/>
        <w:rPr>
          <w:rFonts w:asciiTheme="majorHAnsi" w:hAnsiTheme="majorHAnsi"/>
          <w:sz w:val="22"/>
          <w:szCs w:val="22"/>
        </w:rPr>
      </w:pPr>
    </w:p>
    <w:p w14:paraId="5B815FC5" w14:textId="77777777" w:rsidR="00040C3A" w:rsidRPr="00193B9F" w:rsidRDefault="00040C3A" w:rsidP="00040C3A">
      <w:pPr>
        <w:tabs>
          <w:tab w:val="center" w:pos="5400"/>
        </w:tabs>
        <w:suppressAutoHyphens/>
        <w:jc w:val="center"/>
        <w:rPr>
          <w:rFonts w:asciiTheme="majorHAnsi" w:hAnsiTheme="majorHAnsi"/>
          <w:sz w:val="22"/>
          <w:szCs w:val="22"/>
        </w:rPr>
      </w:pPr>
    </w:p>
    <w:p w14:paraId="0D43F8BD" w14:textId="77777777" w:rsidR="00040C3A" w:rsidRPr="00193B9F" w:rsidRDefault="00040C3A" w:rsidP="00040C3A">
      <w:pPr>
        <w:tabs>
          <w:tab w:val="center" w:pos="5400"/>
        </w:tabs>
        <w:suppressAutoHyphens/>
        <w:jc w:val="center"/>
        <w:rPr>
          <w:rFonts w:asciiTheme="majorHAnsi" w:hAnsiTheme="majorHAnsi"/>
          <w:sz w:val="22"/>
          <w:szCs w:val="22"/>
        </w:rPr>
      </w:pPr>
    </w:p>
    <w:p w14:paraId="03AA1AEB" w14:textId="77777777" w:rsidR="002C1641" w:rsidRPr="00193B9F" w:rsidRDefault="002C1641" w:rsidP="00040C3A">
      <w:pPr>
        <w:tabs>
          <w:tab w:val="center" w:pos="5400"/>
        </w:tabs>
        <w:suppressAutoHyphens/>
        <w:jc w:val="center"/>
        <w:rPr>
          <w:rFonts w:asciiTheme="majorHAnsi" w:hAnsiTheme="majorHAnsi"/>
          <w:sz w:val="18"/>
          <w:szCs w:val="22"/>
        </w:rPr>
      </w:pPr>
    </w:p>
    <w:p w14:paraId="2FD75BF3" w14:textId="77777777" w:rsidR="002C1641" w:rsidRPr="00193B9F" w:rsidRDefault="002C1641" w:rsidP="00040C3A">
      <w:pPr>
        <w:tabs>
          <w:tab w:val="center" w:pos="5400"/>
        </w:tabs>
        <w:suppressAutoHyphens/>
        <w:jc w:val="center"/>
        <w:rPr>
          <w:rFonts w:asciiTheme="majorHAnsi" w:hAnsiTheme="majorHAnsi"/>
          <w:sz w:val="18"/>
          <w:szCs w:val="22"/>
        </w:rPr>
      </w:pPr>
    </w:p>
    <w:p w14:paraId="73EF440E" w14:textId="77777777" w:rsidR="002C1641" w:rsidRPr="00193B9F" w:rsidRDefault="002C1641" w:rsidP="00040C3A">
      <w:pPr>
        <w:tabs>
          <w:tab w:val="center" w:pos="5400"/>
        </w:tabs>
        <w:suppressAutoHyphens/>
        <w:jc w:val="center"/>
        <w:rPr>
          <w:rFonts w:asciiTheme="majorHAnsi" w:hAnsiTheme="majorHAnsi"/>
          <w:sz w:val="18"/>
          <w:szCs w:val="22"/>
        </w:rPr>
      </w:pPr>
    </w:p>
    <w:p w14:paraId="3D12B191" w14:textId="77777777" w:rsidR="002C1641" w:rsidRPr="00193B9F" w:rsidRDefault="002C1641" w:rsidP="00040C3A">
      <w:pPr>
        <w:tabs>
          <w:tab w:val="center" w:pos="5400"/>
        </w:tabs>
        <w:suppressAutoHyphens/>
        <w:jc w:val="center"/>
        <w:rPr>
          <w:rFonts w:asciiTheme="majorHAnsi" w:hAnsiTheme="majorHAnsi"/>
          <w:sz w:val="18"/>
          <w:szCs w:val="22"/>
        </w:rPr>
      </w:pPr>
    </w:p>
    <w:p w14:paraId="1132D17C" w14:textId="77777777" w:rsidR="002C1641" w:rsidRPr="00193B9F" w:rsidRDefault="002C1641" w:rsidP="00040C3A">
      <w:pPr>
        <w:tabs>
          <w:tab w:val="center" w:pos="5400"/>
        </w:tabs>
        <w:suppressAutoHyphens/>
        <w:jc w:val="center"/>
        <w:rPr>
          <w:rFonts w:asciiTheme="majorHAnsi" w:hAnsiTheme="majorHAnsi"/>
          <w:sz w:val="18"/>
          <w:szCs w:val="22"/>
        </w:rPr>
      </w:pPr>
    </w:p>
    <w:p w14:paraId="659B324C" w14:textId="77777777" w:rsidR="002C1641" w:rsidRPr="00193B9F" w:rsidRDefault="002C1641" w:rsidP="00040C3A">
      <w:pPr>
        <w:tabs>
          <w:tab w:val="center" w:pos="5400"/>
        </w:tabs>
        <w:suppressAutoHyphens/>
        <w:jc w:val="center"/>
        <w:rPr>
          <w:rFonts w:asciiTheme="majorHAnsi" w:hAnsiTheme="majorHAnsi"/>
          <w:sz w:val="18"/>
          <w:szCs w:val="22"/>
        </w:rPr>
      </w:pPr>
    </w:p>
    <w:p w14:paraId="0DE58CEA" w14:textId="77777777" w:rsidR="002C1641" w:rsidRPr="00193B9F" w:rsidRDefault="002C1641" w:rsidP="00040C3A">
      <w:pPr>
        <w:tabs>
          <w:tab w:val="center" w:pos="5400"/>
        </w:tabs>
        <w:suppressAutoHyphens/>
        <w:jc w:val="center"/>
        <w:rPr>
          <w:rFonts w:asciiTheme="majorHAnsi" w:hAnsiTheme="majorHAnsi"/>
          <w:sz w:val="18"/>
          <w:szCs w:val="22"/>
        </w:rPr>
      </w:pPr>
    </w:p>
    <w:p w14:paraId="3A5BB7C9" w14:textId="77777777" w:rsidR="002C1641" w:rsidRPr="00193B9F" w:rsidRDefault="002C1641" w:rsidP="00040C3A">
      <w:pPr>
        <w:tabs>
          <w:tab w:val="center" w:pos="5400"/>
        </w:tabs>
        <w:suppressAutoHyphens/>
        <w:jc w:val="center"/>
        <w:rPr>
          <w:rFonts w:asciiTheme="majorHAnsi" w:hAnsiTheme="majorHAnsi"/>
          <w:sz w:val="18"/>
          <w:szCs w:val="22"/>
        </w:rPr>
      </w:pPr>
    </w:p>
    <w:p w14:paraId="6BA67E7F" w14:textId="77777777" w:rsidR="002C1641" w:rsidRPr="00193B9F" w:rsidRDefault="002C1641" w:rsidP="00040C3A">
      <w:pPr>
        <w:tabs>
          <w:tab w:val="center" w:pos="5400"/>
        </w:tabs>
        <w:suppressAutoHyphens/>
        <w:jc w:val="center"/>
        <w:rPr>
          <w:rFonts w:asciiTheme="majorHAnsi" w:hAnsiTheme="majorHAnsi"/>
          <w:sz w:val="18"/>
          <w:szCs w:val="22"/>
        </w:rPr>
      </w:pPr>
    </w:p>
    <w:p w14:paraId="6D4FBE3A" w14:textId="77777777" w:rsidR="002C1641" w:rsidRPr="00193B9F" w:rsidRDefault="002C1641" w:rsidP="00040C3A">
      <w:pPr>
        <w:tabs>
          <w:tab w:val="center" w:pos="5400"/>
        </w:tabs>
        <w:suppressAutoHyphens/>
        <w:jc w:val="center"/>
        <w:rPr>
          <w:rFonts w:asciiTheme="majorHAnsi" w:hAnsiTheme="majorHAnsi"/>
          <w:sz w:val="18"/>
          <w:szCs w:val="22"/>
        </w:rPr>
      </w:pPr>
    </w:p>
    <w:p w14:paraId="2741AD16" w14:textId="77777777" w:rsidR="002C1641" w:rsidRPr="00193B9F" w:rsidRDefault="002C1641" w:rsidP="00040C3A">
      <w:pPr>
        <w:tabs>
          <w:tab w:val="center" w:pos="5400"/>
        </w:tabs>
        <w:suppressAutoHyphens/>
        <w:jc w:val="center"/>
        <w:rPr>
          <w:rFonts w:asciiTheme="majorHAnsi" w:hAnsiTheme="majorHAnsi"/>
          <w:sz w:val="18"/>
          <w:szCs w:val="22"/>
        </w:rPr>
      </w:pPr>
    </w:p>
    <w:p w14:paraId="1D99DBC4" w14:textId="77777777" w:rsidR="002C1641" w:rsidRPr="00193B9F" w:rsidRDefault="002C1641" w:rsidP="00040C3A">
      <w:pPr>
        <w:tabs>
          <w:tab w:val="center" w:pos="5400"/>
        </w:tabs>
        <w:suppressAutoHyphens/>
        <w:jc w:val="center"/>
        <w:rPr>
          <w:rFonts w:asciiTheme="majorHAnsi" w:hAnsiTheme="majorHAnsi"/>
          <w:sz w:val="18"/>
          <w:szCs w:val="22"/>
        </w:rPr>
      </w:pPr>
    </w:p>
    <w:p w14:paraId="3290BF94" w14:textId="77777777" w:rsidR="002C1641" w:rsidRPr="00193B9F" w:rsidRDefault="003C32BC" w:rsidP="00040C3A">
      <w:pPr>
        <w:tabs>
          <w:tab w:val="center" w:pos="5400"/>
        </w:tabs>
        <w:suppressAutoHyphens/>
        <w:jc w:val="center"/>
        <w:rPr>
          <w:rFonts w:asciiTheme="majorHAnsi" w:hAnsiTheme="majorHAnsi"/>
          <w:sz w:val="18"/>
          <w:szCs w:val="22"/>
        </w:rPr>
      </w:pPr>
      <w:r w:rsidRPr="00193B9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14BD4197">
                <wp:simplePos x="0" y="0"/>
                <wp:positionH relativeFrom="column">
                  <wp:posOffset>1205345</wp:posOffset>
                </wp:positionH>
                <wp:positionV relativeFrom="paragraph">
                  <wp:posOffset>70443</wp:posOffset>
                </wp:positionV>
                <wp:extent cx="4595495" cy="71251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7125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7B987E2A" w:rsidR="00092F32" w:rsidRPr="003C32BC" w:rsidRDefault="008349C1" w:rsidP="008349C1">
                            <w:pPr>
                              <w:tabs>
                                <w:tab w:val="center" w:pos="5400"/>
                              </w:tabs>
                              <w:suppressAutoHyphens/>
                              <w:spacing w:before="60"/>
                              <w:rPr>
                                <w:rFonts w:asciiTheme="majorHAnsi" w:hAnsiTheme="majorHAnsi"/>
                                <w:color w:val="0D0D0D" w:themeColor="text1" w:themeTint="F2"/>
                                <w:sz w:val="18"/>
                                <w:szCs w:val="22"/>
                              </w:rPr>
                            </w:pPr>
                            <w:r w:rsidRPr="008349C1">
                              <w:rPr>
                                <w:rFonts w:asciiTheme="majorHAnsi" w:hAnsiTheme="majorHAnsi"/>
                                <w:color w:val="0D0D0D" w:themeColor="text1" w:themeTint="F2"/>
                                <w:sz w:val="18"/>
                                <w:szCs w:val="20"/>
                              </w:rPr>
                              <w:t xml:space="preserve">Approved electronically by the Commission on </w:t>
                            </w:r>
                            <w:r w:rsidR="002E1A60">
                              <w:rPr>
                                <w:rFonts w:asciiTheme="majorHAnsi" w:hAnsiTheme="majorHAnsi"/>
                                <w:color w:val="0D0D0D" w:themeColor="text1" w:themeTint="F2"/>
                                <w:sz w:val="18"/>
                                <w:szCs w:val="20"/>
                              </w:rPr>
                              <w:t>August</w:t>
                            </w:r>
                            <w:r w:rsidRPr="008349C1">
                              <w:rPr>
                                <w:rFonts w:asciiTheme="majorHAnsi" w:hAnsiTheme="majorHAnsi"/>
                                <w:color w:val="0D0D0D" w:themeColor="text1" w:themeTint="F2"/>
                                <w:sz w:val="18"/>
                                <w:szCs w:val="20"/>
                              </w:rPr>
                              <w:t xml:space="preserve"> </w:t>
                            </w:r>
                            <w:r w:rsidR="002E1A60">
                              <w:rPr>
                                <w:rFonts w:asciiTheme="majorHAnsi" w:hAnsiTheme="majorHAnsi"/>
                                <w:color w:val="0D0D0D" w:themeColor="text1" w:themeTint="F2"/>
                                <w:sz w:val="18"/>
                                <w:szCs w:val="20"/>
                              </w:rPr>
                              <w:t>1,</w:t>
                            </w:r>
                            <w:r w:rsidRPr="008349C1">
                              <w:rPr>
                                <w:rFonts w:asciiTheme="majorHAnsi" w:hAnsiTheme="majorHAnsi"/>
                                <w:color w:val="0D0D0D" w:themeColor="text1" w:themeTint="F2"/>
                                <w:sz w:val="18"/>
                                <w:szCs w:val="20"/>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9pt;margin-top:5.55pt;width:361.85pt;height:5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Xfbg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" filled="f" stroked="f" strokeweight=".5pt">
                <v:textbox>
                  <w:txbxContent>
                    <w:p w14:paraId="29BF637A" w14:textId="7B987E2A" w:rsidR="00092F32" w:rsidRPr="003C32BC" w:rsidRDefault="008349C1" w:rsidP="008349C1">
                      <w:pPr>
                        <w:tabs>
                          <w:tab w:val="center" w:pos="5400"/>
                        </w:tabs>
                        <w:suppressAutoHyphens/>
                        <w:spacing w:before="60"/>
                        <w:rPr>
                          <w:rFonts w:asciiTheme="majorHAnsi" w:hAnsiTheme="majorHAnsi"/>
                          <w:color w:val="0D0D0D" w:themeColor="text1" w:themeTint="F2"/>
                          <w:sz w:val="18"/>
                          <w:szCs w:val="22"/>
                        </w:rPr>
                      </w:pPr>
                      <w:r w:rsidRPr="008349C1">
                        <w:rPr>
                          <w:rFonts w:asciiTheme="majorHAnsi" w:hAnsiTheme="majorHAnsi"/>
                          <w:color w:val="0D0D0D" w:themeColor="text1" w:themeTint="F2"/>
                          <w:sz w:val="18"/>
                          <w:szCs w:val="20"/>
                        </w:rPr>
                        <w:t xml:space="preserve">Approved electronically by the Commission on </w:t>
                      </w:r>
                      <w:r w:rsidR="002E1A60">
                        <w:rPr>
                          <w:rFonts w:asciiTheme="majorHAnsi" w:hAnsiTheme="majorHAnsi"/>
                          <w:color w:val="0D0D0D" w:themeColor="text1" w:themeTint="F2"/>
                          <w:sz w:val="18"/>
                          <w:szCs w:val="20"/>
                        </w:rPr>
                        <w:t>August</w:t>
                      </w:r>
                      <w:r w:rsidRPr="008349C1">
                        <w:rPr>
                          <w:rFonts w:asciiTheme="majorHAnsi" w:hAnsiTheme="majorHAnsi"/>
                          <w:color w:val="0D0D0D" w:themeColor="text1" w:themeTint="F2"/>
                          <w:sz w:val="18"/>
                          <w:szCs w:val="20"/>
                        </w:rPr>
                        <w:t xml:space="preserve"> </w:t>
                      </w:r>
                      <w:r w:rsidR="002E1A60">
                        <w:rPr>
                          <w:rFonts w:asciiTheme="majorHAnsi" w:hAnsiTheme="majorHAnsi"/>
                          <w:color w:val="0D0D0D" w:themeColor="text1" w:themeTint="F2"/>
                          <w:sz w:val="18"/>
                          <w:szCs w:val="20"/>
                        </w:rPr>
                        <w:t>1,</w:t>
                      </w:r>
                      <w:r w:rsidRPr="008349C1">
                        <w:rPr>
                          <w:rFonts w:asciiTheme="majorHAnsi" w:hAnsiTheme="majorHAnsi"/>
                          <w:color w:val="0D0D0D" w:themeColor="text1" w:themeTint="F2"/>
                          <w:sz w:val="18"/>
                          <w:szCs w:val="20"/>
                        </w:rPr>
                        <w:t xml:space="preserve"> 2023</w:t>
                      </w:r>
                    </w:p>
                  </w:txbxContent>
                </v:textbox>
              </v:shape>
            </w:pict>
          </mc:Fallback>
        </mc:AlternateContent>
      </w:r>
    </w:p>
    <w:p w14:paraId="76124E47" w14:textId="77777777" w:rsidR="002C1641" w:rsidRPr="00193B9F" w:rsidRDefault="002C1641" w:rsidP="00040C3A">
      <w:pPr>
        <w:tabs>
          <w:tab w:val="center" w:pos="5400"/>
        </w:tabs>
        <w:suppressAutoHyphens/>
        <w:jc w:val="center"/>
        <w:rPr>
          <w:rFonts w:asciiTheme="majorHAnsi" w:hAnsiTheme="majorHAnsi"/>
          <w:sz w:val="18"/>
          <w:szCs w:val="22"/>
        </w:rPr>
      </w:pPr>
    </w:p>
    <w:p w14:paraId="3751FEDE" w14:textId="77777777" w:rsidR="002C1641" w:rsidRPr="00193B9F" w:rsidRDefault="002C1641" w:rsidP="00040C3A">
      <w:pPr>
        <w:tabs>
          <w:tab w:val="center" w:pos="5400"/>
        </w:tabs>
        <w:suppressAutoHyphens/>
        <w:jc w:val="center"/>
        <w:rPr>
          <w:rFonts w:asciiTheme="majorHAnsi" w:hAnsiTheme="majorHAnsi"/>
          <w:sz w:val="18"/>
          <w:szCs w:val="22"/>
        </w:rPr>
      </w:pPr>
    </w:p>
    <w:p w14:paraId="5FAB54E7" w14:textId="77777777" w:rsidR="002C1641" w:rsidRPr="00193B9F" w:rsidRDefault="002C1641" w:rsidP="00040C3A">
      <w:pPr>
        <w:tabs>
          <w:tab w:val="center" w:pos="5400"/>
        </w:tabs>
        <w:suppressAutoHyphens/>
        <w:jc w:val="center"/>
        <w:rPr>
          <w:rFonts w:asciiTheme="majorHAnsi" w:hAnsiTheme="majorHAnsi"/>
          <w:sz w:val="18"/>
          <w:szCs w:val="22"/>
        </w:rPr>
      </w:pPr>
    </w:p>
    <w:p w14:paraId="4AE4FBFB" w14:textId="77777777" w:rsidR="002C1641" w:rsidRPr="00193B9F" w:rsidRDefault="002C1641" w:rsidP="00040C3A">
      <w:pPr>
        <w:tabs>
          <w:tab w:val="center" w:pos="5400"/>
        </w:tabs>
        <w:suppressAutoHyphens/>
        <w:jc w:val="center"/>
        <w:rPr>
          <w:rFonts w:asciiTheme="majorHAnsi" w:hAnsiTheme="majorHAnsi"/>
          <w:sz w:val="18"/>
          <w:szCs w:val="22"/>
        </w:rPr>
      </w:pPr>
    </w:p>
    <w:p w14:paraId="4DA3B2C3" w14:textId="77777777" w:rsidR="002C1641" w:rsidRPr="00193B9F" w:rsidRDefault="003C32BC" w:rsidP="00040C3A">
      <w:pPr>
        <w:tabs>
          <w:tab w:val="center" w:pos="5400"/>
        </w:tabs>
        <w:suppressAutoHyphens/>
        <w:jc w:val="center"/>
        <w:rPr>
          <w:rFonts w:asciiTheme="majorHAnsi" w:hAnsiTheme="majorHAnsi"/>
          <w:sz w:val="18"/>
          <w:szCs w:val="22"/>
        </w:rPr>
      </w:pPr>
      <w:r w:rsidRPr="00193B9F">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AC8810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E1A60">
                              <w:rPr>
                                <w:rFonts w:asciiTheme="majorHAnsi" w:hAnsiTheme="majorHAnsi"/>
                                <w:color w:val="595959" w:themeColor="text1" w:themeTint="A6"/>
                                <w:sz w:val="18"/>
                              </w:rPr>
                              <w:t>134</w:t>
                            </w:r>
                            <w:r w:rsidR="00022CF5">
                              <w:rPr>
                                <w:rFonts w:asciiTheme="majorHAnsi" w:hAnsiTheme="majorHAnsi"/>
                                <w:color w:val="595959" w:themeColor="text1" w:themeTint="A6"/>
                                <w:sz w:val="18"/>
                              </w:rPr>
                              <w:t>/</w:t>
                            </w:r>
                            <w:r w:rsidR="008349C1">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349C1">
                              <w:rPr>
                                <w:rFonts w:asciiTheme="majorHAnsi" w:hAnsiTheme="majorHAnsi"/>
                                <w:color w:val="595959" w:themeColor="text1" w:themeTint="A6"/>
                                <w:sz w:val="18"/>
                              </w:rPr>
                              <w:t>433</w:t>
                            </w:r>
                            <w:r w:rsidR="00F621C3">
                              <w:rPr>
                                <w:rFonts w:asciiTheme="majorHAnsi" w:hAnsiTheme="majorHAnsi"/>
                                <w:color w:val="595959" w:themeColor="text1" w:themeTint="A6"/>
                                <w:sz w:val="18"/>
                              </w:rPr>
                              <w:t>-</w:t>
                            </w:r>
                            <w:r w:rsidR="008349C1">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002E1A60" w:rsidRPr="003C32BC">
                              <w:rPr>
                                <w:rFonts w:asciiTheme="majorHAnsi" w:hAnsiTheme="majorHAnsi"/>
                                <w:color w:val="595959" w:themeColor="text1" w:themeTint="A6"/>
                                <w:sz w:val="18"/>
                              </w:rPr>
                              <w:t xml:space="preserve">. </w:t>
                            </w:r>
                            <w:r w:rsidR="002E1A60" w:rsidRPr="00CF73A0">
                              <w:rPr>
                                <w:rFonts w:asciiTheme="majorHAnsi" w:hAnsiTheme="majorHAnsi"/>
                                <w:color w:val="595959" w:themeColor="text1" w:themeTint="A6"/>
                                <w:sz w:val="18"/>
                                <w:szCs w:val="18"/>
                              </w:rPr>
                              <w:t xml:space="preserve">Isy Obed Murillo Mencías </w:t>
                            </w:r>
                            <w:r w:rsidR="002E1A60">
                              <w:rPr>
                                <w:rFonts w:asciiTheme="majorHAnsi" w:hAnsiTheme="majorHAnsi"/>
                                <w:color w:val="595959" w:themeColor="text1" w:themeTint="A6"/>
                                <w:sz w:val="18"/>
                                <w:szCs w:val="18"/>
                              </w:rPr>
                              <w:t>a</w:t>
                            </w:r>
                            <w:r w:rsidR="002E1A60" w:rsidRPr="00CF73A0">
                              <w:rPr>
                                <w:rFonts w:asciiTheme="majorHAnsi" w:hAnsiTheme="majorHAnsi"/>
                                <w:color w:val="595959" w:themeColor="text1" w:themeTint="A6"/>
                                <w:sz w:val="18"/>
                                <w:szCs w:val="18"/>
                              </w:rPr>
                              <w:t xml:space="preserve">nd </w:t>
                            </w:r>
                            <w:r w:rsidR="002E1A60">
                              <w:rPr>
                                <w:rFonts w:asciiTheme="majorHAnsi" w:hAnsiTheme="majorHAnsi"/>
                                <w:color w:val="595959" w:themeColor="text1" w:themeTint="A6"/>
                                <w:sz w:val="18"/>
                                <w:szCs w:val="18"/>
                              </w:rPr>
                              <w:t>o</w:t>
                            </w:r>
                            <w:r w:rsidR="002E1A60" w:rsidRPr="00CF73A0">
                              <w:rPr>
                                <w:rFonts w:asciiTheme="majorHAnsi" w:hAnsiTheme="majorHAnsi"/>
                                <w:color w:val="595959" w:themeColor="text1" w:themeTint="A6"/>
                                <w:sz w:val="18"/>
                                <w:szCs w:val="18"/>
                              </w:rPr>
                              <w:t xml:space="preserve">thers. </w:t>
                            </w:r>
                            <w:r w:rsidR="002E1A60">
                              <w:rPr>
                                <w:rFonts w:asciiTheme="majorHAnsi" w:hAnsiTheme="majorHAnsi"/>
                                <w:color w:val="595959" w:themeColor="text1" w:themeTint="A6"/>
                                <w:sz w:val="18"/>
                                <w:szCs w:val="18"/>
                                <w:lang w:val="es-ES_tradnl"/>
                              </w:rPr>
                              <w:t>Honduras</w:t>
                            </w:r>
                            <w:r w:rsidR="002E1A60">
                              <w:rPr>
                                <w:rFonts w:asciiTheme="majorHAnsi" w:hAnsiTheme="majorHAnsi"/>
                                <w:color w:val="595959" w:themeColor="text1" w:themeTint="A6"/>
                                <w:sz w:val="18"/>
                              </w:rPr>
                              <w:t>.</w:t>
                            </w:r>
                            <w:r w:rsidR="00022CF5">
                              <w:rPr>
                                <w:rFonts w:asciiTheme="majorHAnsi" w:hAnsiTheme="majorHAnsi"/>
                                <w:color w:val="595959" w:themeColor="text1" w:themeTint="A6"/>
                                <w:sz w:val="18"/>
                              </w:rPr>
                              <w:t xml:space="preserve"> </w:t>
                            </w:r>
                            <w:r w:rsidR="002E1A60" w:rsidRPr="002E1A60">
                              <w:rPr>
                                <w:rFonts w:asciiTheme="majorHAnsi" w:hAnsiTheme="majorHAnsi"/>
                                <w:color w:val="595959" w:themeColor="text1" w:themeTint="A6"/>
                                <w:sz w:val="18"/>
                              </w:rPr>
                              <w:t>August 1,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4AC8810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E1A60">
                        <w:rPr>
                          <w:rFonts w:asciiTheme="majorHAnsi" w:hAnsiTheme="majorHAnsi"/>
                          <w:color w:val="595959" w:themeColor="text1" w:themeTint="A6"/>
                          <w:sz w:val="18"/>
                        </w:rPr>
                        <w:t>134</w:t>
                      </w:r>
                      <w:r w:rsidR="00022CF5">
                        <w:rPr>
                          <w:rFonts w:asciiTheme="majorHAnsi" w:hAnsiTheme="majorHAnsi"/>
                          <w:color w:val="595959" w:themeColor="text1" w:themeTint="A6"/>
                          <w:sz w:val="18"/>
                        </w:rPr>
                        <w:t>/</w:t>
                      </w:r>
                      <w:r w:rsidR="008349C1">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349C1">
                        <w:rPr>
                          <w:rFonts w:asciiTheme="majorHAnsi" w:hAnsiTheme="majorHAnsi"/>
                          <w:color w:val="595959" w:themeColor="text1" w:themeTint="A6"/>
                          <w:sz w:val="18"/>
                        </w:rPr>
                        <w:t>433</w:t>
                      </w:r>
                      <w:r w:rsidR="00F621C3">
                        <w:rPr>
                          <w:rFonts w:asciiTheme="majorHAnsi" w:hAnsiTheme="majorHAnsi"/>
                          <w:color w:val="595959" w:themeColor="text1" w:themeTint="A6"/>
                          <w:sz w:val="18"/>
                        </w:rPr>
                        <w:t>-</w:t>
                      </w:r>
                      <w:r w:rsidR="008349C1">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002E1A60" w:rsidRPr="003C32BC">
                        <w:rPr>
                          <w:rFonts w:asciiTheme="majorHAnsi" w:hAnsiTheme="majorHAnsi"/>
                          <w:color w:val="595959" w:themeColor="text1" w:themeTint="A6"/>
                          <w:sz w:val="18"/>
                        </w:rPr>
                        <w:t xml:space="preserve">. </w:t>
                      </w:r>
                      <w:r w:rsidR="002E1A60" w:rsidRPr="00CF73A0">
                        <w:rPr>
                          <w:rFonts w:asciiTheme="majorHAnsi" w:hAnsiTheme="majorHAnsi"/>
                          <w:color w:val="595959" w:themeColor="text1" w:themeTint="A6"/>
                          <w:sz w:val="18"/>
                          <w:szCs w:val="18"/>
                        </w:rPr>
                        <w:t xml:space="preserve">Isy Obed Murillo Mencías </w:t>
                      </w:r>
                      <w:r w:rsidR="002E1A60">
                        <w:rPr>
                          <w:rFonts w:asciiTheme="majorHAnsi" w:hAnsiTheme="majorHAnsi"/>
                          <w:color w:val="595959" w:themeColor="text1" w:themeTint="A6"/>
                          <w:sz w:val="18"/>
                          <w:szCs w:val="18"/>
                        </w:rPr>
                        <w:t>a</w:t>
                      </w:r>
                      <w:r w:rsidR="002E1A60" w:rsidRPr="00CF73A0">
                        <w:rPr>
                          <w:rFonts w:asciiTheme="majorHAnsi" w:hAnsiTheme="majorHAnsi"/>
                          <w:color w:val="595959" w:themeColor="text1" w:themeTint="A6"/>
                          <w:sz w:val="18"/>
                          <w:szCs w:val="18"/>
                        </w:rPr>
                        <w:t xml:space="preserve">nd </w:t>
                      </w:r>
                      <w:r w:rsidR="002E1A60">
                        <w:rPr>
                          <w:rFonts w:asciiTheme="majorHAnsi" w:hAnsiTheme="majorHAnsi"/>
                          <w:color w:val="595959" w:themeColor="text1" w:themeTint="A6"/>
                          <w:sz w:val="18"/>
                          <w:szCs w:val="18"/>
                        </w:rPr>
                        <w:t>o</w:t>
                      </w:r>
                      <w:r w:rsidR="002E1A60" w:rsidRPr="00CF73A0">
                        <w:rPr>
                          <w:rFonts w:asciiTheme="majorHAnsi" w:hAnsiTheme="majorHAnsi"/>
                          <w:color w:val="595959" w:themeColor="text1" w:themeTint="A6"/>
                          <w:sz w:val="18"/>
                          <w:szCs w:val="18"/>
                        </w:rPr>
                        <w:t xml:space="preserve">thers. </w:t>
                      </w:r>
                      <w:r w:rsidR="002E1A60">
                        <w:rPr>
                          <w:rFonts w:asciiTheme="majorHAnsi" w:hAnsiTheme="majorHAnsi"/>
                          <w:color w:val="595959" w:themeColor="text1" w:themeTint="A6"/>
                          <w:sz w:val="18"/>
                          <w:szCs w:val="18"/>
                          <w:lang w:val="es-ES_tradnl"/>
                        </w:rPr>
                        <w:t>Honduras</w:t>
                      </w:r>
                      <w:r w:rsidR="002E1A60">
                        <w:rPr>
                          <w:rFonts w:asciiTheme="majorHAnsi" w:hAnsiTheme="majorHAnsi"/>
                          <w:color w:val="595959" w:themeColor="text1" w:themeTint="A6"/>
                          <w:sz w:val="18"/>
                        </w:rPr>
                        <w:t>.</w:t>
                      </w:r>
                      <w:r w:rsidR="00022CF5">
                        <w:rPr>
                          <w:rFonts w:asciiTheme="majorHAnsi" w:hAnsiTheme="majorHAnsi"/>
                          <w:color w:val="595959" w:themeColor="text1" w:themeTint="A6"/>
                          <w:sz w:val="18"/>
                        </w:rPr>
                        <w:t xml:space="preserve"> </w:t>
                      </w:r>
                      <w:r w:rsidR="002E1A60" w:rsidRPr="002E1A60">
                        <w:rPr>
                          <w:rFonts w:asciiTheme="majorHAnsi" w:hAnsiTheme="majorHAnsi"/>
                          <w:color w:val="595959" w:themeColor="text1" w:themeTint="A6"/>
                          <w:sz w:val="18"/>
                        </w:rPr>
                        <w:t>August 1, 2023</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193B9F" w:rsidRDefault="002C1641" w:rsidP="00040C3A">
      <w:pPr>
        <w:tabs>
          <w:tab w:val="center" w:pos="5400"/>
        </w:tabs>
        <w:suppressAutoHyphens/>
        <w:jc w:val="center"/>
        <w:rPr>
          <w:rFonts w:asciiTheme="majorHAnsi" w:hAnsiTheme="majorHAnsi"/>
          <w:sz w:val="18"/>
          <w:szCs w:val="22"/>
        </w:rPr>
      </w:pPr>
    </w:p>
    <w:p w14:paraId="5420A6FF" w14:textId="77777777" w:rsidR="002C1641" w:rsidRPr="00193B9F" w:rsidRDefault="002C1641" w:rsidP="00040C3A">
      <w:pPr>
        <w:tabs>
          <w:tab w:val="center" w:pos="5400"/>
        </w:tabs>
        <w:suppressAutoHyphens/>
        <w:jc w:val="center"/>
        <w:rPr>
          <w:rFonts w:asciiTheme="majorHAnsi" w:hAnsiTheme="majorHAnsi"/>
          <w:sz w:val="18"/>
          <w:szCs w:val="22"/>
        </w:rPr>
      </w:pPr>
    </w:p>
    <w:p w14:paraId="03B36C31" w14:textId="77777777" w:rsidR="003C32BC" w:rsidRPr="00193B9F" w:rsidRDefault="003C32BC" w:rsidP="003C32BC">
      <w:pPr>
        <w:tabs>
          <w:tab w:val="center" w:pos="5400"/>
        </w:tabs>
        <w:suppressAutoHyphens/>
        <w:jc w:val="center"/>
        <w:rPr>
          <w:rFonts w:asciiTheme="majorHAnsi" w:hAnsiTheme="majorHAnsi"/>
          <w:sz w:val="18"/>
          <w:szCs w:val="22"/>
        </w:rPr>
      </w:pPr>
    </w:p>
    <w:p w14:paraId="154A4854" w14:textId="77777777" w:rsidR="003C32BC" w:rsidRPr="00193B9F" w:rsidRDefault="006311DA" w:rsidP="003C32BC">
      <w:pPr>
        <w:tabs>
          <w:tab w:val="center" w:pos="5400"/>
        </w:tabs>
        <w:suppressAutoHyphens/>
        <w:jc w:val="center"/>
        <w:rPr>
          <w:rFonts w:asciiTheme="majorHAnsi" w:hAnsiTheme="majorHAnsi"/>
          <w:sz w:val="18"/>
          <w:szCs w:val="22"/>
        </w:rPr>
      </w:pPr>
      <w:r w:rsidRPr="00193B9F">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193B9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193B9F" w:rsidRDefault="007607C4" w:rsidP="003C32BC">
      <w:pPr>
        <w:tabs>
          <w:tab w:val="center" w:pos="5400"/>
        </w:tabs>
        <w:suppressAutoHyphens/>
        <w:jc w:val="center"/>
        <w:rPr>
          <w:rFonts w:asciiTheme="majorHAnsi" w:hAnsiTheme="majorHAnsi"/>
          <w:sz w:val="18"/>
          <w:szCs w:val="22"/>
        </w:rPr>
        <w:sectPr w:rsidR="007607C4" w:rsidRPr="00193B9F"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193B9F" w:rsidRDefault="00F621C3" w:rsidP="00F621C3">
      <w:pPr>
        <w:spacing w:after="240"/>
        <w:ind w:firstLine="720"/>
        <w:jc w:val="both"/>
        <w:rPr>
          <w:rFonts w:asciiTheme="majorHAnsi" w:hAnsiTheme="majorHAnsi"/>
          <w:b/>
          <w:bCs/>
          <w:sz w:val="20"/>
          <w:szCs w:val="20"/>
        </w:rPr>
      </w:pPr>
      <w:r w:rsidRPr="00193B9F">
        <w:rPr>
          <w:rFonts w:asciiTheme="majorHAnsi" w:hAnsiTheme="majorHAnsi"/>
          <w:b/>
          <w:bCs/>
          <w:sz w:val="20"/>
          <w:szCs w:val="20"/>
        </w:rPr>
        <w:lastRenderedPageBreak/>
        <w:t>I.</w:t>
      </w:r>
      <w:r w:rsidRPr="00193B9F">
        <w:rPr>
          <w:rFonts w:asciiTheme="majorHAnsi" w:hAnsiTheme="majorHAnsi"/>
          <w:b/>
          <w:bCs/>
          <w:sz w:val="20"/>
          <w:szCs w:val="20"/>
        </w:rPr>
        <w:tab/>
      </w:r>
      <w:r w:rsidR="00592718" w:rsidRPr="00193B9F">
        <w:rPr>
          <w:rFonts w:asciiTheme="majorHAnsi" w:hAnsiTheme="majorHAnsi"/>
          <w:b/>
          <w:bCs/>
          <w:sz w:val="20"/>
          <w:szCs w:val="20"/>
        </w:rPr>
        <w:t>INFORMATION ABOUT THE PETITION</w:t>
      </w:r>
      <w:r w:rsidRPr="00193B9F">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E2B99" w:rsidRPr="00193B9F"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FE2B99" w:rsidRPr="00193B9F" w:rsidRDefault="00FE2B99" w:rsidP="00FE2B99">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t>Petitioner:</w:t>
            </w:r>
          </w:p>
        </w:tc>
        <w:tc>
          <w:tcPr>
            <w:tcW w:w="5557" w:type="dxa"/>
            <w:vAlign w:val="center"/>
          </w:tcPr>
          <w:p w14:paraId="0674C7B8" w14:textId="29F51ED4" w:rsidR="00FE2B99" w:rsidRPr="00193B9F" w:rsidRDefault="00FE2B99" w:rsidP="00FE2B99">
            <w:pPr>
              <w:jc w:val="both"/>
              <w:rPr>
                <w:rFonts w:ascii="Cambria" w:hAnsi="Cambria"/>
                <w:bCs/>
                <w:sz w:val="20"/>
                <w:szCs w:val="20"/>
              </w:rPr>
            </w:pPr>
            <w:r w:rsidRPr="00193B9F">
              <w:rPr>
                <w:rFonts w:ascii="Cambria" w:hAnsi="Cambria"/>
                <w:bCs/>
                <w:sz w:val="20"/>
                <w:szCs w:val="20"/>
                <w:lang w:eastAsia="es-ES"/>
              </w:rPr>
              <w:t>Committee of Relatives of the Detained and Missing in Honduras (COFADEH)</w:t>
            </w:r>
          </w:p>
        </w:tc>
      </w:tr>
      <w:tr w:rsidR="00FE2B99" w:rsidRPr="002E1A60"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FE2B99" w:rsidRPr="00193B9F" w:rsidRDefault="004C1495" w:rsidP="00FE2B9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3BA9E51DDC514D7CB7E0B1F66E030BF5"/>
                </w:placeholder>
                <w:dropDownList>
                  <w:listItem w:value="Choose an item."/>
                  <w:listItem w:displayText="Alleged victim" w:value="Alleged victim"/>
                  <w:listItem w:displayText="Alleged victims" w:value="Alleged victims"/>
                </w:dropDownList>
              </w:sdtPr>
              <w:sdtEndPr/>
              <w:sdtContent>
                <w:r w:rsidR="00FE2B99" w:rsidRPr="00193B9F">
                  <w:rPr>
                    <w:rFonts w:ascii="Cambria" w:hAnsi="Cambria"/>
                    <w:b/>
                    <w:bCs/>
                    <w:color w:val="FFFFFF" w:themeColor="background1"/>
                    <w:sz w:val="20"/>
                    <w:szCs w:val="20"/>
                  </w:rPr>
                  <w:t>Alleged victim</w:t>
                </w:r>
              </w:sdtContent>
            </w:sdt>
            <w:r w:rsidR="00FE2B99" w:rsidRPr="00193B9F">
              <w:rPr>
                <w:rFonts w:ascii="Cambria" w:hAnsi="Cambria"/>
                <w:b/>
                <w:bCs/>
                <w:color w:val="FFFFFF" w:themeColor="background1"/>
                <w:sz w:val="20"/>
                <w:szCs w:val="20"/>
              </w:rPr>
              <w:t>:</w:t>
            </w:r>
          </w:p>
        </w:tc>
        <w:tc>
          <w:tcPr>
            <w:tcW w:w="5557" w:type="dxa"/>
            <w:vAlign w:val="center"/>
          </w:tcPr>
          <w:p w14:paraId="60895337" w14:textId="31EACEAE" w:rsidR="00FE2B99" w:rsidRPr="00CF73A0" w:rsidRDefault="00FE2B99" w:rsidP="00FE2B99">
            <w:pPr>
              <w:jc w:val="both"/>
              <w:rPr>
                <w:rFonts w:ascii="Cambria" w:hAnsi="Cambria"/>
                <w:bCs/>
                <w:sz w:val="20"/>
                <w:szCs w:val="20"/>
                <w:lang w:val="es-ES"/>
              </w:rPr>
            </w:pPr>
            <w:r w:rsidRPr="00CF73A0">
              <w:rPr>
                <w:rFonts w:ascii="Cambria" w:hAnsi="Cambria"/>
                <w:bCs/>
                <w:sz w:val="20"/>
                <w:szCs w:val="20"/>
                <w:lang w:val="es-ES" w:eastAsia="es-ES"/>
              </w:rPr>
              <w:t>Isy Obed Murillo Mencías, Gedalia Murillo, José David Murillo Sánchez and Rebeca Murillo.</w:t>
            </w:r>
          </w:p>
        </w:tc>
      </w:tr>
      <w:tr w:rsidR="00FE2B99" w:rsidRPr="00193B9F"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FE2B99" w:rsidRPr="00193B9F" w:rsidRDefault="00FE2B99" w:rsidP="00FE2B99">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t>Respondent State:</w:t>
            </w:r>
          </w:p>
        </w:tc>
        <w:tc>
          <w:tcPr>
            <w:tcW w:w="5557" w:type="dxa"/>
            <w:vAlign w:val="center"/>
          </w:tcPr>
          <w:p w14:paraId="3539D391" w14:textId="19A89B33" w:rsidR="00FE2B99" w:rsidRPr="00193B9F" w:rsidRDefault="00FE2B99" w:rsidP="00FE2B99">
            <w:pPr>
              <w:jc w:val="both"/>
              <w:rPr>
                <w:rFonts w:ascii="Cambria" w:hAnsi="Cambria"/>
                <w:bCs/>
                <w:sz w:val="20"/>
                <w:szCs w:val="20"/>
              </w:rPr>
            </w:pPr>
            <w:r w:rsidRPr="00193B9F">
              <w:rPr>
                <w:rFonts w:asciiTheme="majorHAnsi" w:hAnsiTheme="majorHAnsi"/>
                <w:bCs/>
                <w:sz w:val="20"/>
                <w:szCs w:val="20"/>
                <w:lang w:eastAsia="es-ES"/>
              </w:rPr>
              <w:t>Honduras</w:t>
            </w:r>
          </w:p>
        </w:tc>
      </w:tr>
      <w:tr w:rsidR="00E47F3D" w:rsidRPr="00193B9F"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E47F3D" w:rsidRPr="00193B9F" w:rsidRDefault="00E47F3D" w:rsidP="00E7588C">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t xml:space="preserve">Rights </w:t>
            </w:r>
            <w:r w:rsidR="00E7588C" w:rsidRPr="00193B9F">
              <w:rPr>
                <w:rFonts w:ascii="Cambria" w:hAnsi="Cambria"/>
                <w:b/>
                <w:bCs/>
                <w:color w:val="FFFFFF" w:themeColor="background1"/>
                <w:sz w:val="20"/>
                <w:szCs w:val="20"/>
              </w:rPr>
              <w:t>invoked:</w:t>
            </w:r>
          </w:p>
        </w:tc>
        <w:tc>
          <w:tcPr>
            <w:tcW w:w="5557" w:type="dxa"/>
            <w:vAlign w:val="center"/>
          </w:tcPr>
          <w:p w14:paraId="51EEF9D2" w14:textId="78AE8A03" w:rsidR="00E47F3D" w:rsidRPr="00193B9F" w:rsidRDefault="00FE2B99" w:rsidP="00FE2B99">
            <w:r w:rsidRPr="00193B9F">
              <w:rPr>
                <w:rFonts w:asciiTheme="majorHAnsi" w:hAnsiTheme="majorHAnsi"/>
                <w:bCs/>
                <w:sz w:val="20"/>
                <w:szCs w:val="20"/>
              </w:rPr>
              <w:t>Articles 4 (life), 8 (fair trial), 15 (assembly) and 25 (judicial protection) of the American Convention on Human Rights</w:t>
            </w:r>
            <w:r w:rsidR="000847F4" w:rsidRPr="00193B9F">
              <w:rPr>
                <w:rStyle w:val="FootnoteReference"/>
                <w:rFonts w:asciiTheme="majorHAnsi" w:hAnsiTheme="majorHAnsi"/>
                <w:bCs/>
                <w:sz w:val="20"/>
                <w:szCs w:val="20"/>
              </w:rPr>
              <w:footnoteReference w:id="2"/>
            </w:r>
            <w:r w:rsidR="000847F4" w:rsidRPr="00193B9F">
              <w:rPr>
                <w:rFonts w:asciiTheme="majorHAnsi" w:hAnsiTheme="majorHAnsi"/>
                <w:bCs/>
              </w:rPr>
              <w:t xml:space="preserve">, </w:t>
            </w:r>
            <w:r w:rsidRPr="00193B9F">
              <w:rPr>
                <w:rFonts w:asciiTheme="majorHAnsi" w:hAnsiTheme="majorHAnsi"/>
                <w:bCs/>
                <w:sz w:val="20"/>
                <w:szCs w:val="20"/>
              </w:rPr>
              <w:t xml:space="preserve">in relation to its </w:t>
            </w:r>
            <w:r w:rsidR="00CF73A0">
              <w:rPr>
                <w:rFonts w:asciiTheme="majorHAnsi" w:hAnsiTheme="majorHAnsi"/>
                <w:bCs/>
                <w:sz w:val="20"/>
                <w:szCs w:val="20"/>
              </w:rPr>
              <w:t>A</w:t>
            </w:r>
            <w:r w:rsidR="00CF73A0" w:rsidRPr="00193B9F">
              <w:rPr>
                <w:rFonts w:asciiTheme="majorHAnsi" w:hAnsiTheme="majorHAnsi"/>
                <w:bCs/>
                <w:sz w:val="20"/>
                <w:szCs w:val="20"/>
              </w:rPr>
              <w:t>rticle</w:t>
            </w:r>
            <w:r w:rsidRPr="00193B9F">
              <w:rPr>
                <w:rFonts w:asciiTheme="majorHAnsi" w:hAnsiTheme="majorHAnsi"/>
                <w:bCs/>
                <w:sz w:val="20"/>
                <w:szCs w:val="20"/>
              </w:rPr>
              <w:t xml:space="preserve"> 1.1 (obligation to respect rights)</w:t>
            </w:r>
          </w:p>
        </w:tc>
      </w:tr>
    </w:tbl>
    <w:p w14:paraId="006E8D49" w14:textId="1C646C41" w:rsidR="00F621C3" w:rsidRPr="00193B9F" w:rsidRDefault="00F621C3" w:rsidP="00F621C3">
      <w:pPr>
        <w:spacing w:before="240" w:after="240"/>
        <w:ind w:firstLine="720"/>
        <w:jc w:val="both"/>
        <w:rPr>
          <w:rFonts w:asciiTheme="majorHAnsi" w:hAnsiTheme="majorHAnsi"/>
          <w:b/>
          <w:bCs/>
          <w:sz w:val="20"/>
          <w:szCs w:val="20"/>
        </w:rPr>
      </w:pPr>
      <w:r w:rsidRPr="00193B9F">
        <w:rPr>
          <w:rFonts w:asciiTheme="majorHAnsi" w:hAnsiTheme="majorHAnsi"/>
          <w:b/>
          <w:bCs/>
          <w:sz w:val="20"/>
          <w:szCs w:val="20"/>
        </w:rPr>
        <w:t>II.</w:t>
      </w:r>
      <w:r w:rsidRPr="00193B9F">
        <w:rPr>
          <w:rFonts w:asciiTheme="majorHAnsi" w:hAnsiTheme="majorHAnsi"/>
          <w:b/>
          <w:bCs/>
          <w:sz w:val="20"/>
          <w:szCs w:val="20"/>
        </w:rPr>
        <w:tab/>
        <w:t>PROCE</w:t>
      </w:r>
      <w:r w:rsidR="00321AFD" w:rsidRPr="00193B9F">
        <w:rPr>
          <w:rFonts w:asciiTheme="majorHAnsi" w:hAnsiTheme="majorHAnsi"/>
          <w:b/>
          <w:bCs/>
          <w:sz w:val="20"/>
          <w:szCs w:val="20"/>
        </w:rPr>
        <w:t>EDINGS</w:t>
      </w:r>
      <w:r w:rsidRPr="00193B9F">
        <w:rPr>
          <w:rFonts w:asciiTheme="majorHAnsi" w:hAnsiTheme="majorHAnsi"/>
          <w:b/>
          <w:bCs/>
          <w:sz w:val="20"/>
          <w:szCs w:val="20"/>
        </w:rPr>
        <w:t xml:space="preserve"> BEFORE THE IACHR</w:t>
      </w:r>
      <w:r w:rsidR="00653EA6" w:rsidRPr="00193B9F">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E2B99" w:rsidRPr="00193B9F"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FE2B99" w:rsidRPr="00193B9F" w:rsidRDefault="00FE2B99" w:rsidP="00FE2B99">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t>Filing of the petition:</w:t>
            </w:r>
          </w:p>
        </w:tc>
        <w:tc>
          <w:tcPr>
            <w:tcW w:w="5557" w:type="dxa"/>
            <w:vAlign w:val="center"/>
          </w:tcPr>
          <w:p w14:paraId="1C0C3DE2" w14:textId="53235A37" w:rsidR="00FE2B99" w:rsidRPr="00193B9F" w:rsidRDefault="00FE2B99" w:rsidP="00FE2B99">
            <w:pPr>
              <w:jc w:val="both"/>
              <w:rPr>
                <w:rFonts w:ascii="Cambria" w:hAnsi="Cambria"/>
                <w:bCs/>
                <w:sz w:val="20"/>
                <w:szCs w:val="20"/>
              </w:rPr>
            </w:pPr>
            <w:r w:rsidRPr="00193B9F">
              <w:rPr>
                <w:rFonts w:ascii="Cambria" w:hAnsi="Cambria"/>
                <w:bCs/>
                <w:sz w:val="20"/>
                <w:szCs w:val="20"/>
                <w:lang w:eastAsia="es-ES"/>
              </w:rPr>
              <w:t>March 15, 2013</w:t>
            </w:r>
          </w:p>
        </w:tc>
      </w:tr>
      <w:tr w:rsidR="00FE2B99" w:rsidRPr="00193B9F"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FE2B99" w:rsidRPr="00193B9F" w:rsidRDefault="00FE2B99" w:rsidP="00FE2B99">
            <w:pPr>
              <w:jc w:val="center"/>
              <w:rPr>
                <w:rFonts w:ascii="Cambria" w:hAnsi="Cambria"/>
                <w:b/>
                <w:color w:val="FFFFFF" w:themeColor="background1"/>
                <w:sz w:val="20"/>
                <w:szCs w:val="20"/>
              </w:rPr>
            </w:pPr>
            <w:r w:rsidRPr="00193B9F">
              <w:rPr>
                <w:rFonts w:ascii="Cambria" w:hAnsi="Cambria"/>
                <w:b/>
                <w:color w:val="FFFFFF" w:themeColor="background1"/>
                <w:sz w:val="20"/>
                <w:szCs w:val="20"/>
              </w:rPr>
              <w:t>Additional information received at the stage of initial review:</w:t>
            </w:r>
          </w:p>
        </w:tc>
        <w:tc>
          <w:tcPr>
            <w:tcW w:w="5557" w:type="dxa"/>
            <w:vAlign w:val="center"/>
          </w:tcPr>
          <w:p w14:paraId="499B90CB" w14:textId="5F79D475" w:rsidR="00FE2B99" w:rsidRPr="00193B9F" w:rsidRDefault="00FE2B99" w:rsidP="00FE2B99">
            <w:pPr>
              <w:jc w:val="both"/>
              <w:rPr>
                <w:rFonts w:ascii="Cambria" w:hAnsi="Cambria"/>
                <w:bCs/>
                <w:sz w:val="20"/>
                <w:szCs w:val="20"/>
              </w:rPr>
            </w:pPr>
            <w:r w:rsidRPr="00193B9F">
              <w:rPr>
                <w:rFonts w:ascii="Cambria" w:hAnsi="Cambria"/>
                <w:bCs/>
                <w:sz w:val="20"/>
                <w:szCs w:val="20"/>
                <w:lang w:eastAsia="es-ES"/>
              </w:rPr>
              <w:t>July 25, 2017</w:t>
            </w:r>
          </w:p>
        </w:tc>
      </w:tr>
      <w:tr w:rsidR="00FE2B99" w:rsidRPr="00193B9F"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FE2B99" w:rsidRPr="00193B9F" w:rsidRDefault="00FE2B99" w:rsidP="00FE2B99">
            <w:pPr>
              <w:jc w:val="center"/>
              <w:rPr>
                <w:rFonts w:ascii="Cambria" w:hAnsi="Cambria"/>
                <w:b/>
                <w:bCs/>
                <w:color w:val="FFFFFF" w:themeColor="background1"/>
                <w:sz w:val="20"/>
                <w:szCs w:val="20"/>
              </w:rPr>
            </w:pPr>
            <w:r w:rsidRPr="00193B9F">
              <w:rPr>
                <w:rFonts w:ascii="Cambria" w:hAnsi="Cambria"/>
                <w:b/>
                <w:color w:val="FFFFFF" w:themeColor="background1"/>
                <w:sz w:val="20"/>
                <w:szCs w:val="20"/>
              </w:rPr>
              <w:t>Notification of the petition to the State:</w:t>
            </w:r>
          </w:p>
        </w:tc>
        <w:tc>
          <w:tcPr>
            <w:tcW w:w="5557" w:type="dxa"/>
            <w:vAlign w:val="center"/>
          </w:tcPr>
          <w:p w14:paraId="22ADBFFE" w14:textId="7E8A66FF" w:rsidR="00FE2B99" w:rsidRPr="00193B9F" w:rsidRDefault="00FE2B99" w:rsidP="00FE2B99">
            <w:pPr>
              <w:jc w:val="both"/>
              <w:rPr>
                <w:rFonts w:ascii="Cambria" w:hAnsi="Cambria"/>
                <w:bCs/>
                <w:sz w:val="20"/>
                <w:szCs w:val="20"/>
              </w:rPr>
            </w:pPr>
            <w:r w:rsidRPr="00193B9F">
              <w:rPr>
                <w:rFonts w:ascii="Cambria" w:hAnsi="Cambria"/>
                <w:bCs/>
                <w:sz w:val="20"/>
                <w:szCs w:val="20"/>
                <w:lang w:eastAsia="es-ES"/>
              </w:rPr>
              <w:t>October 26, 2017</w:t>
            </w:r>
          </w:p>
        </w:tc>
      </w:tr>
      <w:tr w:rsidR="00FE2B99" w:rsidRPr="00193B9F"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FE2B99" w:rsidRPr="00193B9F" w:rsidRDefault="00FE2B99" w:rsidP="00FE2B99">
            <w:pPr>
              <w:jc w:val="center"/>
              <w:rPr>
                <w:rFonts w:ascii="Cambria" w:hAnsi="Cambria"/>
                <w:b/>
                <w:bCs/>
                <w:color w:val="FFFFFF" w:themeColor="background1"/>
                <w:sz w:val="20"/>
                <w:szCs w:val="20"/>
              </w:rPr>
            </w:pPr>
            <w:r w:rsidRPr="00193B9F">
              <w:rPr>
                <w:rFonts w:ascii="Cambria" w:hAnsi="Cambria"/>
                <w:b/>
                <w:color w:val="FFFFFF" w:themeColor="background1"/>
                <w:sz w:val="20"/>
                <w:szCs w:val="20"/>
              </w:rPr>
              <w:t>State’s first response:</w:t>
            </w:r>
          </w:p>
        </w:tc>
        <w:tc>
          <w:tcPr>
            <w:tcW w:w="5557" w:type="dxa"/>
            <w:vAlign w:val="center"/>
          </w:tcPr>
          <w:p w14:paraId="19C5DA57" w14:textId="250724AB" w:rsidR="00FE2B99" w:rsidRPr="00193B9F" w:rsidRDefault="00FE2B99" w:rsidP="00FE2B99">
            <w:pPr>
              <w:jc w:val="both"/>
              <w:rPr>
                <w:rFonts w:ascii="Cambria" w:hAnsi="Cambria"/>
                <w:bCs/>
                <w:sz w:val="20"/>
                <w:szCs w:val="20"/>
              </w:rPr>
            </w:pPr>
            <w:r w:rsidRPr="00193B9F">
              <w:rPr>
                <w:rFonts w:ascii="Cambria" w:hAnsi="Cambria"/>
                <w:bCs/>
                <w:sz w:val="20"/>
                <w:szCs w:val="20"/>
                <w:lang w:eastAsia="es-ES"/>
              </w:rPr>
              <w:t>August 14, 2018</w:t>
            </w:r>
            <w:r w:rsidRPr="00193B9F">
              <w:rPr>
                <w:rStyle w:val="FootnoteReference"/>
                <w:rFonts w:ascii="Cambria" w:hAnsi="Cambria"/>
                <w:bCs/>
                <w:sz w:val="20"/>
                <w:szCs w:val="20"/>
                <w:lang w:eastAsia="es-ES"/>
              </w:rPr>
              <w:footnoteReference w:id="4"/>
            </w:r>
            <w:r w:rsidRPr="00193B9F">
              <w:rPr>
                <w:rFonts w:ascii="Cambria" w:hAnsi="Cambria"/>
                <w:bCs/>
                <w:sz w:val="20"/>
                <w:szCs w:val="20"/>
                <w:lang w:eastAsia="es-ES"/>
              </w:rPr>
              <w:t xml:space="preserve"> </w:t>
            </w:r>
          </w:p>
        </w:tc>
      </w:tr>
      <w:tr w:rsidR="00FE2B99" w:rsidRPr="00193B9F" w14:paraId="7A8A8A3C" w14:textId="77777777" w:rsidTr="00AE31E9">
        <w:tc>
          <w:tcPr>
            <w:tcW w:w="3690" w:type="dxa"/>
            <w:tcBorders>
              <w:top w:val="single" w:sz="6" w:space="0" w:color="auto"/>
              <w:bottom w:val="single" w:sz="6" w:space="0" w:color="auto"/>
            </w:tcBorders>
            <w:shd w:val="clear" w:color="auto" w:fill="67AE3C"/>
            <w:vAlign w:val="center"/>
          </w:tcPr>
          <w:p w14:paraId="3DEC3A52" w14:textId="4AD4BFB0" w:rsidR="00FE2B99" w:rsidRPr="00193B9F" w:rsidRDefault="00FE2B99" w:rsidP="00FE2B99">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t>Additional observations from the petitioner:</w:t>
            </w:r>
          </w:p>
        </w:tc>
        <w:tc>
          <w:tcPr>
            <w:tcW w:w="5557" w:type="dxa"/>
            <w:vAlign w:val="center"/>
          </w:tcPr>
          <w:p w14:paraId="2A863ACD" w14:textId="1D9B913B" w:rsidR="00FE2B99" w:rsidRPr="00193B9F" w:rsidRDefault="00FE2B99" w:rsidP="00FE2B99">
            <w:pPr>
              <w:jc w:val="both"/>
              <w:rPr>
                <w:rFonts w:ascii="Cambria" w:hAnsi="Cambria"/>
                <w:bCs/>
                <w:sz w:val="20"/>
                <w:szCs w:val="20"/>
              </w:rPr>
            </w:pPr>
            <w:r w:rsidRPr="00193B9F">
              <w:rPr>
                <w:rFonts w:ascii="Cambria" w:hAnsi="Cambria"/>
                <w:bCs/>
                <w:sz w:val="20"/>
                <w:szCs w:val="20"/>
                <w:lang w:eastAsia="es-ES"/>
              </w:rPr>
              <w:t>June 23, 2021, October 22, 2021 and February 27, 2023</w:t>
            </w:r>
          </w:p>
        </w:tc>
      </w:tr>
      <w:tr w:rsidR="00FE2B99" w:rsidRPr="00193B9F" w14:paraId="3D79AA57" w14:textId="77777777" w:rsidTr="00AE31E9">
        <w:tc>
          <w:tcPr>
            <w:tcW w:w="3690" w:type="dxa"/>
            <w:tcBorders>
              <w:top w:val="single" w:sz="6" w:space="0" w:color="auto"/>
              <w:bottom w:val="single" w:sz="6" w:space="0" w:color="auto"/>
            </w:tcBorders>
            <w:shd w:val="clear" w:color="auto" w:fill="67AE3C"/>
            <w:vAlign w:val="center"/>
          </w:tcPr>
          <w:p w14:paraId="2FE60FBE" w14:textId="11BD82D3" w:rsidR="00FE2B99" w:rsidRPr="00193B9F" w:rsidRDefault="00FE2B99" w:rsidP="00FE2B99">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t>Additional observations from the State:</w:t>
            </w:r>
          </w:p>
        </w:tc>
        <w:tc>
          <w:tcPr>
            <w:tcW w:w="5557" w:type="dxa"/>
            <w:vAlign w:val="center"/>
          </w:tcPr>
          <w:p w14:paraId="27F6ADE3" w14:textId="6C7DC351" w:rsidR="00FE2B99" w:rsidRPr="00193B9F" w:rsidRDefault="00FE2B99" w:rsidP="00FE2B99">
            <w:pPr>
              <w:jc w:val="both"/>
              <w:rPr>
                <w:rFonts w:ascii="Cambria" w:hAnsi="Cambria"/>
                <w:bCs/>
                <w:sz w:val="20"/>
                <w:szCs w:val="20"/>
              </w:rPr>
            </w:pPr>
            <w:r w:rsidRPr="00193B9F">
              <w:rPr>
                <w:rFonts w:ascii="Cambria" w:hAnsi="Cambria"/>
                <w:bCs/>
                <w:sz w:val="20"/>
                <w:szCs w:val="20"/>
                <w:lang w:eastAsia="es-ES"/>
              </w:rPr>
              <w:t>May 2, 2022</w:t>
            </w:r>
          </w:p>
        </w:tc>
      </w:tr>
      <w:tr w:rsidR="00FE2B99" w:rsidRPr="00193B9F" w14:paraId="718737D9" w14:textId="77777777" w:rsidTr="00AE31E9">
        <w:tc>
          <w:tcPr>
            <w:tcW w:w="3690" w:type="dxa"/>
            <w:tcBorders>
              <w:top w:val="single" w:sz="6" w:space="0" w:color="auto"/>
              <w:bottom w:val="single" w:sz="6" w:space="0" w:color="auto"/>
            </w:tcBorders>
            <w:shd w:val="clear" w:color="auto" w:fill="67AE3C"/>
            <w:vAlign w:val="center"/>
          </w:tcPr>
          <w:p w14:paraId="2F925819" w14:textId="25BD6B09" w:rsidR="00FE2B99" w:rsidRPr="00193B9F" w:rsidRDefault="00FE2B99" w:rsidP="00FE2B99">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t>Notification of the possible archiving of the petition:</w:t>
            </w:r>
          </w:p>
        </w:tc>
        <w:tc>
          <w:tcPr>
            <w:tcW w:w="5557" w:type="dxa"/>
            <w:vAlign w:val="center"/>
          </w:tcPr>
          <w:p w14:paraId="1C4A82C3" w14:textId="63BAD79D" w:rsidR="00FE2B99" w:rsidRPr="00193B9F" w:rsidRDefault="00FE2B99" w:rsidP="00FE2B99">
            <w:pPr>
              <w:jc w:val="both"/>
              <w:rPr>
                <w:rFonts w:ascii="Cambria" w:hAnsi="Cambria"/>
                <w:bCs/>
                <w:sz w:val="20"/>
                <w:szCs w:val="20"/>
              </w:rPr>
            </w:pPr>
            <w:r w:rsidRPr="00193B9F">
              <w:rPr>
                <w:rFonts w:ascii="Cambria" w:hAnsi="Cambria"/>
                <w:bCs/>
                <w:sz w:val="20"/>
                <w:szCs w:val="20"/>
                <w:lang w:eastAsia="es-ES"/>
              </w:rPr>
              <w:t>May 12, 2021</w:t>
            </w:r>
            <w:r w:rsidRPr="00193B9F">
              <w:rPr>
                <w:rStyle w:val="FootnoteReference"/>
                <w:rFonts w:ascii="Cambria" w:hAnsi="Cambria"/>
                <w:bCs/>
                <w:sz w:val="20"/>
                <w:szCs w:val="20"/>
                <w:lang w:eastAsia="es-ES"/>
              </w:rPr>
              <w:footnoteReference w:id="5"/>
            </w:r>
          </w:p>
        </w:tc>
      </w:tr>
      <w:tr w:rsidR="00FE2B99" w:rsidRPr="00193B9F" w14:paraId="09808A81" w14:textId="77777777" w:rsidTr="00AE31E9">
        <w:tc>
          <w:tcPr>
            <w:tcW w:w="3690" w:type="dxa"/>
            <w:tcBorders>
              <w:top w:val="single" w:sz="6" w:space="0" w:color="auto"/>
              <w:bottom w:val="single" w:sz="6" w:space="0" w:color="auto"/>
            </w:tcBorders>
            <w:shd w:val="clear" w:color="auto" w:fill="67AE3C"/>
            <w:vAlign w:val="center"/>
          </w:tcPr>
          <w:p w14:paraId="49BCEA0B" w14:textId="18455F02" w:rsidR="00FE2B99" w:rsidRPr="00193B9F" w:rsidRDefault="00FE2B99" w:rsidP="00FE2B99">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t>Petitioner’s response to the notification regarding the possible archiving of the petition:</w:t>
            </w:r>
          </w:p>
        </w:tc>
        <w:tc>
          <w:tcPr>
            <w:tcW w:w="5557" w:type="dxa"/>
            <w:vAlign w:val="center"/>
          </w:tcPr>
          <w:p w14:paraId="6F6B7BFD" w14:textId="5654707B" w:rsidR="00FE2B99" w:rsidRPr="00193B9F" w:rsidRDefault="00FE2B99" w:rsidP="00FE2B99">
            <w:pPr>
              <w:jc w:val="both"/>
              <w:rPr>
                <w:rFonts w:ascii="Cambria" w:hAnsi="Cambria"/>
                <w:bCs/>
                <w:sz w:val="20"/>
                <w:szCs w:val="20"/>
              </w:rPr>
            </w:pPr>
            <w:r w:rsidRPr="00193B9F">
              <w:rPr>
                <w:rFonts w:ascii="Cambria" w:hAnsi="Cambria"/>
                <w:bCs/>
                <w:sz w:val="20"/>
                <w:szCs w:val="20"/>
                <w:lang w:eastAsia="es-ES"/>
              </w:rPr>
              <w:t>November 28, 2021</w:t>
            </w:r>
          </w:p>
        </w:tc>
      </w:tr>
    </w:tbl>
    <w:p w14:paraId="7F88B361" w14:textId="77777777" w:rsidR="00F621C3" w:rsidRPr="00193B9F" w:rsidRDefault="00F621C3" w:rsidP="00F621C3">
      <w:pPr>
        <w:spacing w:before="240" w:after="240"/>
        <w:ind w:firstLine="720"/>
        <w:jc w:val="both"/>
        <w:rPr>
          <w:rFonts w:asciiTheme="majorHAnsi" w:hAnsiTheme="majorHAnsi"/>
          <w:b/>
          <w:bCs/>
          <w:sz w:val="20"/>
          <w:szCs w:val="20"/>
        </w:rPr>
      </w:pPr>
      <w:r w:rsidRPr="00193B9F">
        <w:rPr>
          <w:rFonts w:asciiTheme="majorHAnsi" w:hAnsiTheme="majorHAnsi"/>
          <w:b/>
          <w:bCs/>
          <w:sz w:val="20"/>
          <w:szCs w:val="20"/>
        </w:rPr>
        <w:t xml:space="preserve">III. </w:t>
      </w:r>
      <w:r w:rsidRPr="00193B9F">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193B9F"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193B9F" w:rsidRDefault="00F621C3" w:rsidP="009163FC">
            <w:pPr>
              <w:jc w:val="center"/>
              <w:rPr>
                <w:rFonts w:ascii="Cambria" w:hAnsi="Cambria"/>
                <w:b/>
                <w:bCs/>
                <w:i/>
                <w:color w:val="FFFFFF" w:themeColor="background1"/>
                <w:sz w:val="20"/>
                <w:szCs w:val="20"/>
              </w:rPr>
            </w:pPr>
            <w:r w:rsidRPr="00193B9F">
              <w:rPr>
                <w:rFonts w:ascii="Cambria" w:hAnsi="Cambria"/>
                <w:b/>
                <w:bCs/>
                <w:color w:val="FFFFFF" w:themeColor="background1"/>
                <w:sz w:val="20"/>
                <w:szCs w:val="20"/>
              </w:rPr>
              <w:t>Competence</w:t>
            </w:r>
            <w:r w:rsidRPr="00193B9F">
              <w:rPr>
                <w:rFonts w:ascii="Cambria" w:hAnsi="Cambria"/>
                <w:b/>
                <w:bCs/>
                <w:i/>
                <w:color w:val="FFFFFF" w:themeColor="background1"/>
                <w:sz w:val="20"/>
                <w:szCs w:val="20"/>
              </w:rPr>
              <w:t xml:space="preserve"> Ratione personae:</w:t>
            </w:r>
          </w:p>
        </w:tc>
        <w:tc>
          <w:tcPr>
            <w:tcW w:w="5670" w:type="dxa"/>
            <w:vAlign w:val="center"/>
          </w:tcPr>
          <w:p w14:paraId="237A8D0C" w14:textId="527A54C5" w:rsidR="00F621C3" w:rsidRPr="00193B9F" w:rsidRDefault="00FE2B99" w:rsidP="009163FC">
            <w:pPr>
              <w:rPr>
                <w:rFonts w:asciiTheme="majorHAnsi" w:hAnsiTheme="majorHAnsi"/>
                <w:bCs/>
                <w:sz w:val="20"/>
                <w:szCs w:val="20"/>
              </w:rPr>
            </w:pPr>
            <w:r w:rsidRPr="00193B9F">
              <w:rPr>
                <w:rFonts w:asciiTheme="majorHAnsi" w:hAnsiTheme="majorHAnsi"/>
                <w:bCs/>
                <w:sz w:val="20"/>
                <w:szCs w:val="20"/>
              </w:rPr>
              <w:t>Yes</w:t>
            </w:r>
          </w:p>
        </w:tc>
      </w:tr>
      <w:tr w:rsidR="00F621C3" w:rsidRPr="00193B9F"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193B9F" w:rsidRDefault="00F621C3" w:rsidP="009163FC">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t>Competence</w:t>
            </w:r>
            <w:r w:rsidRPr="00193B9F">
              <w:rPr>
                <w:rFonts w:ascii="Cambria" w:hAnsi="Cambria"/>
                <w:b/>
                <w:bCs/>
                <w:i/>
                <w:color w:val="FFFFFF" w:themeColor="background1"/>
                <w:sz w:val="20"/>
                <w:szCs w:val="20"/>
              </w:rPr>
              <w:t xml:space="preserve"> Ratione loci</w:t>
            </w:r>
            <w:r w:rsidRPr="00193B9F">
              <w:rPr>
                <w:rFonts w:ascii="Cambria" w:hAnsi="Cambria"/>
                <w:b/>
                <w:bCs/>
                <w:color w:val="FFFFFF" w:themeColor="background1"/>
                <w:sz w:val="20"/>
                <w:szCs w:val="20"/>
              </w:rPr>
              <w:t>:</w:t>
            </w:r>
          </w:p>
        </w:tc>
        <w:tc>
          <w:tcPr>
            <w:tcW w:w="5670" w:type="dxa"/>
            <w:vAlign w:val="center"/>
          </w:tcPr>
          <w:p w14:paraId="48257424" w14:textId="10834ED4" w:rsidR="00F621C3" w:rsidRPr="00193B9F" w:rsidRDefault="00FE2B99" w:rsidP="009163FC">
            <w:pPr>
              <w:rPr>
                <w:rFonts w:asciiTheme="majorHAnsi" w:hAnsiTheme="majorHAnsi"/>
                <w:bCs/>
                <w:sz w:val="20"/>
                <w:szCs w:val="20"/>
              </w:rPr>
            </w:pPr>
            <w:r w:rsidRPr="00193B9F">
              <w:rPr>
                <w:rFonts w:asciiTheme="majorHAnsi" w:hAnsiTheme="majorHAnsi"/>
                <w:bCs/>
                <w:sz w:val="20"/>
                <w:szCs w:val="20"/>
              </w:rPr>
              <w:t>Yes</w:t>
            </w:r>
          </w:p>
        </w:tc>
      </w:tr>
      <w:tr w:rsidR="00F621C3" w:rsidRPr="00193B9F"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193B9F" w:rsidRDefault="00F621C3" w:rsidP="009163FC">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t>Competence</w:t>
            </w:r>
            <w:r w:rsidRPr="00193B9F">
              <w:rPr>
                <w:rFonts w:ascii="Cambria" w:hAnsi="Cambria"/>
                <w:b/>
                <w:bCs/>
                <w:i/>
                <w:color w:val="FFFFFF" w:themeColor="background1"/>
                <w:sz w:val="20"/>
                <w:szCs w:val="20"/>
              </w:rPr>
              <w:t xml:space="preserve"> Ratione temporis</w:t>
            </w:r>
            <w:r w:rsidRPr="00193B9F">
              <w:rPr>
                <w:rFonts w:ascii="Cambria" w:hAnsi="Cambria"/>
                <w:b/>
                <w:bCs/>
                <w:color w:val="FFFFFF" w:themeColor="background1"/>
                <w:sz w:val="20"/>
                <w:szCs w:val="20"/>
              </w:rPr>
              <w:t>:</w:t>
            </w:r>
          </w:p>
        </w:tc>
        <w:tc>
          <w:tcPr>
            <w:tcW w:w="5670" w:type="dxa"/>
            <w:vAlign w:val="center"/>
          </w:tcPr>
          <w:p w14:paraId="74B3F783" w14:textId="15F1612B" w:rsidR="00F621C3" w:rsidRPr="00193B9F" w:rsidRDefault="00FE2B99" w:rsidP="009163FC">
            <w:pPr>
              <w:rPr>
                <w:rFonts w:asciiTheme="majorHAnsi" w:hAnsiTheme="majorHAnsi"/>
                <w:bCs/>
                <w:sz w:val="20"/>
                <w:szCs w:val="20"/>
              </w:rPr>
            </w:pPr>
            <w:r w:rsidRPr="00193B9F">
              <w:rPr>
                <w:rFonts w:asciiTheme="majorHAnsi" w:hAnsiTheme="majorHAnsi"/>
                <w:bCs/>
                <w:sz w:val="20"/>
                <w:szCs w:val="20"/>
              </w:rPr>
              <w:t>Yes</w:t>
            </w:r>
          </w:p>
        </w:tc>
      </w:tr>
      <w:tr w:rsidR="00F621C3" w:rsidRPr="00193B9F"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193B9F" w:rsidRDefault="00F621C3" w:rsidP="009163FC">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t>Competence</w:t>
            </w:r>
            <w:r w:rsidRPr="00193B9F">
              <w:rPr>
                <w:rFonts w:ascii="Cambria" w:hAnsi="Cambria"/>
                <w:b/>
                <w:bCs/>
                <w:i/>
                <w:color w:val="FFFFFF" w:themeColor="background1"/>
                <w:sz w:val="20"/>
                <w:szCs w:val="20"/>
              </w:rPr>
              <w:t xml:space="preserve"> Ratione materiae</w:t>
            </w:r>
            <w:r w:rsidRPr="00193B9F">
              <w:rPr>
                <w:rFonts w:ascii="Cambria" w:hAnsi="Cambria"/>
                <w:b/>
                <w:bCs/>
                <w:color w:val="FFFFFF" w:themeColor="background1"/>
                <w:sz w:val="20"/>
                <w:szCs w:val="20"/>
              </w:rPr>
              <w:t>:</w:t>
            </w:r>
          </w:p>
        </w:tc>
        <w:tc>
          <w:tcPr>
            <w:tcW w:w="5670" w:type="dxa"/>
            <w:vAlign w:val="center"/>
          </w:tcPr>
          <w:p w14:paraId="64B3F199" w14:textId="16CD0E01" w:rsidR="00F621C3" w:rsidRPr="00193B9F" w:rsidRDefault="00FE2B99" w:rsidP="009163FC">
            <w:pPr>
              <w:jc w:val="both"/>
              <w:rPr>
                <w:rFonts w:asciiTheme="majorHAnsi" w:hAnsiTheme="majorHAnsi"/>
                <w:bCs/>
                <w:sz w:val="20"/>
                <w:szCs w:val="20"/>
              </w:rPr>
            </w:pPr>
            <w:r w:rsidRPr="00193B9F">
              <w:rPr>
                <w:rFonts w:asciiTheme="majorHAnsi" w:hAnsiTheme="majorHAnsi"/>
                <w:bCs/>
                <w:sz w:val="20"/>
                <w:szCs w:val="20"/>
              </w:rPr>
              <w:t>Yes, American Convention (deposit of instrument of ratification made on September 8, 1977)</w:t>
            </w:r>
          </w:p>
        </w:tc>
      </w:tr>
    </w:tbl>
    <w:p w14:paraId="0408D4CD" w14:textId="54A61356" w:rsidR="00F621C3" w:rsidRPr="00193B9F" w:rsidRDefault="00F621C3" w:rsidP="00F621C3">
      <w:pPr>
        <w:spacing w:before="240" w:after="240"/>
        <w:ind w:firstLine="720"/>
        <w:jc w:val="both"/>
        <w:rPr>
          <w:rFonts w:asciiTheme="majorHAnsi" w:hAnsiTheme="majorHAnsi"/>
          <w:b/>
          <w:bCs/>
          <w:sz w:val="20"/>
          <w:szCs w:val="20"/>
        </w:rPr>
      </w:pPr>
      <w:r w:rsidRPr="00193B9F">
        <w:rPr>
          <w:rFonts w:asciiTheme="majorHAnsi" w:hAnsiTheme="majorHAnsi"/>
          <w:b/>
          <w:bCs/>
          <w:sz w:val="20"/>
          <w:szCs w:val="20"/>
        </w:rPr>
        <w:t xml:space="preserve">IV. </w:t>
      </w:r>
      <w:r w:rsidRPr="00193B9F">
        <w:rPr>
          <w:rFonts w:asciiTheme="majorHAnsi" w:hAnsiTheme="majorHAnsi"/>
          <w:b/>
          <w:bCs/>
          <w:sz w:val="20"/>
          <w:szCs w:val="20"/>
        </w:rPr>
        <w:tab/>
        <w:t xml:space="preserve">DUPLICATION OF PROCEDURES AND INTERNATIONAL </w:t>
      </w:r>
      <w:r w:rsidRPr="00193B9F">
        <w:rPr>
          <w:rFonts w:asciiTheme="majorHAnsi" w:hAnsiTheme="majorHAnsi"/>
          <w:b/>
          <w:bCs/>
          <w:i/>
          <w:sz w:val="20"/>
          <w:szCs w:val="20"/>
        </w:rPr>
        <w:t>RES JUDICATA</w:t>
      </w:r>
      <w:r w:rsidRPr="00193B9F">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193B9F"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193B9F" w:rsidRDefault="00F621C3" w:rsidP="009163FC">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t xml:space="preserve">Duplication of procedures and International </w:t>
            </w:r>
            <w:r w:rsidRPr="00193B9F">
              <w:rPr>
                <w:rFonts w:ascii="Cambria" w:hAnsi="Cambria"/>
                <w:b/>
                <w:bCs/>
                <w:i/>
                <w:color w:val="FFFFFF" w:themeColor="background1"/>
                <w:sz w:val="20"/>
                <w:szCs w:val="20"/>
              </w:rPr>
              <w:t>res judicata</w:t>
            </w:r>
            <w:r w:rsidRPr="00193B9F">
              <w:rPr>
                <w:rFonts w:ascii="Cambria" w:hAnsi="Cambria"/>
                <w:b/>
                <w:bCs/>
                <w:color w:val="FFFFFF" w:themeColor="background1"/>
                <w:sz w:val="20"/>
                <w:szCs w:val="20"/>
              </w:rPr>
              <w:t>:</w:t>
            </w:r>
          </w:p>
        </w:tc>
        <w:tc>
          <w:tcPr>
            <w:tcW w:w="5670" w:type="dxa"/>
            <w:vAlign w:val="center"/>
          </w:tcPr>
          <w:p w14:paraId="4773CD23" w14:textId="1574C4FC" w:rsidR="00F621C3" w:rsidRPr="00193B9F" w:rsidRDefault="00FE2B99" w:rsidP="009163FC">
            <w:pPr>
              <w:jc w:val="both"/>
              <w:rPr>
                <w:rFonts w:ascii="Cambria" w:hAnsi="Cambria"/>
                <w:bCs/>
                <w:sz w:val="20"/>
                <w:szCs w:val="20"/>
              </w:rPr>
            </w:pPr>
            <w:r w:rsidRPr="00193B9F">
              <w:rPr>
                <w:rFonts w:ascii="Cambria" w:hAnsi="Cambria"/>
                <w:bCs/>
                <w:sz w:val="20"/>
                <w:szCs w:val="20"/>
              </w:rPr>
              <w:t>No</w:t>
            </w:r>
          </w:p>
        </w:tc>
      </w:tr>
      <w:tr w:rsidR="00F621C3" w:rsidRPr="00193B9F"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193B9F" w:rsidRDefault="00F621C3" w:rsidP="009163FC">
            <w:pPr>
              <w:jc w:val="center"/>
              <w:rPr>
                <w:rFonts w:ascii="Cambria" w:hAnsi="Cambria"/>
                <w:b/>
                <w:bCs/>
                <w:i/>
                <w:color w:val="FFFFFF" w:themeColor="background1"/>
                <w:sz w:val="20"/>
                <w:szCs w:val="20"/>
              </w:rPr>
            </w:pPr>
            <w:r w:rsidRPr="00193B9F">
              <w:rPr>
                <w:rFonts w:ascii="Cambria" w:hAnsi="Cambria"/>
                <w:b/>
                <w:bCs/>
                <w:color w:val="FFFFFF" w:themeColor="background1"/>
                <w:sz w:val="20"/>
                <w:szCs w:val="20"/>
              </w:rPr>
              <w:t>Rights declared admissible</w:t>
            </w:r>
          </w:p>
        </w:tc>
        <w:tc>
          <w:tcPr>
            <w:tcW w:w="5670" w:type="dxa"/>
            <w:vAlign w:val="center"/>
          </w:tcPr>
          <w:p w14:paraId="33BE4040" w14:textId="35991022" w:rsidR="00F621C3" w:rsidRPr="00193B9F" w:rsidRDefault="00FE2B99" w:rsidP="009163FC">
            <w:pPr>
              <w:jc w:val="both"/>
              <w:rPr>
                <w:rFonts w:ascii="Cambria" w:hAnsi="Cambria"/>
                <w:bCs/>
                <w:sz w:val="20"/>
                <w:szCs w:val="20"/>
              </w:rPr>
            </w:pPr>
            <w:r w:rsidRPr="00193B9F">
              <w:rPr>
                <w:rFonts w:ascii="Cambria" w:hAnsi="Cambria"/>
                <w:bCs/>
                <w:sz w:val="20"/>
                <w:szCs w:val="20"/>
              </w:rPr>
              <w:t>Articles 4 (life), 5 (humane treatment), 8 (fair trial), 13 (freedom of thought and expression), 15 (assembly) and 25 (judicial protection) of the American Convention, in relation to Article 1.1 (obligation to respect rights)</w:t>
            </w:r>
          </w:p>
        </w:tc>
      </w:tr>
      <w:tr w:rsidR="00F621C3" w:rsidRPr="00193B9F"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193B9F" w:rsidRDefault="00F621C3" w:rsidP="009163FC">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432DC56B" w14:textId="2E34B6BB" w:rsidR="00F621C3" w:rsidRPr="00193B9F" w:rsidRDefault="00FE2B99" w:rsidP="009163FC">
            <w:pPr>
              <w:rPr>
                <w:rFonts w:ascii="Cambria" w:hAnsi="Cambria"/>
                <w:bCs/>
                <w:sz w:val="20"/>
                <w:szCs w:val="20"/>
              </w:rPr>
            </w:pPr>
            <w:r w:rsidRPr="00193B9F">
              <w:rPr>
                <w:rFonts w:ascii="Cambria" w:hAnsi="Cambria"/>
                <w:bCs/>
                <w:sz w:val="20"/>
                <w:szCs w:val="20"/>
              </w:rPr>
              <w:t>Yes, the exception of Article 46.2.c) of the American Convention applies</w:t>
            </w:r>
          </w:p>
        </w:tc>
      </w:tr>
      <w:tr w:rsidR="00F621C3" w:rsidRPr="00193B9F"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193B9F" w:rsidRDefault="00F621C3" w:rsidP="009163FC">
            <w:pPr>
              <w:jc w:val="center"/>
              <w:rPr>
                <w:rFonts w:ascii="Cambria" w:hAnsi="Cambria"/>
                <w:b/>
                <w:bCs/>
                <w:color w:val="FFFFFF" w:themeColor="background1"/>
                <w:sz w:val="20"/>
                <w:szCs w:val="20"/>
              </w:rPr>
            </w:pPr>
            <w:r w:rsidRPr="00193B9F">
              <w:rPr>
                <w:rFonts w:ascii="Cambria" w:hAnsi="Cambria"/>
                <w:b/>
                <w:bCs/>
                <w:color w:val="FFFFFF" w:themeColor="background1"/>
                <w:sz w:val="20"/>
                <w:szCs w:val="20"/>
              </w:rPr>
              <w:t>Timeliness of the petition:</w:t>
            </w:r>
          </w:p>
        </w:tc>
        <w:tc>
          <w:tcPr>
            <w:tcW w:w="5670" w:type="dxa"/>
            <w:vAlign w:val="center"/>
          </w:tcPr>
          <w:p w14:paraId="6A26CCE9" w14:textId="295A8DBF" w:rsidR="00F621C3" w:rsidRPr="00193B9F" w:rsidRDefault="00C1514A" w:rsidP="009163FC">
            <w:pPr>
              <w:rPr>
                <w:rFonts w:asciiTheme="majorHAnsi" w:hAnsiTheme="majorHAnsi"/>
                <w:bCs/>
                <w:sz w:val="20"/>
                <w:szCs w:val="20"/>
              </w:rPr>
            </w:pPr>
            <w:r w:rsidRPr="00193B9F">
              <w:rPr>
                <w:rFonts w:asciiTheme="majorHAnsi" w:hAnsiTheme="majorHAnsi"/>
                <w:bCs/>
                <w:sz w:val="20"/>
                <w:szCs w:val="20"/>
              </w:rPr>
              <w:t>Yes, in the terms of Section VI</w:t>
            </w:r>
          </w:p>
        </w:tc>
      </w:tr>
    </w:tbl>
    <w:p w14:paraId="1BF76AB3" w14:textId="77777777" w:rsidR="00197EB6" w:rsidRPr="00193B9F" w:rsidRDefault="00F621C3" w:rsidP="00197EB6">
      <w:pPr>
        <w:spacing w:before="240" w:after="240"/>
        <w:ind w:firstLine="720"/>
        <w:jc w:val="both"/>
        <w:rPr>
          <w:rFonts w:asciiTheme="majorHAnsi" w:hAnsiTheme="majorHAnsi"/>
          <w:b/>
          <w:sz w:val="20"/>
          <w:szCs w:val="20"/>
        </w:rPr>
      </w:pPr>
      <w:r w:rsidRPr="00193B9F">
        <w:rPr>
          <w:rFonts w:asciiTheme="majorHAnsi" w:hAnsiTheme="majorHAnsi"/>
          <w:b/>
          <w:sz w:val="20"/>
          <w:szCs w:val="20"/>
        </w:rPr>
        <w:t xml:space="preserve">V. </w:t>
      </w:r>
      <w:r w:rsidRPr="00193B9F">
        <w:rPr>
          <w:rFonts w:asciiTheme="majorHAnsi" w:hAnsiTheme="majorHAnsi"/>
          <w:b/>
          <w:sz w:val="20"/>
          <w:szCs w:val="20"/>
        </w:rPr>
        <w:tab/>
      </w:r>
      <w:r w:rsidR="00197EB6" w:rsidRPr="00193B9F">
        <w:rPr>
          <w:rFonts w:asciiTheme="majorHAnsi" w:hAnsiTheme="majorHAnsi"/>
          <w:b/>
          <w:sz w:val="20"/>
          <w:szCs w:val="20"/>
        </w:rPr>
        <w:t>POSITION OF THE PARTIES</w:t>
      </w:r>
    </w:p>
    <w:p w14:paraId="629E2DE8" w14:textId="7DC50ECB" w:rsidR="00F621C3" w:rsidRPr="00193B9F" w:rsidRDefault="00197EB6" w:rsidP="00197EB6">
      <w:pPr>
        <w:spacing w:before="240" w:after="240"/>
        <w:ind w:firstLine="720"/>
        <w:jc w:val="both"/>
        <w:rPr>
          <w:rFonts w:asciiTheme="majorHAnsi" w:hAnsiTheme="majorHAnsi"/>
          <w:b/>
          <w:sz w:val="20"/>
          <w:szCs w:val="20"/>
        </w:rPr>
      </w:pPr>
      <w:r w:rsidRPr="00193B9F">
        <w:rPr>
          <w:rFonts w:ascii="Cambria" w:hAnsi="Cambria"/>
          <w:sz w:val="20"/>
          <w:szCs w:val="20"/>
        </w:rPr>
        <w:t xml:space="preserve"> </w:t>
      </w:r>
      <w:r w:rsidRPr="00193B9F">
        <w:rPr>
          <w:rFonts w:asciiTheme="majorHAnsi" w:hAnsiTheme="majorHAnsi"/>
          <w:bCs/>
          <w:i/>
          <w:iCs/>
          <w:sz w:val="20"/>
          <w:szCs w:val="20"/>
        </w:rPr>
        <w:t>Allegations of the petitioner</w:t>
      </w:r>
    </w:p>
    <w:p w14:paraId="58C35FD3" w14:textId="641DDE4F" w:rsidR="000847F4" w:rsidRPr="00193B9F" w:rsidRDefault="006318B2"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193B9F">
        <w:rPr>
          <w:sz w:val="20"/>
          <w:szCs w:val="20"/>
        </w:rPr>
        <w:t xml:space="preserve"> </w:t>
      </w:r>
      <w:r w:rsidR="00193B9F" w:rsidRPr="00193B9F">
        <w:rPr>
          <w:rFonts w:asciiTheme="majorHAnsi" w:hAnsiTheme="majorHAnsi"/>
          <w:bCs/>
          <w:sz w:val="20"/>
          <w:szCs w:val="20"/>
        </w:rPr>
        <w:t xml:space="preserve">The petitioners </w:t>
      </w:r>
      <w:r w:rsidR="00C070FA">
        <w:rPr>
          <w:rFonts w:asciiTheme="majorHAnsi" w:hAnsiTheme="majorHAnsi"/>
          <w:bCs/>
          <w:sz w:val="20"/>
          <w:szCs w:val="20"/>
        </w:rPr>
        <w:t>denounce</w:t>
      </w:r>
      <w:r w:rsidR="00193B9F" w:rsidRPr="00193B9F">
        <w:rPr>
          <w:rFonts w:asciiTheme="majorHAnsi" w:hAnsiTheme="majorHAnsi"/>
          <w:bCs/>
          <w:sz w:val="20"/>
          <w:szCs w:val="20"/>
        </w:rPr>
        <w:t xml:space="preserve"> the death of young Isy Obed Murillo Mencías during a march that took place on July 5, 2009, as part of the protests following the </w:t>
      </w:r>
      <w:r w:rsidR="00193B9F" w:rsidRPr="000046B9">
        <w:rPr>
          <w:rFonts w:asciiTheme="majorHAnsi" w:hAnsiTheme="majorHAnsi"/>
          <w:bCs/>
          <w:i/>
          <w:iCs/>
          <w:sz w:val="20"/>
          <w:szCs w:val="20"/>
        </w:rPr>
        <w:t>coup d'état</w:t>
      </w:r>
      <w:r w:rsidR="00193B9F" w:rsidRPr="00193B9F">
        <w:rPr>
          <w:rFonts w:asciiTheme="majorHAnsi" w:hAnsiTheme="majorHAnsi"/>
          <w:bCs/>
          <w:sz w:val="20"/>
          <w:szCs w:val="20"/>
        </w:rPr>
        <w:t xml:space="preserve"> that took place in Honduras that year. The 19-year-old Isy Murillo died of a bullet wound to the head after members of the army fired on the marchers. The petitioners allege the lack of a proper investigation and punishment of this incident, and that this also constituted a violation of the right to assembly</w:t>
      </w:r>
      <w:r w:rsidR="000847F4" w:rsidRPr="00193B9F">
        <w:rPr>
          <w:rFonts w:asciiTheme="majorHAnsi" w:hAnsiTheme="majorHAnsi"/>
          <w:bCs/>
          <w:sz w:val="20"/>
          <w:szCs w:val="20"/>
        </w:rPr>
        <w:t>.</w:t>
      </w:r>
    </w:p>
    <w:p w14:paraId="5A400229" w14:textId="45C060F7" w:rsidR="000847F4" w:rsidRPr="00193B9F" w:rsidRDefault="00193B9F"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193B9F">
        <w:rPr>
          <w:rFonts w:asciiTheme="majorHAnsi" w:hAnsiTheme="majorHAnsi"/>
          <w:bCs/>
          <w:sz w:val="20"/>
          <w:szCs w:val="20"/>
        </w:rPr>
        <w:t>By way of context, both parties report on the events that took place in Honduras on June 28, 2009, when members of the Honduran army detained then President José Manuel Zelaya, who was removed from office by the National Congress on the same date, by a legislative decree that condemned his administrative conduct; he was subsequently exiled to Costa Rica</w:t>
      </w:r>
      <w:r w:rsidR="000847F4" w:rsidRPr="00193B9F">
        <w:rPr>
          <w:rFonts w:asciiTheme="majorHAnsi" w:hAnsiTheme="majorHAnsi"/>
          <w:bCs/>
          <w:sz w:val="20"/>
          <w:szCs w:val="20"/>
        </w:rPr>
        <w:t xml:space="preserve">. </w:t>
      </w:r>
    </w:p>
    <w:p w14:paraId="649FB6EF" w14:textId="79789149" w:rsidR="000847F4" w:rsidRPr="00193B9F" w:rsidRDefault="00193B9F"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193B9F">
        <w:rPr>
          <w:rFonts w:asciiTheme="majorHAnsi" w:hAnsiTheme="majorHAnsi"/>
          <w:bCs/>
          <w:sz w:val="20"/>
          <w:szCs w:val="20"/>
        </w:rPr>
        <w:t xml:space="preserve">In response to the protests against the </w:t>
      </w:r>
      <w:r w:rsidRPr="000046B9">
        <w:rPr>
          <w:rFonts w:asciiTheme="majorHAnsi" w:hAnsiTheme="majorHAnsi"/>
          <w:bCs/>
          <w:i/>
          <w:iCs/>
          <w:sz w:val="20"/>
          <w:szCs w:val="20"/>
        </w:rPr>
        <w:t>coup d'état</w:t>
      </w:r>
      <w:r w:rsidRPr="00193B9F">
        <w:rPr>
          <w:rFonts w:asciiTheme="majorHAnsi" w:hAnsiTheme="majorHAnsi"/>
          <w:bCs/>
          <w:sz w:val="20"/>
          <w:szCs w:val="20"/>
        </w:rPr>
        <w:t xml:space="preserve">, on June 28, 2009, the Honduran Armed Forces deployed military devices with fighter planes and brigades of soldiers in Tegucigalpa and other cities. </w:t>
      </w:r>
      <w:r w:rsidR="00C070FA">
        <w:rPr>
          <w:rFonts w:asciiTheme="majorHAnsi" w:hAnsiTheme="majorHAnsi"/>
          <w:bCs/>
          <w:sz w:val="20"/>
          <w:szCs w:val="20"/>
        </w:rPr>
        <w:t>Petitioners</w:t>
      </w:r>
      <w:r w:rsidRPr="00193B9F">
        <w:rPr>
          <w:rFonts w:asciiTheme="majorHAnsi" w:hAnsiTheme="majorHAnsi"/>
          <w:bCs/>
          <w:sz w:val="20"/>
          <w:szCs w:val="20"/>
        </w:rPr>
        <w:t xml:space="preserve"> also report that the police cut electricity, telephone and internet networks; that a 48-hour curfew was decreed</w:t>
      </w:r>
      <w:r w:rsidR="000847F4" w:rsidRPr="00193B9F">
        <w:rPr>
          <w:rStyle w:val="FootnoteReference"/>
          <w:rFonts w:asciiTheme="majorHAnsi" w:hAnsiTheme="majorHAnsi"/>
          <w:bCs/>
          <w:sz w:val="20"/>
          <w:szCs w:val="20"/>
        </w:rPr>
        <w:footnoteReference w:id="6"/>
      </w:r>
      <w:r w:rsidR="000847F4" w:rsidRPr="00193B9F">
        <w:rPr>
          <w:rFonts w:asciiTheme="majorHAnsi" w:hAnsiTheme="majorHAnsi"/>
          <w:bCs/>
          <w:sz w:val="20"/>
          <w:szCs w:val="20"/>
        </w:rPr>
        <w:t xml:space="preserve">; </w:t>
      </w:r>
      <w:r w:rsidRPr="00193B9F">
        <w:rPr>
          <w:rFonts w:asciiTheme="majorHAnsi" w:hAnsiTheme="majorHAnsi"/>
          <w:bCs/>
          <w:sz w:val="20"/>
          <w:szCs w:val="20"/>
        </w:rPr>
        <w:t>that international television networks were banned from broadcasting; and that journalists were arrested</w:t>
      </w:r>
      <w:r w:rsidR="000847F4" w:rsidRPr="00193B9F">
        <w:rPr>
          <w:rFonts w:asciiTheme="majorHAnsi" w:hAnsiTheme="majorHAnsi"/>
          <w:bCs/>
          <w:sz w:val="20"/>
          <w:szCs w:val="20"/>
        </w:rPr>
        <w:t xml:space="preserve">. </w:t>
      </w:r>
    </w:p>
    <w:p w14:paraId="5E39D912" w14:textId="274B961E" w:rsidR="000847F4" w:rsidRPr="00193B9F" w:rsidRDefault="00193B9F"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193B9F">
        <w:rPr>
          <w:rFonts w:asciiTheme="majorHAnsi" w:hAnsiTheme="majorHAnsi"/>
          <w:bCs/>
          <w:sz w:val="20"/>
          <w:szCs w:val="20"/>
        </w:rPr>
        <w:t>On July 5, a protest was organized at the Toncontín International Airport in Tegucigalpa, because former President Zelaya announced his arrival at this airport. Around ten thousand people attended this mobilization. At 4:00 pm the armed forces began to throw tear gas bombs towards a fence and a wall of the airport, and began to shoot at the protesters for a period of 15 to 20 minutes, so they sought protection behind a stone wall in a nearby restaurant. Despite the fact that the participants began to flee and try to protect themselves, nineteen people were wounded, including the alleged victim</w:t>
      </w:r>
      <w:r w:rsidRPr="008C0090">
        <w:rPr>
          <w:rFonts w:asciiTheme="majorHAnsi" w:hAnsiTheme="majorHAnsi"/>
          <w:bCs/>
          <w:sz w:val="20"/>
          <w:szCs w:val="20"/>
        </w:rPr>
        <w:t xml:space="preserve">, who was wounded by a bullet to the head </w:t>
      </w:r>
      <w:r w:rsidR="0054195A" w:rsidRPr="008C0090">
        <w:rPr>
          <w:rFonts w:asciiTheme="majorHAnsi" w:hAnsiTheme="majorHAnsi"/>
          <w:bCs/>
          <w:sz w:val="20"/>
          <w:szCs w:val="20"/>
        </w:rPr>
        <w:t xml:space="preserve">and, after being helped by other protesters, he </w:t>
      </w:r>
      <w:r w:rsidRPr="008C0090">
        <w:rPr>
          <w:rFonts w:asciiTheme="majorHAnsi" w:hAnsiTheme="majorHAnsi"/>
          <w:bCs/>
          <w:sz w:val="20"/>
          <w:szCs w:val="20"/>
        </w:rPr>
        <w:t>later died at the Hospital Escuela</w:t>
      </w:r>
      <w:r w:rsidR="000847F4" w:rsidRPr="008C0090">
        <w:rPr>
          <w:rFonts w:asciiTheme="majorHAnsi" w:hAnsiTheme="majorHAnsi"/>
          <w:bCs/>
          <w:sz w:val="20"/>
          <w:szCs w:val="20"/>
        </w:rPr>
        <w:t>.</w:t>
      </w:r>
      <w:r w:rsidR="000847F4" w:rsidRPr="00193B9F">
        <w:rPr>
          <w:rFonts w:asciiTheme="majorHAnsi" w:hAnsiTheme="majorHAnsi"/>
          <w:bCs/>
          <w:sz w:val="20"/>
          <w:szCs w:val="20"/>
        </w:rPr>
        <w:t xml:space="preserve"> </w:t>
      </w:r>
    </w:p>
    <w:p w14:paraId="6C49771B" w14:textId="37C232CC" w:rsidR="000847F4" w:rsidRPr="00193B9F" w:rsidRDefault="00193B9F"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193B9F">
        <w:rPr>
          <w:rFonts w:asciiTheme="majorHAnsi" w:hAnsiTheme="majorHAnsi"/>
          <w:bCs/>
          <w:sz w:val="20"/>
          <w:szCs w:val="20"/>
        </w:rPr>
        <w:t xml:space="preserve">The petitioners contend that the security forces did in fact fire lead bullets, live ammunition, at the </w:t>
      </w:r>
      <w:r w:rsidR="00C070FA">
        <w:rPr>
          <w:rFonts w:asciiTheme="majorHAnsi" w:hAnsiTheme="majorHAnsi"/>
          <w:bCs/>
          <w:sz w:val="20"/>
          <w:szCs w:val="20"/>
        </w:rPr>
        <w:t>marchers</w:t>
      </w:r>
      <w:r w:rsidRPr="00193B9F">
        <w:rPr>
          <w:rFonts w:asciiTheme="majorHAnsi" w:hAnsiTheme="majorHAnsi"/>
          <w:bCs/>
          <w:sz w:val="20"/>
          <w:szCs w:val="20"/>
        </w:rPr>
        <w:t>, and not, as some claimed, that only rubber bullets were fired</w:t>
      </w:r>
      <w:r w:rsidR="000847F4" w:rsidRPr="00193B9F">
        <w:rPr>
          <w:sz w:val="20"/>
          <w:szCs w:val="20"/>
          <w:vertAlign w:val="superscript"/>
        </w:rPr>
        <w:footnoteReference w:id="7"/>
      </w:r>
      <w:r w:rsidR="000847F4" w:rsidRPr="00193B9F">
        <w:rPr>
          <w:rFonts w:asciiTheme="majorHAnsi" w:hAnsiTheme="majorHAnsi"/>
          <w:bCs/>
          <w:sz w:val="20"/>
          <w:szCs w:val="20"/>
        </w:rPr>
        <w:t xml:space="preserve">. </w:t>
      </w:r>
      <w:r w:rsidRPr="00193B9F">
        <w:rPr>
          <w:rFonts w:asciiTheme="majorHAnsi" w:hAnsiTheme="majorHAnsi"/>
          <w:bCs/>
          <w:sz w:val="20"/>
          <w:szCs w:val="20"/>
        </w:rPr>
        <w:t>Thus, they do not conceive that there is an exception to the use of excessive force and that there was no legitimate defense because there were no threats from the protesters, it was not used in combat, and it was not performed in a rational, necessary and proportionate manner</w:t>
      </w:r>
      <w:r w:rsidR="000847F4" w:rsidRPr="00193B9F">
        <w:rPr>
          <w:rFonts w:asciiTheme="majorHAnsi" w:hAnsiTheme="majorHAnsi"/>
          <w:bCs/>
          <w:sz w:val="20"/>
          <w:szCs w:val="20"/>
        </w:rPr>
        <w:t>.</w:t>
      </w:r>
    </w:p>
    <w:p w14:paraId="596B3268" w14:textId="1CB54F6D" w:rsidR="000847F4" w:rsidRPr="00193B9F" w:rsidRDefault="00193B9F"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193B9F">
        <w:rPr>
          <w:rFonts w:asciiTheme="majorHAnsi" w:hAnsiTheme="majorHAnsi"/>
          <w:bCs/>
          <w:sz w:val="20"/>
          <w:szCs w:val="20"/>
        </w:rPr>
        <w:t>The petitioners hold that the death of the alleged victim constituted an extrajudicial execution, which is punishable under domestic law</w:t>
      </w:r>
      <w:r w:rsidR="000847F4" w:rsidRPr="00193B9F">
        <w:rPr>
          <w:sz w:val="20"/>
          <w:szCs w:val="20"/>
          <w:vertAlign w:val="superscript"/>
        </w:rPr>
        <w:footnoteReference w:id="8"/>
      </w:r>
      <w:r w:rsidR="000847F4" w:rsidRPr="00193B9F">
        <w:rPr>
          <w:rFonts w:asciiTheme="majorHAnsi" w:hAnsiTheme="majorHAnsi"/>
          <w:bCs/>
          <w:sz w:val="20"/>
          <w:szCs w:val="20"/>
        </w:rPr>
        <w:t xml:space="preserve">; </w:t>
      </w:r>
      <w:r w:rsidRPr="00193B9F">
        <w:rPr>
          <w:rFonts w:asciiTheme="majorHAnsi" w:hAnsiTheme="majorHAnsi"/>
          <w:bCs/>
          <w:sz w:val="20"/>
          <w:szCs w:val="20"/>
        </w:rPr>
        <w:t xml:space="preserve">and that those responsible include not only the person who fired the weapon but also the senior military commanders and even the civilians who </w:t>
      </w:r>
      <w:r>
        <w:rPr>
          <w:rFonts w:asciiTheme="majorHAnsi" w:hAnsiTheme="majorHAnsi"/>
          <w:bCs/>
          <w:sz w:val="20"/>
          <w:szCs w:val="20"/>
        </w:rPr>
        <w:t>held the</w:t>
      </w:r>
      <w:r w:rsidRPr="00193B9F">
        <w:rPr>
          <w:rFonts w:asciiTheme="majorHAnsi" w:hAnsiTheme="majorHAnsi"/>
          <w:bCs/>
          <w:sz w:val="20"/>
          <w:szCs w:val="20"/>
        </w:rPr>
        <w:t xml:space="preserve"> power</w:t>
      </w:r>
      <w:r w:rsidR="000847F4" w:rsidRPr="00193B9F">
        <w:rPr>
          <w:rFonts w:asciiTheme="majorHAnsi" w:hAnsiTheme="majorHAnsi"/>
          <w:bCs/>
          <w:sz w:val="20"/>
          <w:szCs w:val="20"/>
        </w:rPr>
        <w:t xml:space="preserve">. </w:t>
      </w:r>
    </w:p>
    <w:p w14:paraId="00799355" w14:textId="73076693" w:rsidR="000847F4" w:rsidRPr="00193B9F" w:rsidRDefault="00193B9F"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193B9F">
        <w:rPr>
          <w:rFonts w:asciiTheme="majorHAnsi" w:hAnsiTheme="majorHAnsi"/>
          <w:bCs/>
          <w:color w:val="auto"/>
          <w:sz w:val="20"/>
          <w:szCs w:val="20"/>
        </w:rPr>
        <w:t xml:space="preserve">Following the death of young Isy Murillo, the Public Ministry initiated an </w:t>
      </w:r>
      <w:r w:rsidRPr="00193B9F">
        <w:rPr>
          <w:rFonts w:asciiTheme="majorHAnsi" w:hAnsiTheme="majorHAnsi"/>
          <w:bCs/>
          <w:i/>
          <w:iCs/>
          <w:color w:val="auto"/>
          <w:sz w:val="20"/>
          <w:szCs w:val="20"/>
        </w:rPr>
        <w:t>ex officio</w:t>
      </w:r>
      <w:r w:rsidRPr="00193B9F">
        <w:rPr>
          <w:rFonts w:asciiTheme="majorHAnsi" w:hAnsiTheme="majorHAnsi"/>
          <w:bCs/>
          <w:color w:val="auto"/>
          <w:sz w:val="20"/>
          <w:szCs w:val="20"/>
        </w:rPr>
        <w:t xml:space="preserve"> investigation on July 7, 2009, with a preliminary qualification of homicide, injury and abuse of authority</w:t>
      </w:r>
      <w:r w:rsidR="000847F4" w:rsidRPr="00193B9F">
        <w:rPr>
          <w:rStyle w:val="FootnoteReference"/>
          <w:rFonts w:asciiTheme="majorHAnsi" w:hAnsiTheme="majorHAnsi"/>
          <w:bCs/>
          <w:sz w:val="20"/>
          <w:szCs w:val="20"/>
        </w:rPr>
        <w:footnoteReference w:id="9"/>
      </w:r>
      <w:r w:rsidR="000847F4" w:rsidRPr="00193B9F">
        <w:rPr>
          <w:rFonts w:asciiTheme="majorHAnsi" w:hAnsiTheme="majorHAnsi"/>
          <w:bCs/>
          <w:sz w:val="20"/>
          <w:szCs w:val="20"/>
        </w:rPr>
        <w:t xml:space="preserve">; </w:t>
      </w:r>
      <w:r w:rsidR="00D85D44" w:rsidRPr="00D85D44">
        <w:rPr>
          <w:rFonts w:asciiTheme="majorHAnsi" w:hAnsiTheme="majorHAnsi"/>
          <w:bCs/>
          <w:sz w:val="20"/>
          <w:szCs w:val="20"/>
        </w:rPr>
        <w:t xml:space="preserve">however, more than a decade later, the perpetrator has not been identified or prosecuted. The petitioners </w:t>
      </w:r>
      <w:r w:rsidR="00D85D44" w:rsidRPr="00D85D44">
        <w:rPr>
          <w:rFonts w:asciiTheme="majorHAnsi" w:hAnsiTheme="majorHAnsi"/>
          <w:bCs/>
          <w:sz w:val="20"/>
          <w:szCs w:val="20"/>
        </w:rPr>
        <w:lastRenderedPageBreak/>
        <w:t xml:space="preserve">denounce flaws in the criminal investigation, particularly that the authorities did not allow the weapons used in the protest to be seized by the Public Ministry for laboratory tests. In fact, they hold that the prosecutor in charge of the investigation requested before the Criminal Court of the Judicial Section of Tegucigalpa that ballistics tests be ordered, but the judge declared the request inadmissible on grounds of </w:t>
      </w:r>
      <w:r w:rsidR="000847F4" w:rsidRPr="00193B9F">
        <w:rPr>
          <w:rFonts w:asciiTheme="majorHAnsi" w:hAnsiTheme="majorHAnsi"/>
          <w:bCs/>
          <w:i/>
          <w:iCs/>
          <w:sz w:val="20"/>
          <w:szCs w:val="20"/>
        </w:rPr>
        <w:t>“</w:t>
      </w:r>
      <w:r w:rsidR="00D85D44" w:rsidRPr="00D85D44">
        <w:rPr>
          <w:rFonts w:asciiTheme="majorHAnsi" w:hAnsiTheme="majorHAnsi"/>
          <w:bCs/>
          <w:i/>
          <w:iCs/>
          <w:sz w:val="20"/>
          <w:szCs w:val="20"/>
        </w:rPr>
        <w:t>national security reasons</w:t>
      </w:r>
      <w:r w:rsidR="000847F4" w:rsidRPr="008C0090">
        <w:rPr>
          <w:rFonts w:asciiTheme="majorHAnsi" w:hAnsiTheme="majorHAnsi"/>
          <w:bCs/>
          <w:i/>
          <w:iCs/>
          <w:sz w:val="20"/>
          <w:szCs w:val="20"/>
        </w:rPr>
        <w:t>”</w:t>
      </w:r>
      <w:r w:rsidR="00D85D44" w:rsidRPr="008C0090">
        <w:rPr>
          <w:rFonts w:asciiTheme="majorHAnsi" w:hAnsiTheme="majorHAnsi"/>
          <w:bCs/>
          <w:i/>
          <w:iCs/>
          <w:sz w:val="20"/>
          <w:szCs w:val="20"/>
        </w:rPr>
        <w:t xml:space="preserve">, </w:t>
      </w:r>
      <w:r w:rsidR="00DF5A8F" w:rsidRPr="008C0090">
        <w:rPr>
          <w:rFonts w:asciiTheme="majorHAnsi" w:hAnsiTheme="majorHAnsi"/>
          <w:bCs/>
          <w:sz w:val="20"/>
          <w:szCs w:val="20"/>
        </w:rPr>
        <w:t>therefore</w:t>
      </w:r>
      <w:r w:rsidR="00D85D44" w:rsidRPr="008C0090">
        <w:rPr>
          <w:rFonts w:asciiTheme="majorHAnsi" w:hAnsiTheme="majorHAnsi"/>
          <w:bCs/>
          <w:sz w:val="20"/>
          <w:szCs w:val="20"/>
        </w:rPr>
        <w:t>, the</w:t>
      </w:r>
      <w:r w:rsidR="00D85D44" w:rsidRPr="00D85D44">
        <w:rPr>
          <w:rFonts w:asciiTheme="majorHAnsi" w:hAnsiTheme="majorHAnsi"/>
          <w:bCs/>
          <w:sz w:val="20"/>
          <w:szCs w:val="20"/>
        </w:rPr>
        <w:t xml:space="preserve"> prosecutor in charge filed remedies of reinstatement and appeal, which were declared inadmissible</w:t>
      </w:r>
      <w:r w:rsidR="000847F4" w:rsidRPr="00193B9F">
        <w:rPr>
          <w:rFonts w:asciiTheme="majorHAnsi" w:hAnsiTheme="majorHAnsi"/>
          <w:bCs/>
          <w:sz w:val="20"/>
          <w:szCs w:val="20"/>
        </w:rPr>
        <w:t xml:space="preserve">. </w:t>
      </w:r>
    </w:p>
    <w:p w14:paraId="5315C54C" w14:textId="7C0819EE" w:rsidR="000847F4" w:rsidRPr="00193B9F" w:rsidRDefault="00D85D44"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D85D44">
        <w:rPr>
          <w:rFonts w:asciiTheme="majorHAnsi" w:hAnsiTheme="majorHAnsi"/>
          <w:bCs/>
          <w:sz w:val="20"/>
          <w:szCs w:val="20"/>
        </w:rPr>
        <w:t>The petitioners hold that they have faced difficulties in accessing information on the results of the investigation. For this reason, over the years they have insisted on the continuity of the investigations, submitting briefs to the Office of the Special Prosecutor for Human Rights. Thus, they point out that on February 8, 2010 they submitted a request to the Prosecutor's Office to know the progress of the investigation, without receiving any response. Subsequently, on February 2, 2011, they requested a photocopy of the complaint 0801-2009-27544 from the General Secretariat of the Public Ministry, but they did not receive any response either. On May 17, 2011 they submitted a document to the Attorney General of the Republic regarding the denial of information by the prosecutor's office in charge of the investigation</w:t>
      </w:r>
      <w:r w:rsidR="000847F4" w:rsidRPr="00193B9F">
        <w:rPr>
          <w:rStyle w:val="FootnoteReference"/>
          <w:rFonts w:asciiTheme="majorHAnsi" w:hAnsiTheme="majorHAnsi"/>
          <w:bCs/>
          <w:sz w:val="20"/>
          <w:szCs w:val="20"/>
        </w:rPr>
        <w:footnoteReference w:id="10"/>
      </w:r>
      <w:r w:rsidR="000847F4" w:rsidRPr="00193B9F">
        <w:rPr>
          <w:rFonts w:asciiTheme="majorHAnsi" w:hAnsiTheme="majorHAnsi"/>
          <w:bCs/>
          <w:sz w:val="20"/>
          <w:szCs w:val="20"/>
        </w:rPr>
        <w:t xml:space="preserve">. </w:t>
      </w:r>
      <w:r w:rsidRPr="00D85D44">
        <w:rPr>
          <w:rFonts w:asciiTheme="majorHAnsi" w:hAnsiTheme="majorHAnsi"/>
          <w:bCs/>
          <w:sz w:val="20"/>
          <w:szCs w:val="20"/>
        </w:rPr>
        <w:t>In response to this last communication, on June 28, 2011, they received information from the Prosecutor's Office about the performance of a ballistic analysis that would include more than 300 weapons, but they were asked to specify the information they required. They did so on July 26, 2011, receiving a verbal response from the prosecutor in charge, who told them that a power of attorney was missing, which they submitted on December 9, 2011; however, they did not receive any further response. On February 27, 2013 they requested again the report of Investigative Proceedings before the Prosecutor's Office, and on March 1, 2013 they were given a file on the matter</w:t>
      </w:r>
      <w:r w:rsidR="000847F4" w:rsidRPr="00193B9F">
        <w:rPr>
          <w:rFonts w:asciiTheme="majorHAnsi" w:hAnsiTheme="majorHAnsi"/>
          <w:bCs/>
          <w:sz w:val="20"/>
          <w:szCs w:val="20"/>
        </w:rPr>
        <w:t>.</w:t>
      </w:r>
    </w:p>
    <w:p w14:paraId="053ECEE7" w14:textId="4C91F186" w:rsidR="000847F4" w:rsidRPr="00193B9F" w:rsidRDefault="005C2235"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5C2235">
        <w:rPr>
          <w:rFonts w:asciiTheme="majorHAnsi" w:hAnsiTheme="majorHAnsi"/>
          <w:bCs/>
          <w:sz w:val="20"/>
          <w:szCs w:val="20"/>
        </w:rPr>
        <w:t xml:space="preserve">It is also noted in the documents submitted by the petitioners that on October 8, 2019, the Office of the Special Prosecutor for Human Rights sent a communication to the petitioners informing them that the file related to the young Murillo was at the investigative </w:t>
      </w:r>
      <w:r w:rsidR="002E1A60" w:rsidRPr="005C2235">
        <w:rPr>
          <w:rFonts w:asciiTheme="majorHAnsi" w:hAnsiTheme="majorHAnsi"/>
          <w:bCs/>
          <w:sz w:val="20"/>
          <w:szCs w:val="20"/>
        </w:rPr>
        <w:t>stage and</w:t>
      </w:r>
      <w:r w:rsidRPr="005C2235">
        <w:rPr>
          <w:rFonts w:asciiTheme="majorHAnsi" w:hAnsiTheme="majorHAnsi"/>
          <w:bCs/>
          <w:sz w:val="20"/>
          <w:szCs w:val="20"/>
        </w:rPr>
        <w:t xml:space="preserve"> describing the proceedings that had been </w:t>
      </w:r>
      <w:r w:rsidRPr="008C0090">
        <w:rPr>
          <w:rFonts w:asciiTheme="majorHAnsi" w:hAnsiTheme="majorHAnsi"/>
          <w:bCs/>
          <w:sz w:val="20"/>
          <w:szCs w:val="20"/>
        </w:rPr>
        <w:t xml:space="preserve">conducted up to that </w:t>
      </w:r>
      <w:r w:rsidR="005C44DD" w:rsidRPr="008C0090">
        <w:rPr>
          <w:rFonts w:asciiTheme="majorHAnsi" w:hAnsiTheme="majorHAnsi"/>
          <w:bCs/>
          <w:sz w:val="20"/>
          <w:szCs w:val="20"/>
        </w:rPr>
        <w:t>point</w:t>
      </w:r>
      <w:r w:rsidR="000847F4" w:rsidRPr="008C0090">
        <w:rPr>
          <w:sz w:val="20"/>
          <w:szCs w:val="20"/>
          <w:vertAlign w:val="superscript"/>
        </w:rPr>
        <w:footnoteReference w:id="11"/>
      </w:r>
      <w:r w:rsidR="000847F4" w:rsidRPr="008C0090">
        <w:rPr>
          <w:rFonts w:asciiTheme="majorHAnsi" w:hAnsiTheme="majorHAnsi"/>
          <w:bCs/>
          <w:sz w:val="20"/>
          <w:szCs w:val="20"/>
        </w:rPr>
        <w:t xml:space="preserve">. </w:t>
      </w:r>
      <w:r w:rsidRPr="008C0090">
        <w:rPr>
          <w:rFonts w:asciiTheme="majorHAnsi" w:hAnsiTheme="majorHAnsi"/>
          <w:bCs/>
          <w:sz w:val="20"/>
          <w:szCs w:val="20"/>
        </w:rPr>
        <w:t>Based</w:t>
      </w:r>
      <w:r w:rsidRPr="005C2235">
        <w:rPr>
          <w:rFonts w:asciiTheme="majorHAnsi" w:hAnsiTheme="majorHAnsi"/>
          <w:bCs/>
          <w:sz w:val="20"/>
          <w:szCs w:val="20"/>
        </w:rPr>
        <w:t xml:space="preserve"> on the facts set forth above, which would evidence a pattern of unwarranted delay in the investigations, the petitioners request the IACHR to apply the corresponding exception to the rule of exhaustion of domestic remedies</w:t>
      </w:r>
      <w:r w:rsidR="000847F4" w:rsidRPr="00193B9F">
        <w:rPr>
          <w:rFonts w:asciiTheme="majorHAnsi" w:hAnsiTheme="majorHAnsi"/>
          <w:bCs/>
          <w:sz w:val="20"/>
          <w:szCs w:val="20"/>
        </w:rPr>
        <w:t xml:space="preserve">. </w:t>
      </w:r>
    </w:p>
    <w:p w14:paraId="55942E23" w14:textId="223C7909" w:rsidR="000847F4" w:rsidRPr="00193B9F" w:rsidRDefault="005C2235"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5C2235">
        <w:rPr>
          <w:rFonts w:asciiTheme="majorHAnsi" w:hAnsiTheme="majorHAnsi"/>
          <w:bCs/>
          <w:sz w:val="20"/>
          <w:szCs w:val="20"/>
        </w:rPr>
        <w:t>As a matter of substance, the petitioners claim that the response of the judicial authorities to the death of the alleged victim has exceeded any reasonable time frame to capture, prosecute and eventually punish the perpetrators, denying the family of young Isy Murillo the right to access to justice, truth and full reparation</w:t>
      </w:r>
      <w:r w:rsidR="000847F4" w:rsidRPr="00193B9F">
        <w:rPr>
          <w:rFonts w:asciiTheme="majorHAnsi" w:hAnsiTheme="majorHAnsi"/>
          <w:bCs/>
          <w:sz w:val="20"/>
          <w:szCs w:val="20"/>
        </w:rPr>
        <w:t xml:space="preserve">. </w:t>
      </w:r>
    </w:p>
    <w:p w14:paraId="30BAD3BA" w14:textId="20A1BDD3" w:rsidR="000847F4" w:rsidRPr="00193B9F" w:rsidRDefault="005C2235"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5C2235">
        <w:rPr>
          <w:rFonts w:asciiTheme="majorHAnsi" w:hAnsiTheme="majorHAnsi"/>
          <w:bCs/>
          <w:sz w:val="20"/>
          <w:szCs w:val="20"/>
        </w:rPr>
        <w:t xml:space="preserve">On the other hand, the petitioners consider that the events of July 5, 2009, constitute a violation of the right to protest. They </w:t>
      </w:r>
      <w:r w:rsidR="000046B9">
        <w:rPr>
          <w:rFonts w:asciiTheme="majorHAnsi" w:hAnsiTheme="majorHAnsi"/>
          <w:bCs/>
          <w:sz w:val="20"/>
          <w:szCs w:val="20"/>
        </w:rPr>
        <w:t>claim</w:t>
      </w:r>
      <w:r w:rsidRPr="005C2235">
        <w:rPr>
          <w:rFonts w:asciiTheme="majorHAnsi" w:hAnsiTheme="majorHAnsi"/>
          <w:bCs/>
          <w:sz w:val="20"/>
          <w:szCs w:val="20"/>
        </w:rPr>
        <w:t xml:space="preserve"> that this right plays a central role in the defense of democracy and human rights, and therefore the peaceful protest of July 5, 2009 was </w:t>
      </w:r>
      <w:r w:rsidR="000847F4" w:rsidRPr="00193B9F">
        <w:rPr>
          <w:rFonts w:asciiTheme="majorHAnsi" w:hAnsiTheme="majorHAnsi"/>
          <w:bCs/>
          <w:i/>
          <w:iCs/>
          <w:sz w:val="20"/>
          <w:szCs w:val="20"/>
        </w:rPr>
        <w:t>“</w:t>
      </w:r>
      <w:r w:rsidRPr="005C2235">
        <w:rPr>
          <w:rFonts w:asciiTheme="majorHAnsi" w:hAnsiTheme="majorHAnsi"/>
          <w:bCs/>
          <w:i/>
          <w:iCs/>
          <w:sz w:val="20"/>
          <w:szCs w:val="20"/>
        </w:rPr>
        <w:t>a citizen's expression in defense of the democratic rule of law demanding the reinstatement of President Manuel Zelaya Rosales</w:t>
      </w:r>
      <w:r w:rsidR="000847F4" w:rsidRPr="00193B9F">
        <w:rPr>
          <w:rFonts w:asciiTheme="majorHAnsi" w:hAnsiTheme="majorHAnsi"/>
          <w:bCs/>
          <w:i/>
          <w:iCs/>
          <w:sz w:val="20"/>
          <w:szCs w:val="20"/>
        </w:rPr>
        <w:t>”.</w:t>
      </w:r>
      <w:r w:rsidR="000847F4" w:rsidRPr="00193B9F">
        <w:rPr>
          <w:rFonts w:asciiTheme="majorHAnsi" w:hAnsiTheme="majorHAnsi"/>
          <w:bCs/>
          <w:sz w:val="20"/>
          <w:szCs w:val="20"/>
        </w:rPr>
        <w:t xml:space="preserve"> </w:t>
      </w:r>
      <w:r w:rsidRPr="005C2235">
        <w:rPr>
          <w:rFonts w:asciiTheme="majorHAnsi" w:hAnsiTheme="majorHAnsi"/>
          <w:bCs/>
          <w:sz w:val="20"/>
          <w:szCs w:val="20"/>
        </w:rPr>
        <w:t xml:space="preserve">For the petitioners, the right to </w:t>
      </w:r>
      <w:r w:rsidRPr="008C0090">
        <w:rPr>
          <w:rFonts w:asciiTheme="majorHAnsi" w:hAnsiTheme="majorHAnsi"/>
          <w:bCs/>
          <w:sz w:val="20"/>
          <w:szCs w:val="20"/>
        </w:rPr>
        <w:t>protest does not only include the right</w:t>
      </w:r>
      <w:r w:rsidR="00117E44" w:rsidRPr="008C0090">
        <w:rPr>
          <w:rFonts w:asciiTheme="majorHAnsi" w:hAnsiTheme="majorHAnsi"/>
          <w:bCs/>
          <w:sz w:val="20"/>
          <w:szCs w:val="20"/>
        </w:rPr>
        <w:t xml:space="preserve"> of mobilization </w:t>
      </w:r>
      <w:r w:rsidRPr="008C0090">
        <w:rPr>
          <w:rFonts w:asciiTheme="majorHAnsi" w:hAnsiTheme="majorHAnsi"/>
          <w:bCs/>
          <w:sz w:val="20"/>
          <w:szCs w:val="20"/>
        </w:rPr>
        <w:t>to the airport, but</w:t>
      </w:r>
      <w:r w:rsidRPr="005C2235">
        <w:rPr>
          <w:rFonts w:asciiTheme="majorHAnsi" w:hAnsiTheme="majorHAnsi"/>
          <w:bCs/>
          <w:sz w:val="20"/>
          <w:szCs w:val="20"/>
        </w:rPr>
        <w:t xml:space="preserve"> also to provide guarantees for the peaceful development of the pro</w:t>
      </w:r>
      <w:r>
        <w:rPr>
          <w:rFonts w:asciiTheme="majorHAnsi" w:hAnsiTheme="majorHAnsi"/>
          <w:bCs/>
          <w:sz w:val="20"/>
          <w:szCs w:val="20"/>
        </w:rPr>
        <w:t>t</w:t>
      </w:r>
      <w:r w:rsidRPr="005C2235">
        <w:rPr>
          <w:rFonts w:asciiTheme="majorHAnsi" w:hAnsiTheme="majorHAnsi"/>
          <w:bCs/>
          <w:sz w:val="20"/>
          <w:szCs w:val="20"/>
        </w:rPr>
        <w:t>est.</w:t>
      </w:r>
    </w:p>
    <w:p w14:paraId="0A594657" w14:textId="079E7252" w:rsidR="000847F4" w:rsidRPr="00193B9F" w:rsidRDefault="005C2235"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5C2235">
        <w:rPr>
          <w:rFonts w:asciiTheme="majorHAnsi" w:hAnsiTheme="majorHAnsi"/>
          <w:bCs/>
          <w:sz w:val="20"/>
          <w:szCs w:val="20"/>
        </w:rPr>
        <w:t xml:space="preserve">On the other hand, the petitioners denounce that the father of the alleged victim, Mr. José David Murillo Sánchez, was detained on July 9, </w:t>
      </w:r>
      <w:r w:rsidR="002E1A60" w:rsidRPr="005C2235">
        <w:rPr>
          <w:rFonts w:asciiTheme="majorHAnsi" w:hAnsiTheme="majorHAnsi"/>
          <w:bCs/>
          <w:sz w:val="20"/>
          <w:szCs w:val="20"/>
        </w:rPr>
        <w:t>2009,</w:t>
      </w:r>
      <w:r w:rsidRPr="005C2235">
        <w:rPr>
          <w:rFonts w:asciiTheme="majorHAnsi" w:hAnsiTheme="majorHAnsi"/>
          <w:bCs/>
          <w:sz w:val="20"/>
          <w:szCs w:val="20"/>
        </w:rPr>
        <w:t xml:space="preserve"> by agents of the National Directorate of Criminal Investigation, in front of the offices of the Committee of Relatives of the Detained and Disappeared in Honduras, after giving statements about the death of the alleged victim. They claim that this detention was due to an accusation against Mr. Murillo Sánchez for the crime of attempted homicide, which had been </w:t>
      </w:r>
      <w:r w:rsidRPr="005C2235">
        <w:rPr>
          <w:rFonts w:asciiTheme="majorHAnsi" w:hAnsiTheme="majorHAnsi"/>
          <w:bCs/>
          <w:sz w:val="20"/>
          <w:szCs w:val="20"/>
        </w:rPr>
        <w:lastRenderedPageBreak/>
        <w:t>inactive for years</w:t>
      </w:r>
      <w:r w:rsidR="000847F4" w:rsidRPr="00193B9F">
        <w:rPr>
          <w:rStyle w:val="FootnoteReference"/>
          <w:rFonts w:asciiTheme="majorHAnsi" w:hAnsiTheme="majorHAnsi"/>
          <w:bCs/>
          <w:sz w:val="20"/>
          <w:szCs w:val="20"/>
        </w:rPr>
        <w:footnoteReference w:id="12"/>
      </w:r>
      <w:r w:rsidR="000847F4" w:rsidRPr="00193B9F">
        <w:rPr>
          <w:rFonts w:asciiTheme="majorHAnsi" w:hAnsiTheme="majorHAnsi"/>
          <w:bCs/>
          <w:sz w:val="20"/>
          <w:szCs w:val="20"/>
        </w:rPr>
        <w:t xml:space="preserve">, </w:t>
      </w:r>
      <w:r w:rsidRPr="005C2235">
        <w:rPr>
          <w:rFonts w:asciiTheme="majorHAnsi" w:hAnsiTheme="majorHAnsi"/>
          <w:bCs/>
          <w:sz w:val="20"/>
          <w:szCs w:val="20"/>
        </w:rPr>
        <w:t>in compliance with an arrest warrant issued by the Sentencing Court of Juticalpa, Olancho on May 18, 2007. Thus, after Mr. Murillo Sánchez's arrest, which the petitioners consider illegal, he was held in the Juticalpa Pen</w:t>
      </w:r>
      <w:r w:rsidR="00143676">
        <w:rPr>
          <w:rFonts w:asciiTheme="majorHAnsi" w:hAnsiTheme="majorHAnsi"/>
          <w:bCs/>
          <w:sz w:val="20"/>
          <w:szCs w:val="20"/>
        </w:rPr>
        <w:t>itentiary</w:t>
      </w:r>
      <w:r w:rsidRPr="005C2235">
        <w:rPr>
          <w:rFonts w:asciiTheme="majorHAnsi" w:hAnsiTheme="majorHAnsi"/>
          <w:bCs/>
          <w:sz w:val="20"/>
          <w:szCs w:val="20"/>
        </w:rPr>
        <w:t xml:space="preserve"> Center, in inadequate conditions. He was subsequently released and acquitted in February 2010. In addition, the alleged victim's next of kin report that they have been the victims of threats through text messages and </w:t>
      </w:r>
      <w:r w:rsidR="004C7CF3" w:rsidRPr="004C7CF3">
        <w:rPr>
          <w:rFonts w:asciiTheme="majorHAnsi" w:hAnsiTheme="majorHAnsi"/>
          <w:bCs/>
          <w:sz w:val="20"/>
          <w:szCs w:val="20"/>
        </w:rPr>
        <w:t>surveillance</w:t>
      </w:r>
      <w:r w:rsidR="000847F4" w:rsidRPr="00193B9F">
        <w:rPr>
          <w:rFonts w:asciiTheme="majorHAnsi" w:hAnsiTheme="majorHAnsi"/>
          <w:bCs/>
          <w:sz w:val="20"/>
          <w:szCs w:val="20"/>
        </w:rPr>
        <w:t xml:space="preserve">. </w:t>
      </w:r>
    </w:p>
    <w:p w14:paraId="1DEC1AD3" w14:textId="47DE939B" w:rsidR="000847F4" w:rsidRPr="00193B9F" w:rsidRDefault="00143676" w:rsidP="000847F4">
      <w:pPr>
        <w:pStyle w:val="ListParagraph"/>
        <w:spacing w:before="240" w:after="240"/>
        <w:ind w:left="709"/>
        <w:jc w:val="both"/>
        <w:rPr>
          <w:rFonts w:asciiTheme="majorHAnsi" w:hAnsiTheme="majorHAnsi"/>
          <w:bCs/>
          <w:sz w:val="20"/>
          <w:szCs w:val="20"/>
        </w:rPr>
      </w:pPr>
      <w:r w:rsidRPr="00143676">
        <w:rPr>
          <w:rFonts w:asciiTheme="majorHAnsi" w:hAnsiTheme="majorHAnsi"/>
          <w:bCs/>
          <w:i/>
          <w:iCs/>
          <w:sz w:val="20"/>
          <w:szCs w:val="20"/>
        </w:rPr>
        <w:t>Arguments of the Honduran State</w:t>
      </w:r>
    </w:p>
    <w:p w14:paraId="05CDD25E" w14:textId="3D6ACD42" w:rsidR="000847F4" w:rsidRPr="00193B9F" w:rsidRDefault="00143676"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143676">
        <w:rPr>
          <w:rFonts w:asciiTheme="majorHAnsi" w:hAnsiTheme="majorHAnsi"/>
          <w:bCs/>
          <w:sz w:val="20"/>
          <w:szCs w:val="20"/>
        </w:rPr>
        <w:t xml:space="preserve">The State, for its part, recognizes young Isy Murillo as one of the victims of the events that took place at the Toncontín International Airport on July 5, 2009, and deems his death regrettable. However, it considers that the petition should not be admitted because it does not make a precise characterization of the allegedly injured </w:t>
      </w:r>
      <w:r w:rsidR="0089547F" w:rsidRPr="00C070FA">
        <w:rPr>
          <w:rFonts w:asciiTheme="majorHAnsi" w:hAnsiTheme="majorHAnsi"/>
          <w:bCs/>
          <w:color w:val="000000" w:themeColor="text1"/>
          <w:sz w:val="20"/>
          <w:szCs w:val="20"/>
        </w:rPr>
        <w:t>rights</w:t>
      </w:r>
      <w:r w:rsidR="000847F4" w:rsidRPr="00193B9F">
        <w:rPr>
          <w:rFonts w:asciiTheme="majorHAnsi" w:hAnsiTheme="majorHAnsi"/>
          <w:bCs/>
          <w:sz w:val="20"/>
          <w:szCs w:val="20"/>
        </w:rPr>
        <w:t>.</w:t>
      </w:r>
    </w:p>
    <w:p w14:paraId="440C1F17" w14:textId="0AC64389" w:rsidR="000847F4" w:rsidRPr="00193B9F" w:rsidRDefault="00143676"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143676">
        <w:rPr>
          <w:rFonts w:asciiTheme="majorHAnsi" w:hAnsiTheme="majorHAnsi"/>
          <w:bCs/>
          <w:sz w:val="20"/>
          <w:szCs w:val="20"/>
        </w:rPr>
        <w:t xml:space="preserve">On the one hand, it holds that the death of young Murillo cannot be attributed to the State because it happened under a mass call and there is no </w:t>
      </w:r>
      <w:r w:rsidR="000847F4" w:rsidRPr="00193B9F">
        <w:rPr>
          <w:rFonts w:asciiTheme="majorHAnsi" w:hAnsiTheme="majorHAnsi"/>
          <w:bCs/>
          <w:i/>
          <w:iCs/>
          <w:sz w:val="20"/>
          <w:szCs w:val="20"/>
        </w:rPr>
        <w:t>“</w:t>
      </w:r>
      <w:r w:rsidRPr="00143676">
        <w:rPr>
          <w:rFonts w:asciiTheme="majorHAnsi" w:hAnsiTheme="majorHAnsi"/>
          <w:bCs/>
          <w:i/>
          <w:iCs/>
          <w:sz w:val="20"/>
          <w:szCs w:val="20"/>
        </w:rPr>
        <w:t>precision as to who the perpetrator was, since the forces of law and order were there to maintain order and security at the site</w:t>
      </w:r>
      <w:r w:rsidR="000847F4" w:rsidRPr="00193B9F">
        <w:rPr>
          <w:rFonts w:asciiTheme="majorHAnsi" w:hAnsiTheme="majorHAnsi"/>
          <w:bCs/>
          <w:sz w:val="20"/>
          <w:szCs w:val="20"/>
        </w:rPr>
        <w:t xml:space="preserve">”. </w:t>
      </w:r>
      <w:r w:rsidRPr="00143676">
        <w:rPr>
          <w:rFonts w:asciiTheme="majorHAnsi" w:hAnsiTheme="majorHAnsi"/>
          <w:bCs/>
          <w:sz w:val="20"/>
          <w:szCs w:val="20"/>
        </w:rPr>
        <w:t>It considers that the death of the young Murillo took place in a complex and confusing scenario, which complicates the determination of the origin of the attack, so that even</w:t>
      </w:r>
      <w:r w:rsidR="000847F4" w:rsidRPr="00193B9F">
        <w:rPr>
          <w:rFonts w:asciiTheme="majorHAnsi" w:hAnsiTheme="majorHAnsi"/>
          <w:bCs/>
          <w:sz w:val="20"/>
          <w:szCs w:val="20"/>
        </w:rPr>
        <w:t xml:space="preserve"> “</w:t>
      </w:r>
      <w:r w:rsidRPr="00143676">
        <w:rPr>
          <w:rFonts w:asciiTheme="majorHAnsi" w:hAnsiTheme="majorHAnsi"/>
          <w:bCs/>
          <w:i/>
          <w:iCs/>
          <w:sz w:val="20"/>
          <w:szCs w:val="20"/>
        </w:rPr>
        <w:t>it is reasonable to assume that the bullet that killed [the alleged victim] could have come from the same rally that was taking place</w:t>
      </w:r>
      <w:r w:rsidR="000847F4" w:rsidRPr="00193B9F">
        <w:rPr>
          <w:rFonts w:asciiTheme="majorHAnsi" w:hAnsiTheme="majorHAnsi"/>
          <w:bCs/>
          <w:sz w:val="20"/>
          <w:szCs w:val="20"/>
        </w:rPr>
        <w:t xml:space="preserve">”. </w:t>
      </w:r>
      <w:r w:rsidRPr="00143676">
        <w:rPr>
          <w:rFonts w:asciiTheme="majorHAnsi" w:hAnsiTheme="majorHAnsi"/>
          <w:bCs/>
          <w:sz w:val="20"/>
          <w:szCs w:val="20"/>
        </w:rPr>
        <w:t>Thus, it considers that there was no failure to comply with the obligation to prevent the death of the alleged victim and that there is no evidence nor can it be inferred that those responsible for the death of the young Murillo are members of the forces of law and order</w:t>
      </w:r>
      <w:r w:rsidR="000847F4" w:rsidRPr="00193B9F">
        <w:rPr>
          <w:rFonts w:asciiTheme="majorHAnsi" w:hAnsiTheme="majorHAnsi"/>
          <w:bCs/>
          <w:sz w:val="20"/>
          <w:szCs w:val="20"/>
        </w:rPr>
        <w:t xml:space="preserve">. </w:t>
      </w:r>
    </w:p>
    <w:p w14:paraId="20117F03" w14:textId="2EA1E085" w:rsidR="000847F4" w:rsidRPr="00193B9F" w:rsidRDefault="0089547F"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8C0090">
        <w:rPr>
          <w:rFonts w:asciiTheme="majorHAnsi" w:hAnsiTheme="majorHAnsi"/>
          <w:bCs/>
          <w:sz w:val="20"/>
          <w:szCs w:val="20"/>
        </w:rPr>
        <w:t xml:space="preserve">The State informs that the Public Ministry, through the Special Prosecutor's Office for Human Rights, has carried out </w:t>
      </w:r>
      <w:r w:rsidR="00B82D08" w:rsidRPr="008C0090">
        <w:rPr>
          <w:rFonts w:asciiTheme="majorHAnsi" w:hAnsiTheme="majorHAnsi"/>
          <w:bCs/>
          <w:i/>
          <w:iCs/>
          <w:sz w:val="20"/>
          <w:szCs w:val="20"/>
        </w:rPr>
        <w:t>ex officio</w:t>
      </w:r>
      <w:r w:rsidR="00B82D08" w:rsidRPr="008C0090">
        <w:rPr>
          <w:rFonts w:asciiTheme="majorHAnsi" w:hAnsiTheme="majorHAnsi"/>
          <w:bCs/>
          <w:sz w:val="20"/>
          <w:szCs w:val="20"/>
        </w:rPr>
        <w:t xml:space="preserve"> investigative proceedings</w:t>
      </w:r>
      <w:r w:rsidRPr="008C0090">
        <w:rPr>
          <w:rFonts w:asciiTheme="majorHAnsi" w:hAnsiTheme="majorHAnsi"/>
          <w:bCs/>
          <w:sz w:val="20"/>
          <w:szCs w:val="20"/>
        </w:rPr>
        <w:t>. It specifies</w:t>
      </w:r>
      <w:r w:rsidRPr="0089547F">
        <w:rPr>
          <w:rFonts w:asciiTheme="majorHAnsi" w:hAnsiTheme="majorHAnsi"/>
          <w:bCs/>
          <w:sz w:val="20"/>
          <w:szCs w:val="20"/>
        </w:rPr>
        <w:t xml:space="preserve"> that there is a record of the removal of the body, photographic albums, witness statements, creation of a table with data of all the units of the forces of public order that participated in the protest, expert analysis of the weapons used, and the statement of the suspects. In spite of this, it is difficult to identify the person responsible and to file an indictment with sufficient evidence to determine which weapon caused the death of the alleged victim and who fired it. Thus, the State argues that the delay in the investigations is due to the confusing context in which the events occurred, but that the authorities have taken seriously their duty to investigate, which is one of means and not of results</w:t>
      </w:r>
      <w:r w:rsidR="000847F4" w:rsidRPr="00193B9F">
        <w:rPr>
          <w:rFonts w:asciiTheme="majorHAnsi" w:hAnsiTheme="majorHAnsi"/>
          <w:bCs/>
          <w:sz w:val="20"/>
          <w:szCs w:val="20"/>
        </w:rPr>
        <w:t xml:space="preserve">. </w:t>
      </w:r>
    </w:p>
    <w:p w14:paraId="5A425EC5" w14:textId="1B26C088" w:rsidR="000847F4" w:rsidRPr="00193B9F" w:rsidRDefault="0089547F"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89547F">
        <w:rPr>
          <w:rFonts w:asciiTheme="majorHAnsi" w:hAnsiTheme="majorHAnsi"/>
          <w:bCs/>
          <w:sz w:val="20"/>
          <w:szCs w:val="20"/>
        </w:rPr>
        <w:t xml:space="preserve">With respect to the alleged violation of the right of assembly, the State argues that the petitioners do not allege a specific violation of that right; and that at no time were the protesters limited in their right to assemble and move to the place of the protest. It holds that the intervention of the armed forces took place when the marchers were causing disturbances and violently threatening to invade the runway, so that the priority was to avoid a chaotic situation that would end in a tragedy due to the large number of people gathered there who </w:t>
      </w:r>
      <w:r w:rsidR="000847F4" w:rsidRPr="00193B9F">
        <w:rPr>
          <w:rFonts w:asciiTheme="majorHAnsi" w:hAnsiTheme="majorHAnsi"/>
          <w:bCs/>
          <w:i/>
          <w:iCs/>
          <w:sz w:val="20"/>
          <w:szCs w:val="20"/>
        </w:rPr>
        <w:t>“</w:t>
      </w:r>
      <w:r w:rsidRPr="0089547F">
        <w:rPr>
          <w:rFonts w:asciiTheme="majorHAnsi" w:hAnsiTheme="majorHAnsi"/>
          <w:bCs/>
          <w:i/>
          <w:iCs/>
          <w:sz w:val="20"/>
          <w:szCs w:val="20"/>
        </w:rPr>
        <w:t>were violently attacking public forces</w:t>
      </w:r>
      <w:r w:rsidR="000847F4" w:rsidRPr="00193B9F">
        <w:rPr>
          <w:rFonts w:asciiTheme="majorHAnsi" w:hAnsiTheme="majorHAnsi"/>
          <w:bCs/>
          <w:i/>
          <w:iCs/>
          <w:sz w:val="20"/>
          <w:szCs w:val="20"/>
        </w:rPr>
        <w:t>”</w:t>
      </w:r>
      <w:r w:rsidR="000847F4" w:rsidRPr="00193B9F">
        <w:rPr>
          <w:rFonts w:asciiTheme="majorHAnsi" w:hAnsiTheme="majorHAnsi"/>
          <w:bCs/>
          <w:sz w:val="20"/>
          <w:szCs w:val="20"/>
        </w:rPr>
        <w:t xml:space="preserve">. </w:t>
      </w:r>
      <w:r w:rsidRPr="0089547F">
        <w:rPr>
          <w:rFonts w:asciiTheme="majorHAnsi" w:hAnsiTheme="majorHAnsi"/>
          <w:bCs/>
          <w:sz w:val="20"/>
          <w:szCs w:val="20"/>
        </w:rPr>
        <w:t>Honduras also reports that the protesters even tried to break parts of a metal fence surrounding the final perimeter of the runway, for which reason the forces of law and order used tear gas to disperse them</w:t>
      </w:r>
      <w:r w:rsidR="000847F4" w:rsidRPr="00193B9F">
        <w:rPr>
          <w:rFonts w:asciiTheme="majorHAnsi" w:hAnsiTheme="majorHAnsi"/>
          <w:bCs/>
          <w:sz w:val="20"/>
          <w:szCs w:val="20"/>
        </w:rPr>
        <w:t xml:space="preserve">. </w:t>
      </w:r>
    </w:p>
    <w:p w14:paraId="3F3A8CC0" w14:textId="6033312D" w:rsidR="000847F4" w:rsidRPr="00193B9F" w:rsidRDefault="0089547F"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89547F">
        <w:rPr>
          <w:rFonts w:asciiTheme="majorHAnsi" w:hAnsiTheme="majorHAnsi"/>
          <w:bCs/>
          <w:sz w:val="20"/>
          <w:szCs w:val="20"/>
        </w:rPr>
        <w:t>The State concludes that the right of assembly has the characteristic of being peaceful and unarmed, that is, without altering national security and public order. Therefore, when these parameters were exceeded, the national authorities were legitimized to intervene in the way they did</w:t>
      </w:r>
      <w:r w:rsidR="000847F4" w:rsidRPr="00193B9F">
        <w:rPr>
          <w:rFonts w:asciiTheme="majorHAnsi" w:hAnsiTheme="majorHAnsi"/>
          <w:bCs/>
          <w:sz w:val="20"/>
          <w:szCs w:val="20"/>
        </w:rPr>
        <w:t xml:space="preserve">. </w:t>
      </w:r>
    </w:p>
    <w:p w14:paraId="2E537DD1" w14:textId="3ED33608" w:rsidR="000847F4" w:rsidRPr="00193B9F" w:rsidRDefault="0089547F" w:rsidP="00CE6CA5">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pPr>
      <w:r w:rsidRPr="0089547F">
        <w:rPr>
          <w:rFonts w:asciiTheme="majorHAnsi" w:hAnsiTheme="majorHAnsi"/>
          <w:bCs/>
          <w:sz w:val="20"/>
          <w:szCs w:val="20"/>
        </w:rPr>
        <w:t>As to the admissibility of the instant petition, the State objects, claiming that the requirement of exhaustion of domestic remedies set forth in Article 46.1.a) of the American Convention has not been met</w:t>
      </w:r>
      <w:r w:rsidR="000847F4" w:rsidRPr="00193B9F">
        <w:rPr>
          <w:rFonts w:asciiTheme="majorHAnsi" w:hAnsiTheme="majorHAnsi"/>
          <w:bCs/>
          <w:sz w:val="20"/>
          <w:szCs w:val="20"/>
        </w:rPr>
        <w:t xml:space="preserve">. </w:t>
      </w:r>
    </w:p>
    <w:p w14:paraId="6953F7A4" w14:textId="480B0FF9" w:rsidR="00F621C3" w:rsidRPr="00193B9F" w:rsidRDefault="0089547F" w:rsidP="00CE6CA5">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pPr>
      <w:r w:rsidRPr="0089547F">
        <w:rPr>
          <w:rFonts w:asciiTheme="majorHAnsi" w:hAnsiTheme="majorHAnsi"/>
          <w:bCs/>
          <w:sz w:val="20"/>
          <w:szCs w:val="20"/>
        </w:rPr>
        <w:t xml:space="preserve">Finally, the State refers that, in an act of recognition and reconciliation of what happened in 2009, on February 4, 2022, it issued the Law for Reconstruction which, </w:t>
      </w:r>
      <w:r w:rsidRPr="000046B9">
        <w:rPr>
          <w:rFonts w:asciiTheme="majorHAnsi" w:hAnsiTheme="majorHAnsi"/>
          <w:bCs/>
          <w:i/>
          <w:iCs/>
          <w:sz w:val="20"/>
          <w:szCs w:val="20"/>
        </w:rPr>
        <w:t>inter alia</w:t>
      </w:r>
      <w:r w:rsidRPr="0089547F">
        <w:rPr>
          <w:rFonts w:asciiTheme="majorHAnsi" w:hAnsiTheme="majorHAnsi"/>
          <w:bCs/>
          <w:sz w:val="20"/>
          <w:szCs w:val="20"/>
        </w:rPr>
        <w:t xml:space="preserve">, declared the square in front of the airport with the name "Isy Obed"; and also erected a symbol and a canvas with his name and that of the </w:t>
      </w:r>
      <w:r w:rsidRPr="0089547F">
        <w:rPr>
          <w:rFonts w:asciiTheme="majorHAnsi" w:hAnsiTheme="majorHAnsi"/>
          <w:bCs/>
          <w:sz w:val="20"/>
          <w:szCs w:val="20"/>
        </w:rPr>
        <w:lastRenderedPageBreak/>
        <w:t>others who died in the events described. It also informs that it seeks to support the families of the victims through a social program that guarantees their education and survival in conditions of dignity and safety</w:t>
      </w:r>
      <w:r>
        <w:rPr>
          <w:rFonts w:asciiTheme="majorHAnsi" w:hAnsiTheme="majorHAnsi"/>
          <w:bCs/>
          <w:sz w:val="20"/>
          <w:szCs w:val="20"/>
        </w:rPr>
        <w:t>.</w:t>
      </w:r>
      <w:r w:rsidR="000847F4" w:rsidRPr="00193B9F">
        <w:t xml:space="preserve"> </w:t>
      </w:r>
    </w:p>
    <w:p w14:paraId="55505107" w14:textId="56995BC4" w:rsidR="00F621C3" w:rsidRPr="00193B9F" w:rsidRDefault="00F621C3" w:rsidP="00F621C3">
      <w:pPr>
        <w:spacing w:before="240" w:after="240"/>
        <w:ind w:firstLine="720"/>
        <w:jc w:val="both"/>
        <w:rPr>
          <w:rFonts w:ascii="Cambria" w:hAnsi="Cambria"/>
          <w:sz w:val="20"/>
          <w:szCs w:val="20"/>
        </w:rPr>
      </w:pPr>
      <w:r w:rsidRPr="00193B9F">
        <w:rPr>
          <w:rFonts w:asciiTheme="majorHAnsi" w:eastAsia="Cambria" w:hAnsiTheme="majorHAnsi" w:cs="Cambria"/>
          <w:b/>
          <w:bCs/>
          <w:color w:val="000000"/>
          <w:sz w:val="20"/>
          <w:szCs w:val="20"/>
          <w:u w:color="000000"/>
          <w:lang w:eastAsia="es-ES"/>
        </w:rPr>
        <w:t>VI.</w:t>
      </w:r>
      <w:r w:rsidRPr="00193B9F">
        <w:rPr>
          <w:rFonts w:asciiTheme="majorHAnsi" w:eastAsia="Cambria" w:hAnsiTheme="majorHAnsi" w:cs="Cambria"/>
          <w:b/>
          <w:bCs/>
          <w:color w:val="000000"/>
          <w:sz w:val="20"/>
          <w:szCs w:val="20"/>
          <w:u w:color="000000"/>
          <w:lang w:eastAsia="es-ES"/>
        </w:rPr>
        <w:tab/>
      </w:r>
      <w:r w:rsidR="004F1F91" w:rsidRPr="00193B9F">
        <w:rPr>
          <w:rFonts w:asciiTheme="majorHAnsi" w:hAnsiTheme="majorHAnsi"/>
          <w:b/>
          <w:bCs/>
          <w:sz w:val="20"/>
          <w:szCs w:val="20"/>
        </w:rPr>
        <w:t xml:space="preserve">ANALYSIS OF </w:t>
      </w:r>
      <w:r w:rsidR="004F1F91" w:rsidRPr="00193B9F">
        <w:rPr>
          <w:rFonts w:asciiTheme="majorHAnsi" w:hAnsiTheme="majorHAnsi"/>
          <w:b/>
          <w:sz w:val="20"/>
          <w:szCs w:val="20"/>
        </w:rPr>
        <w:t>EXHAUSTION OF DOMESTIC REMEDIES AND TIMELINESS OF THE PETITION</w:t>
      </w:r>
      <w:r w:rsidR="00197EB6" w:rsidRPr="00193B9F">
        <w:rPr>
          <w:rFonts w:asciiTheme="majorHAnsi" w:eastAsia="Cambria" w:hAnsiTheme="majorHAnsi" w:cs="Cambria"/>
          <w:b/>
          <w:bCs/>
          <w:color w:val="000000"/>
          <w:sz w:val="20"/>
          <w:szCs w:val="20"/>
          <w:u w:color="000000"/>
          <w:lang w:eastAsia="es-ES"/>
        </w:rPr>
        <w:t xml:space="preserve">  </w:t>
      </w:r>
    </w:p>
    <w:p w14:paraId="25E7A805" w14:textId="477C1E60" w:rsidR="000847F4" w:rsidRPr="00193B9F" w:rsidRDefault="0089547F"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89547F">
        <w:rPr>
          <w:rFonts w:asciiTheme="majorHAnsi" w:hAnsiTheme="majorHAnsi"/>
          <w:bCs/>
          <w:sz w:val="20"/>
          <w:szCs w:val="20"/>
        </w:rPr>
        <w:t>The Petitioner requests that the Honduran State be declared internationally responsible for the events that occurred during the march of July 5, 2009 and their continuing effects, particularly denouncing: i) the excessive use of force against the protesters; ii) the alleged extrajudicial execution of young Murillo; iii) the violation of the right to assembly; and, iv) the delay in the effective criminal investigation to punish those responsible for the events. For its part, the State alleges a lack of characterization of the alleged violations presented by the petitioner and a lack of clarity in the exhaustion of domestic remedies, considering that the criminal investigation continues to be active</w:t>
      </w:r>
      <w:r w:rsidR="000847F4" w:rsidRPr="00193B9F">
        <w:rPr>
          <w:rFonts w:asciiTheme="majorHAnsi" w:hAnsiTheme="majorHAnsi"/>
          <w:bCs/>
          <w:sz w:val="20"/>
          <w:szCs w:val="20"/>
        </w:rPr>
        <w:t xml:space="preserve">. </w:t>
      </w:r>
    </w:p>
    <w:p w14:paraId="4325918C" w14:textId="53C23E43" w:rsidR="000847F4" w:rsidRPr="00193B9F" w:rsidRDefault="003F1818"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3F1818">
        <w:rPr>
          <w:rFonts w:asciiTheme="majorHAnsi" w:hAnsiTheme="majorHAnsi"/>
          <w:bCs/>
          <w:sz w:val="20"/>
          <w:szCs w:val="20"/>
        </w:rPr>
        <w:t xml:space="preserve">With regard to the deprivation of life of the young Murillo and the excessive use of force, this Commission notes that the circumstances of the death of the alleged victim presented by both parties coincide in that it occurred on July 5, 2009, during the aforementioned protest. In addition, it is recalled that the IACHR previously referred in another report to information provided on the occurrence of deaths of opponents of the </w:t>
      </w:r>
      <w:r w:rsidRPr="000046B9">
        <w:rPr>
          <w:rFonts w:asciiTheme="majorHAnsi" w:hAnsiTheme="majorHAnsi"/>
          <w:bCs/>
          <w:i/>
          <w:iCs/>
          <w:sz w:val="20"/>
          <w:szCs w:val="20"/>
        </w:rPr>
        <w:t>de facto</w:t>
      </w:r>
      <w:r w:rsidRPr="003F1818">
        <w:rPr>
          <w:rFonts w:asciiTheme="majorHAnsi" w:hAnsiTheme="majorHAnsi"/>
          <w:bCs/>
          <w:sz w:val="20"/>
          <w:szCs w:val="20"/>
        </w:rPr>
        <w:t xml:space="preserve"> government, presumably attributable to State agents, including that of young Murillo</w:t>
      </w:r>
      <w:r w:rsidR="000847F4" w:rsidRPr="00193B9F">
        <w:rPr>
          <w:sz w:val="20"/>
          <w:szCs w:val="20"/>
          <w:vertAlign w:val="superscript"/>
        </w:rPr>
        <w:footnoteReference w:id="13"/>
      </w:r>
      <w:r w:rsidR="000847F4" w:rsidRPr="00193B9F">
        <w:rPr>
          <w:rFonts w:asciiTheme="majorHAnsi" w:hAnsiTheme="majorHAnsi"/>
          <w:bCs/>
          <w:sz w:val="20"/>
          <w:szCs w:val="20"/>
        </w:rPr>
        <w:t>.</w:t>
      </w:r>
    </w:p>
    <w:p w14:paraId="134D7783" w14:textId="39E97A15" w:rsidR="000847F4" w:rsidRPr="00193B9F" w:rsidRDefault="003F1818"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3F1818">
        <w:rPr>
          <w:rFonts w:asciiTheme="majorHAnsi" w:hAnsiTheme="majorHAnsi"/>
          <w:bCs/>
          <w:sz w:val="20"/>
          <w:szCs w:val="20"/>
        </w:rPr>
        <w:t xml:space="preserve">Thus, due to the events of July 5, 2009, in which the alleged victim died and the alleged lack of effective investigation and criminal punishment of those responsible, the Commission </w:t>
      </w:r>
      <w:r w:rsidR="0020076D">
        <w:rPr>
          <w:rFonts w:asciiTheme="majorHAnsi" w:hAnsiTheme="majorHAnsi"/>
          <w:bCs/>
          <w:sz w:val="20"/>
          <w:szCs w:val="20"/>
        </w:rPr>
        <w:t>stresses</w:t>
      </w:r>
      <w:r w:rsidRPr="003F1818">
        <w:rPr>
          <w:rFonts w:asciiTheme="majorHAnsi" w:hAnsiTheme="majorHAnsi"/>
          <w:bCs/>
          <w:sz w:val="20"/>
          <w:szCs w:val="20"/>
        </w:rPr>
        <w:t xml:space="preserve"> that when there are alleged crimes against life and integrity, as in the present case, criminal proceedings are the appropriate remedy to clarify this type of facts, judge those responsible and establish the corresponding criminal penalties, in addition to making possible other means of reparation for the family members</w:t>
      </w:r>
      <w:r w:rsidR="000847F4" w:rsidRPr="00193B9F">
        <w:rPr>
          <w:sz w:val="20"/>
          <w:szCs w:val="20"/>
          <w:vertAlign w:val="superscript"/>
        </w:rPr>
        <w:footnoteReference w:id="14"/>
      </w:r>
      <w:r w:rsidR="000847F4" w:rsidRPr="00193B9F">
        <w:rPr>
          <w:rFonts w:asciiTheme="majorHAnsi" w:hAnsiTheme="majorHAnsi"/>
          <w:bCs/>
          <w:sz w:val="20"/>
          <w:szCs w:val="20"/>
        </w:rPr>
        <w:t>.</w:t>
      </w:r>
    </w:p>
    <w:p w14:paraId="1DEE934A" w14:textId="1F0299F6" w:rsidR="000847F4" w:rsidRPr="00193B9F" w:rsidRDefault="00442423"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442423">
        <w:rPr>
          <w:rFonts w:asciiTheme="majorHAnsi" w:hAnsiTheme="majorHAnsi"/>
          <w:bCs/>
          <w:sz w:val="20"/>
          <w:szCs w:val="20"/>
        </w:rPr>
        <w:t xml:space="preserve">In this regard, as a general rule, a criminal investigation should be conducted promptly to protect the interests of the victims, preserve evidence and even safeguard the rights of any person who in the context of the investigation is considered a suspect. According to information submitted by both parties, the Prosecutor's Office initiated an investigation in relation to the death of the alleged victim on July 17, 2009; however, the investigation remains open. The IACHR takes note of the State's argument regarding the complexity of the facts, but observes that, to date, no conclusion has been reached in the investigations nor has the responsible party or parties been punished. This is also supported by the observations that the State of Honduras submitted for </w:t>
      </w:r>
      <w:r w:rsidRPr="008C0090">
        <w:rPr>
          <w:rFonts w:asciiTheme="majorHAnsi" w:hAnsiTheme="majorHAnsi"/>
          <w:bCs/>
          <w:sz w:val="20"/>
          <w:szCs w:val="20"/>
        </w:rPr>
        <w:t>the IACHR report of December 22, 2009, signed by the President of the Supreme Court of Justice, in which they hold that</w:t>
      </w:r>
      <w:r w:rsidR="000847F4" w:rsidRPr="008C0090">
        <w:rPr>
          <w:rFonts w:asciiTheme="majorHAnsi" w:hAnsiTheme="majorHAnsi"/>
          <w:bCs/>
          <w:sz w:val="20"/>
          <w:szCs w:val="20"/>
        </w:rPr>
        <w:t xml:space="preserve">: </w:t>
      </w:r>
      <w:r w:rsidR="000847F4" w:rsidRPr="008C0090">
        <w:rPr>
          <w:rFonts w:asciiTheme="majorHAnsi" w:hAnsiTheme="majorHAnsi"/>
          <w:bCs/>
          <w:i/>
          <w:iCs/>
          <w:sz w:val="20"/>
          <w:szCs w:val="20"/>
        </w:rPr>
        <w:t>“</w:t>
      </w:r>
      <w:r w:rsidRPr="008C0090">
        <w:rPr>
          <w:rFonts w:asciiTheme="majorHAnsi" w:hAnsiTheme="majorHAnsi"/>
          <w:bCs/>
          <w:i/>
          <w:iCs/>
          <w:sz w:val="20"/>
          <w:szCs w:val="20"/>
        </w:rPr>
        <w:t xml:space="preserve">At present, </w:t>
      </w:r>
      <w:r w:rsidR="00AB7570" w:rsidRPr="008C0090">
        <w:rPr>
          <w:rFonts w:asciiTheme="majorHAnsi" w:hAnsiTheme="majorHAnsi"/>
          <w:bCs/>
          <w:i/>
          <w:iCs/>
          <w:sz w:val="20"/>
          <w:szCs w:val="20"/>
        </w:rPr>
        <w:t>the case is under secrecy, being investigated by the Human Rights Prosecutor's Office</w:t>
      </w:r>
      <w:r w:rsidR="000847F4" w:rsidRPr="008C0090">
        <w:rPr>
          <w:rFonts w:asciiTheme="majorHAnsi" w:hAnsiTheme="majorHAnsi"/>
          <w:bCs/>
          <w:i/>
          <w:iCs/>
          <w:sz w:val="20"/>
          <w:szCs w:val="20"/>
        </w:rPr>
        <w:t>”</w:t>
      </w:r>
      <w:r w:rsidR="000847F4" w:rsidRPr="008C0090">
        <w:rPr>
          <w:sz w:val="20"/>
          <w:szCs w:val="20"/>
          <w:vertAlign w:val="superscript"/>
        </w:rPr>
        <w:footnoteReference w:id="15"/>
      </w:r>
      <w:r w:rsidR="000847F4" w:rsidRPr="008C0090">
        <w:rPr>
          <w:rFonts w:asciiTheme="majorHAnsi" w:hAnsiTheme="majorHAnsi"/>
          <w:bCs/>
          <w:sz w:val="20"/>
          <w:szCs w:val="20"/>
        </w:rPr>
        <w:t>.</w:t>
      </w:r>
      <w:r w:rsidR="000847F4" w:rsidRPr="00193B9F">
        <w:rPr>
          <w:rFonts w:asciiTheme="majorHAnsi" w:hAnsiTheme="majorHAnsi"/>
          <w:bCs/>
          <w:sz w:val="20"/>
          <w:szCs w:val="20"/>
        </w:rPr>
        <w:t xml:space="preserve"> </w:t>
      </w:r>
    </w:p>
    <w:p w14:paraId="64954849" w14:textId="7D7597FD" w:rsidR="000847F4" w:rsidRPr="00193B9F" w:rsidRDefault="000F597D"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0F597D">
        <w:rPr>
          <w:rFonts w:asciiTheme="majorHAnsi" w:hAnsiTheme="majorHAnsi"/>
          <w:bCs/>
          <w:sz w:val="20"/>
          <w:szCs w:val="20"/>
        </w:rPr>
        <w:t xml:space="preserve">Thus, when an unwarranted delay is alleged, the Inter-American Commission evaluates the circumstances and conducts a case-by-case analysis to determine whether it has occurred. To establish whether an investigation has been conducted promptly, the IACHR considers a number of factors, such as the time elapsed since the crime was committed; whether the investigation has gone beyond the preliminary stage; the steps taken by the authorities; and the complexity of the case. In the instant case, more than thirteen years have elapsed since the facts that are the subject of the petition and the initiation of the investigation before the Prosecutor's Office, and there is no evidence of substantive progress towards establishing material and intellectual responsibility for the facts. The Inter-American Commission stresses that, although all criminal investigations must comply with a series of legal requirements, the requirement of prior exhaustion </w:t>
      </w:r>
      <w:r w:rsidRPr="000F597D">
        <w:rPr>
          <w:rFonts w:asciiTheme="majorHAnsi" w:hAnsiTheme="majorHAnsi"/>
          <w:bCs/>
          <w:sz w:val="20"/>
          <w:szCs w:val="20"/>
        </w:rPr>
        <w:lastRenderedPageBreak/>
        <w:t>cannot be interpreted in such a way as to produce a prolonged or unjustified impediment to access the Inter-American system</w:t>
      </w:r>
      <w:r w:rsidR="000847F4" w:rsidRPr="00193B9F">
        <w:rPr>
          <w:sz w:val="20"/>
          <w:szCs w:val="20"/>
          <w:vertAlign w:val="superscript"/>
        </w:rPr>
        <w:footnoteReference w:id="16"/>
      </w:r>
      <w:r w:rsidR="000847F4" w:rsidRPr="00193B9F">
        <w:rPr>
          <w:rFonts w:asciiTheme="majorHAnsi" w:hAnsiTheme="majorHAnsi"/>
          <w:bCs/>
          <w:sz w:val="20"/>
          <w:szCs w:val="20"/>
        </w:rPr>
        <w:t xml:space="preserve">. </w:t>
      </w:r>
    </w:p>
    <w:p w14:paraId="6974993C" w14:textId="77777777" w:rsidR="008C0090" w:rsidRDefault="000F597D" w:rsidP="008C0090">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0F597D">
        <w:rPr>
          <w:rFonts w:asciiTheme="majorHAnsi" w:hAnsiTheme="majorHAnsi"/>
          <w:bCs/>
          <w:sz w:val="20"/>
          <w:szCs w:val="20"/>
        </w:rPr>
        <w:t>In conclusion, the Commission considers that the exception provided for in Article 46.2.c) of the American Convention, for unwarranted delay in the development of domestic judicial proceedings, is applicable to the fundamental purpose of the petition. This determination has effects for the present admissibility analysis and does not constitute a prejudgment on the merits of the petition</w:t>
      </w:r>
      <w:r w:rsidR="000847F4" w:rsidRPr="00193B9F">
        <w:rPr>
          <w:rFonts w:asciiTheme="majorHAnsi" w:hAnsiTheme="majorHAnsi"/>
          <w:bCs/>
          <w:sz w:val="20"/>
          <w:szCs w:val="20"/>
        </w:rPr>
        <w:t xml:space="preserve">. </w:t>
      </w:r>
      <w:r w:rsidRPr="008C0090">
        <w:rPr>
          <w:rFonts w:asciiTheme="majorHAnsi" w:hAnsiTheme="majorHAnsi"/>
          <w:bCs/>
          <w:sz w:val="20"/>
          <w:szCs w:val="20"/>
        </w:rPr>
        <w:t>Likewise, considering that the death of the alleged victim occurred in 2009; the present petition was received in 2013; and that the alleged effects in terms of the lack of an adequate investigation and punishment of those responsible would extend to the present, the Commission considers that the present petition was presented within a reasonable time in terms of Article 32.2. of its Rules of Procedure</w:t>
      </w:r>
      <w:r w:rsidR="000847F4" w:rsidRPr="008C0090">
        <w:rPr>
          <w:rFonts w:asciiTheme="majorHAnsi" w:hAnsiTheme="majorHAnsi"/>
          <w:bCs/>
          <w:sz w:val="20"/>
          <w:szCs w:val="20"/>
        </w:rPr>
        <w:t xml:space="preserve">. </w:t>
      </w:r>
    </w:p>
    <w:p w14:paraId="0CB6E2CC" w14:textId="09392507" w:rsidR="008C0090" w:rsidRPr="008C0090" w:rsidRDefault="008C0090" w:rsidP="008C0090">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8C0090">
        <w:rPr>
          <w:rFonts w:asciiTheme="majorHAnsi" w:hAnsiTheme="majorHAnsi"/>
          <w:bCs/>
          <w:sz w:val="20"/>
          <w:szCs w:val="20"/>
        </w:rPr>
        <w:t xml:space="preserve">In view of these considerations, it is pertinent to recall that Article 46.2 of the Convention, by its own nature and purpose, is a norm with autonomous content </w:t>
      </w:r>
      <w:r w:rsidRPr="008C0090">
        <w:rPr>
          <w:rFonts w:asciiTheme="majorHAnsi" w:hAnsiTheme="majorHAnsi"/>
          <w:bCs/>
          <w:i/>
          <w:iCs/>
          <w:sz w:val="20"/>
          <w:szCs w:val="20"/>
        </w:rPr>
        <w:t>vis-à-vis</w:t>
      </w:r>
      <w:r w:rsidRPr="008C0090">
        <w:rPr>
          <w:rFonts w:asciiTheme="majorHAnsi" w:hAnsiTheme="majorHAnsi"/>
          <w:bCs/>
          <w:sz w:val="20"/>
          <w:szCs w:val="20"/>
        </w:rPr>
        <w:t xml:space="preserve"> the substantive norms of the American Convention. Therefore, the determination of whether the exceptions to the rule of exhaustion of domestic remedies are applicable to the case in question must be carried out prior to and separately from the analysis of the merits of the case, since it depends on a different standard of appreciation from that used to determine the possible violation of Articles 8 and 25 of the Convention.</w:t>
      </w:r>
    </w:p>
    <w:p w14:paraId="05415C74" w14:textId="4EDCBF40" w:rsidR="00F621C3" w:rsidRPr="002E1A60" w:rsidRDefault="0020076D" w:rsidP="002E1A60">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imes New Roman" w:hAnsi="Times New Roman"/>
        </w:rPr>
      </w:pPr>
      <w:r w:rsidRPr="0020076D">
        <w:rPr>
          <w:rFonts w:asciiTheme="majorHAnsi" w:hAnsiTheme="majorHAnsi"/>
          <w:bCs/>
          <w:sz w:val="20"/>
          <w:szCs w:val="20"/>
        </w:rPr>
        <w:t>For the sake of clarity in determining the factual framework of the present case, the Commission observes that the petitioners suggest that a criminal proceeding initiated years earlier against the father of the alleged victim was resumed or reactivated based on the facts of the instant petition, the Commission considers that it does not have sufficient information or arguments provided by the petitioners to consider this fact as part of the main subject matter of the petition. In any case, as the petitioners themselves hold, Mr. José David Murillo Sánchez was acquitted in February 2010, and since the instant petition was filed in 2013, this proceeding is outside the factual framework of the present case because it is out of time under the terms of Article 46.1.b) of the American Convention</w:t>
      </w:r>
      <w:r w:rsidR="000847F4" w:rsidRPr="00193B9F">
        <w:t>.</w:t>
      </w:r>
    </w:p>
    <w:p w14:paraId="378478A0" w14:textId="3D3C1D08" w:rsidR="00F621C3" w:rsidRPr="00193B9F" w:rsidRDefault="00F621C3" w:rsidP="00F621C3">
      <w:pPr>
        <w:pStyle w:val="ListParagraph"/>
        <w:spacing w:before="240" w:after="240"/>
        <w:jc w:val="both"/>
        <w:rPr>
          <w:rFonts w:asciiTheme="majorHAnsi" w:hAnsiTheme="majorHAnsi"/>
          <w:b/>
          <w:sz w:val="20"/>
          <w:szCs w:val="20"/>
        </w:rPr>
      </w:pPr>
      <w:r w:rsidRPr="00193B9F">
        <w:rPr>
          <w:rFonts w:asciiTheme="majorHAnsi" w:hAnsiTheme="majorHAnsi"/>
          <w:b/>
          <w:bCs/>
          <w:sz w:val="20"/>
          <w:szCs w:val="20"/>
        </w:rPr>
        <w:t>VII.</w:t>
      </w:r>
      <w:r w:rsidRPr="00193B9F">
        <w:rPr>
          <w:rFonts w:asciiTheme="majorHAnsi" w:hAnsiTheme="majorHAnsi"/>
          <w:b/>
          <w:bCs/>
          <w:sz w:val="20"/>
          <w:szCs w:val="20"/>
        </w:rPr>
        <w:tab/>
      </w:r>
      <w:r w:rsidR="004F1F91" w:rsidRPr="00193B9F">
        <w:rPr>
          <w:rFonts w:asciiTheme="majorHAnsi" w:hAnsiTheme="majorHAnsi"/>
          <w:b/>
          <w:bCs/>
          <w:sz w:val="20"/>
          <w:szCs w:val="20"/>
        </w:rPr>
        <w:t>ANALYSIS OF COLORABLE CLAIM</w:t>
      </w:r>
    </w:p>
    <w:p w14:paraId="4E188C3E" w14:textId="61FA5103" w:rsidR="000847F4" w:rsidRPr="00193B9F" w:rsidRDefault="000F597D"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0F597D">
        <w:rPr>
          <w:sz w:val="20"/>
          <w:szCs w:val="20"/>
        </w:rPr>
        <w:t xml:space="preserve">The petition takes place in the context of the 2008 </w:t>
      </w:r>
      <w:r w:rsidRPr="000046B9">
        <w:rPr>
          <w:i/>
          <w:iCs/>
          <w:sz w:val="20"/>
          <w:szCs w:val="20"/>
        </w:rPr>
        <w:t>coup d'état</w:t>
      </w:r>
      <w:r w:rsidRPr="000F597D">
        <w:rPr>
          <w:sz w:val="20"/>
          <w:szCs w:val="20"/>
        </w:rPr>
        <w:t xml:space="preserve"> in Honduras</w:t>
      </w:r>
      <w:r w:rsidR="000847F4" w:rsidRPr="00193B9F">
        <w:rPr>
          <w:rStyle w:val="FootnoteReference"/>
          <w:sz w:val="20"/>
          <w:szCs w:val="20"/>
        </w:rPr>
        <w:footnoteReference w:id="17"/>
      </w:r>
      <w:r w:rsidR="000847F4" w:rsidRPr="00193B9F">
        <w:rPr>
          <w:sz w:val="20"/>
          <w:szCs w:val="20"/>
        </w:rPr>
        <w:t xml:space="preserve">, </w:t>
      </w:r>
      <w:r w:rsidRPr="000F597D">
        <w:rPr>
          <w:sz w:val="20"/>
          <w:szCs w:val="20"/>
        </w:rPr>
        <w:t>the facts presented occurred during the protest on July 5, 2009 at the Toncontín airport</w:t>
      </w:r>
      <w:r w:rsidR="000847F4" w:rsidRPr="00193B9F">
        <w:rPr>
          <w:rStyle w:val="FootnoteReference"/>
          <w:sz w:val="20"/>
          <w:szCs w:val="20"/>
        </w:rPr>
        <w:footnoteReference w:id="18"/>
      </w:r>
      <w:r w:rsidR="000847F4" w:rsidRPr="00193B9F">
        <w:rPr>
          <w:sz w:val="20"/>
          <w:szCs w:val="20"/>
        </w:rPr>
        <w:t xml:space="preserve">, </w:t>
      </w:r>
      <w:r w:rsidRPr="000F597D">
        <w:rPr>
          <w:sz w:val="20"/>
          <w:szCs w:val="20"/>
        </w:rPr>
        <w:t xml:space="preserve">when young Murillo lost his life after </w:t>
      </w:r>
      <w:r w:rsidR="00935177">
        <w:rPr>
          <w:sz w:val="20"/>
          <w:szCs w:val="20"/>
        </w:rPr>
        <w:t>receiving a gunshot wound</w:t>
      </w:r>
      <w:r w:rsidRPr="000F597D">
        <w:rPr>
          <w:sz w:val="20"/>
          <w:szCs w:val="20"/>
        </w:rPr>
        <w:t xml:space="preserve"> in the head. Thus, the petitioners denounce the death of the alleged victim allegedly caused by the excessive use of force by members of the Honduran armed forces; the lack of an investigation and punishment of those responsible for his death; the violation of the right to assembly in terms of the lack of protection for the protesters; and the excessive time taken in the criminal investigations</w:t>
      </w:r>
      <w:r w:rsidR="000847F4" w:rsidRPr="00193B9F">
        <w:rPr>
          <w:sz w:val="20"/>
          <w:szCs w:val="20"/>
        </w:rPr>
        <w:t xml:space="preserve">. </w:t>
      </w:r>
    </w:p>
    <w:p w14:paraId="1EC910D9" w14:textId="48974ED1" w:rsidR="000847F4" w:rsidRPr="00193B9F" w:rsidRDefault="00555BE7"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555BE7">
        <w:rPr>
          <w:sz w:val="20"/>
          <w:szCs w:val="20"/>
        </w:rPr>
        <w:t xml:space="preserve">For its part, the State holds that there are no violations against the alleged victim inasmuch as the State cannot be held responsible for his death; furthermore, the State </w:t>
      </w:r>
      <w:r w:rsidR="00935177">
        <w:rPr>
          <w:sz w:val="20"/>
          <w:szCs w:val="20"/>
        </w:rPr>
        <w:t>holds</w:t>
      </w:r>
      <w:r w:rsidRPr="00555BE7">
        <w:rPr>
          <w:sz w:val="20"/>
          <w:szCs w:val="20"/>
        </w:rPr>
        <w:t xml:space="preserve"> that the violation of the right to assembly cannot be characterized, since the protesters always had the opportunity to assemble and protest. Likewise, it considers that the investigation of the facts is complex due to its very nature, so it would not be incurring in an unjustified delay. On the other hand, it holds that the exhaustion of domestic remedies by the petitioners cannot be identified</w:t>
      </w:r>
      <w:r w:rsidR="000847F4" w:rsidRPr="00193B9F">
        <w:rPr>
          <w:sz w:val="20"/>
          <w:szCs w:val="20"/>
        </w:rPr>
        <w:t xml:space="preserve">. </w:t>
      </w:r>
    </w:p>
    <w:p w14:paraId="22982502" w14:textId="6320D8BE" w:rsidR="000847F4" w:rsidRPr="00193B9F" w:rsidRDefault="00555BE7"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555BE7">
        <w:rPr>
          <w:rFonts w:asciiTheme="majorHAnsi" w:hAnsiTheme="majorHAnsi"/>
          <w:bCs/>
          <w:sz w:val="20"/>
          <w:szCs w:val="20"/>
        </w:rPr>
        <w:lastRenderedPageBreak/>
        <w:t xml:space="preserve">With regard to the State's assertions concerning lack of characterization, the Commission reiterates that, for purposes of admissibility, it must determine whether the facts alleged could characterize a violation of rights under Article 47.b of the American Convention, whether the petition is "manifestly unfounded" or whether it is "obviously out of order" under subsection (c) of said Article. The criteria for evaluating these requirements differ from those used to rule on the merits of a petition. Similarly, within the scope of its mandate, the Commission has the competence to declare a petition admissible if it refers to domestic proceedings that could violate rights guaranteed by the American Convention. In other words, in light of the aforementioned conventional rules, in accordance with Article 34 of the Commission's Rules of Procedure, the admissibility analysis focuses on the verification of such requirements, which refer to the existence of elements that, if true, could </w:t>
      </w:r>
      <w:r w:rsidRPr="00555BE7">
        <w:rPr>
          <w:rFonts w:asciiTheme="majorHAnsi" w:hAnsiTheme="majorHAnsi"/>
          <w:bCs/>
          <w:i/>
          <w:iCs/>
          <w:sz w:val="20"/>
          <w:szCs w:val="20"/>
        </w:rPr>
        <w:t>prima facie</w:t>
      </w:r>
      <w:r w:rsidRPr="00555BE7">
        <w:rPr>
          <w:rFonts w:asciiTheme="majorHAnsi" w:hAnsiTheme="majorHAnsi"/>
          <w:bCs/>
          <w:sz w:val="20"/>
          <w:szCs w:val="20"/>
        </w:rPr>
        <w:t xml:space="preserve"> constitute a violation of the American Convention</w:t>
      </w:r>
      <w:r w:rsidR="000847F4" w:rsidRPr="00193B9F">
        <w:rPr>
          <w:sz w:val="20"/>
          <w:szCs w:val="20"/>
          <w:vertAlign w:val="superscript"/>
        </w:rPr>
        <w:footnoteReference w:id="19"/>
      </w:r>
      <w:r w:rsidR="000847F4" w:rsidRPr="00193B9F">
        <w:rPr>
          <w:rFonts w:asciiTheme="majorHAnsi" w:hAnsiTheme="majorHAnsi"/>
          <w:bCs/>
          <w:sz w:val="20"/>
          <w:szCs w:val="20"/>
        </w:rPr>
        <w:t>.</w:t>
      </w:r>
    </w:p>
    <w:p w14:paraId="1514CA7B" w14:textId="77777777" w:rsidR="001719D7" w:rsidRDefault="00555BE7" w:rsidP="001719D7">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555BE7">
        <w:rPr>
          <w:rFonts w:asciiTheme="majorHAnsi" w:hAnsiTheme="majorHAnsi"/>
          <w:bCs/>
          <w:sz w:val="20"/>
          <w:szCs w:val="20"/>
        </w:rPr>
        <w:t>With respect to the allegations concerning the violation of the right to assembly, this Commission recognizes that States have the duty to adopt the necessary measures to prevent acts of violence, guarantee the security of persons and public order. However, when using force in these contexts, States are obliged to guarantee and facilitate the exercise of the human rights that are at stake during protests and mobilizations, and to implement measures and mechanisms so that these rights can be exercised in practice, not as a way of hindering them</w:t>
      </w:r>
      <w:r w:rsidR="000847F4" w:rsidRPr="00193B9F">
        <w:rPr>
          <w:sz w:val="20"/>
          <w:szCs w:val="20"/>
          <w:vertAlign w:val="superscript"/>
        </w:rPr>
        <w:footnoteReference w:id="20"/>
      </w:r>
      <w:r w:rsidR="000847F4" w:rsidRPr="00193B9F">
        <w:rPr>
          <w:rFonts w:asciiTheme="majorHAnsi" w:hAnsiTheme="majorHAnsi"/>
          <w:bCs/>
          <w:sz w:val="20"/>
          <w:szCs w:val="20"/>
        </w:rPr>
        <w:t xml:space="preserve">. </w:t>
      </w:r>
      <w:r w:rsidRPr="00555BE7">
        <w:rPr>
          <w:rFonts w:asciiTheme="majorHAnsi" w:hAnsiTheme="majorHAnsi"/>
          <w:bCs/>
          <w:sz w:val="20"/>
          <w:szCs w:val="20"/>
        </w:rPr>
        <w:t>The Inter-American Court has also ruled that citizen security cannot be based on a paradigm of the use of force that aims to treat the civilian population as the enemy, but must consist of the protection and control of civilians participating in protests</w:t>
      </w:r>
      <w:r w:rsidR="000847F4" w:rsidRPr="00193B9F">
        <w:rPr>
          <w:sz w:val="20"/>
          <w:szCs w:val="20"/>
          <w:vertAlign w:val="superscript"/>
        </w:rPr>
        <w:footnoteReference w:id="21"/>
      </w:r>
      <w:r w:rsidR="000847F4" w:rsidRPr="00193B9F">
        <w:rPr>
          <w:rFonts w:asciiTheme="majorHAnsi" w:hAnsiTheme="majorHAnsi"/>
          <w:bCs/>
          <w:sz w:val="20"/>
          <w:szCs w:val="20"/>
        </w:rPr>
        <w:t xml:space="preserve">. </w:t>
      </w:r>
      <w:r w:rsidRPr="00555BE7">
        <w:rPr>
          <w:rFonts w:asciiTheme="majorHAnsi" w:hAnsiTheme="majorHAnsi"/>
          <w:bCs/>
          <w:sz w:val="20"/>
          <w:szCs w:val="20"/>
        </w:rPr>
        <w:t>Similarly, it should be noted that the use of firearms in the context of social protests is almost never justified by the criterion of proportionality. As the IACHR has duly considered, this implies that States must implement mechanisms to effectively prohibit the use of lethal force in public mobilizations</w:t>
      </w:r>
      <w:r w:rsidR="000847F4" w:rsidRPr="00193B9F">
        <w:rPr>
          <w:sz w:val="20"/>
          <w:szCs w:val="20"/>
          <w:vertAlign w:val="superscript"/>
        </w:rPr>
        <w:footnoteReference w:id="22"/>
      </w:r>
      <w:r w:rsidR="000847F4" w:rsidRPr="00193B9F">
        <w:rPr>
          <w:rFonts w:asciiTheme="majorHAnsi" w:hAnsiTheme="majorHAnsi"/>
          <w:bCs/>
          <w:sz w:val="20"/>
          <w:szCs w:val="20"/>
        </w:rPr>
        <w:t xml:space="preserve">. </w:t>
      </w:r>
    </w:p>
    <w:p w14:paraId="1BFEFEDC" w14:textId="6B091712" w:rsidR="001719D7" w:rsidRDefault="001719D7" w:rsidP="001719D7">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1719D7">
        <w:rPr>
          <w:rFonts w:asciiTheme="majorHAnsi" w:hAnsiTheme="majorHAnsi"/>
          <w:bCs/>
          <w:sz w:val="20"/>
          <w:szCs w:val="20"/>
        </w:rPr>
        <w:t xml:space="preserve">Similarly, with respect to the right to freedom of thought and expression in relation to young Murillo and his participation in the protest of July 5, 2009, to demonstrate his disagreement with what he considered a </w:t>
      </w:r>
      <w:r w:rsidRPr="001719D7">
        <w:rPr>
          <w:rFonts w:asciiTheme="majorHAnsi" w:hAnsiTheme="majorHAnsi"/>
          <w:bCs/>
          <w:i/>
          <w:iCs/>
          <w:sz w:val="20"/>
          <w:szCs w:val="20"/>
        </w:rPr>
        <w:t>coup d'état</w:t>
      </w:r>
      <w:r w:rsidRPr="001719D7">
        <w:rPr>
          <w:rFonts w:asciiTheme="majorHAnsi" w:hAnsiTheme="majorHAnsi"/>
          <w:bCs/>
          <w:sz w:val="20"/>
          <w:szCs w:val="20"/>
        </w:rPr>
        <w:t xml:space="preserve">, the Inter-American Court emphasizes that in situations of institutional rupture, after a </w:t>
      </w:r>
      <w:r w:rsidRPr="001719D7">
        <w:rPr>
          <w:rFonts w:asciiTheme="majorHAnsi" w:hAnsiTheme="majorHAnsi"/>
          <w:bCs/>
          <w:i/>
          <w:iCs/>
          <w:sz w:val="20"/>
          <w:szCs w:val="20"/>
        </w:rPr>
        <w:t>coup d'état</w:t>
      </w:r>
      <w:r w:rsidRPr="001719D7">
        <w:rPr>
          <w:rFonts w:asciiTheme="majorHAnsi" w:hAnsiTheme="majorHAnsi"/>
          <w:bCs/>
          <w:sz w:val="20"/>
          <w:szCs w:val="20"/>
        </w:rPr>
        <w:t>, the relationship between the rights of assembly and freedom of thought and expression is even more manifest, especially when they are exercised jointly with the purpose of protesting against the actions of the state powers contrary to the constitutional order and to demand the return of democracy. Demonstrations and related expressions in favor of democracy must have the maximum possible protection</w:t>
      </w:r>
      <w:r w:rsidRPr="00B312E6">
        <w:rPr>
          <w:sz w:val="20"/>
          <w:szCs w:val="20"/>
          <w:vertAlign w:val="superscript"/>
        </w:rPr>
        <w:footnoteReference w:id="23"/>
      </w:r>
      <w:r w:rsidRPr="001719D7">
        <w:rPr>
          <w:rFonts w:asciiTheme="majorHAnsi" w:hAnsiTheme="majorHAnsi"/>
          <w:bCs/>
          <w:sz w:val="20"/>
          <w:szCs w:val="20"/>
        </w:rPr>
        <w:t>.</w:t>
      </w:r>
    </w:p>
    <w:p w14:paraId="74CC46D4" w14:textId="77777777" w:rsidR="00B312E6" w:rsidRDefault="001719D7" w:rsidP="00B312E6">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1719D7">
        <w:rPr>
          <w:rFonts w:asciiTheme="majorHAnsi" w:hAnsiTheme="majorHAnsi"/>
          <w:bCs/>
          <w:sz w:val="20"/>
          <w:szCs w:val="20"/>
        </w:rPr>
        <w:t>Regarding the allegations of violations of the right to personal integrity, the Inter-American Court has stated that any use of force that is not strictly necessary for the detainee's own behavior constitutes an attack on human dignity</w:t>
      </w:r>
      <w:r w:rsidR="00B312E6">
        <w:rPr>
          <w:rStyle w:val="FootnoteReference"/>
          <w:rFonts w:asciiTheme="majorHAnsi" w:hAnsiTheme="majorHAnsi"/>
          <w:bCs/>
          <w:sz w:val="20"/>
          <w:szCs w:val="20"/>
        </w:rPr>
        <w:footnoteReference w:id="24"/>
      </w:r>
      <w:r w:rsidRPr="001719D7">
        <w:rPr>
          <w:rFonts w:asciiTheme="majorHAnsi" w:hAnsiTheme="majorHAnsi"/>
          <w:bCs/>
          <w:sz w:val="20"/>
          <w:szCs w:val="20"/>
        </w:rPr>
        <w:t xml:space="preserve">; furthermore, the effects can be extended to the alleged victim's family members not only because of the death of their relative, but also as a consequence of the lack of an adequate investigation of </w:t>
      </w:r>
      <w:r>
        <w:rPr>
          <w:rFonts w:asciiTheme="majorHAnsi" w:hAnsiTheme="majorHAnsi"/>
          <w:bCs/>
          <w:sz w:val="20"/>
          <w:szCs w:val="20"/>
        </w:rPr>
        <w:t>such</w:t>
      </w:r>
      <w:r w:rsidRPr="001719D7">
        <w:rPr>
          <w:rFonts w:asciiTheme="majorHAnsi" w:hAnsiTheme="majorHAnsi"/>
          <w:bCs/>
          <w:sz w:val="20"/>
          <w:szCs w:val="20"/>
        </w:rPr>
        <w:t xml:space="preserve"> death</w:t>
      </w:r>
      <w:r w:rsidRPr="00B312E6">
        <w:rPr>
          <w:rStyle w:val="FootnoteReference"/>
          <w:rFonts w:asciiTheme="majorHAnsi" w:hAnsiTheme="majorHAnsi"/>
          <w:bCs/>
          <w:sz w:val="20"/>
          <w:szCs w:val="20"/>
        </w:rPr>
        <w:footnoteReference w:id="25"/>
      </w:r>
      <w:r w:rsidRPr="001719D7">
        <w:rPr>
          <w:rFonts w:asciiTheme="majorHAnsi" w:hAnsiTheme="majorHAnsi"/>
          <w:bCs/>
          <w:sz w:val="20"/>
          <w:szCs w:val="20"/>
        </w:rPr>
        <w:t xml:space="preserve">. </w:t>
      </w:r>
    </w:p>
    <w:p w14:paraId="78C00BD0" w14:textId="44371B48" w:rsidR="001719D7" w:rsidRPr="002E1A60" w:rsidRDefault="00B312E6" w:rsidP="001719D7">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heme="majorHAnsi" w:hAnsiTheme="majorHAnsi"/>
          <w:bCs/>
          <w:sz w:val="20"/>
          <w:szCs w:val="20"/>
        </w:rPr>
      </w:pPr>
      <w:r w:rsidRPr="00B312E6">
        <w:rPr>
          <w:rFonts w:asciiTheme="majorHAnsi" w:hAnsiTheme="majorHAnsi"/>
          <w:bCs/>
          <w:sz w:val="20"/>
          <w:szCs w:val="20"/>
        </w:rPr>
        <w:t xml:space="preserve">The Commission highlights the importance of the allegations of violation of the right to life of young Murillo, who perished as a result of the events that took place during the July 2009 protest, especially </w:t>
      </w:r>
      <w:r w:rsidRPr="00B312E6">
        <w:rPr>
          <w:rFonts w:asciiTheme="majorHAnsi" w:hAnsiTheme="majorHAnsi"/>
          <w:bCs/>
          <w:sz w:val="20"/>
          <w:szCs w:val="20"/>
        </w:rPr>
        <w:lastRenderedPageBreak/>
        <w:t>because of the State's obligation to guarantee the creation of the conditions required to prevent violations of this inalienable right and its duty to prevent its agents from making an attempt against him</w:t>
      </w:r>
      <w:r w:rsidRPr="006D670B">
        <w:rPr>
          <w:rStyle w:val="FootnoteReference"/>
          <w:rFonts w:asciiTheme="majorHAnsi" w:hAnsiTheme="majorHAnsi"/>
          <w:bCs/>
          <w:sz w:val="20"/>
          <w:szCs w:val="20"/>
        </w:rPr>
        <w:footnoteReference w:id="26"/>
      </w:r>
      <w:r w:rsidRPr="00B312E6">
        <w:rPr>
          <w:rFonts w:asciiTheme="majorHAnsi" w:hAnsiTheme="majorHAnsi"/>
          <w:bCs/>
          <w:sz w:val="20"/>
          <w:szCs w:val="20"/>
        </w:rPr>
        <w:t>.</w:t>
      </w:r>
    </w:p>
    <w:p w14:paraId="5409C9B6" w14:textId="4BE1AABC" w:rsidR="000847F4" w:rsidRPr="00193B9F" w:rsidRDefault="00555BE7" w:rsidP="002E57D6">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imes New Roman" w:hAnsi="Times New Roman"/>
        </w:rPr>
      </w:pPr>
      <w:r w:rsidRPr="00555BE7">
        <w:rPr>
          <w:rFonts w:asciiTheme="majorHAnsi" w:hAnsiTheme="majorHAnsi"/>
          <w:bCs/>
          <w:sz w:val="20"/>
          <w:szCs w:val="20"/>
        </w:rPr>
        <w:t xml:space="preserve">In this same sense, regarding the events that occurred against young Murillo where he lost his life, it is emphasized that the obligation to investigate is the responsibility of the State, and entails the duty that, once the State authorities have knowledge of the occurrence of human rights violations, they must initiate </w:t>
      </w:r>
      <w:r w:rsidRPr="00935177">
        <w:rPr>
          <w:rFonts w:asciiTheme="majorHAnsi" w:hAnsiTheme="majorHAnsi"/>
          <w:bCs/>
          <w:i/>
          <w:iCs/>
          <w:sz w:val="20"/>
          <w:szCs w:val="20"/>
        </w:rPr>
        <w:t>ex officio</w:t>
      </w:r>
      <w:r w:rsidRPr="00555BE7">
        <w:rPr>
          <w:rFonts w:asciiTheme="majorHAnsi" w:hAnsiTheme="majorHAnsi"/>
          <w:bCs/>
          <w:sz w:val="20"/>
          <w:szCs w:val="20"/>
        </w:rPr>
        <w:t xml:space="preserve"> and without delay, a serious, impartial, effective, prompt, exhaustive, thorough and complete investigation within a reasonable period of time, using all available legal means and aimed at determining the truth and the prosecution, capture, trial and eventual punishment of all perpetrators, especially when State officials may be or are involved. The right to know the truth constitutes a means of reparation and gives rise to an expectation of the victims that the State must satisfy. Likewise, the State has the obligation to initiate criminal proceedings when crimes that can be prosecuted </w:t>
      </w:r>
      <w:r w:rsidRPr="00555BE7">
        <w:rPr>
          <w:rFonts w:asciiTheme="majorHAnsi" w:hAnsiTheme="majorHAnsi"/>
          <w:bCs/>
          <w:i/>
          <w:iCs/>
          <w:sz w:val="20"/>
          <w:szCs w:val="20"/>
        </w:rPr>
        <w:t>ex officio</w:t>
      </w:r>
      <w:r w:rsidRPr="00555BE7">
        <w:rPr>
          <w:rFonts w:asciiTheme="majorHAnsi" w:hAnsiTheme="majorHAnsi"/>
          <w:bCs/>
          <w:sz w:val="20"/>
          <w:szCs w:val="20"/>
        </w:rPr>
        <w:t xml:space="preserve"> are committed</w:t>
      </w:r>
      <w:r w:rsidR="000847F4" w:rsidRPr="00193B9F">
        <w:rPr>
          <w:sz w:val="20"/>
          <w:szCs w:val="20"/>
          <w:vertAlign w:val="superscript"/>
        </w:rPr>
        <w:footnoteReference w:id="27"/>
      </w:r>
      <w:r w:rsidR="000847F4" w:rsidRPr="00193B9F">
        <w:rPr>
          <w:rFonts w:asciiTheme="majorHAnsi" w:hAnsiTheme="majorHAnsi"/>
          <w:bCs/>
          <w:sz w:val="20"/>
          <w:szCs w:val="20"/>
        </w:rPr>
        <w:t>.</w:t>
      </w:r>
    </w:p>
    <w:p w14:paraId="70146B96" w14:textId="2A83F2AE" w:rsidR="00F621C3" w:rsidRPr="00193B9F" w:rsidRDefault="00555BE7" w:rsidP="000847F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2" w:firstLine="567"/>
        <w:jc w:val="both"/>
        <w:rPr>
          <w:rFonts w:ascii="Times New Roman" w:hAnsi="Times New Roman"/>
        </w:rPr>
      </w:pPr>
      <w:r w:rsidRPr="00555BE7">
        <w:rPr>
          <w:sz w:val="20"/>
          <w:szCs w:val="20"/>
        </w:rPr>
        <w:t>In view of these considerations and after examining the elements of fact and law exposed by the parties, the Commission considers that the allegations of the petitioner are not manifestly unfounded and require a study of the merits; since the alleged facts, if corroborated as true, could characterize violations of Articles 4 (life), 5 (humane treatment), 8 (fair trial), 13 (freedom of thought and expression), 15 (assembly) and 25 (judicial protection) to the detriment of Isy Obed Murillo Mencías and his family members in the terms of the present report.</w:t>
      </w:r>
      <w:r w:rsidR="000847F4" w:rsidRPr="00193B9F">
        <w:t xml:space="preserve"> </w:t>
      </w:r>
    </w:p>
    <w:p w14:paraId="5A70550C" w14:textId="251988D9" w:rsidR="00F621C3" w:rsidRPr="00193B9F" w:rsidRDefault="00F621C3" w:rsidP="00F621C3">
      <w:pPr>
        <w:pStyle w:val="ListParagraph"/>
        <w:spacing w:before="240" w:after="240"/>
        <w:jc w:val="both"/>
        <w:rPr>
          <w:rFonts w:asciiTheme="majorHAnsi" w:hAnsiTheme="majorHAnsi"/>
          <w:b/>
          <w:bCs/>
          <w:sz w:val="20"/>
          <w:szCs w:val="20"/>
        </w:rPr>
      </w:pPr>
      <w:r w:rsidRPr="00193B9F">
        <w:rPr>
          <w:rFonts w:asciiTheme="majorHAnsi" w:hAnsiTheme="majorHAnsi"/>
          <w:b/>
          <w:bCs/>
          <w:sz w:val="20"/>
          <w:szCs w:val="20"/>
        </w:rPr>
        <w:t xml:space="preserve">VIII. </w:t>
      </w:r>
      <w:r w:rsidRPr="00193B9F">
        <w:rPr>
          <w:rFonts w:asciiTheme="majorHAnsi" w:hAnsiTheme="majorHAnsi"/>
          <w:b/>
          <w:bCs/>
          <w:sz w:val="20"/>
          <w:szCs w:val="20"/>
        </w:rPr>
        <w:tab/>
      </w:r>
      <w:r w:rsidR="004F1F91" w:rsidRPr="00193B9F">
        <w:rPr>
          <w:rFonts w:asciiTheme="majorHAnsi" w:hAnsiTheme="majorHAnsi"/>
          <w:b/>
          <w:bCs/>
          <w:sz w:val="20"/>
          <w:szCs w:val="20"/>
        </w:rPr>
        <w:t>DECISION</w:t>
      </w:r>
    </w:p>
    <w:p w14:paraId="47F30965" w14:textId="17D85C87" w:rsidR="00F621C3" w:rsidRPr="000F597D" w:rsidRDefault="00F621C3" w:rsidP="007F1B4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F597D">
        <w:rPr>
          <w:rFonts w:asciiTheme="majorHAnsi" w:hAnsiTheme="majorHAnsi"/>
          <w:sz w:val="20"/>
          <w:szCs w:val="20"/>
        </w:rPr>
        <w:t xml:space="preserve">To find the instant petition admissible in relation to Articles </w:t>
      </w:r>
      <w:r w:rsidR="006565A3" w:rsidRPr="000F597D">
        <w:rPr>
          <w:rFonts w:asciiTheme="majorHAnsi" w:hAnsiTheme="majorHAnsi"/>
          <w:sz w:val="20"/>
          <w:szCs w:val="20"/>
        </w:rPr>
        <w:t>4, 5, 8, 13, 15 and 25 of the American Convention, in connection with Article 1.1 thereof</w:t>
      </w:r>
      <w:r w:rsidRPr="000F597D">
        <w:rPr>
          <w:rFonts w:asciiTheme="majorHAnsi" w:hAnsiTheme="majorHAnsi"/>
          <w:sz w:val="20"/>
          <w:szCs w:val="20"/>
        </w:rPr>
        <w:t>;</w:t>
      </w:r>
      <w:r w:rsidR="006565A3" w:rsidRPr="000F597D">
        <w:rPr>
          <w:rFonts w:asciiTheme="majorHAnsi" w:hAnsiTheme="majorHAnsi"/>
          <w:sz w:val="20"/>
          <w:szCs w:val="20"/>
        </w:rPr>
        <w:t xml:space="preserve"> and</w:t>
      </w:r>
    </w:p>
    <w:p w14:paraId="2122B46A" w14:textId="681C50DF" w:rsidR="00C55560" w:rsidRPr="002E1A60" w:rsidRDefault="00F621C3" w:rsidP="000F59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93B9F">
        <w:rPr>
          <w:rFonts w:asciiTheme="majorHAnsi" w:hAnsiTheme="majorHAnsi"/>
          <w:sz w:val="20"/>
          <w:szCs w:val="20"/>
        </w:rPr>
        <w:t>To notify the parties of this decision;</w:t>
      </w:r>
      <w:r w:rsidR="001F1902" w:rsidRPr="00193B9F">
        <w:rPr>
          <w:rFonts w:asciiTheme="majorHAnsi" w:hAnsiTheme="majorHAnsi"/>
          <w:sz w:val="20"/>
          <w:szCs w:val="20"/>
        </w:rPr>
        <w:t xml:space="preserve"> t</w:t>
      </w:r>
      <w:r w:rsidRPr="00193B9F">
        <w:rPr>
          <w:rFonts w:asciiTheme="majorHAnsi" w:hAnsiTheme="majorHAnsi"/>
          <w:sz w:val="20"/>
          <w:szCs w:val="20"/>
        </w:rPr>
        <w:t xml:space="preserve">o continue with the analysis on the merits; and </w:t>
      </w:r>
      <w:r w:rsidR="001F1902" w:rsidRPr="00193B9F">
        <w:rPr>
          <w:rFonts w:asciiTheme="majorHAnsi" w:hAnsiTheme="majorHAnsi"/>
          <w:sz w:val="20"/>
          <w:szCs w:val="20"/>
        </w:rPr>
        <w:t>t</w:t>
      </w:r>
      <w:r w:rsidRPr="00193B9F">
        <w:rPr>
          <w:rFonts w:asciiTheme="majorHAnsi" w:hAnsiTheme="majorHAnsi"/>
          <w:sz w:val="20"/>
          <w:szCs w:val="20"/>
        </w:rPr>
        <w:t>o publish this decision and include it in its Annual Report to the General Assembly of the Organization of American States.</w:t>
      </w:r>
    </w:p>
    <w:p w14:paraId="513B957F" w14:textId="4D7772E6" w:rsidR="002E1A60" w:rsidRPr="002E1A60" w:rsidRDefault="002E1A60" w:rsidP="002E1A60">
      <w:pPr>
        <w:pStyle w:val="ListParagraph"/>
        <w:suppressAutoHyphens/>
        <w:ind w:left="0" w:firstLine="720"/>
        <w:jc w:val="both"/>
        <w:rPr>
          <w:rStyle w:val="normaltextrun"/>
          <w:rFonts w:cs="Segoe UI"/>
          <w:sz w:val="20"/>
          <w:szCs w:val="20"/>
        </w:rPr>
      </w:pPr>
      <w:r w:rsidRPr="002E1A60">
        <w:rPr>
          <w:spacing w:val="-2"/>
          <w:sz w:val="20"/>
        </w:rPr>
        <w:t>Approved by the Inter-American Commission on Human Rights on the 1</w:t>
      </w:r>
      <w:r w:rsidRPr="002E1A60">
        <w:rPr>
          <w:spacing w:val="-2"/>
          <w:sz w:val="20"/>
          <w:vertAlign w:val="superscript"/>
        </w:rPr>
        <w:t>st</w:t>
      </w:r>
      <w:r w:rsidRPr="002E1A60">
        <w:rPr>
          <w:spacing w:val="-2"/>
          <w:sz w:val="20"/>
        </w:rPr>
        <w:t xml:space="preserve"> day of the month of August 2023.  (Signed:) </w:t>
      </w:r>
      <w:r w:rsidRPr="002E1A60">
        <w:rPr>
          <w:rStyle w:val="normaltextrun"/>
          <w:rFonts w:cs="Segoe UI"/>
          <w:sz w:val="20"/>
          <w:szCs w:val="20"/>
        </w:rPr>
        <w:t>Margarette May Macaulay, President; Roberta Clarke, Second Vice President; Julissa Mantilla Falcón and Carlos Bernal Pulido, Commissioners.</w:t>
      </w:r>
    </w:p>
    <w:p w14:paraId="65218015" w14:textId="77777777" w:rsidR="002E1A60" w:rsidRPr="000F597D" w:rsidRDefault="002E1A60" w:rsidP="002E1A6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sectPr w:rsidR="002E1A60" w:rsidRPr="000F597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814B" w14:textId="77777777" w:rsidR="009D11E9" w:rsidRDefault="009D11E9" w:rsidP="00036A8A">
      <w:r>
        <w:separator/>
      </w:r>
    </w:p>
  </w:endnote>
  <w:endnote w:type="continuationSeparator" w:id="0">
    <w:p w14:paraId="18976980" w14:textId="77777777" w:rsidR="009D11E9" w:rsidRDefault="009D11E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8A1A" w14:textId="77777777" w:rsidR="009D11E9" w:rsidRPr="00036A8A" w:rsidRDefault="009D11E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EB295FE" w14:textId="77777777" w:rsidR="009D11E9" w:rsidRPr="00036A8A" w:rsidRDefault="009D11E9" w:rsidP="00036A8A">
      <w:pPr>
        <w:rPr>
          <w:rFonts w:asciiTheme="majorHAnsi" w:hAnsiTheme="majorHAnsi"/>
          <w:sz w:val="16"/>
          <w:szCs w:val="16"/>
        </w:rPr>
      </w:pPr>
      <w:r w:rsidRPr="00036A8A">
        <w:rPr>
          <w:rFonts w:asciiTheme="majorHAnsi" w:hAnsiTheme="majorHAnsi"/>
          <w:sz w:val="16"/>
          <w:szCs w:val="16"/>
        </w:rPr>
        <w:separator/>
      </w:r>
    </w:p>
    <w:p w14:paraId="4430F96E" w14:textId="77777777" w:rsidR="009D11E9" w:rsidRPr="00036A8A" w:rsidRDefault="009D11E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8441172" w14:textId="77777777" w:rsidR="009D11E9" w:rsidRPr="0093441A" w:rsidRDefault="009D11E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497330F" w14:textId="19A7A988" w:rsidR="000847F4" w:rsidRPr="000847F4" w:rsidRDefault="000847F4" w:rsidP="000847F4">
      <w:pPr>
        <w:pStyle w:val="FootnoteText"/>
        <w:ind w:firstLine="720"/>
        <w:jc w:val="both"/>
        <w:rPr>
          <w:rFonts w:asciiTheme="majorHAnsi" w:hAnsiTheme="majorHAnsi"/>
          <w:sz w:val="16"/>
          <w:szCs w:val="16"/>
        </w:rPr>
      </w:pPr>
      <w:r w:rsidRPr="000847F4">
        <w:rPr>
          <w:rStyle w:val="FootnoteReference"/>
          <w:rFonts w:asciiTheme="majorHAnsi" w:hAnsiTheme="majorHAnsi"/>
          <w:sz w:val="16"/>
          <w:szCs w:val="16"/>
        </w:rPr>
        <w:footnoteRef/>
      </w:r>
      <w:r w:rsidRPr="000847F4">
        <w:rPr>
          <w:rFonts w:asciiTheme="majorHAnsi" w:hAnsiTheme="majorHAnsi"/>
          <w:sz w:val="16"/>
          <w:szCs w:val="16"/>
        </w:rPr>
        <w:t xml:space="preserve"> Hereinafter "the American Convention" or "the Convention".</w:t>
      </w:r>
    </w:p>
  </w:footnote>
  <w:footnote w:id="3">
    <w:p w14:paraId="6F51BDAF" w14:textId="5F4755E7" w:rsidR="00653EA6" w:rsidRPr="000847F4" w:rsidRDefault="00653EA6" w:rsidP="00210F4B">
      <w:pPr>
        <w:pStyle w:val="FootnoteText"/>
        <w:ind w:firstLine="720"/>
        <w:jc w:val="both"/>
        <w:rPr>
          <w:rFonts w:ascii="Cambria" w:hAnsi="Cambria"/>
          <w:sz w:val="16"/>
          <w:szCs w:val="16"/>
        </w:rPr>
      </w:pPr>
      <w:r w:rsidRPr="000847F4">
        <w:rPr>
          <w:rStyle w:val="FootnoteReference"/>
          <w:rFonts w:ascii="Cambria" w:hAnsi="Cambria"/>
          <w:sz w:val="16"/>
          <w:szCs w:val="16"/>
        </w:rPr>
        <w:footnoteRef/>
      </w:r>
      <w:r w:rsidRPr="000847F4">
        <w:rPr>
          <w:rFonts w:ascii="Cambria" w:hAnsi="Cambria"/>
          <w:sz w:val="16"/>
          <w:szCs w:val="16"/>
        </w:rPr>
        <w:t xml:space="preserve"> The observations </w:t>
      </w:r>
      <w:r w:rsidR="00321AFD" w:rsidRPr="000847F4">
        <w:rPr>
          <w:rFonts w:ascii="Cambria" w:hAnsi="Cambria"/>
          <w:sz w:val="16"/>
          <w:szCs w:val="16"/>
        </w:rPr>
        <w:t>submitted</w:t>
      </w:r>
      <w:r w:rsidRPr="000847F4">
        <w:rPr>
          <w:rFonts w:ascii="Cambria" w:hAnsi="Cambria"/>
          <w:sz w:val="16"/>
          <w:szCs w:val="16"/>
        </w:rPr>
        <w:t xml:space="preserve"> by each party were duly transmitted to the opposing party.</w:t>
      </w:r>
    </w:p>
  </w:footnote>
  <w:footnote w:id="4">
    <w:p w14:paraId="42E0E6F1" w14:textId="54DFEA0F" w:rsidR="00FE2B99" w:rsidRPr="000847F4" w:rsidRDefault="00FE2B99">
      <w:pPr>
        <w:pStyle w:val="FootnoteText"/>
        <w:ind w:firstLine="709"/>
        <w:jc w:val="both"/>
      </w:pPr>
      <w:r w:rsidRPr="000847F4">
        <w:rPr>
          <w:rStyle w:val="FootnoteReference"/>
          <w:rFonts w:asciiTheme="majorHAnsi" w:hAnsiTheme="majorHAnsi"/>
          <w:sz w:val="16"/>
          <w:szCs w:val="16"/>
        </w:rPr>
        <w:footnoteRef/>
      </w:r>
      <w:r w:rsidRPr="000847F4">
        <w:t xml:space="preserve"> </w:t>
      </w:r>
      <w:r w:rsidR="00A2022F" w:rsidRPr="00A2022F">
        <w:rPr>
          <w:rFonts w:asciiTheme="majorHAnsi" w:hAnsiTheme="majorHAnsi"/>
          <w:sz w:val="16"/>
          <w:szCs w:val="16"/>
        </w:rPr>
        <w:t>The State requested an extension on February 7, 2018 to issue its response, on the grounds of the complexity of the petition</w:t>
      </w:r>
      <w:r w:rsidRPr="000847F4">
        <w:rPr>
          <w:rFonts w:asciiTheme="majorHAnsi" w:hAnsiTheme="majorHAnsi"/>
          <w:sz w:val="16"/>
          <w:szCs w:val="16"/>
        </w:rPr>
        <w:t xml:space="preserve">. </w:t>
      </w:r>
    </w:p>
  </w:footnote>
  <w:footnote w:id="5">
    <w:p w14:paraId="6C1E869C" w14:textId="2AD45342" w:rsidR="00FE2B99" w:rsidRPr="000847F4" w:rsidRDefault="00FE2B99">
      <w:pPr>
        <w:pStyle w:val="FootnoteText"/>
        <w:ind w:firstLine="709"/>
        <w:jc w:val="both"/>
        <w:rPr>
          <w:rFonts w:asciiTheme="majorHAnsi" w:hAnsiTheme="majorHAnsi"/>
          <w:sz w:val="16"/>
          <w:szCs w:val="16"/>
        </w:rPr>
      </w:pPr>
      <w:r w:rsidRPr="000847F4">
        <w:rPr>
          <w:rStyle w:val="FootnoteReference"/>
          <w:rFonts w:asciiTheme="majorHAnsi" w:hAnsiTheme="majorHAnsi"/>
          <w:sz w:val="16"/>
          <w:szCs w:val="16"/>
        </w:rPr>
        <w:footnoteRef/>
      </w:r>
      <w:r w:rsidRPr="000847F4">
        <w:rPr>
          <w:rFonts w:asciiTheme="majorHAnsi" w:hAnsiTheme="majorHAnsi"/>
          <w:sz w:val="16"/>
          <w:szCs w:val="16"/>
        </w:rPr>
        <w:t xml:space="preserve"> </w:t>
      </w:r>
      <w:r w:rsidR="00A2022F" w:rsidRPr="00A2022F">
        <w:rPr>
          <w:rFonts w:asciiTheme="majorHAnsi" w:hAnsiTheme="majorHAnsi"/>
          <w:sz w:val="16"/>
          <w:szCs w:val="16"/>
        </w:rPr>
        <w:t>In a response of June 23, 2021, the petitioners stated that they had not received any communication from the IACHR which attached the State's response, and confirmed their interest in continuing with the processing of the petition</w:t>
      </w:r>
      <w:r w:rsidRPr="000847F4">
        <w:rPr>
          <w:rFonts w:asciiTheme="majorHAnsi" w:hAnsiTheme="majorHAnsi"/>
          <w:sz w:val="16"/>
          <w:szCs w:val="16"/>
        </w:rPr>
        <w:t xml:space="preserve">. </w:t>
      </w:r>
    </w:p>
  </w:footnote>
  <w:footnote w:id="6">
    <w:p w14:paraId="755A82EA" w14:textId="147622FD" w:rsidR="000847F4" w:rsidRPr="000847F4" w:rsidRDefault="000847F4" w:rsidP="000847F4">
      <w:pPr>
        <w:pStyle w:val="FootnoteText"/>
        <w:ind w:firstLine="709"/>
        <w:jc w:val="both"/>
        <w:rPr>
          <w:rFonts w:ascii="Cambria" w:hAnsi="Cambria"/>
          <w:sz w:val="16"/>
          <w:szCs w:val="16"/>
        </w:rPr>
      </w:pPr>
      <w:r w:rsidRPr="000847F4">
        <w:rPr>
          <w:rStyle w:val="FootnoteReference"/>
          <w:rFonts w:ascii="Cambria" w:hAnsi="Cambria"/>
          <w:sz w:val="16"/>
          <w:szCs w:val="16"/>
        </w:rPr>
        <w:footnoteRef/>
      </w:r>
      <w:r w:rsidRPr="000847F4">
        <w:rPr>
          <w:rFonts w:ascii="Cambria" w:hAnsi="Cambria"/>
          <w:sz w:val="16"/>
          <w:szCs w:val="16"/>
        </w:rPr>
        <w:t xml:space="preserve"> </w:t>
      </w:r>
      <w:r w:rsidR="00A2022F" w:rsidRPr="00A2022F">
        <w:rPr>
          <w:rFonts w:ascii="Cambria" w:hAnsi="Cambria"/>
          <w:sz w:val="16"/>
          <w:szCs w:val="16"/>
        </w:rPr>
        <w:t>With respect to the facts presented herein, the IACHR previously noted that "</w:t>
      </w:r>
      <w:r w:rsidR="00A2022F" w:rsidRPr="00A2022F">
        <w:rPr>
          <w:rFonts w:ascii="Cambria" w:hAnsi="Cambria"/>
          <w:i/>
          <w:iCs/>
          <w:sz w:val="16"/>
          <w:szCs w:val="16"/>
        </w:rPr>
        <w:t>the de facto government took power in Honduras on June 28, 2009 and announced a state of emergency and a curfew</w:t>
      </w:r>
      <w:r w:rsidR="00A2022F" w:rsidRPr="00A2022F">
        <w:rPr>
          <w:rFonts w:ascii="Cambria" w:hAnsi="Cambria"/>
          <w:sz w:val="16"/>
          <w:szCs w:val="16"/>
        </w:rPr>
        <w:t>"; according to the IACHR report, Honduras: Human Rights and Coup d'Etat. OEA/Ser.L/V/II. Doc. 55, December 30, 2009, paras. 88-91; and IACHR, Merits Report No. 103/13. OEA/Ser.L/V/II.149, Case 12.816, Adan Guillermo López Lone and others, Honduras. Nov. 5, 2013, para. 28</w:t>
      </w:r>
      <w:r w:rsidRPr="000847F4">
        <w:rPr>
          <w:rFonts w:ascii="Cambria" w:hAnsi="Cambria"/>
          <w:sz w:val="16"/>
          <w:szCs w:val="16"/>
        </w:rPr>
        <w:t xml:space="preserve">. </w:t>
      </w:r>
    </w:p>
  </w:footnote>
  <w:footnote w:id="7">
    <w:p w14:paraId="2C5D32DC" w14:textId="1230C806" w:rsidR="000847F4" w:rsidRPr="000847F4" w:rsidRDefault="000847F4" w:rsidP="000847F4">
      <w:pPr>
        <w:pStyle w:val="FootnoteText"/>
        <w:ind w:firstLine="709"/>
        <w:jc w:val="both"/>
      </w:pPr>
      <w:r w:rsidRPr="000847F4">
        <w:rPr>
          <w:rStyle w:val="FootnoteReference"/>
          <w:rFonts w:ascii="Cambria" w:hAnsi="Cambria"/>
          <w:sz w:val="16"/>
          <w:szCs w:val="16"/>
        </w:rPr>
        <w:footnoteRef/>
      </w:r>
      <w:r w:rsidRPr="000847F4">
        <w:rPr>
          <w:rFonts w:ascii="Cambria" w:hAnsi="Cambria"/>
          <w:sz w:val="16"/>
          <w:szCs w:val="16"/>
        </w:rPr>
        <w:t xml:space="preserve"> </w:t>
      </w:r>
      <w:r w:rsidR="00A2022F" w:rsidRPr="00A2022F">
        <w:rPr>
          <w:rFonts w:ascii="Cambria" w:hAnsi="Cambria"/>
          <w:sz w:val="16"/>
          <w:szCs w:val="16"/>
        </w:rPr>
        <w:t>In particular, they hold that the National Commissioner for Human Rights stated that only rubber bullets were fired</w:t>
      </w:r>
      <w:r w:rsidRPr="000847F4">
        <w:rPr>
          <w:rFonts w:ascii="Cambria" w:hAnsi="Cambria"/>
          <w:sz w:val="16"/>
          <w:szCs w:val="16"/>
        </w:rPr>
        <w:t>.</w:t>
      </w:r>
      <w:r w:rsidRPr="000847F4">
        <w:t xml:space="preserve"> </w:t>
      </w:r>
    </w:p>
  </w:footnote>
  <w:footnote w:id="8">
    <w:p w14:paraId="0E74F279" w14:textId="0B88EBE6" w:rsidR="000847F4" w:rsidRPr="000847F4" w:rsidRDefault="000847F4" w:rsidP="000847F4">
      <w:pPr>
        <w:pStyle w:val="FootnoteText"/>
        <w:ind w:firstLine="709"/>
        <w:jc w:val="both"/>
        <w:rPr>
          <w:rFonts w:ascii="Cambria" w:hAnsi="Cambria"/>
          <w:sz w:val="16"/>
          <w:szCs w:val="16"/>
        </w:rPr>
      </w:pPr>
      <w:r w:rsidRPr="000847F4">
        <w:rPr>
          <w:rStyle w:val="FootnoteReference"/>
          <w:rFonts w:ascii="Cambria" w:hAnsi="Cambria"/>
          <w:sz w:val="16"/>
          <w:szCs w:val="16"/>
        </w:rPr>
        <w:footnoteRef/>
      </w:r>
      <w:r w:rsidRPr="000847F4">
        <w:rPr>
          <w:rFonts w:ascii="Cambria" w:hAnsi="Cambria"/>
          <w:sz w:val="16"/>
          <w:szCs w:val="16"/>
        </w:rPr>
        <w:t xml:space="preserve"> </w:t>
      </w:r>
      <w:r w:rsidR="00A2022F" w:rsidRPr="00A2022F">
        <w:rPr>
          <w:rFonts w:ascii="Cambria" w:hAnsi="Cambria"/>
          <w:sz w:val="16"/>
          <w:szCs w:val="16"/>
        </w:rPr>
        <w:t>Refer to Article 117.1 of the Honduran Criminal Code, regarding homicide with malice aforethought</w:t>
      </w:r>
      <w:r w:rsidRPr="000847F4">
        <w:rPr>
          <w:rFonts w:ascii="Cambria" w:hAnsi="Cambria"/>
          <w:sz w:val="16"/>
          <w:szCs w:val="16"/>
        </w:rPr>
        <w:t xml:space="preserve">. </w:t>
      </w:r>
    </w:p>
  </w:footnote>
  <w:footnote w:id="9">
    <w:p w14:paraId="3786C98D" w14:textId="549DED1B" w:rsidR="000847F4" w:rsidRPr="000847F4" w:rsidRDefault="000847F4" w:rsidP="000847F4">
      <w:pPr>
        <w:pStyle w:val="FootnoteText"/>
        <w:ind w:firstLine="709"/>
        <w:jc w:val="both"/>
        <w:rPr>
          <w:rFonts w:asciiTheme="minorHAnsi" w:hAnsiTheme="minorHAnsi" w:cstheme="minorHAnsi"/>
          <w:sz w:val="16"/>
          <w:szCs w:val="16"/>
        </w:rPr>
      </w:pPr>
      <w:r w:rsidRPr="000847F4">
        <w:rPr>
          <w:rStyle w:val="FootnoteReference"/>
          <w:rFonts w:ascii="Cambria" w:hAnsi="Cambria" w:cstheme="minorHAnsi"/>
          <w:sz w:val="16"/>
          <w:szCs w:val="16"/>
        </w:rPr>
        <w:footnoteRef/>
      </w:r>
      <w:r w:rsidRPr="000847F4">
        <w:rPr>
          <w:rFonts w:ascii="Cambria" w:hAnsi="Cambria" w:cstheme="minorHAnsi"/>
          <w:sz w:val="16"/>
          <w:szCs w:val="16"/>
        </w:rPr>
        <w:t xml:space="preserve"> </w:t>
      </w:r>
      <w:r w:rsidR="00A2022F" w:rsidRPr="00A2022F">
        <w:rPr>
          <w:rFonts w:ascii="Cambria" w:hAnsi="Cambria" w:cstheme="minorHAnsi"/>
          <w:sz w:val="16"/>
          <w:szCs w:val="16"/>
        </w:rPr>
        <w:t>The information on the preliminary qualification of the crime was obtained from the documentation submitted by the petitioner</w:t>
      </w:r>
      <w:r w:rsidRPr="000847F4">
        <w:rPr>
          <w:rFonts w:ascii="Cambria" w:hAnsi="Cambria" w:cstheme="minorHAnsi"/>
          <w:sz w:val="16"/>
          <w:szCs w:val="16"/>
        </w:rPr>
        <w:t>.</w:t>
      </w:r>
    </w:p>
  </w:footnote>
  <w:footnote w:id="10">
    <w:p w14:paraId="48EEE589" w14:textId="6DF82B0C" w:rsidR="000847F4" w:rsidRPr="000847F4" w:rsidRDefault="000847F4" w:rsidP="000847F4">
      <w:pPr>
        <w:pStyle w:val="FootnoteText"/>
        <w:ind w:firstLine="709"/>
        <w:jc w:val="both"/>
        <w:rPr>
          <w:rFonts w:asciiTheme="majorHAnsi" w:hAnsiTheme="majorHAnsi"/>
          <w:sz w:val="16"/>
          <w:szCs w:val="16"/>
        </w:rPr>
      </w:pPr>
      <w:r w:rsidRPr="000847F4">
        <w:rPr>
          <w:rStyle w:val="FootnoteReference"/>
          <w:rFonts w:asciiTheme="majorHAnsi" w:hAnsiTheme="majorHAnsi"/>
          <w:sz w:val="16"/>
          <w:szCs w:val="16"/>
        </w:rPr>
        <w:footnoteRef/>
      </w:r>
      <w:r w:rsidRPr="000847F4">
        <w:rPr>
          <w:rFonts w:asciiTheme="majorHAnsi" w:hAnsiTheme="majorHAnsi"/>
          <w:sz w:val="16"/>
          <w:szCs w:val="16"/>
        </w:rPr>
        <w:t xml:space="preserve"> </w:t>
      </w:r>
      <w:r w:rsidR="00CB7AFD" w:rsidRPr="00CB7AFD">
        <w:rPr>
          <w:rFonts w:asciiTheme="majorHAnsi" w:hAnsiTheme="majorHAnsi"/>
          <w:sz w:val="16"/>
          <w:szCs w:val="16"/>
        </w:rPr>
        <w:t xml:space="preserve">In this document, the petitioners expressed </w:t>
      </w:r>
      <w:r w:rsidR="00CB7AFD">
        <w:rPr>
          <w:rFonts w:asciiTheme="majorHAnsi" w:hAnsiTheme="majorHAnsi"/>
          <w:sz w:val="16"/>
          <w:szCs w:val="16"/>
        </w:rPr>
        <w:t>before</w:t>
      </w:r>
      <w:r w:rsidR="00CB7AFD" w:rsidRPr="00CB7AFD">
        <w:rPr>
          <w:rFonts w:asciiTheme="majorHAnsi" w:hAnsiTheme="majorHAnsi"/>
          <w:sz w:val="16"/>
          <w:szCs w:val="16"/>
        </w:rPr>
        <w:t xml:space="preserve"> the Attorney General of the Republic that the prosecutor in charge of the case </w:t>
      </w:r>
      <w:r w:rsidRPr="000847F4">
        <w:rPr>
          <w:rFonts w:asciiTheme="majorHAnsi" w:hAnsiTheme="majorHAnsi"/>
          <w:i/>
          <w:iCs/>
          <w:sz w:val="16"/>
          <w:szCs w:val="16"/>
        </w:rPr>
        <w:t>“</w:t>
      </w:r>
      <w:r w:rsidR="00CB7AFD" w:rsidRPr="00CB7AFD">
        <w:rPr>
          <w:rFonts w:asciiTheme="majorHAnsi" w:hAnsiTheme="majorHAnsi"/>
          <w:i/>
          <w:iCs/>
          <w:sz w:val="16"/>
          <w:szCs w:val="16"/>
        </w:rPr>
        <w:t>has made clear his personal apathy for the work we do, [...] and has said publicly that COFADE hinders his work, and has unjustifiably delayed the complaints we present to him, leaving the victims in a clear defenseless situation</w:t>
      </w:r>
      <w:r w:rsidRPr="000847F4">
        <w:rPr>
          <w:rFonts w:asciiTheme="majorHAnsi" w:hAnsiTheme="majorHAnsi"/>
          <w:i/>
          <w:iCs/>
          <w:sz w:val="16"/>
          <w:szCs w:val="16"/>
        </w:rPr>
        <w:t>”.</w:t>
      </w:r>
      <w:r w:rsidRPr="000847F4">
        <w:rPr>
          <w:rFonts w:asciiTheme="majorHAnsi" w:hAnsiTheme="majorHAnsi"/>
          <w:sz w:val="16"/>
          <w:szCs w:val="16"/>
        </w:rPr>
        <w:t xml:space="preserve"> </w:t>
      </w:r>
    </w:p>
  </w:footnote>
  <w:footnote w:id="11">
    <w:p w14:paraId="0FE8A545" w14:textId="396C9D19" w:rsidR="000847F4" w:rsidRPr="000847F4" w:rsidRDefault="000847F4" w:rsidP="000847F4">
      <w:pPr>
        <w:pStyle w:val="FootnoteText"/>
        <w:ind w:firstLine="709"/>
        <w:jc w:val="both"/>
        <w:rPr>
          <w:rFonts w:ascii="Cambria" w:hAnsi="Cambria"/>
          <w:sz w:val="16"/>
          <w:szCs w:val="16"/>
        </w:rPr>
      </w:pPr>
      <w:r w:rsidRPr="000847F4">
        <w:rPr>
          <w:rStyle w:val="FootnoteReference"/>
          <w:rFonts w:ascii="Cambria" w:hAnsi="Cambria"/>
          <w:sz w:val="16"/>
          <w:szCs w:val="16"/>
        </w:rPr>
        <w:footnoteRef/>
      </w:r>
      <w:r w:rsidRPr="000847F4">
        <w:rPr>
          <w:rFonts w:ascii="Cambria" w:hAnsi="Cambria"/>
          <w:sz w:val="16"/>
          <w:szCs w:val="16"/>
        </w:rPr>
        <w:t xml:space="preserve"> </w:t>
      </w:r>
      <w:r w:rsidR="00CB7AFD" w:rsidRPr="00CB7AFD">
        <w:rPr>
          <w:rFonts w:ascii="Cambria" w:hAnsi="Cambria"/>
          <w:sz w:val="16"/>
          <w:szCs w:val="16"/>
        </w:rPr>
        <w:t>The investigative steps include: i) taking witness and victim statements; ii) ocular inspection report; iii) two ballistic examinations; iv) autopsy report; v) meeting on April 22, 2019 with authorities of the Department of Crimes against Life of the Police Investigation Directorate in order to continue with the investigations; and vi) meeting on September 23, 2019 of the Special Prosecutor for Human Rights with authorities of the Task Force Unit in order to move forward with the investigations</w:t>
      </w:r>
      <w:r w:rsidRPr="000847F4">
        <w:rPr>
          <w:rFonts w:ascii="Cambria" w:hAnsi="Cambria"/>
          <w:sz w:val="16"/>
          <w:szCs w:val="16"/>
        </w:rPr>
        <w:t xml:space="preserve">. </w:t>
      </w:r>
    </w:p>
  </w:footnote>
  <w:footnote w:id="12">
    <w:p w14:paraId="6B18FC24" w14:textId="1699F761" w:rsidR="000847F4" w:rsidRPr="000847F4" w:rsidRDefault="000847F4" w:rsidP="000847F4">
      <w:pPr>
        <w:pStyle w:val="FootnoteText"/>
        <w:ind w:firstLine="709"/>
        <w:jc w:val="both"/>
        <w:rPr>
          <w:rFonts w:ascii="Cambria" w:hAnsi="Cambria"/>
          <w:sz w:val="16"/>
          <w:szCs w:val="16"/>
        </w:rPr>
      </w:pPr>
      <w:r w:rsidRPr="000847F4">
        <w:rPr>
          <w:rStyle w:val="FootnoteReference"/>
          <w:rFonts w:ascii="Cambria" w:hAnsi="Cambria"/>
          <w:sz w:val="16"/>
          <w:szCs w:val="16"/>
        </w:rPr>
        <w:footnoteRef/>
      </w:r>
      <w:r w:rsidRPr="000847F4">
        <w:rPr>
          <w:rFonts w:ascii="Cambria" w:hAnsi="Cambria"/>
          <w:sz w:val="16"/>
          <w:szCs w:val="16"/>
        </w:rPr>
        <w:t xml:space="preserve"> </w:t>
      </w:r>
      <w:r w:rsidR="000926A8" w:rsidRPr="000926A8">
        <w:rPr>
          <w:rFonts w:ascii="Cambria" w:hAnsi="Cambria"/>
          <w:sz w:val="16"/>
          <w:szCs w:val="16"/>
        </w:rPr>
        <w:t>According to the petitioners, the case against Mr. Murillo Sánchez began in 2004, but the facts are not described with precision</w:t>
      </w:r>
      <w:r w:rsidRPr="000847F4">
        <w:rPr>
          <w:rFonts w:ascii="Cambria" w:hAnsi="Cambria"/>
          <w:sz w:val="16"/>
          <w:szCs w:val="16"/>
        </w:rPr>
        <w:t>.</w:t>
      </w:r>
    </w:p>
  </w:footnote>
  <w:footnote w:id="13">
    <w:p w14:paraId="2ABF0DB9" w14:textId="480A2B6A" w:rsidR="000847F4" w:rsidRPr="000847F4" w:rsidRDefault="000847F4" w:rsidP="000847F4">
      <w:pPr>
        <w:pStyle w:val="FootnoteText"/>
        <w:ind w:firstLine="709"/>
        <w:jc w:val="both"/>
        <w:rPr>
          <w:rFonts w:ascii="Cambria" w:hAnsi="Cambria"/>
          <w:sz w:val="16"/>
          <w:szCs w:val="16"/>
        </w:rPr>
      </w:pPr>
      <w:r w:rsidRPr="000847F4">
        <w:rPr>
          <w:rStyle w:val="FootnoteReference"/>
          <w:rFonts w:ascii="Cambria" w:hAnsi="Cambria"/>
          <w:sz w:val="16"/>
          <w:szCs w:val="16"/>
        </w:rPr>
        <w:footnoteRef/>
      </w:r>
      <w:r w:rsidRPr="000847F4">
        <w:rPr>
          <w:rFonts w:ascii="Cambria" w:hAnsi="Cambria"/>
          <w:sz w:val="16"/>
          <w:szCs w:val="16"/>
        </w:rPr>
        <w:t xml:space="preserve"> </w:t>
      </w:r>
      <w:r w:rsidR="001F2941" w:rsidRPr="001F2941">
        <w:rPr>
          <w:rFonts w:ascii="Cambria" w:hAnsi="Cambria"/>
          <w:sz w:val="16"/>
          <w:szCs w:val="16"/>
        </w:rPr>
        <w:t>According to the IACHR report, "Honduras: Human Rights and Coup d'Etat" OEA/Ser.L/V/II. Doc. 55. December 30, 2009, para. 239</w:t>
      </w:r>
      <w:r w:rsidRPr="000847F4">
        <w:rPr>
          <w:rFonts w:ascii="Cambria" w:hAnsi="Cambria"/>
          <w:sz w:val="16"/>
          <w:szCs w:val="16"/>
        </w:rPr>
        <w:t xml:space="preserve">: </w:t>
      </w:r>
      <w:r w:rsidRPr="000847F4">
        <w:rPr>
          <w:rFonts w:ascii="Cambria" w:hAnsi="Cambria"/>
          <w:i/>
          <w:iCs/>
          <w:sz w:val="16"/>
          <w:szCs w:val="16"/>
        </w:rPr>
        <w:t>“</w:t>
      </w:r>
      <w:r w:rsidR="001F2941" w:rsidRPr="001F2941">
        <w:rPr>
          <w:rFonts w:ascii="Cambria" w:hAnsi="Cambria"/>
          <w:i/>
          <w:iCs/>
          <w:sz w:val="16"/>
          <w:szCs w:val="16"/>
        </w:rPr>
        <w:t xml:space="preserve">On July 5, Isis Obed Murillo Mencías, 19 years old, died as a result of a gunshot wound to the head in the vicinity of the Toncontín airport in Tegucigalpa. This protest was repressed by the Armed Forces, who placed snipers in nearby buildings". </w:t>
      </w:r>
      <w:r w:rsidR="001F2941" w:rsidRPr="001F2941">
        <w:rPr>
          <w:rFonts w:ascii="Cambria" w:hAnsi="Cambria"/>
          <w:sz w:val="16"/>
          <w:szCs w:val="16"/>
        </w:rPr>
        <w:t>And in paragraph 92</w:t>
      </w:r>
      <w:r w:rsidR="001F2941" w:rsidRPr="001F2941">
        <w:rPr>
          <w:rFonts w:ascii="Cambria" w:hAnsi="Cambria"/>
          <w:i/>
          <w:iCs/>
          <w:sz w:val="16"/>
          <w:szCs w:val="16"/>
        </w:rPr>
        <w:t xml:space="preserve">: "Likewise, sniper shots were fired by the Armed Forces in nearby buildings. </w:t>
      </w:r>
      <w:r w:rsidR="001F2941">
        <w:rPr>
          <w:rFonts w:ascii="Cambria" w:hAnsi="Cambria"/>
          <w:i/>
          <w:iCs/>
          <w:sz w:val="16"/>
          <w:szCs w:val="16"/>
        </w:rPr>
        <w:t>T</w:t>
      </w:r>
      <w:r w:rsidR="001F2941" w:rsidRPr="001F2941">
        <w:rPr>
          <w:rFonts w:ascii="Cambria" w:hAnsi="Cambria"/>
          <w:i/>
          <w:iCs/>
          <w:sz w:val="16"/>
          <w:szCs w:val="16"/>
        </w:rPr>
        <w:t>he death of young Isis Obed Murillo occurred</w:t>
      </w:r>
      <w:r w:rsidR="001F2941">
        <w:rPr>
          <w:rFonts w:ascii="Cambria" w:hAnsi="Cambria"/>
          <w:i/>
          <w:iCs/>
          <w:sz w:val="16"/>
          <w:szCs w:val="16"/>
        </w:rPr>
        <w:t xml:space="preserve"> a</w:t>
      </w:r>
      <w:r w:rsidR="001F2941" w:rsidRPr="001F2941">
        <w:rPr>
          <w:rFonts w:ascii="Cambria" w:hAnsi="Cambria"/>
          <w:i/>
          <w:iCs/>
          <w:sz w:val="16"/>
          <w:szCs w:val="16"/>
        </w:rPr>
        <w:t xml:space="preserve">s a consequence of this </w:t>
      </w:r>
      <w:r w:rsidRPr="000847F4">
        <w:rPr>
          <w:rFonts w:ascii="Cambria" w:hAnsi="Cambria"/>
          <w:i/>
          <w:iCs/>
          <w:sz w:val="16"/>
          <w:szCs w:val="16"/>
        </w:rPr>
        <w:t>".</w:t>
      </w:r>
    </w:p>
  </w:footnote>
  <w:footnote w:id="14">
    <w:p w14:paraId="7E7E308B" w14:textId="7F069739" w:rsidR="000847F4" w:rsidRPr="000847F4" w:rsidRDefault="000847F4" w:rsidP="000847F4">
      <w:pPr>
        <w:pStyle w:val="FootnoteText"/>
        <w:ind w:firstLine="709"/>
        <w:jc w:val="both"/>
        <w:rPr>
          <w:rFonts w:ascii="Cambria" w:hAnsi="Cambria"/>
          <w:sz w:val="16"/>
          <w:szCs w:val="16"/>
        </w:rPr>
      </w:pPr>
      <w:r w:rsidRPr="000847F4">
        <w:rPr>
          <w:rStyle w:val="FootnoteReference"/>
          <w:rFonts w:ascii="Cambria" w:hAnsi="Cambria"/>
          <w:sz w:val="16"/>
          <w:szCs w:val="16"/>
        </w:rPr>
        <w:footnoteRef/>
      </w:r>
      <w:r w:rsidRPr="000847F4">
        <w:rPr>
          <w:rFonts w:ascii="Cambria" w:hAnsi="Cambria"/>
          <w:sz w:val="16"/>
          <w:szCs w:val="16"/>
        </w:rPr>
        <w:t xml:space="preserve"> </w:t>
      </w:r>
      <w:r w:rsidR="001F2941" w:rsidRPr="001F2941">
        <w:rPr>
          <w:rFonts w:ascii="Cambria" w:hAnsi="Cambria"/>
          <w:sz w:val="16"/>
          <w:szCs w:val="16"/>
        </w:rPr>
        <w:t>IACHR, Report No. 71/12. Admissibility, Petition 1073-05, Inhabitants of the "Barão de Mauá" housing complex, Brazil, July 7, 2012, para. 22</w:t>
      </w:r>
      <w:r w:rsidRPr="000847F4">
        <w:rPr>
          <w:rFonts w:ascii="Cambria" w:hAnsi="Cambria"/>
          <w:sz w:val="16"/>
          <w:szCs w:val="16"/>
        </w:rPr>
        <w:t>.</w:t>
      </w:r>
    </w:p>
  </w:footnote>
  <w:footnote w:id="15">
    <w:p w14:paraId="4A19497E" w14:textId="6FAAC84E" w:rsidR="000847F4" w:rsidRPr="000847F4" w:rsidRDefault="000847F4" w:rsidP="000847F4">
      <w:pPr>
        <w:pStyle w:val="FootnoteText"/>
        <w:ind w:firstLine="709"/>
        <w:jc w:val="both"/>
        <w:rPr>
          <w:rFonts w:ascii="Cambria" w:hAnsi="Cambria"/>
          <w:sz w:val="16"/>
          <w:szCs w:val="16"/>
        </w:rPr>
      </w:pPr>
      <w:r w:rsidRPr="000847F4">
        <w:rPr>
          <w:rStyle w:val="FootnoteReference"/>
          <w:rFonts w:ascii="Cambria" w:hAnsi="Cambria"/>
          <w:sz w:val="16"/>
          <w:szCs w:val="16"/>
        </w:rPr>
        <w:footnoteRef/>
      </w:r>
      <w:r w:rsidRPr="000847F4">
        <w:rPr>
          <w:rFonts w:ascii="Cambria" w:hAnsi="Cambria"/>
          <w:sz w:val="16"/>
          <w:szCs w:val="16"/>
        </w:rPr>
        <w:t xml:space="preserve"> </w:t>
      </w:r>
      <w:r w:rsidR="001F2941" w:rsidRPr="001F2941">
        <w:rPr>
          <w:rFonts w:ascii="Cambria" w:hAnsi="Cambria"/>
          <w:sz w:val="16"/>
          <w:szCs w:val="16"/>
        </w:rPr>
        <w:t>According to the IACHR report, "Honduras: Human Rights and Coup d'Etat" OEA/Ser.L/V/II. Doc. 55. December 30, 2009, para. 240</w:t>
      </w:r>
      <w:r w:rsidRPr="000847F4">
        <w:rPr>
          <w:rFonts w:ascii="Cambria" w:hAnsi="Cambria"/>
          <w:sz w:val="16"/>
          <w:szCs w:val="16"/>
        </w:rPr>
        <w:t>.</w:t>
      </w:r>
    </w:p>
  </w:footnote>
  <w:footnote w:id="16">
    <w:p w14:paraId="4725507F" w14:textId="15603EB0" w:rsidR="000847F4" w:rsidRPr="000847F4" w:rsidRDefault="000847F4" w:rsidP="000847F4">
      <w:pPr>
        <w:pStyle w:val="FootnoteText"/>
        <w:ind w:firstLine="709"/>
        <w:jc w:val="both"/>
        <w:rPr>
          <w:rFonts w:ascii="Cambria" w:hAnsi="Cambria"/>
          <w:sz w:val="16"/>
          <w:szCs w:val="16"/>
        </w:rPr>
      </w:pPr>
      <w:r w:rsidRPr="000847F4">
        <w:rPr>
          <w:rStyle w:val="FootnoteReference"/>
          <w:rFonts w:ascii="Cambria" w:hAnsi="Cambria"/>
          <w:sz w:val="16"/>
          <w:szCs w:val="16"/>
        </w:rPr>
        <w:footnoteRef/>
      </w:r>
      <w:r w:rsidRPr="000847F4">
        <w:rPr>
          <w:rFonts w:ascii="Cambria" w:hAnsi="Cambria"/>
          <w:sz w:val="16"/>
          <w:szCs w:val="16"/>
        </w:rPr>
        <w:t xml:space="preserve"> </w:t>
      </w:r>
      <w:r w:rsidR="003122B6" w:rsidRPr="003122B6">
        <w:rPr>
          <w:rFonts w:ascii="Cambria" w:hAnsi="Cambria"/>
          <w:sz w:val="16"/>
          <w:szCs w:val="16"/>
        </w:rPr>
        <w:t>IACHR. Report No. 34/15. Petition 191-07 and others. Admissibility. Álvaro Enrique Rodríguez Buitrago and others. Colombia. July 22, 2015, para. 245. And IACHR. Report No. 435/21. Petition 1-09. Admissibility. Neighbors of the Communities of the Maya Achi People in the municipality of El Rabinal. Guatemala. December 31, 2021, para. 20</w:t>
      </w:r>
      <w:r w:rsidRPr="000847F4">
        <w:rPr>
          <w:rFonts w:ascii="Cambria" w:hAnsi="Cambria"/>
          <w:sz w:val="16"/>
          <w:szCs w:val="16"/>
        </w:rPr>
        <w:t>.</w:t>
      </w:r>
    </w:p>
  </w:footnote>
  <w:footnote w:id="17">
    <w:p w14:paraId="0DCD1699" w14:textId="26D82BEA" w:rsidR="000847F4" w:rsidRPr="000847F4" w:rsidRDefault="000847F4" w:rsidP="000847F4">
      <w:pPr>
        <w:pStyle w:val="FootnoteText"/>
        <w:ind w:firstLine="709"/>
        <w:jc w:val="both"/>
        <w:rPr>
          <w:rFonts w:ascii="Cambria" w:hAnsi="Cambria"/>
          <w:sz w:val="16"/>
          <w:szCs w:val="16"/>
        </w:rPr>
      </w:pPr>
      <w:r w:rsidRPr="000847F4">
        <w:rPr>
          <w:rStyle w:val="FootnoteReference"/>
          <w:rFonts w:ascii="Cambria" w:hAnsi="Cambria"/>
          <w:sz w:val="16"/>
          <w:szCs w:val="16"/>
        </w:rPr>
        <w:footnoteRef/>
      </w:r>
      <w:r w:rsidRPr="000847F4">
        <w:rPr>
          <w:rFonts w:ascii="Cambria" w:hAnsi="Cambria"/>
          <w:sz w:val="16"/>
          <w:szCs w:val="16"/>
        </w:rPr>
        <w:t xml:space="preserve"> </w:t>
      </w:r>
      <w:r w:rsidR="003122B6">
        <w:rPr>
          <w:rFonts w:ascii="Cambria" w:hAnsi="Cambria"/>
          <w:sz w:val="16"/>
          <w:szCs w:val="16"/>
        </w:rPr>
        <w:t xml:space="preserve">According to the IACHR report, “Honduras: Human Rights and Coup d’Etat” OEA/Ser.L/V/II. Doc. 55. December 30, 2009, para. </w:t>
      </w:r>
      <w:r w:rsidRPr="000847F4">
        <w:rPr>
          <w:rFonts w:ascii="Cambria" w:hAnsi="Cambria"/>
          <w:sz w:val="16"/>
          <w:szCs w:val="16"/>
        </w:rPr>
        <w:t xml:space="preserve">77: </w:t>
      </w:r>
      <w:r w:rsidRPr="000847F4">
        <w:rPr>
          <w:rFonts w:ascii="Cambria" w:hAnsi="Cambria"/>
          <w:i/>
          <w:iCs/>
          <w:sz w:val="16"/>
          <w:szCs w:val="16"/>
        </w:rPr>
        <w:t>"</w:t>
      </w:r>
      <w:r w:rsidR="003122B6" w:rsidRPr="003122B6">
        <w:t xml:space="preserve"> </w:t>
      </w:r>
      <w:r w:rsidR="003122B6" w:rsidRPr="003122B6">
        <w:rPr>
          <w:rFonts w:ascii="Cambria" w:hAnsi="Cambria"/>
          <w:i/>
          <w:iCs/>
          <w:sz w:val="16"/>
          <w:szCs w:val="16"/>
        </w:rPr>
        <w:t>Honduran Army troops entered the presidential residence and deprived the President of the Republic, José Manuel Zelaya Rosales, of his freedom. The president was taken to an air base and transferred to Costa Rica in a military plane. On the same day, the National Congress ordered the removal of President Zelaya from office and appointed the President of the National Congress as President of the Republic until presidential elections were held in November 2009</w:t>
      </w:r>
      <w:r w:rsidRPr="000847F4">
        <w:rPr>
          <w:rFonts w:ascii="Cambria" w:hAnsi="Cambria"/>
          <w:i/>
          <w:iCs/>
          <w:sz w:val="16"/>
          <w:szCs w:val="16"/>
        </w:rPr>
        <w:t>”.</w:t>
      </w:r>
    </w:p>
  </w:footnote>
  <w:footnote w:id="18">
    <w:p w14:paraId="0FE8A32F" w14:textId="3ABC171B" w:rsidR="000847F4" w:rsidRPr="000847F4" w:rsidRDefault="000847F4" w:rsidP="000847F4">
      <w:pPr>
        <w:pStyle w:val="FootnoteText"/>
        <w:ind w:firstLine="709"/>
        <w:jc w:val="both"/>
        <w:rPr>
          <w:rFonts w:ascii="Cambria" w:hAnsi="Cambria"/>
          <w:sz w:val="16"/>
          <w:szCs w:val="16"/>
        </w:rPr>
      </w:pPr>
      <w:r w:rsidRPr="000847F4">
        <w:rPr>
          <w:rStyle w:val="FootnoteReference"/>
          <w:rFonts w:ascii="Cambria" w:hAnsi="Cambria"/>
          <w:sz w:val="16"/>
          <w:szCs w:val="16"/>
        </w:rPr>
        <w:footnoteRef/>
      </w:r>
      <w:r w:rsidRPr="000847F4">
        <w:rPr>
          <w:rFonts w:ascii="Cambria" w:hAnsi="Cambria"/>
          <w:sz w:val="16"/>
          <w:szCs w:val="16"/>
        </w:rPr>
        <w:t xml:space="preserve"> </w:t>
      </w:r>
      <w:r w:rsidR="003122B6">
        <w:rPr>
          <w:rFonts w:ascii="Cambria" w:hAnsi="Cambria"/>
          <w:sz w:val="16"/>
          <w:szCs w:val="16"/>
        </w:rPr>
        <w:t>According to the IACHR report, “Honduras: Human Rights and Coup d’Etat” OEA/Ser.L/V/II. Doc. 55. December 30, 2009, para.</w:t>
      </w:r>
      <w:r w:rsidRPr="000847F4">
        <w:rPr>
          <w:rFonts w:ascii="Cambria" w:hAnsi="Cambria"/>
          <w:sz w:val="16"/>
          <w:szCs w:val="16"/>
        </w:rPr>
        <w:t xml:space="preserve"> 92: “</w:t>
      </w:r>
      <w:r w:rsidR="003122B6" w:rsidRPr="003122B6">
        <w:rPr>
          <w:rFonts w:ascii="Cambria" w:hAnsi="Cambria"/>
          <w:i/>
          <w:iCs/>
          <w:sz w:val="16"/>
          <w:szCs w:val="16"/>
        </w:rPr>
        <w:t>One of the protests took place on July 5 at Toncontín Airport, where thousands of supporters of President Zelaya awaited his announced return to the country. As part of the protest, violent clashes took place between the marchers and the public forces</w:t>
      </w:r>
      <w:r w:rsidRPr="000847F4">
        <w:rPr>
          <w:rFonts w:ascii="Cambria" w:hAnsi="Cambria"/>
          <w:i/>
          <w:iCs/>
          <w:sz w:val="16"/>
          <w:szCs w:val="16"/>
        </w:rPr>
        <w:t>”.</w:t>
      </w:r>
    </w:p>
  </w:footnote>
  <w:footnote w:id="19">
    <w:p w14:paraId="6AC8ED01" w14:textId="2BF453C6" w:rsidR="000847F4" w:rsidRPr="000847F4" w:rsidRDefault="000847F4" w:rsidP="000847F4">
      <w:pPr>
        <w:pStyle w:val="FootnoteText"/>
        <w:ind w:firstLine="709"/>
        <w:jc w:val="both"/>
        <w:rPr>
          <w:rFonts w:asciiTheme="majorHAnsi" w:hAnsiTheme="majorHAnsi"/>
          <w:sz w:val="16"/>
          <w:szCs w:val="16"/>
        </w:rPr>
      </w:pPr>
      <w:r w:rsidRPr="000847F4">
        <w:rPr>
          <w:rFonts w:asciiTheme="majorHAnsi" w:hAnsiTheme="majorHAnsi"/>
          <w:sz w:val="16"/>
          <w:szCs w:val="16"/>
          <w:vertAlign w:val="superscript"/>
        </w:rPr>
        <w:footnoteRef/>
      </w:r>
      <w:r w:rsidRPr="000847F4">
        <w:rPr>
          <w:rFonts w:asciiTheme="majorHAnsi" w:hAnsiTheme="majorHAnsi"/>
          <w:sz w:val="16"/>
          <w:szCs w:val="16"/>
        </w:rPr>
        <w:t xml:space="preserve"> </w:t>
      </w:r>
      <w:r w:rsidR="003122B6" w:rsidRPr="003122B6">
        <w:rPr>
          <w:rFonts w:asciiTheme="majorHAnsi" w:hAnsiTheme="majorHAnsi"/>
          <w:sz w:val="16"/>
          <w:szCs w:val="16"/>
        </w:rPr>
        <w:t xml:space="preserve">IACHR. Report No. 143/18, Petition 940-08. Admissibility. </w:t>
      </w:r>
      <w:r w:rsidR="003122B6" w:rsidRPr="00CF73A0">
        <w:rPr>
          <w:rFonts w:asciiTheme="majorHAnsi" w:hAnsiTheme="majorHAnsi"/>
          <w:sz w:val="16"/>
          <w:szCs w:val="16"/>
          <w:lang w:val="es-ES"/>
        </w:rPr>
        <w:t xml:space="preserve">Luis Américo Ayala Gonzales. Peru, December 4, 2018, para. </w:t>
      </w:r>
      <w:r w:rsidR="003122B6" w:rsidRPr="003122B6">
        <w:rPr>
          <w:rFonts w:asciiTheme="majorHAnsi" w:hAnsiTheme="majorHAnsi"/>
          <w:sz w:val="16"/>
          <w:szCs w:val="16"/>
        </w:rPr>
        <w:t>12; and IACHR. Report No. 293/20, Petition 434-09. Admissibility. Gabriel Ulises Valdez Larqué and family members. Mexico, October 13, 2020, para</w:t>
      </w:r>
      <w:r w:rsidRPr="000847F4">
        <w:rPr>
          <w:rFonts w:asciiTheme="majorHAnsi" w:hAnsiTheme="majorHAnsi"/>
          <w:sz w:val="16"/>
          <w:szCs w:val="16"/>
        </w:rPr>
        <w:t>. 22.</w:t>
      </w:r>
    </w:p>
  </w:footnote>
  <w:footnote w:id="20">
    <w:p w14:paraId="393942A3" w14:textId="34B3E1EF" w:rsidR="000847F4" w:rsidRPr="000847F4" w:rsidRDefault="000847F4" w:rsidP="000847F4">
      <w:pPr>
        <w:pStyle w:val="FootnoteText"/>
        <w:ind w:firstLine="709"/>
        <w:jc w:val="both"/>
        <w:rPr>
          <w:rFonts w:ascii="Cambria" w:hAnsi="Cambria"/>
          <w:sz w:val="16"/>
          <w:szCs w:val="16"/>
        </w:rPr>
      </w:pPr>
      <w:r w:rsidRPr="000847F4">
        <w:rPr>
          <w:rStyle w:val="FootnoteReference"/>
          <w:rFonts w:ascii="Cambria" w:hAnsi="Cambria"/>
          <w:sz w:val="16"/>
          <w:szCs w:val="16"/>
        </w:rPr>
        <w:footnoteRef/>
      </w:r>
      <w:r w:rsidR="003122B6">
        <w:rPr>
          <w:rFonts w:ascii="Cambria" w:hAnsi="Cambria"/>
          <w:sz w:val="16"/>
          <w:szCs w:val="16"/>
        </w:rPr>
        <w:t xml:space="preserve"> </w:t>
      </w:r>
      <w:r w:rsidR="003122B6" w:rsidRPr="003122B6">
        <w:rPr>
          <w:rFonts w:ascii="Cambria" w:hAnsi="Cambria"/>
          <w:sz w:val="16"/>
          <w:szCs w:val="16"/>
        </w:rPr>
        <w:t>IACHR. Special Rapporteurship for Freedom of Expression. Report on Protest and Human Rights. OEA/Ser.L/V/II IACHR/RELE/INF.22/19, September 2019, para</w:t>
      </w:r>
      <w:r w:rsidRPr="000847F4">
        <w:rPr>
          <w:rFonts w:ascii="Cambria" w:hAnsi="Cambria"/>
          <w:sz w:val="16"/>
          <w:szCs w:val="16"/>
        </w:rPr>
        <w:t>. 12.</w:t>
      </w:r>
    </w:p>
  </w:footnote>
  <w:footnote w:id="21">
    <w:p w14:paraId="64BE4A0B" w14:textId="73EF4F29" w:rsidR="000847F4" w:rsidRPr="000847F4" w:rsidRDefault="000847F4" w:rsidP="000847F4">
      <w:pPr>
        <w:pStyle w:val="FootnoteText"/>
        <w:ind w:firstLine="709"/>
        <w:jc w:val="both"/>
        <w:rPr>
          <w:rFonts w:ascii="Cambria" w:hAnsi="Cambria"/>
          <w:sz w:val="16"/>
          <w:szCs w:val="16"/>
        </w:rPr>
      </w:pPr>
      <w:r w:rsidRPr="000847F4">
        <w:rPr>
          <w:rStyle w:val="FootnoteReference"/>
          <w:rFonts w:ascii="Cambria" w:hAnsi="Cambria"/>
          <w:sz w:val="16"/>
          <w:szCs w:val="16"/>
        </w:rPr>
        <w:footnoteRef/>
      </w:r>
      <w:r w:rsidR="003122B6">
        <w:rPr>
          <w:rFonts w:ascii="Cambria" w:hAnsi="Cambria"/>
          <w:sz w:val="16"/>
          <w:szCs w:val="16"/>
        </w:rPr>
        <w:t xml:space="preserve"> </w:t>
      </w:r>
      <w:r w:rsidR="003122B6" w:rsidRPr="003122B6">
        <w:rPr>
          <w:rFonts w:ascii="Cambria" w:hAnsi="Cambria"/>
          <w:sz w:val="16"/>
          <w:szCs w:val="16"/>
        </w:rPr>
        <w:t>Case of Montero Aranguren and others (Catia Police Station) vs. Venezuela. Preliminary Exception, Merits, Reparations and Costs. Judgment of July 5, 2006, Series C No. 150, para. 78, and Case of Women Victims of Sexual Torture in Atenco vs. Mexico. Preliminary Exception, Merits, Reparations and Costs. Judgment of the Inter-American Court of Human Rights of November 28, 2018. Series C No. 371, para. 167</w:t>
      </w:r>
      <w:r w:rsidRPr="000847F4">
        <w:rPr>
          <w:rFonts w:ascii="Cambria" w:hAnsi="Cambria"/>
          <w:sz w:val="16"/>
          <w:szCs w:val="16"/>
        </w:rPr>
        <w:t>.</w:t>
      </w:r>
    </w:p>
  </w:footnote>
  <w:footnote w:id="22">
    <w:p w14:paraId="732B783C" w14:textId="3EBCC0B8" w:rsidR="000847F4" w:rsidRPr="000847F4" w:rsidRDefault="000847F4" w:rsidP="000847F4">
      <w:pPr>
        <w:pStyle w:val="FootnoteText"/>
        <w:ind w:firstLine="709"/>
        <w:jc w:val="both"/>
      </w:pPr>
      <w:r w:rsidRPr="000847F4">
        <w:rPr>
          <w:rStyle w:val="FootnoteReference"/>
          <w:rFonts w:ascii="Cambria" w:hAnsi="Cambria"/>
          <w:sz w:val="16"/>
          <w:szCs w:val="16"/>
        </w:rPr>
        <w:footnoteRef/>
      </w:r>
      <w:r w:rsidR="003122B6">
        <w:rPr>
          <w:rFonts w:ascii="Cambria" w:hAnsi="Cambria"/>
          <w:sz w:val="16"/>
          <w:szCs w:val="16"/>
        </w:rPr>
        <w:t xml:space="preserve"> </w:t>
      </w:r>
      <w:r w:rsidR="003122B6" w:rsidRPr="003122B6">
        <w:rPr>
          <w:rFonts w:ascii="Cambria" w:hAnsi="Cambria"/>
          <w:sz w:val="16"/>
          <w:szCs w:val="16"/>
        </w:rPr>
        <w:t>IACHR, Annual Report 2015, chapter IV A, para. 81, Report on Citizen Security and Human Rights, OEA/Ser.L/V/II. Doc. 57, December 31, 2009, para. 201</w:t>
      </w:r>
      <w:r w:rsidRPr="000847F4">
        <w:rPr>
          <w:rFonts w:ascii="Cambria" w:hAnsi="Cambria"/>
          <w:sz w:val="16"/>
          <w:szCs w:val="16"/>
        </w:rPr>
        <w:t>.</w:t>
      </w:r>
    </w:p>
  </w:footnote>
  <w:footnote w:id="23">
    <w:p w14:paraId="0B58E051" w14:textId="77777777" w:rsidR="001719D7" w:rsidRPr="002E7E1A" w:rsidRDefault="001719D7" w:rsidP="001719D7">
      <w:pPr>
        <w:pStyle w:val="FootnoteText"/>
        <w:ind w:firstLine="709"/>
      </w:pPr>
      <w:r w:rsidRPr="002E7E1A">
        <w:rPr>
          <w:rStyle w:val="FootnoteReference"/>
          <w:rFonts w:asciiTheme="majorHAnsi" w:hAnsiTheme="majorHAnsi"/>
          <w:sz w:val="16"/>
          <w:szCs w:val="16"/>
        </w:rPr>
        <w:footnoteRef/>
      </w:r>
      <w:r w:rsidRPr="002E7E1A">
        <w:rPr>
          <w:rStyle w:val="FootnoteReference"/>
          <w:rFonts w:asciiTheme="majorHAnsi" w:hAnsiTheme="majorHAnsi"/>
          <w:sz w:val="16"/>
          <w:szCs w:val="16"/>
        </w:rPr>
        <w:t xml:space="preserve"> </w:t>
      </w:r>
      <w:r>
        <w:rPr>
          <w:rFonts w:ascii="Cambria" w:hAnsi="Cambria"/>
          <w:sz w:val="16"/>
          <w:szCs w:val="16"/>
        </w:rPr>
        <w:t xml:space="preserve">According to the </w:t>
      </w:r>
      <w:r w:rsidRPr="002E7E1A">
        <w:rPr>
          <w:rFonts w:ascii="Cambria" w:hAnsi="Cambria"/>
          <w:sz w:val="16"/>
          <w:szCs w:val="16"/>
        </w:rPr>
        <w:t>Inter-American Court of Human Rights</w:t>
      </w:r>
      <w:r>
        <w:rPr>
          <w:rFonts w:ascii="Cambria" w:hAnsi="Cambria"/>
          <w:sz w:val="16"/>
          <w:szCs w:val="16"/>
        </w:rPr>
        <w:t>, “</w:t>
      </w:r>
      <w:r w:rsidRPr="002E7E1A">
        <w:rPr>
          <w:rFonts w:ascii="Cambria" w:hAnsi="Cambria"/>
          <w:sz w:val="16"/>
          <w:szCs w:val="16"/>
        </w:rPr>
        <w:t>Jurisprudence Notebook of the Inter-American Court of Human Rights No. 16: Freedom of thought and expression</w:t>
      </w:r>
      <w:r>
        <w:rPr>
          <w:rFonts w:ascii="Cambria" w:hAnsi="Cambria"/>
          <w:sz w:val="16"/>
          <w:szCs w:val="16"/>
        </w:rPr>
        <w:t>”. 2021, para.</w:t>
      </w:r>
      <w:r w:rsidRPr="000847F4">
        <w:rPr>
          <w:rFonts w:ascii="Cambria" w:hAnsi="Cambria"/>
          <w:sz w:val="16"/>
          <w:szCs w:val="16"/>
        </w:rPr>
        <w:t xml:space="preserve"> </w:t>
      </w:r>
      <w:r>
        <w:rPr>
          <w:rFonts w:ascii="Cambria" w:hAnsi="Cambria"/>
          <w:sz w:val="16"/>
          <w:szCs w:val="16"/>
        </w:rPr>
        <w:t>160.</w:t>
      </w:r>
    </w:p>
  </w:footnote>
  <w:footnote w:id="24">
    <w:p w14:paraId="49175FB5" w14:textId="0EE49D55" w:rsidR="00B312E6" w:rsidRPr="00B312E6" w:rsidRDefault="00B312E6" w:rsidP="00B312E6">
      <w:pPr>
        <w:pStyle w:val="FootnoteText"/>
        <w:ind w:firstLine="709"/>
        <w:rPr>
          <w:rFonts w:asciiTheme="majorHAnsi" w:hAnsiTheme="majorHAnsi"/>
          <w:sz w:val="16"/>
          <w:szCs w:val="16"/>
        </w:rPr>
      </w:pPr>
      <w:r w:rsidRPr="00B312E6">
        <w:rPr>
          <w:rStyle w:val="FootnoteReference"/>
          <w:rFonts w:asciiTheme="majorHAnsi" w:hAnsiTheme="majorHAnsi"/>
          <w:sz w:val="16"/>
          <w:szCs w:val="16"/>
        </w:rPr>
        <w:footnoteRef/>
      </w:r>
      <w:r w:rsidRPr="00B312E6">
        <w:rPr>
          <w:rFonts w:asciiTheme="majorHAnsi" w:hAnsiTheme="majorHAnsi"/>
          <w:sz w:val="16"/>
          <w:szCs w:val="16"/>
        </w:rPr>
        <w:t xml:space="preserve"> </w:t>
      </w:r>
      <w:r w:rsidRPr="00B312E6">
        <w:rPr>
          <w:rFonts w:asciiTheme="majorHAnsi" w:hAnsiTheme="majorHAnsi"/>
          <w:bCs/>
          <w:sz w:val="16"/>
          <w:szCs w:val="16"/>
        </w:rPr>
        <w:t xml:space="preserve">IACHR. Loayza Tamayo v. </w:t>
      </w:r>
      <w:r>
        <w:rPr>
          <w:rFonts w:asciiTheme="majorHAnsi" w:hAnsiTheme="majorHAnsi"/>
          <w:bCs/>
          <w:sz w:val="16"/>
          <w:szCs w:val="16"/>
        </w:rPr>
        <w:t>Peru</w:t>
      </w:r>
      <w:r w:rsidRPr="00B312E6">
        <w:rPr>
          <w:rFonts w:asciiTheme="majorHAnsi" w:hAnsiTheme="majorHAnsi"/>
          <w:bCs/>
          <w:sz w:val="16"/>
          <w:szCs w:val="16"/>
        </w:rPr>
        <w:t xml:space="preserve">, Preliminary Objections, Merits, Reparations and Costs, Judgment </w:t>
      </w:r>
      <w:r>
        <w:rPr>
          <w:rFonts w:asciiTheme="majorHAnsi" w:hAnsiTheme="majorHAnsi"/>
          <w:bCs/>
          <w:sz w:val="16"/>
          <w:szCs w:val="16"/>
        </w:rPr>
        <w:t>September 17</w:t>
      </w:r>
      <w:r w:rsidRPr="00B312E6">
        <w:rPr>
          <w:rFonts w:asciiTheme="majorHAnsi" w:hAnsiTheme="majorHAnsi"/>
          <w:bCs/>
          <w:sz w:val="16"/>
          <w:szCs w:val="16"/>
        </w:rPr>
        <w:t xml:space="preserve">, </w:t>
      </w:r>
      <w:r>
        <w:rPr>
          <w:rFonts w:asciiTheme="majorHAnsi" w:hAnsiTheme="majorHAnsi"/>
          <w:bCs/>
          <w:sz w:val="16"/>
          <w:szCs w:val="16"/>
        </w:rPr>
        <w:t>199</w:t>
      </w:r>
      <w:r w:rsidRPr="00B312E6">
        <w:rPr>
          <w:rFonts w:asciiTheme="majorHAnsi" w:hAnsiTheme="majorHAnsi"/>
          <w:bCs/>
          <w:sz w:val="16"/>
          <w:szCs w:val="16"/>
        </w:rPr>
        <w:t>7, p</w:t>
      </w:r>
      <w:r>
        <w:rPr>
          <w:rFonts w:asciiTheme="majorHAnsi" w:hAnsiTheme="majorHAnsi"/>
          <w:bCs/>
          <w:sz w:val="16"/>
          <w:szCs w:val="16"/>
        </w:rPr>
        <w:t>ara</w:t>
      </w:r>
      <w:r w:rsidRPr="00B312E6">
        <w:rPr>
          <w:rFonts w:asciiTheme="majorHAnsi" w:hAnsiTheme="majorHAnsi"/>
          <w:bCs/>
          <w:sz w:val="16"/>
          <w:szCs w:val="16"/>
        </w:rPr>
        <w:t xml:space="preserve">. </w:t>
      </w:r>
      <w:r>
        <w:rPr>
          <w:rFonts w:asciiTheme="majorHAnsi" w:hAnsiTheme="majorHAnsi"/>
          <w:bCs/>
          <w:sz w:val="16"/>
          <w:szCs w:val="16"/>
        </w:rPr>
        <w:t>57</w:t>
      </w:r>
    </w:p>
  </w:footnote>
  <w:footnote w:id="25">
    <w:p w14:paraId="4B54743E" w14:textId="6E258C16" w:rsidR="001719D7" w:rsidRPr="001719D7" w:rsidRDefault="001719D7" w:rsidP="001719D7">
      <w:pPr>
        <w:pStyle w:val="FootnoteText"/>
        <w:ind w:firstLine="709"/>
        <w:rPr>
          <w:rFonts w:ascii="Cambria" w:hAnsi="Cambria"/>
          <w:bCs/>
          <w:sz w:val="16"/>
          <w:szCs w:val="16"/>
          <w:highlight w:val="green"/>
        </w:rPr>
      </w:pPr>
      <w:r w:rsidRPr="00FE7A79">
        <w:rPr>
          <w:rStyle w:val="FootnoteReference"/>
          <w:rFonts w:ascii="Cambria" w:hAnsi="Cambria"/>
          <w:sz w:val="16"/>
          <w:szCs w:val="16"/>
        </w:rPr>
        <w:footnoteRef/>
      </w:r>
      <w:r w:rsidRPr="006F1462">
        <w:rPr>
          <w:rFonts w:ascii="Cambria" w:hAnsi="Cambria"/>
          <w:sz w:val="16"/>
          <w:szCs w:val="16"/>
        </w:rPr>
        <w:t xml:space="preserve"> </w:t>
      </w:r>
      <w:r w:rsidRPr="006F1462">
        <w:rPr>
          <w:rFonts w:ascii="Cambria" w:hAnsi="Cambria"/>
          <w:bCs/>
          <w:sz w:val="16"/>
          <w:szCs w:val="16"/>
        </w:rPr>
        <w:t xml:space="preserve">IACHR. </w:t>
      </w:r>
      <w:r>
        <w:rPr>
          <w:rFonts w:ascii="Cambria" w:hAnsi="Cambria"/>
          <w:bCs/>
          <w:sz w:val="16"/>
          <w:szCs w:val="16"/>
        </w:rPr>
        <w:t xml:space="preserve">Acosta </w:t>
      </w:r>
      <w:r w:rsidRPr="006F1462">
        <w:rPr>
          <w:rFonts w:ascii="Cambria" w:hAnsi="Cambria"/>
          <w:bCs/>
          <w:sz w:val="16"/>
          <w:szCs w:val="16"/>
        </w:rPr>
        <w:t xml:space="preserve">v. Ecuador, Preliminary Objections, Merits, Reparations and Costs, Judgment </w:t>
      </w:r>
      <w:r>
        <w:rPr>
          <w:rFonts w:ascii="Cambria" w:hAnsi="Cambria"/>
          <w:bCs/>
          <w:sz w:val="16"/>
          <w:szCs w:val="16"/>
        </w:rPr>
        <w:t xml:space="preserve">March 25, 2017, </w:t>
      </w:r>
      <w:r w:rsidRPr="006F1462">
        <w:rPr>
          <w:rFonts w:ascii="Cambria" w:hAnsi="Cambria"/>
          <w:bCs/>
          <w:sz w:val="16"/>
          <w:szCs w:val="16"/>
        </w:rPr>
        <w:t>p</w:t>
      </w:r>
      <w:r w:rsidR="00B312E6">
        <w:rPr>
          <w:rFonts w:ascii="Cambria" w:hAnsi="Cambria"/>
          <w:bCs/>
          <w:sz w:val="16"/>
          <w:szCs w:val="16"/>
        </w:rPr>
        <w:t>ara</w:t>
      </w:r>
      <w:r w:rsidRPr="006F1462">
        <w:rPr>
          <w:rFonts w:ascii="Cambria" w:hAnsi="Cambria"/>
          <w:bCs/>
          <w:sz w:val="16"/>
          <w:szCs w:val="16"/>
        </w:rPr>
        <w:t>.</w:t>
      </w:r>
      <w:r w:rsidR="00B312E6">
        <w:rPr>
          <w:rFonts w:ascii="Cambria" w:hAnsi="Cambria"/>
          <w:bCs/>
          <w:sz w:val="16"/>
          <w:szCs w:val="16"/>
        </w:rPr>
        <w:t xml:space="preserve"> </w:t>
      </w:r>
      <w:r w:rsidRPr="006F1462">
        <w:rPr>
          <w:rFonts w:ascii="Cambria" w:hAnsi="Cambria"/>
          <w:bCs/>
          <w:sz w:val="16"/>
          <w:szCs w:val="16"/>
        </w:rPr>
        <w:t>200.</w:t>
      </w:r>
    </w:p>
  </w:footnote>
  <w:footnote w:id="26">
    <w:p w14:paraId="5425D405" w14:textId="77777777" w:rsidR="00B312E6" w:rsidRPr="00BB720F" w:rsidRDefault="00B312E6" w:rsidP="00B312E6">
      <w:pPr>
        <w:pStyle w:val="FootnoteText"/>
        <w:ind w:firstLine="709"/>
        <w:rPr>
          <w:rFonts w:asciiTheme="majorHAnsi" w:hAnsiTheme="majorHAnsi"/>
          <w:bCs/>
          <w:sz w:val="16"/>
          <w:szCs w:val="16"/>
        </w:rPr>
      </w:pPr>
      <w:r w:rsidRPr="00FE7A79">
        <w:rPr>
          <w:rStyle w:val="FootnoteReference"/>
          <w:rFonts w:ascii="Cambria" w:hAnsi="Cambria"/>
          <w:sz w:val="16"/>
          <w:szCs w:val="16"/>
        </w:rPr>
        <w:footnoteRef/>
      </w:r>
      <w:r w:rsidRPr="002E1A60">
        <w:rPr>
          <w:rFonts w:ascii="Cambria" w:hAnsi="Cambria"/>
          <w:sz w:val="16"/>
          <w:szCs w:val="16"/>
        </w:rPr>
        <w:t xml:space="preserve"> IACHR. García Ibarra e</w:t>
      </w:r>
      <w:r w:rsidRPr="002E1A60">
        <w:rPr>
          <w:rFonts w:ascii="Cambria" w:hAnsi="Cambria"/>
          <w:i/>
          <w:iCs/>
          <w:sz w:val="16"/>
          <w:szCs w:val="16"/>
        </w:rPr>
        <w:t>t al</w:t>
      </w:r>
      <w:r w:rsidRPr="002E1A60">
        <w:rPr>
          <w:rFonts w:ascii="Cambria" w:hAnsi="Cambria"/>
          <w:sz w:val="16"/>
          <w:szCs w:val="16"/>
        </w:rPr>
        <w:t xml:space="preserve">. </w:t>
      </w:r>
      <w:r w:rsidRPr="00BB720F">
        <w:rPr>
          <w:rFonts w:ascii="Cambria" w:hAnsi="Cambria"/>
          <w:sz w:val="16"/>
          <w:szCs w:val="16"/>
        </w:rPr>
        <w:t xml:space="preserve">V. Ecuador </w:t>
      </w:r>
      <w:r w:rsidRPr="00B312E6">
        <w:rPr>
          <w:rFonts w:asciiTheme="majorHAnsi" w:hAnsiTheme="majorHAnsi"/>
          <w:bCs/>
          <w:sz w:val="16"/>
          <w:szCs w:val="16"/>
        </w:rPr>
        <w:t xml:space="preserve">Preliminary Objections, Merits, Reparations and Costs, Judgment </w:t>
      </w:r>
      <w:r>
        <w:rPr>
          <w:rFonts w:asciiTheme="majorHAnsi" w:hAnsiTheme="majorHAnsi"/>
          <w:bCs/>
          <w:sz w:val="16"/>
          <w:szCs w:val="16"/>
        </w:rPr>
        <w:t>November 17</w:t>
      </w:r>
      <w:r w:rsidRPr="00B312E6">
        <w:rPr>
          <w:rFonts w:asciiTheme="majorHAnsi" w:hAnsiTheme="majorHAnsi"/>
          <w:bCs/>
          <w:sz w:val="16"/>
          <w:szCs w:val="16"/>
        </w:rPr>
        <w:t xml:space="preserve">, </w:t>
      </w:r>
      <w:r>
        <w:rPr>
          <w:rFonts w:asciiTheme="majorHAnsi" w:hAnsiTheme="majorHAnsi"/>
          <w:bCs/>
          <w:sz w:val="16"/>
          <w:szCs w:val="16"/>
        </w:rPr>
        <w:t>2015</w:t>
      </w:r>
      <w:r w:rsidRPr="00B312E6">
        <w:rPr>
          <w:rFonts w:asciiTheme="majorHAnsi" w:hAnsiTheme="majorHAnsi"/>
          <w:bCs/>
          <w:sz w:val="16"/>
          <w:szCs w:val="16"/>
        </w:rPr>
        <w:t xml:space="preserve">, </w:t>
      </w:r>
      <w:r>
        <w:rPr>
          <w:rFonts w:asciiTheme="majorHAnsi" w:hAnsiTheme="majorHAnsi"/>
          <w:bCs/>
          <w:sz w:val="16"/>
          <w:szCs w:val="16"/>
        </w:rPr>
        <w:t xml:space="preserve">Ser. C No 306, para 97. </w:t>
      </w:r>
    </w:p>
  </w:footnote>
  <w:footnote w:id="27">
    <w:p w14:paraId="65B099BE" w14:textId="6A3A312D" w:rsidR="000847F4" w:rsidRPr="000847F4" w:rsidRDefault="000847F4" w:rsidP="000847F4">
      <w:pPr>
        <w:pStyle w:val="FootnoteText"/>
        <w:ind w:firstLine="709"/>
        <w:jc w:val="both"/>
        <w:rPr>
          <w:rFonts w:ascii="Cambria" w:hAnsi="Cambria"/>
          <w:sz w:val="16"/>
          <w:szCs w:val="16"/>
        </w:rPr>
      </w:pPr>
      <w:r w:rsidRPr="000847F4">
        <w:rPr>
          <w:rStyle w:val="FootnoteReference"/>
          <w:rFonts w:ascii="Cambria" w:hAnsi="Cambria"/>
          <w:sz w:val="16"/>
          <w:szCs w:val="16"/>
        </w:rPr>
        <w:footnoteRef/>
      </w:r>
      <w:r w:rsidR="003122B6">
        <w:rPr>
          <w:rFonts w:ascii="Cambria" w:hAnsi="Cambria"/>
          <w:sz w:val="16"/>
          <w:szCs w:val="16"/>
        </w:rPr>
        <w:t xml:space="preserve"> </w:t>
      </w:r>
      <w:r w:rsidR="003122B6" w:rsidRPr="003122B6">
        <w:rPr>
          <w:rFonts w:ascii="Cambria" w:hAnsi="Cambria"/>
          <w:sz w:val="16"/>
          <w:szCs w:val="16"/>
        </w:rPr>
        <w:t>Special Rapporteurship for Freedom of Expression. Report on Protest and Human Rights. OEA/Ser.L/V/II IACHR/RELE/INF.22/19, September 2019, para</w:t>
      </w:r>
      <w:r w:rsidRPr="000847F4">
        <w:rPr>
          <w:rFonts w:ascii="Cambria" w:hAnsi="Cambria"/>
          <w:sz w:val="16"/>
          <w:szCs w:val="16"/>
        </w:rPr>
        <w:t>. 257.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4C1495"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D0467A5"/>
    <w:multiLevelType w:val="hybridMultilevel"/>
    <w:tmpl w:val="06C86736"/>
    <w:lvl w:ilvl="0" w:tplc="06788E44">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956447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6813836">
    <w:abstractNumId w:val="4"/>
  </w:num>
  <w:num w:numId="3" w16cid:durableId="95167037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47677188">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99789983">
    <w:abstractNumId w:val="6"/>
  </w:num>
  <w:num w:numId="6" w16cid:durableId="108884577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5091894">
    <w:abstractNumId w:val="57"/>
  </w:num>
  <w:num w:numId="8" w16cid:durableId="376321760">
    <w:abstractNumId w:val="22"/>
  </w:num>
  <w:num w:numId="9" w16cid:durableId="308170427">
    <w:abstractNumId w:val="49"/>
  </w:num>
  <w:num w:numId="10" w16cid:durableId="168088952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215362">
    <w:abstractNumId w:val="28"/>
  </w:num>
  <w:num w:numId="12" w16cid:durableId="779910614">
    <w:abstractNumId w:val="55"/>
  </w:num>
  <w:num w:numId="13" w16cid:durableId="205641938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886240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976178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2917588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84621882">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184782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6700132">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90331973">
    <w:abstractNumId w:val="7"/>
  </w:num>
  <w:num w:numId="21" w16cid:durableId="877862922">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9374569">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864360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9516373">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762058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19595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01477482">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71532139">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812657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42587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8895780">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4118492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4756791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9661867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617638">
    <w:abstractNumId w:val="18"/>
  </w:num>
  <w:num w:numId="36" w16cid:durableId="2209880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41865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465290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6207301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4416298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247150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80410237">
    <w:abstractNumId w:val="39"/>
  </w:num>
  <w:num w:numId="43" w16cid:durableId="174202509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45189477">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149644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4202168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4650206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21771569">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7762778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3796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483938374">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13729419">
    <w:abstractNumId w:val="43"/>
  </w:num>
  <w:num w:numId="53" w16cid:durableId="1292780975">
    <w:abstractNumId w:val="0"/>
  </w:num>
  <w:num w:numId="54" w16cid:durableId="1626540545">
    <w:abstractNumId w:val="38"/>
  </w:num>
  <w:num w:numId="55" w16cid:durableId="1040014095">
    <w:abstractNumId w:val="39"/>
  </w:num>
  <w:num w:numId="56" w16cid:durableId="478502565">
    <w:abstractNumId w:val="45"/>
  </w:num>
  <w:num w:numId="57" w16cid:durableId="1954095151">
    <w:abstractNumId w:val="1"/>
  </w:num>
  <w:num w:numId="58" w16cid:durableId="456875351">
    <w:abstractNumId w:val="2"/>
  </w:num>
  <w:num w:numId="59" w16cid:durableId="1073505158">
    <w:abstractNumId w:val="8"/>
  </w:num>
  <w:num w:numId="60" w16cid:durableId="601184087">
    <w:abstractNumId w:val="9"/>
  </w:num>
  <w:num w:numId="61" w16cid:durableId="2094932573">
    <w:abstractNumId w:val="10"/>
  </w:num>
  <w:num w:numId="62" w16cid:durableId="18243612">
    <w:abstractNumId w:val="12"/>
  </w:num>
  <w:num w:numId="63" w16cid:durableId="1860502844">
    <w:abstractNumId w:val="13"/>
  </w:num>
  <w:num w:numId="64" w16cid:durableId="80034454">
    <w:abstractNumId w:val="14"/>
  </w:num>
  <w:num w:numId="65" w16cid:durableId="1100251086">
    <w:abstractNumId w:val="15"/>
  </w:num>
  <w:num w:numId="66" w16cid:durableId="884222910">
    <w:abstractNumId w:val="16"/>
  </w:num>
  <w:num w:numId="67" w16cid:durableId="1782914406">
    <w:abstractNumId w:val="17"/>
  </w:num>
  <w:num w:numId="68" w16cid:durableId="2008169866">
    <w:abstractNumId w:val="19"/>
  </w:num>
  <w:num w:numId="69" w16cid:durableId="383599912">
    <w:abstractNumId w:val="20"/>
  </w:num>
  <w:num w:numId="70" w16cid:durableId="181937071">
    <w:abstractNumId w:val="23"/>
  </w:num>
  <w:num w:numId="71" w16cid:durableId="1042170151">
    <w:abstractNumId w:val="24"/>
  </w:num>
  <w:num w:numId="72" w16cid:durableId="935746881">
    <w:abstractNumId w:val="25"/>
  </w:num>
  <w:num w:numId="73" w16cid:durableId="457115680">
    <w:abstractNumId w:val="27"/>
  </w:num>
  <w:num w:numId="74" w16cid:durableId="1599751706">
    <w:abstractNumId w:val="29"/>
  </w:num>
  <w:num w:numId="75" w16cid:durableId="814100670">
    <w:abstractNumId w:val="30"/>
  </w:num>
  <w:num w:numId="76" w16cid:durableId="659620467">
    <w:abstractNumId w:val="31"/>
  </w:num>
  <w:num w:numId="77" w16cid:durableId="745999814">
    <w:abstractNumId w:val="32"/>
  </w:num>
  <w:num w:numId="78" w16cid:durableId="1106149164">
    <w:abstractNumId w:val="33"/>
  </w:num>
  <w:num w:numId="79" w16cid:durableId="501432526">
    <w:abstractNumId w:val="34"/>
  </w:num>
  <w:num w:numId="80" w16cid:durableId="303512044">
    <w:abstractNumId w:val="35"/>
  </w:num>
  <w:num w:numId="81" w16cid:durableId="1245067003">
    <w:abstractNumId w:val="36"/>
  </w:num>
  <w:num w:numId="82" w16cid:durableId="533737061">
    <w:abstractNumId w:val="40"/>
  </w:num>
  <w:num w:numId="83" w16cid:durableId="746926384">
    <w:abstractNumId w:val="41"/>
  </w:num>
  <w:num w:numId="84" w16cid:durableId="458770273">
    <w:abstractNumId w:val="47"/>
  </w:num>
  <w:num w:numId="85" w16cid:durableId="297492593">
    <w:abstractNumId w:val="50"/>
  </w:num>
  <w:num w:numId="86" w16cid:durableId="65686269">
    <w:abstractNumId w:val="52"/>
  </w:num>
  <w:num w:numId="87" w16cid:durableId="1248156171">
    <w:abstractNumId w:val="54"/>
  </w:num>
  <w:num w:numId="88" w16cid:durableId="1215462391">
    <w:abstractNumId w:val="56"/>
  </w:num>
  <w:num w:numId="89" w16cid:durableId="128058583">
    <w:abstractNumId w:val="58"/>
  </w:num>
  <w:num w:numId="90" w16cid:durableId="1009914232">
    <w:abstractNumId w:val="59"/>
  </w:num>
  <w:num w:numId="91" w16cid:durableId="820124281">
    <w:abstractNumId w:val="60"/>
  </w:num>
  <w:num w:numId="92" w16cid:durableId="292637384">
    <w:abstractNumId w:val="62"/>
  </w:num>
  <w:num w:numId="93" w16cid:durableId="1214807657">
    <w:abstractNumId w:val="63"/>
  </w:num>
  <w:num w:numId="94" w16cid:durableId="7879810">
    <w:abstractNumId w:val="21"/>
  </w:num>
  <w:num w:numId="95" w16cid:durableId="1873372669">
    <w:abstractNumId w:val="42"/>
  </w:num>
  <w:num w:numId="96" w16cid:durableId="645817943">
    <w:abstractNumId w:val="53"/>
  </w:num>
  <w:num w:numId="97" w16cid:durableId="1400666531">
    <w:abstractNumId w:val="51"/>
  </w:num>
  <w:num w:numId="98" w16cid:durableId="208347111">
    <w:abstractNumId w:val="46"/>
  </w:num>
  <w:num w:numId="99" w16cid:durableId="1112213603">
    <w:abstractNumId w:val="37"/>
  </w:num>
  <w:num w:numId="100" w16cid:durableId="1644240404">
    <w:abstractNumId w:val="3"/>
  </w:num>
  <w:num w:numId="101" w16cid:durableId="1100955568">
    <w:abstractNumId w:val="26"/>
  </w:num>
  <w:num w:numId="102" w16cid:durableId="2025739805">
    <w:abstractNumId w:val="48"/>
  </w:num>
  <w:num w:numId="103" w16cid:durableId="1664313997">
    <w:abstractNumId w:val="5"/>
  </w:num>
  <w:num w:numId="104" w16cid:durableId="592593905">
    <w:abstractNumId w:val="11"/>
  </w:num>
  <w:num w:numId="105" w16cid:durableId="258831238">
    <w:abstractNumId w:val="44"/>
  </w:num>
  <w:num w:numId="106" w16cid:durableId="20811017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6B9"/>
    <w:rsid w:val="000070D7"/>
    <w:rsid w:val="000111A8"/>
    <w:rsid w:val="0001788C"/>
    <w:rsid w:val="00022CF5"/>
    <w:rsid w:val="00036A8A"/>
    <w:rsid w:val="00040C3A"/>
    <w:rsid w:val="000639C0"/>
    <w:rsid w:val="00070F3A"/>
    <w:rsid w:val="000716C5"/>
    <w:rsid w:val="00075E23"/>
    <w:rsid w:val="000847F4"/>
    <w:rsid w:val="000926A8"/>
    <w:rsid w:val="00092F32"/>
    <w:rsid w:val="0009344A"/>
    <w:rsid w:val="000A575F"/>
    <w:rsid w:val="000C4365"/>
    <w:rsid w:val="000D10DB"/>
    <w:rsid w:val="000F597D"/>
    <w:rsid w:val="00117E44"/>
    <w:rsid w:val="00124116"/>
    <w:rsid w:val="0013104F"/>
    <w:rsid w:val="00137EBA"/>
    <w:rsid w:val="00143676"/>
    <w:rsid w:val="00145EDC"/>
    <w:rsid w:val="00153084"/>
    <w:rsid w:val="00167A34"/>
    <w:rsid w:val="001714B4"/>
    <w:rsid w:val="001719D7"/>
    <w:rsid w:val="0018037F"/>
    <w:rsid w:val="00193B9F"/>
    <w:rsid w:val="00197EB6"/>
    <w:rsid w:val="001A5F27"/>
    <w:rsid w:val="001A65E4"/>
    <w:rsid w:val="001A7870"/>
    <w:rsid w:val="001C1B41"/>
    <w:rsid w:val="001E366B"/>
    <w:rsid w:val="001F1902"/>
    <w:rsid w:val="001F2941"/>
    <w:rsid w:val="0020076D"/>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1A60"/>
    <w:rsid w:val="002E6E57"/>
    <w:rsid w:val="00301075"/>
    <w:rsid w:val="00302733"/>
    <w:rsid w:val="00311A4F"/>
    <w:rsid w:val="003122B6"/>
    <w:rsid w:val="00314078"/>
    <w:rsid w:val="00321AFD"/>
    <w:rsid w:val="00322450"/>
    <w:rsid w:val="003246B5"/>
    <w:rsid w:val="0033169F"/>
    <w:rsid w:val="003414AC"/>
    <w:rsid w:val="00356185"/>
    <w:rsid w:val="00360380"/>
    <w:rsid w:val="003764DF"/>
    <w:rsid w:val="003771A3"/>
    <w:rsid w:val="00386CF0"/>
    <w:rsid w:val="003A4348"/>
    <w:rsid w:val="003C32BC"/>
    <w:rsid w:val="003E3E03"/>
    <w:rsid w:val="003F1818"/>
    <w:rsid w:val="003F1BBF"/>
    <w:rsid w:val="004162B1"/>
    <w:rsid w:val="004165C2"/>
    <w:rsid w:val="00442423"/>
    <w:rsid w:val="00450A4A"/>
    <w:rsid w:val="004666FB"/>
    <w:rsid w:val="00466D0B"/>
    <w:rsid w:val="00467B7E"/>
    <w:rsid w:val="0049419D"/>
    <w:rsid w:val="004B2762"/>
    <w:rsid w:val="004B7EB6"/>
    <w:rsid w:val="004C1495"/>
    <w:rsid w:val="004C41DE"/>
    <w:rsid w:val="004C4B62"/>
    <w:rsid w:val="004C7CF3"/>
    <w:rsid w:val="004D6025"/>
    <w:rsid w:val="004D72BC"/>
    <w:rsid w:val="004F1F91"/>
    <w:rsid w:val="004F6B67"/>
    <w:rsid w:val="00501399"/>
    <w:rsid w:val="00507BC4"/>
    <w:rsid w:val="005128E4"/>
    <w:rsid w:val="00525560"/>
    <w:rsid w:val="005357A6"/>
    <w:rsid w:val="005406C2"/>
    <w:rsid w:val="0054195A"/>
    <w:rsid w:val="00544C49"/>
    <w:rsid w:val="00555BE7"/>
    <w:rsid w:val="005574F9"/>
    <w:rsid w:val="0057402A"/>
    <w:rsid w:val="005771D0"/>
    <w:rsid w:val="005816E5"/>
    <w:rsid w:val="0059191A"/>
    <w:rsid w:val="005921FF"/>
    <w:rsid w:val="00592718"/>
    <w:rsid w:val="005A6D0E"/>
    <w:rsid w:val="005B222D"/>
    <w:rsid w:val="005B52B0"/>
    <w:rsid w:val="005B6806"/>
    <w:rsid w:val="005C00F9"/>
    <w:rsid w:val="005C2235"/>
    <w:rsid w:val="005C4225"/>
    <w:rsid w:val="005C44DD"/>
    <w:rsid w:val="005F0F33"/>
    <w:rsid w:val="00600DEB"/>
    <w:rsid w:val="00605DE2"/>
    <w:rsid w:val="00613027"/>
    <w:rsid w:val="00627C9F"/>
    <w:rsid w:val="006311DA"/>
    <w:rsid w:val="006311E9"/>
    <w:rsid w:val="006318B2"/>
    <w:rsid w:val="00632354"/>
    <w:rsid w:val="00642810"/>
    <w:rsid w:val="00652333"/>
    <w:rsid w:val="00653EA6"/>
    <w:rsid w:val="006565A3"/>
    <w:rsid w:val="006614CA"/>
    <w:rsid w:val="0068009E"/>
    <w:rsid w:val="006A17D2"/>
    <w:rsid w:val="006A73E6"/>
    <w:rsid w:val="006B2D5C"/>
    <w:rsid w:val="006C4EB1"/>
    <w:rsid w:val="006D4707"/>
    <w:rsid w:val="006D670B"/>
    <w:rsid w:val="006E0166"/>
    <w:rsid w:val="006E7B34"/>
    <w:rsid w:val="00701B24"/>
    <w:rsid w:val="0071495F"/>
    <w:rsid w:val="0073798E"/>
    <w:rsid w:val="00745899"/>
    <w:rsid w:val="00753531"/>
    <w:rsid w:val="007607C4"/>
    <w:rsid w:val="0076643F"/>
    <w:rsid w:val="00781653"/>
    <w:rsid w:val="0078316A"/>
    <w:rsid w:val="007A2F70"/>
    <w:rsid w:val="007C3334"/>
    <w:rsid w:val="007C52BB"/>
    <w:rsid w:val="007D2B98"/>
    <w:rsid w:val="007F196E"/>
    <w:rsid w:val="00803F1C"/>
    <w:rsid w:val="0080600E"/>
    <w:rsid w:val="00817612"/>
    <w:rsid w:val="00817B4C"/>
    <w:rsid w:val="008349C1"/>
    <w:rsid w:val="00837C45"/>
    <w:rsid w:val="00853419"/>
    <w:rsid w:val="0089547F"/>
    <w:rsid w:val="00897E12"/>
    <w:rsid w:val="008C0090"/>
    <w:rsid w:val="008D43BA"/>
    <w:rsid w:val="008E3759"/>
    <w:rsid w:val="009041DC"/>
    <w:rsid w:val="009104B4"/>
    <w:rsid w:val="009228DA"/>
    <w:rsid w:val="00925FCD"/>
    <w:rsid w:val="0093441A"/>
    <w:rsid w:val="00935177"/>
    <w:rsid w:val="00954BF7"/>
    <w:rsid w:val="0096706E"/>
    <w:rsid w:val="00981FBA"/>
    <w:rsid w:val="009B381B"/>
    <w:rsid w:val="009D11E9"/>
    <w:rsid w:val="009D7611"/>
    <w:rsid w:val="009E53DE"/>
    <w:rsid w:val="009E566A"/>
    <w:rsid w:val="00A0577C"/>
    <w:rsid w:val="00A12DBC"/>
    <w:rsid w:val="00A2022F"/>
    <w:rsid w:val="00A43458"/>
    <w:rsid w:val="00A528D1"/>
    <w:rsid w:val="00A56E3B"/>
    <w:rsid w:val="00A66BE5"/>
    <w:rsid w:val="00AB7570"/>
    <w:rsid w:val="00AD37C1"/>
    <w:rsid w:val="00AE31E9"/>
    <w:rsid w:val="00AE66EC"/>
    <w:rsid w:val="00AE6F91"/>
    <w:rsid w:val="00AF5571"/>
    <w:rsid w:val="00B04A2C"/>
    <w:rsid w:val="00B06BB7"/>
    <w:rsid w:val="00B167E9"/>
    <w:rsid w:val="00B179ED"/>
    <w:rsid w:val="00B312E6"/>
    <w:rsid w:val="00B314DB"/>
    <w:rsid w:val="00B31EBE"/>
    <w:rsid w:val="00B3718B"/>
    <w:rsid w:val="00B44B23"/>
    <w:rsid w:val="00B4632A"/>
    <w:rsid w:val="00B82D08"/>
    <w:rsid w:val="00B92E49"/>
    <w:rsid w:val="00BA276C"/>
    <w:rsid w:val="00BB306F"/>
    <w:rsid w:val="00BD232B"/>
    <w:rsid w:val="00BD2E42"/>
    <w:rsid w:val="00BD4B89"/>
    <w:rsid w:val="00C070FA"/>
    <w:rsid w:val="00C1514A"/>
    <w:rsid w:val="00C21762"/>
    <w:rsid w:val="00C24543"/>
    <w:rsid w:val="00C256A2"/>
    <w:rsid w:val="00C3492D"/>
    <w:rsid w:val="00C55560"/>
    <w:rsid w:val="00C5637C"/>
    <w:rsid w:val="00C66B72"/>
    <w:rsid w:val="00C9567A"/>
    <w:rsid w:val="00CA6577"/>
    <w:rsid w:val="00CB2660"/>
    <w:rsid w:val="00CB7AFD"/>
    <w:rsid w:val="00CC5E90"/>
    <w:rsid w:val="00CD046C"/>
    <w:rsid w:val="00CE5199"/>
    <w:rsid w:val="00CE66D5"/>
    <w:rsid w:val="00CF73A0"/>
    <w:rsid w:val="00D34786"/>
    <w:rsid w:val="00D40A1E"/>
    <w:rsid w:val="00D533C0"/>
    <w:rsid w:val="00D712D3"/>
    <w:rsid w:val="00D71422"/>
    <w:rsid w:val="00D7145E"/>
    <w:rsid w:val="00D75084"/>
    <w:rsid w:val="00D7558D"/>
    <w:rsid w:val="00D81D92"/>
    <w:rsid w:val="00D85D44"/>
    <w:rsid w:val="00D93446"/>
    <w:rsid w:val="00DA7B5F"/>
    <w:rsid w:val="00DF078B"/>
    <w:rsid w:val="00DF350D"/>
    <w:rsid w:val="00DF5A8F"/>
    <w:rsid w:val="00E227C1"/>
    <w:rsid w:val="00E43157"/>
    <w:rsid w:val="00E47F3D"/>
    <w:rsid w:val="00E533FF"/>
    <w:rsid w:val="00E709B3"/>
    <w:rsid w:val="00E7588C"/>
    <w:rsid w:val="00E76370"/>
    <w:rsid w:val="00E850B6"/>
    <w:rsid w:val="00E8789F"/>
    <w:rsid w:val="00E97B71"/>
    <w:rsid w:val="00EB454D"/>
    <w:rsid w:val="00ED0D1B"/>
    <w:rsid w:val="00EE3522"/>
    <w:rsid w:val="00EF619B"/>
    <w:rsid w:val="00F00B55"/>
    <w:rsid w:val="00F1380F"/>
    <w:rsid w:val="00F140E4"/>
    <w:rsid w:val="00F14F0E"/>
    <w:rsid w:val="00F15A3B"/>
    <w:rsid w:val="00F24C29"/>
    <w:rsid w:val="00F253CC"/>
    <w:rsid w:val="00F42B71"/>
    <w:rsid w:val="00F56BA5"/>
    <w:rsid w:val="00F621C3"/>
    <w:rsid w:val="00F644E6"/>
    <w:rsid w:val="00F9653B"/>
    <w:rsid w:val="00FA734C"/>
    <w:rsid w:val="00FB62CF"/>
    <w:rsid w:val="00FB7329"/>
    <w:rsid w:val="00FC3EB4"/>
    <w:rsid w:val="00FC6C58"/>
    <w:rsid w:val="00FE2B99"/>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FE2B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2E1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3107">
      <w:bodyDiv w:val="1"/>
      <w:marLeft w:val="0"/>
      <w:marRight w:val="0"/>
      <w:marTop w:val="0"/>
      <w:marBottom w:val="0"/>
      <w:divBdr>
        <w:top w:val="none" w:sz="0" w:space="0" w:color="auto"/>
        <w:left w:val="none" w:sz="0" w:space="0" w:color="auto"/>
        <w:bottom w:val="none" w:sz="0" w:space="0" w:color="auto"/>
        <w:right w:val="none" w:sz="0" w:space="0" w:color="auto"/>
      </w:divBdr>
    </w:div>
    <w:div w:id="209801373">
      <w:bodyDiv w:val="1"/>
      <w:marLeft w:val="0"/>
      <w:marRight w:val="0"/>
      <w:marTop w:val="0"/>
      <w:marBottom w:val="0"/>
      <w:divBdr>
        <w:top w:val="none" w:sz="0" w:space="0" w:color="auto"/>
        <w:left w:val="none" w:sz="0" w:space="0" w:color="auto"/>
        <w:bottom w:val="none" w:sz="0" w:space="0" w:color="auto"/>
        <w:right w:val="none" w:sz="0" w:space="0" w:color="auto"/>
      </w:divBdr>
    </w:div>
    <w:div w:id="379014748">
      <w:bodyDiv w:val="1"/>
      <w:marLeft w:val="0"/>
      <w:marRight w:val="0"/>
      <w:marTop w:val="0"/>
      <w:marBottom w:val="0"/>
      <w:divBdr>
        <w:top w:val="none" w:sz="0" w:space="0" w:color="auto"/>
        <w:left w:val="none" w:sz="0" w:space="0" w:color="auto"/>
        <w:bottom w:val="none" w:sz="0" w:space="0" w:color="auto"/>
        <w:right w:val="none" w:sz="0" w:space="0" w:color="auto"/>
      </w:divBdr>
    </w:div>
    <w:div w:id="646326970">
      <w:bodyDiv w:val="1"/>
      <w:marLeft w:val="0"/>
      <w:marRight w:val="0"/>
      <w:marTop w:val="0"/>
      <w:marBottom w:val="0"/>
      <w:divBdr>
        <w:top w:val="none" w:sz="0" w:space="0" w:color="auto"/>
        <w:left w:val="none" w:sz="0" w:space="0" w:color="auto"/>
        <w:bottom w:val="none" w:sz="0" w:space="0" w:color="auto"/>
        <w:right w:val="none" w:sz="0" w:space="0" w:color="auto"/>
      </w:divBdr>
    </w:div>
    <w:div w:id="958561365">
      <w:bodyDiv w:val="1"/>
      <w:marLeft w:val="0"/>
      <w:marRight w:val="0"/>
      <w:marTop w:val="0"/>
      <w:marBottom w:val="0"/>
      <w:divBdr>
        <w:top w:val="none" w:sz="0" w:space="0" w:color="auto"/>
        <w:left w:val="none" w:sz="0" w:space="0" w:color="auto"/>
        <w:bottom w:val="none" w:sz="0" w:space="0" w:color="auto"/>
        <w:right w:val="none" w:sz="0" w:space="0" w:color="auto"/>
      </w:divBdr>
    </w:div>
    <w:div w:id="177277199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A9E51DDC514D7CB7E0B1F66E030BF5"/>
        <w:category>
          <w:name w:val="General"/>
          <w:gallery w:val="placeholder"/>
        </w:category>
        <w:types>
          <w:type w:val="bbPlcHdr"/>
        </w:types>
        <w:behaviors>
          <w:behavior w:val="content"/>
        </w:behaviors>
        <w:guid w:val="{9202C3D2-DFAB-4360-BA15-B929802A130B}"/>
      </w:docPartPr>
      <w:docPartBody>
        <w:p w:rsidR="000B5152" w:rsidRDefault="000C3D69" w:rsidP="000C3D69">
          <w:pPr>
            <w:pStyle w:val="3BA9E51DDC514D7CB7E0B1F66E030BF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1440F"/>
    <w:rsid w:val="000B46AA"/>
    <w:rsid w:val="000B5152"/>
    <w:rsid w:val="000C3D69"/>
    <w:rsid w:val="001268BF"/>
    <w:rsid w:val="00337BD8"/>
    <w:rsid w:val="00357051"/>
    <w:rsid w:val="004108B1"/>
    <w:rsid w:val="007640DB"/>
    <w:rsid w:val="00A85B94"/>
    <w:rsid w:val="00AB44F1"/>
    <w:rsid w:val="00DD64AF"/>
    <w:rsid w:val="00E715BD"/>
    <w:rsid w:val="00EA0868"/>
    <w:rsid w:val="00F6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D69"/>
    <w:rPr>
      <w:color w:val="808080"/>
    </w:rPr>
  </w:style>
  <w:style w:type="paragraph" w:customStyle="1" w:styleId="3BA9E51DDC514D7CB7E0B1F66E030BF5">
    <w:name w:val="3BA9E51DDC514D7CB7E0B1F66E030BF5"/>
    <w:rsid w:val="000C3D69"/>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4021</Words>
  <Characters>22921</Characters>
  <Application>Microsoft Office Word</Application>
  <DocSecurity>0</DocSecurity>
  <Lines>191</Lines>
  <Paragraphs>53</Paragraphs>
  <ScaleCrop>false</ScaleCrop>
  <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2023-09-26T18:46:00Z</dcterms:created>
  <dcterms:modified xsi:type="dcterms:W3CDTF">2023-09-26T18:46:00Z</dcterms:modified>
</cp:coreProperties>
</file>