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474BC4E3" w:rsidR="00040C3A" w:rsidRPr="001E0DF4" w:rsidRDefault="0074205F" w:rsidP="00627C9F">
      <w:pPr>
        <w:jc w:val="both"/>
        <w:rPr>
          <w:rFonts w:asciiTheme="majorHAnsi" w:hAnsiTheme="majorHAnsi" w:cs="Univers"/>
          <w:b/>
          <w:bCs/>
          <w:sz w:val="22"/>
          <w:szCs w:val="22"/>
        </w:rPr>
      </w:pPr>
      <w:r w:rsidRPr="001E0DF4">
        <w:rPr>
          <w:rFonts w:asciiTheme="majorHAnsi" w:hAnsiTheme="majorHAnsi" w:cs="Univers"/>
          <w:b/>
          <w:bCs/>
          <w:noProof/>
          <w:sz w:val="22"/>
          <w:szCs w:val="22"/>
        </w:rPr>
        <mc:AlternateContent>
          <mc:Choice Requires="wpg">
            <w:drawing>
              <wp:anchor distT="0" distB="0" distL="114300" distR="114300" simplePos="0" relativeHeight="251684864" behindDoc="0" locked="0" layoutInCell="1" allowOverlap="1" wp14:anchorId="40CD0E42" wp14:editId="7B330575">
                <wp:simplePos x="0" y="0"/>
                <wp:positionH relativeFrom="margin">
                  <wp:align>center</wp:align>
                </wp:positionH>
                <wp:positionV relativeFrom="paragraph">
                  <wp:posOffset>-381000</wp:posOffset>
                </wp:positionV>
                <wp:extent cx="6448179" cy="8991278"/>
                <wp:effectExtent l="0" t="0" r="0" b="635"/>
                <wp:wrapNone/>
                <wp:docPr id="1559074382" name="Grupo 3"/>
                <wp:cNvGraphicFramePr/>
                <a:graphic xmlns:a="http://schemas.openxmlformats.org/drawingml/2006/main">
                  <a:graphicData uri="http://schemas.microsoft.com/office/word/2010/wordprocessingGroup">
                    <wpg:wgp>
                      <wpg:cNvGrpSpPr/>
                      <wpg:grpSpPr>
                        <a:xfrm>
                          <a:off x="0" y="0"/>
                          <a:ext cx="6448179" cy="8991278"/>
                          <a:chOff x="0" y="0"/>
                          <a:chExt cx="6448179" cy="8991278"/>
                        </a:xfrm>
                      </wpg:grpSpPr>
                      <wps:wsp>
                        <wps:cNvPr id="2026148511" name="Text Box 2"/>
                        <wps:cNvSpPr txBox="1"/>
                        <wps:spPr>
                          <a:xfrm>
                            <a:off x="1610436" y="8488908"/>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3A76A" w14:textId="77777777" w:rsidR="0074205F" w:rsidRDefault="0074205F" w:rsidP="0074205F">
                              <w:r>
                                <w:rPr>
                                  <w:noProof/>
                                </w:rPr>
                                <w:drawing>
                                  <wp:inline distT="0" distB="0" distL="0" distR="0" wp14:anchorId="2A4A5FDB" wp14:editId="024C1FF1">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38591406" name="Grupo 2"/>
                        <wpg:cNvGrpSpPr/>
                        <wpg:grpSpPr>
                          <a:xfrm>
                            <a:off x="0" y="0"/>
                            <a:ext cx="6448179" cy="8991278"/>
                            <a:chOff x="0" y="0"/>
                            <a:chExt cx="6448179" cy="8991278"/>
                          </a:xfrm>
                        </wpg:grpSpPr>
                        <wps:wsp>
                          <wps:cNvPr id="1443305705" name="Text Box 11"/>
                          <wps:cNvSpPr txBox="1"/>
                          <wps:spPr>
                            <a:xfrm>
                              <a:off x="1555845"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09B0" w14:textId="77777777" w:rsidR="0074205F" w:rsidRDefault="0074205F" w:rsidP="0074205F">
                                <w:r>
                                  <w:rPr>
                                    <w:noProof/>
                                  </w:rPr>
                                  <w:drawing>
                                    <wp:inline distT="0" distB="0" distL="0" distR="0" wp14:anchorId="5AEA7410" wp14:editId="6F73737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7945402" name="Grupo 1"/>
                          <wpg:cNvGrpSpPr/>
                          <wpg:grpSpPr>
                            <a:xfrm>
                              <a:off x="0" y="13648"/>
                              <a:ext cx="6448179" cy="8977630"/>
                              <a:chOff x="0" y="0"/>
                              <a:chExt cx="6448179" cy="8977630"/>
                            </a:xfrm>
                          </wpg:grpSpPr>
                          <wps:wsp>
                            <wps:cNvPr id="1481765216" name="Rectangle 1"/>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232722" name="Text Box 5"/>
                            <wps:cNvSpPr txBox="1"/>
                            <wps:spPr>
                              <a:xfrm>
                                <a:off x="1624084" y="2729552"/>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21540D" w14:textId="3D2B1171" w:rsidR="0074205F" w:rsidRPr="00C67DDB" w:rsidRDefault="0074205F" w:rsidP="0074205F">
                                  <w:pPr>
                                    <w:spacing w:line="276" w:lineRule="auto"/>
                                    <w:rPr>
                                      <w:rFonts w:ascii="Cambria" w:hAnsi="Cambria" w:cs="Arial"/>
                                      <w:b/>
                                      <w:bCs/>
                                      <w:color w:val="0D0D0D" w:themeColor="text1" w:themeTint="F2"/>
                                      <w:sz w:val="36"/>
                                      <w:szCs w:val="40"/>
                                    </w:rPr>
                                  </w:pPr>
                                  <w:r w:rsidRPr="00C67DDB">
                                    <w:rPr>
                                      <w:rFonts w:ascii="Cambria" w:hAnsi="Cambria" w:cs="Arial"/>
                                      <w:b/>
                                      <w:bCs/>
                                      <w:color w:val="0D0D0D" w:themeColor="text1" w:themeTint="F2"/>
                                      <w:sz w:val="36"/>
                                      <w:szCs w:val="40"/>
                                    </w:rPr>
                                    <w:t xml:space="preserve">REPORT No. </w:t>
                                  </w:r>
                                  <w:r w:rsidR="000D17D9">
                                    <w:rPr>
                                      <w:rFonts w:ascii="Cambria" w:hAnsi="Cambria" w:cs="Arial"/>
                                      <w:b/>
                                      <w:bCs/>
                                      <w:color w:val="0D0D0D" w:themeColor="text1" w:themeTint="F2"/>
                                      <w:sz w:val="36"/>
                                      <w:szCs w:val="40"/>
                                    </w:rPr>
                                    <w:t>252</w:t>
                                  </w:r>
                                  <w:r w:rsidRPr="00C67DDB">
                                    <w:rPr>
                                      <w:rFonts w:ascii="Cambria" w:hAnsi="Cambria" w:cs="Arial"/>
                                      <w:b/>
                                      <w:bCs/>
                                      <w:color w:val="0D0D0D" w:themeColor="text1" w:themeTint="F2"/>
                                      <w:sz w:val="36"/>
                                      <w:szCs w:val="40"/>
                                    </w:rPr>
                                    <w:t>/23</w:t>
                                  </w:r>
                                </w:p>
                                <w:p w14:paraId="08A25D01" w14:textId="77777777" w:rsidR="0074205F" w:rsidRPr="00C67DDB" w:rsidRDefault="0074205F" w:rsidP="0074205F">
                                  <w:pPr>
                                    <w:spacing w:line="276" w:lineRule="auto"/>
                                    <w:rPr>
                                      <w:rFonts w:ascii="Cambria" w:hAnsi="Cambria" w:cs="Arial"/>
                                      <w:b/>
                                      <w:bCs/>
                                      <w:color w:val="0D0D0D" w:themeColor="text1" w:themeTint="F2"/>
                                      <w:sz w:val="36"/>
                                      <w:szCs w:val="40"/>
                                    </w:rPr>
                                  </w:pPr>
                                  <w:r w:rsidRPr="00C67DDB">
                                    <w:rPr>
                                      <w:rFonts w:ascii="Cambria" w:hAnsi="Cambria" w:cs="Arial"/>
                                      <w:b/>
                                      <w:bCs/>
                                      <w:color w:val="0D0D0D" w:themeColor="text1" w:themeTint="F2"/>
                                      <w:sz w:val="36"/>
                                      <w:szCs w:val="40"/>
                                    </w:rPr>
                                    <w:t xml:space="preserve">PETITION </w:t>
                                  </w:r>
                                  <w:r w:rsidRPr="00E7759F">
                                    <w:rPr>
                                      <w:rFonts w:asciiTheme="majorHAnsi" w:hAnsiTheme="majorHAnsi" w:cs="Arial"/>
                                      <w:b/>
                                      <w:color w:val="0D0D0D" w:themeColor="text1" w:themeTint="F2"/>
                                      <w:sz w:val="36"/>
                                      <w:szCs w:val="22"/>
                                    </w:rPr>
                                    <w:t>1998-17</w:t>
                                  </w:r>
                                </w:p>
                                <w:p w14:paraId="57D6A084" w14:textId="77777777" w:rsidR="0074205F" w:rsidRPr="00C67DDB" w:rsidRDefault="0074205F" w:rsidP="0074205F">
                                  <w:pPr>
                                    <w:spacing w:line="276" w:lineRule="auto"/>
                                    <w:rPr>
                                      <w:rFonts w:ascii="Cambria" w:hAnsi="Cambria" w:cs="Arial"/>
                                      <w:color w:val="0D0D0D" w:themeColor="text1" w:themeTint="F2"/>
                                      <w:szCs w:val="22"/>
                                    </w:rPr>
                                  </w:pPr>
                                  <w:r w:rsidRPr="00C67DDB">
                                    <w:rPr>
                                      <w:rFonts w:ascii="Cambria" w:hAnsi="Cambria" w:cs="Arial"/>
                                      <w:color w:val="0D0D0D" w:themeColor="text1" w:themeTint="F2"/>
                                      <w:szCs w:val="22"/>
                                    </w:rPr>
                                    <w:t xml:space="preserve">REPORT ON </w:t>
                                  </w:r>
                                  <w:r>
                                    <w:rPr>
                                      <w:rFonts w:ascii="Cambria" w:hAnsi="Cambria" w:cs="Arial"/>
                                      <w:color w:val="0D0D0D" w:themeColor="text1" w:themeTint="F2"/>
                                      <w:szCs w:val="22"/>
                                    </w:rPr>
                                    <w:t>INADMISSIBILITY</w:t>
                                  </w:r>
                                </w:p>
                                <w:p w14:paraId="5FD8C7C9" w14:textId="77777777" w:rsidR="0074205F" w:rsidRPr="00C67DDB" w:rsidRDefault="0074205F" w:rsidP="0074205F">
                                  <w:pPr>
                                    <w:spacing w:line="276" w:lineRule="auto"/>
                                    <w:rPr>
                                      <w:rFonts w:ascii="Cambria" w:hAnsi="Cambria" w:cs="Arial"/>
                                      <w:color w:val="0D0D0D" w:themeColor="text1" w:themeTint="F2"/>
                                      <w:szCs w:val="22"/>
                                    </w:rPr>
                                  </w:pPr>
                                </w:p>
                                <w:p w14:paraId="1A755013" w14:textId="77777777" w:rsidR="0074205F" w:rsidRPr="0010736F" w:rsidRDefault="0074205F" w:rsidP="0074205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GINA MARÍA GONZÁLEZ DOMÍNGUEZ </w:t>
                                  </w:r>
                                </w:p>
                                <w:p w14:paraId="218DAB84" w14:textId="77777777" w:rsidR="0074205F" w:rsidRPr="008B58E4" w:rsidRDefault="0074205F" w:rsidP="0074205F">
                                  <w:pPr>
                                    <w:spacing w:line="276" w:lineRule="auto"/>
                                    <w:rPr>
                                      <w:rFonts w:asciiTheme="majorHAnsi" w:hAnsiTheme="majorHAnsi" w:cs="Arial"/>
                                      <w:color w:val="0D0D0D"/>
                                      <w:szCs w:val="22"/>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7137632" name="Text Box 7"/>
                            <wps:cNvSpPr txBox="1"/>
                            <wps:spPr>
                              <a:xfrm>
                                <a:off x="1610339" y="6370323"/>
                                <a:ext cx="4595495" cy="7533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75A75" w14:textId="15E1D947" w:rsidR="0074205F" w:rsidRPr="00F25F41" w:rsidRDefault="0074205F" w:rsidP="0074205F">
                                  <w:pPr>
                                    <w:tabs>
                                      <w:tab w:val="center" w:pos="5400"/>
                                    </w:tabs>
                                    <w:suppressAutoHyphens/>
                                    <w:spacing w:before="60"/>
                                    <w:rPr>
                                      <w:rFonts w:ascii="Cambria" w:hAnsi="Cambria"/>
                                      <w:color w:val="0D0D0D" w:themeColor="text1" w:themeTint="F2"/>
                                      <w:sz w:val="18"/>
                                      <w:szCs w:val="22"/>
                                    </w:rPr>
                                  </w:pPr>
                                  <w:r w:rsidRPr="007B0FA4">
                                    <w:rPr>
                                      <w:rFonts w:ascii="Cambria" w:hAnsi="Cambria"/>
                                      <w:color w:val="0D0D0D" w:themeColor="text1" w:themeTint="F2"/>
                                      <w:sz w:val="18"/>
                                      <w:szCs w:val="20"/>
                                    </w:rPr>
                                    <w:t xml:space="preserve">Approved by the Commission electronically on </w:t>
                                  </w:r>
                                  <w:r w:rsidR="000D17D9">
                                    <w:rPr>
                                      <w:rFonts w:ascii="Cambria" w:hAnsi="Cambria"/>
                                      <w:color w:val="0D0D0D" w:themeColor="text1" w:themeTint="F2"/>
                                      <w:sz w:val="18"/>
                                      <w:szCs w:val="20"/>
                                    </w:rPr>
                                    <w:t>October</w:t>
                                  </w:r>
                                  <w:r w:rsidRPr="00F25F41">
                                    <w:rPr>
                                      <w:rFonts w:ascii="Cambria" w:hAnsi="Cambria"/>
                                      <w:color w:val="0D0D0D" w:themeColor="text1" w:themeTint="F2"/>
                                      <w:sz w:val="18"/>
                                      <w:szCs w:val="20"/>
                                    </w:rPr>
                                    <w:t xml:space="preserve"> </w:t>
                                  </w:r>
                                  <w:r w:rsidR="000D17D9">
                                    <w:rPr>
                                      <w:rFonts w:ascii="Cambria" w:hAnsi="Cambria"/>
                                      <w:color w:val="0D0D0D" w:themeColor="text1" w:themeTint="F2"/>
                                      <w:sz w:val="18"/>
                                      <w:szCs w:val="20"/>
                                    </w:rPr>
                                    <w:t>10</w:t>
                                  </w:r>
                                  <w:r w:rsidRPr="00F25F41">
                                    <w:rPr>
                                      <w:rFonts w:ascii="Cambria" w:hAnsi="Cambria"/>
                                      <w:color w:val="0D0D0D" w:themeColor="text1" w:themeTint="F2"/>
                                      <w:sz w:val="18"/>
                                      <w:szCs w:val="20"/>
                                    </w:rPr>
                                    <w:t>, 2023</w:t>
                                  </w:r>
                                  <w:r w:rsidRPr="00F25F41">
                                    <w:rPr>
                                      <w:rFonts w:ascii="Cambria" w:hAnsi="Cambria"/>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5527244" name="Text Box 8"/>
                            <wps:cNvSpPr txBox="1"/>
                            <wps:spPr>
                              <a:xfrm>
                                <a:off x="40943" y="2770496"/>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5F16E" w14:textId="2E9026BB" w:rsidR="0074205F" w:rsidRPr="007B793E" w:rsidRDefault="0074205F" w:rsidP="0074205F">
                                  <w:pPr>
                                    <w:jc w:val="right"/>
                                    <w:rPr>
                                      <w:rFonts w:ascii="Calibri" w:hAnsi="Calibri" w:cs="Calibri"/>
                                      <w:color w:val="FFFFFF" w:themeColor="background1"/>
                                      <w:sz w:val="22"/>
                                      <w:lang w:val="pt-BR"/>
                                    </w:rPr>
                                  </w:pPr>
                                  <w:r w:rsidRPr="007B793E">
                                    <w:rPr>
                                      <w:rFonts w:ascii="Calibri" w:hAnsi="Calibri" w:cs="Calibri"/>
                                      <w:color w:val="FFFFFF" w:themeColor="background1"/>
                                      <w:sz w:val="22"/>
                                      <w:lang w:val="pt-BR"/>
                                    </w:rPr>
                                    <w:t>OAS/Ser.L/V/II</w:t>
                                  </w:r>
                                </w:p>
                                <w:p w14:paraId="77EBC1E7" w14:textId="0D631E5A" w:rsidR="0074205F" w:rsidRPr="000D17D9" w:rsidRDefault="0074205F" w:rsidP="0074205F">
                                  <w:pPr>
                                    <w:jc w:val="right"/>
                                    <w:rPr>
                                      <w:rFonts w:ascii="Calibri" w:hAnsi="Calibri" w:cs="Calibri"/>
                                      <w:color w:val="FFFFFF" w:themeColor="background1"/>
                                      <w:sz w:val="22"/>
                                    </w:rPr>
                                  </w:pPr>
                                  <w:r w:rsidRPr="007B0FA4">
                                    <w:rPr>
                                      <w:rFonts w:ascii="Calibri" w:hAnsi="Calibri" w:cs="Calibri"/>
                                      <w:color w:val="FFFFFF" w:themeColor="background1"/>
                                      <w:sz w:val="22"/>
                                    </w:rPr>
                                    <w:t>Doc</w:t>
                                  </w:r>
                                  <w:r w:rsidRPr="000D17D9">
                                    <w:rPr>
                                      <w:rFonts w:ascii="Calibri" w:hAnsi="Calibri" w:cs="Calibri"/>
                                      <w:color w:val="FFFFFF" w:themeColor="background1"/>
                                      <w:sz w:val="22"/>
                                    </w:rPr>
                                    <w:t xml:space="preserve">. </w:t>
                                  </w:r>
                                  <w:r w:rsidR="000D17D9" w:rsidRPr="000D17D9">
                                    <w:rPr>
                                      <w:rFonts w:ascii="Calibri" w:hAnsi="Calibri" w:cs="Calibri"/>
                                      <w:color w:val="FFFFFF" w:themeColor="background1"/>
                                      <w:sz w:val="22"/>
                                    </w:rPr>
                                    <w:t>271</w:t>
                                  </w:r>
                                </w:p>
                                <w:p w14:paraId="2A7ABCEC" w14:textId="24AC194C" w:rsidR="0074205F" w:rsidRPr="000D17D9" w:rsidRDefault="0074205F" w:rsidP="0074205F">
                                  <w:pPr>
                                    <w:jc w:val="right"/>
                                    <w:rPr>
                                      <w:rFonts w:ascii="Calibri" w:hAnsi="Calibri" w:cs="Calibri"/>
                                      <w:color w:val="FFFFFF" w:themeColor="background1"/>
                                      <w:sz w:val="22"/>
                                    </w:rPr>
                                  </w:pPr>
                                  <w:r w:rsidRPr="000D17D9">
                                    <w:rPr>
                                      <w:rFonts w:ascii="Calibri" w:hAnsi="Calibri" w:cs="Calibri"/>
                                      <w:color w:val="FFFFFF" w:themeColor="background1"/>
                                      <w:sz w:val="22"/>
                                    </w:rPr>
                                    <w:t xml:space="preserve"> </w:t>
                                  </w:r>
                                  <w:r w:rsidR="000D17D9" w:rsidRPr="000D17D9">
                                    <w:rPr>
                                      <w:rFonts w:ascii="Calibri" w:hAnsi="Calibri" w:cs="Calibri"/>
                                      <w:color w:val="FFFFFF" w:themeColor="background1"/>
                                      <w:sz w:val="22"/>
                                    </w:rPr>
                                    <w:t>October</w:t>
                                  </w:r>
                                  <w:r w:rsidRPr="000D17D9">
                                    <w:rPr>
                                      <w:rFonts w:ascii="Calibri" w:hAnsi="Calibri" w:cs="Calibri"/>
                                      <w:color w:val="FFFFFF" w:themeColor="background1"/>
                                      <w:sz w:val="22"/>
                                    </w:rPr>
                                    <w:t xml:space="preserve"> </w:t>
                                  </w:r>
                                  <w:r w:rsidR="000D17D9" w:rsidRPr="000D17D9">
                                    <w:rPr>
                                      <w:rFonts w:ascii="Calibri" w:hAnsi="Calibri" w:cs="Calibri"/>
                                      <w:color w:val="FFFFFF" w:themeColor="background1"/>
                                      <w:sz w:val="22"/>
                                    </w:rPr>
                                    <w:t xml:space="preserve">10, </w:t>
                                  </w:r>
                                  <w:r w:rsidRPr="000D17D9">
                                    <w:rPr>
                                      <w:rFonts w:ascii="Calibri" w:hAnsi="Calibri" w:cs="Calibri"/>
                                      <w:color w:val="FFFFFF" w:themeColor="background1"/>
                                      <w:sz w:val="22"/>
                                    </w:rPr>
                                    <w:t>2023</w:t>
                                  </w:r>
                                </w:p>
                                <w:p w14:paraId="41AE62E8" w14:textId="77777777" w:rsidR="0074205F" w:rsidRPr="000D17D9" w:rsidRDefault="0074205F" w:rsidP="0074205F">
                                  <w:pPr>
                                    <w:jc w:val="right"/>
                                    <w:rPr>
                                      <w:rFonts w:ascii="Calibri" w:hAnsi="Calibri" w:cs="Calibri"/>
                                      <w:color w:val="FFFFFF" w:themeColor="background1"/>
                                      <w:sz w:val="22"/>
                                    </w:rPr>
                                  </w:pPr>
                                  <w:r w:rsidRPr="000D17D9">
                                    <w:rPr>
                                      <w:rFonts w:ascii="Calibri" w:hAnsi="Calibri" w:cs="Calibr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686825" name="Text Box 14"/>
                            <wps:cNvSpPr txBox="1"/>
                            <wps:spPr>
                              <a:xfrm>
                                <a:off x="1624084" y="7301552"/>
                                <a:ext cx="4824095" cy="718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52876" w14:textId="79F03369" w:rsidR="0074205F" w:rsidRPr="00F25F41" w:rsidRDefault="0074205F" w:rsidP="0074205F">
                                  <w:pPr>
                                    <w:spacing w:line="276" w:lineRule="auto"/>
                                    <w:rPr>
                                      <w:rFonts w:ascii="Cambria" w:hAnsi="Cambria"/>
                                      <w:color w:val="595959" w:themeColor="text1" w:themeTint="A6"/>
                                      <w:sz w:val="18"/>
                                    </w:rPr>
                                  </w:pPr>
                                  <w:r w:rsidRPr="00F25F41">
                                    <w:rPr>
                                      <w:rFonts w:ascii="Cambria" w:hAnsi="Cambria"/>
                                      <w:b/>
                                      <w:color w:val="595959" w:themeColor="text1" w:themeTint="A6"/>
                                      <w:sz w:val="18"/>
                                    </w:rPr>
                                    <w:t xml:space="preserve">Cite as: </w:t>
                                  </w:r>
                                  <w:r w:rsidRPr="00F25F41">
                                    <w:rPr>
                                      <w:rFonts w:ascii="Cambria" w:hAnsi="Cambria"/>
                                      <w:color w:val="595959" w:themeColor="text1" w:themeTint="A6"/>
                                      <w:sz w:val="18"/>
                                    </w:rPr>
                                    <w:t xml:space="preserve">IACHR, </w:t>
                                  </w:r>
                                  <w:r w:rsidRPr="007B0FA4">
                                    <w:rPr>
                                      <w:rFonts w:ascii="Cambria" w:hAnsi="Cambria"/>
                                      <w:color w:val="595959" w:themeColor="text1" w:themeTint="A6"/>
                                      <w:sz w:val="18"/>
                                    </w:rPr>
                                    <w:t xml:space="preserve">Report No. </w:t>
                                  </w:r>
                                  <w:r w:rsidR="000D17D9">
                                    <w:rPr>
                                      <w:rFonts w:ascii="Cambria" w:hAnsi="Cambria"/>
                                      <w:color w:val="595959" w:themeColor="text1" w:themeTint="A6"/>
                                      <w:sz w:val="18"/>
                                    </w:rPr>
                                    <w:t>252</w:t>
                                  </w:r>
                                  <w:r w:rsidRPr="007B793E">
                                    <w:rPr>
                                      <w:rFonts w:ascii="Cambria" w:hAnsi="Cambria"/>
                                      <w:color w:val="595959" w:themeColor="text1" w:themeTint="A6"/>
                                      <w:sz w:val="18"/>
                                    </w:rPr>
                                    <w:t xml:space="preserve">/23, Petition 1998-17. </w:t>
                                  </w:r>
                                  <w:r w:rsidRPr="00E7759F">
                                    <w:rPr>
                                      <w:rFonts w:ascii="Cambria" w:hAnsi="Cambria"/>
                                      <w:color w:val="595959" w:themeColor="text1" w:themeTint="A6"/>
                                      <w:sz w:val="18"/>
                                      <w:lang w:val="es-CO"/>
                                    </w:rPr>
                                    <w:t xml:space="preserve">Inadmissibility. Gina María González Domínguez. </w:t>
                                  </w:r>
                                  <w:r w:rsidRPr="007B0FA4">
                                    <w:rPr>
                                      <w:rFonts w:ascii="Cambria" w:hAnsi="Cambria"/>
                                      <w:color w:val="595959" w:themeColor="text1" w:themeTint="A6"/>
                                      <w:sz w:val="18"/>
                                    </w:rPr>
                                    <w:t>Honduras</w:t>
                                  </w:r>
                                  <w:r w:rsidR="000D17D9">
                                    <w:rPr>
                                      <w:rFonts w:ascii="Cambria" w:hAnsi="Cambria"/>
                                      <w:color w:val="595959" w:themeColor="text1" w:themeTint="A6"/>
                                      <w:sz w:val="18"/>
                                    </w:rPr>
                                    <w:t>.</w:t>
                                  </w:r>
                                  <w:r w:rsidRPr="007B0FA4">
                                    <w:rPr>
                                      <w:rFonts w:ascii="Cambria" w:hAnsi="Cambria"/>
                                      <w:color w:val="595959" w:themeColor="text1" w:themeTint="A6"/>
                                      <w:sz w:val="18"/>
                                    </w:rPr>
                                    <w:t xml:space="preserve"> </w:t>
                                  </w:r>
                                  <w:r w:rsidR="000D17D9">
                                    <w:rPr>
                                      <w:rFonts w:ascii="Cambria" w:hAnsi="Cambria"/>
                                      <w:color w:val="595959" w:themeColor="text1" w:themeTint="A6"/>
                                      <w:sz w:val="18"/>
                                    </w:rPr>
                                    <w:t>October 10, 2023</w:t>
                                  </w:r>
                                  <w:r w:rsidRPr="007B0FA4">
                                    <w:rPr>
                                      <w:rFonts w:ascii="Cambria" w:hAnsi="Cambria"/>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9498657" name="Text Box 3"/>
                            <wps:cNvSpPr txBox="1"/>
                            <wps:spPr>
                              <a:xfrm>
                                <a:off x="109182" y="8611738"/>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10D11" w14:textId="77777777" w:rsidR="0074205F" w:rsidRPr="002B3748" w:rsidRDefault="0074205F" w:rsidP="0074205F">
                                  <w:pPr>
                                    <w:jc w:val="center"/>
                                    <w:rPr>
                                      <w:rFonts w:ascii="Calibri" w:hAnsi="Calibri" w:cs="Calibri"/>
                                      <w:b/>
                                      <w:color w:val="FFFFFF" w:themeColor="background1"/>
                                    </w:rPr>
                                  </w:pPr>
                                  <w:r w:rsidRPr="002B3748">
                                    <w:rPr>
                                      <w:rFonts w:ascii="Calibri" w:hAnsi="Calibri" w:cs="Calibri"/>
                                      <w:b/>
                                      <w:color w:val="FFFFFF" w:themeColor="background1"/>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40CD0E42" id="Grupo 3" o:spid="_x0000_s1026" style="position:absolute;left:0;text-align:left;margin-left:0;margin-top:-30pt;width:507.75pt;height:707.95pt;z-index:251684864;mso-position-horizontal:center;mso-position-horizontal-relative:margin" coordsize="64481,8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">
                <v:shapetype id="_x0000_t202" coordsize="21600,21600" o:spt="202" path="m,l,21600r21600,l21600,xe">
                  <v:stroke joinstyle="miter"/>
                  <v:path gradientshapeok="t" o:connecttype="rect"/>
                </v:shapetype>
                <v:shape id="Text Box 2" o:spid="_x0000_s1027" type="#_x0000_t202" style="position:absolute;left:16104;top:84889;width:2086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" fillcolor="white [3201]" stroked="f" strokeweight=".5pt">
                  <v:textbox>
                    <w:txbxContent>
                      <w:p w14:paraId="3E53A76A" w14:textId="77777777" w:rsidR="0074205F" w:rsidRDefault="0074205F" w:rsidP="0074205F">
                        <w:r>
                          <w:rPr>
                            <w:noProof/>
                          </w:rPr>
                          <w:drawing>
                            <wp:inline distT="0" distB="0" distL="0" distR="0" wp14:anchorId="2A4A5FDB" wp14:editId="024C1FF1">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v:group id="Grupo 2" o:spid="_x0000_s1028" style="position:absolute;width:64481;height:89912" coordsize="64481,8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">
                  <v:shape id="Text Box 11" o:spid="_x0000_s1029" type="#_x0000_t202" style="position:absolute;left:15558;width:44863;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" filled="f" stroked="f" strokeweight=".5pt">
                    <v:textbox>
                      <w:txbxContent>
                        <w:p w14:paraId="3D7209B0" w14:textId="77777777" w:rsidR="0074205F" w:rsidRDefault="0074205F" w:rsidP="0074205F">
                          <w:r>
                            <w:rPr>
                              <w:noProof/>
                            </w:rPr>
                            <w:drawing>
                              <wp:inline distT="0" distB="0" distL="0" distR="0" wp14:anchorId="5AEA7410" wp14:editId="6F73737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v:group id="Grupo 1" o:spid="_x0000_s1030" style="position:absolute;top:136;width:64481;height:89776" coordsize="6448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">
                    <v:rect id="Rectangle 1" o:spid="_x0000_s1031" style="position:absolute;width:14097;height:89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" fillcolor="#67ae3c" stroked="f" strokeweight="2pt"/>
                    <v:shape id="Text Box 5" o:spid="_x0000_s1032" type="#_x0000_t202" style="position:absolute;left:16240;top:27295;width:43339;height:2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" filled="f" stroked="f" strokeweight=".5pt">
                      <v:textbox>
                        <w:txbxContent>
                          <w:p w14:paraId="3B21540D" w14:textId="3D2B1171" w:rsidR="0074205F" w:rsidRPr="00C67DDB" w:rsidRDefault="0074205F" w:rsidP="0074205F">
                            <w:pPr>
                              <w:spacing w:line="276" w:lineRule="auto"/>
                              <w:rPr>
                                <w:rFonts w:ascii="Cambria" w:hAnsi="Cambria" w:cs="Arial"/>
                                <w:b/>
                                <w:bCs/>
                                <w:color w:val="0D0D0D" w:themeColor="text1" w:themeTint="F2"/>
                                <w:sz w:val="36"/>
                                <w:szCs w:val="40"/>
                              </w:rPr>
                            </w:pPr>
                            <w:r w:rsidRPr="00C67DDB">
                              <w:rPr>
                                <w:rFonts w:ascii="Cambria" w:hAnsi="Cambria" w:cs="Arial"/>
                                <w:b/>
                                <w:bCs/>
                                <w:color w:val="0D0D0D" w:themeColor="text1" w:themeTint="F2"/>
                                <w:sz w:val="36"/>
                                <w:szCs w:val="40"/>
                              </w:rPr>
                              <w:t xml:space="preserve">REPORT No. </w:t>
                            </w:r>
                            <w:r w:rsidR="000D17D9">
                              <w:rPr>
                                <w:rFonts w:ascii="Cambria" w:hAnsi="Cambria" w:cs="Arial"/>
                                <w:b/>
                                <w:bCs/>
                                <w:color w:val="0D0D0D" w:themeColor="text1" w:themeTint="F2"/>
                                <w:sz w:val="36"/>
                                <w:szCs w:val="40"/>
                              </w:rPr>
                              <w:t>252</w:t>
                            </w:r>
                            <w:r w:rsidRPr="00C67DDB">
                              <w:rPr>
                                <w:rFonts w:ascii="Cambria" w:hAnsi="Cambria" w:cs="Arial"/>
                                <w:b/>
                                <w:bCs/>
                                <w:color w:val="0D0D0D" w:themeColor="text1" w:themeTint="F2"/>
                                <w:sz w:val="36"/>
                                <w:szCs w:val="40"/>
                              </w:rPr>
                              <w:t>/23</w:t>
                            </w:r>
                          </w:p>
                          <w:p w14:paraId="08A25D01" w14:textId="77777777" w:rsidR="0074205F" w:rsidRPr="00C67DDB" w:rsidRDefault="0074205F" w:rsidP="0074205F">
                            <w:pPr>
                              <w:spacing w:line="276" w:lineRule="auto"/>
                              <w:rPr>
                                <w:rFonts w:ascii="Cambria" w:hAnsi="Cambria" w:cs="Arial"/>
                                <w:b/>
                                <w:bCs/>
                                <w:color w:val="0D0D0D" w:themeColor="text1" w:themeTint="F2"/>
                                <w:sz w:val="36"/>
                                <w:szCs w:val="40"/>
                              </w:rPr>
                            </w:pPr>
                            <w:r w:rsidRPr="00C67DDB">
                              <w:rPr>
                                <w:rFonts w:ascii="Cambria" w:hAnsi="Cambria" w:cs="Arial"/>
                                <w:b/>
                                <w:bCs/>
                                <w:color w:val="0D0D0D" w:themeColor="text1" w:themeTint="F2"/>
                                <w:sz w:val="36"/>
                                <w:szCs w:val="40"/>
                              </w:rPr>
                              <w:t xml:space="preserve">PETITION </w:t>
                            </w:r>
                            <w:r w:rsidRPr="00E7759F">
                              <w:rPr>
                                <w:rFonts w:asciiTheme="majorHAnsi" w:hAnsiTheme="majorHAnsi" w:cs="Arial"/>
                                <w:b/>
                                <w:color w:val="0D0D0D" w:themeColor="text1" w:themeTint="F2"/>
                                <w:sz w:val="36"/>
                                <w:szCs w:val="22"/>
                              </w:rPr>
                              <w:t>1998-17</w:t>
                            </w:r>
                          </w:p>
                          <w:p w14:paraId="57D6A084" w14:textId="77777777" w:rsidR="0074205F" w:rsidRPr="00C67DDB" w:rsidRDefault="0074205F" w:rsidP="0074205F">
                            <w:pPr>
                              <w:spacing w:line="276" w:lineRule="auto"/>
                              <w:rPr>
                                <w:rFonts w:ascii="Cambria" w:hAnsi="Cambria" w:cs="Arial"/>
                                <w:color w:val="0D0D0D" w:themeColor="text1" w:themeTint="F2"/>
                                <w:szCs w:val="22"/>
                              </w:rPr>
                            </w:pPr>
                            <w:r w:rsidRPr="00C67DDB">
                              <w:rPr>
                                <w:rFonts w:ascii="Cambria" w:hAnsi="Cambria" w:cs="Arial"/>
                                <w:color w:val="0D0D0D" w:themeColor="text1" w:themeTint="F2"/>
                                <w:szCs w:val="22"/>
                              </w:rPr>
                              <w:t xml:space="preserve">REPORT ON </w:t>
                            </w:r>
                            <w:r>
                              <w:rPr>
                                <w:rFonts w:ascii="Cambria" w:hAnsi="Cambria" w:cs="Arial"/>
                                <w:color w:val="0D0D0D" w:themeColor="text1" w:themeTint="F2"/>
                                <w:szCs w:val="22"/>
                              </w:rPr>
                              <w:t>INADMISSIBILITY</w:t>
                            </w:r>
                          </w:p>
                          <w:p w14:paraId="5FD8C7C9" w14:textId="77777777" w:rsidR="0074205F" w:rsidRPr="00C67DDB" w:rsidRDefault="0074205F" w:rsidP="0074205F">
                            <w:pPr>
                              <w:spacing w:line="276" w:lineRule="auto"/>
                              <w:rPr>
                                <w:rFonts w:ascii="Cambria" w:hAnsi="Cambria" w:cs="Arial"/>
                                <w:color w:val="0D0D0D" w:themeColor="text1" w:themeTint="F2"/>
                                <w:szCs w:val="22"/>
                              </w:rPr>
                            </w:pPr>
                          </w:p>
                          <w:p w14:paraId="1A755013" w14:textId="77777777" w:rsidR="0074205F" w:rsidRPr="0010736F" w:rsidRDefault="0074205F" w:rsidP="0074205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GINA MARÍA GONZÁLEZ DOMÍNGUEZ </w:t>
                            </w:r>
                          </w:p>
                          <w:p w14:paraId="218DAB84" w14:textId="77777777" w:rsidR="0074205F" w:rsidRPr="008B58E4" w:rsidRDefault="0074205F" w:rsidP="0074205F">
                            <w:pPr>
                              <w:spacing w:line="276" w:lineRule="auto"/>
                              <w:rPr>
                                <w:rFonts w:asciiTheme="majorHAnsi" w:hAnsiTheme="majorHAnsi" w:cs="Arial"/>
                                <w:color w:val="0D0D0D"/>
                                <w:szCs w:val="22"/>
                              </w:rPr>
                            </w:pPr>
                            <w:r>
                              <w:rPr>
                                <w:rFonts w:asciiTheme="majorHAnsi" w:hAnsiTheme="majorHAnsi" w:cs="Arial"/>
                                <w:color w:val="0D0D0D" w:themeColor="text1" w:themeTint="F2"/>
                                <w:szCs w:val="22"/>
                                <w:lang w:val="es-ES_tradnl"/>
                              </w:rPr>
                              <w:t>HONDURAS</w:t>
                            </w:r>
                          </w:p>
                        </w:txbxContent>
                      </v:textbox>
                    </v:shape>
                    <v:shape id="Text Box 7" o:spid="_x0000_s1033" type="#_x0000_t202" style="position:absolute;left:16103;top:63703;width:45955;height:7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" filled="f" stroked="f" strokeweight=".5pt">
                      <v:textbox>
                        <w:txbxContent>
                          <w:p w14:paraId="2A475A75" w14:textId="15E1D947" w:rsidR="0074205F" w:rsidRPr="00F25F41" w:rsidRDefault="0074205F" w:rsidP="0074205F">
                            <w:pPr>
                              <w:tabs>
                                <w:tab w:val="center" w:pos="5400"/>
                              </w:tabs>
                              <w:suppressAutoHyphens/>
                              <w:spacing w:before="60"/>
                              <w:rPr>
                                <w:rFonts w:ascii="Cambria" w:hAnsi="Cambria"/>
                                <w:color w:val="0D0D0D" w:themeColor="text1" w:themeTint="F2"/>
                                <w:sz w:val="18"/>
                                <w:szCs w:val="22"/>
                              </w:rPr>
                            </w:pPr>
                            <w:r w:rsidRPr="007B0FA4">
                              <w:rPr>
                                <w:rFonts w:ascii="Cambria" w:hAnsi="Cambria"/>
                                <w:color w:val="0D0D0D" w:themeColor="text1" w:themeTint="F2"/>
                                <w:sz w:val="18"/>
                                <w:szCs w:val="20"/>
                              </w:rPr>
                              <w:t xml:space="preserve">Approved by the Commission electronically on </w:t>
                            </w:r>
                            <w:r w:rsidR="000D17D9">
                              <w:rPr>
                                <w:rFonts w:ascii="Cambria" w:hAnsi="Cambria"/>
                                <w:color w:val="0D0D0D" w:themeColor="text1" w:themeTint="F2"/>
                                <w:sz w:val="18"/>
                                <w:szCs w:val="20"/>
                              </w:rPr>
                              <w:t>October</w:t>
                            </w:r>
                            <w:r w:rsidRPr="00F25F41">
                              <w:rPr>
                                <w:rFonts w:ascii="Cambria" w:hAnsi="Cambria"/>
                                <w:color w:val="0D0D0D" w:themeColor="text1" w:themeTint="F2"/>
                                <w:sz w:val="18"/>
                                <w:szCs w:val="20"/>
                              </w:rPr>
                              <w:t xml:space="preserve"> </w:t>
                            </w:r>
                            <w:r w:rsidR="000D17D9">
                              <w:rPr>
                                <w:rFonts w:ascii="Cambria" w:hAnsi="Cambria"/>
                                <w:color w:val="0D0D0D" w:themeColor="text1" w:themeTint="F2"/>
                                <w:sz w:val="18"/>
                                <w:szCs w:val="20"/>
                              </w:rPr>
                              <w:t>10</w:t>
                            </w:r>
                            <w:r w:rsidRPr="00F25F41">
                              <w:rPr>
                                <w:rFonts w:ascii="Cambria" w:hAnsi="Cambria"/>
                                <w:color w:val="0D0D0D" w:themeColor="text1" w:themeTint="F2"/>
                                <w:sz w:val="18"/>
                                <w:szCs w:val="20"/>
                              </w:rPr>
                              <w:t>, 2023</w:t>
                            </w:r>
                            <w:r w:rsidRPr="00F25F41">
                              <w:rPr>
                                <w:rFonts w:ascii="Cambria" w:hAnsi="Cambria"/>
                                <w:color w:val="0D0D0D" w:themeColor="text1" w:themeTint="F2"/>
                                <w:sz w:val="18"/>
                                <w:szCs w:val="20"/>
                              </w:rPr>
                              <w:br/>
                            </w:r>
                          </w:p>
                        </w:txbxContent>
                      </v:textbox>
                    </v:shape>
                    <v:shape id="_x0000_s1034" type="#_x0000_t202" style="position:absolute;left:409;top:27704;width:13341;height:1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" filled="f" stroked="f" strokeweight=".5pt">
                      <v:textbox>
                        <w:txbxContent>
                          <w:p w14:paraId="0E65F16E" w14:textId="2E9026BB" w:rsidR="0074205F" w:rsidRPr="007B793E" w:rsidRDefault="0074205F" w:rsidP="0074205F">
                            <w:pPr>
                              <w:jc w:val="right"/>
                              <w:rPr>
                                <w:rFonts w:ascii="Calibri" w:hAnsi="Calibri" w:cs="Calibri"/>
                                <w:color w:val="FFFFFF" w:themeColor="background1"/>
                                <w:sz w:val="22"/>
                                <w:lang w:val="pt-BR"/>
                              </w:rPr>
                            </w:pPr>
                            <w:r w:rsidRPr="007B793E">
                              <w:rPr>
                                <w:rFonts w:ascii="Calibri" w:hAnsi="Calibri" w:cs="Calibri"/>
                                <w:color w:val="FFFFFF" w:themeColor="background1"/>
                                <w:sz w:val="22"/>
                                <w:lang w:val="pt-BR"/>
                              </w:rPr>
                              <w:t>OAS/Ser.L/V/II</w:t>
                            </w:r>
                          </w:p>
                          <w:p w14:paraId="77EBC1E7" w14:textId="0D631E5A" w:rsidR="0074205F" w:rsidRPr="000D17D9" w:rsidRDefault="0074205F" w:rsidP="0074205F">
                            <w:pPr>
                              <w:jc w:val="right"/>
                              <w:rPr>
                                <w:rFonts w:ascii="Calibri" w:hAnsi="Calibri" w:cs="Calibri"/>
                                <w:color w:val="FFFFFF" w:themeColor="background1"/>
                                <w:sz w:val="22"/>
                              </w:rPr>
                            </w:pPr>
                            <w:r w:rsidRPr="007B0FA4">
                              <w:rPr>
                                <w:rFonts w:ascii="Calibri" w:hAnsi="Calibri" w:cs="Calibri"/>
                                <w:color w:val="FFFFFF" w:themeColor="background1"/>
                                <w:sz w:val="22"/>
                              </w:rPr>
                              <w:t>Doc</w:t>
                            </w:r>
                            <w:r w:rsidRPr="000D17D9">
                              <w:rPr>
                                <w:rFonts w:ascii="Calibri" w:hAnsi="Calibri" w:cs="Calibri"/>
                                <w:color w:val="FFFFFF" w:themeColor="background1"/>
                                <w:sz w:val="22"/>
                              </w:rPr>
                              <w:t xml:space="preserve">. </w:t>
                            </w:r>
                            <w:r w:rsidR="000D17D9" w:rsidRPr="000D17D9">
                              <w:rPr>
                                <w:rFonts w:ascii="Calibri" w:hAnsi="Calibri" w:cs="Calibri"/>
                                <w:color w:val="FFFFFF" w:themeColor="background1"/>
                                <w:sz w:val="22"/>
                              </w:rPr>
                              <w:t>271</w:t>
                            </w:r>
                          </w:p>
                          <w:p w14:paraId="2A7ABCEC" w14:textId="24AC194C" w:rsidR="0074205F" w:rsidRPr="000D17D9" w:rsidRDefault="0074205F" w:rsidP="0074205F">
                            <w:pPr>
                              <w:jc w:val="right"/>
                              <w:rPr>
                                <w:rFonts w:ascii="Calibri" w:hAnsi="Calibri" w:cs="Calibri"/>
                                <w:color w:val="FFFFFF" w:themeColor="background1"/>
                                <w:sz w:val="22"/>
                              </w:rPr>
                            </w:pPr>
                            <w:r w:rsidRPr="000D17D9">
                              <w:rPr>
                                <w:rFonts w:ascii="Calibri" w:hAnsi="Calibri" w:cs="Calibri"/>
                                <w:color w:val="FFFFFF" w:themeColor="background1"/>
                                <w:sz w:val="22"/>
                              </w:rPr>
                              <w:t xml:space="preserve"> </w:t>
                            </w:r>
                            <w:r w:rsidR="000D17D9" w:rsidRPr="000D17D9">
                              <w:rPr>
                                <w:rFonts w:ascii="Calibri" w:hAnsi="Calibri" w:cs="Calibri"/>
                                <w:color w:val="FFFFFF" w:themeColor="background1"/>
                                <w:sz w:val="22"/>
                              </w:rPr>
                              <w:t>October</w:t>
                            </w:r>
                            <w:r w:rsidRPr="000D17D9">
                              <w:rPr>
                                <w:rFonts w:ascii="Calibri" w:hAnsi="Calibri" w:cs="Calibri"/>
                                <w:color w:val="FFFFFF" w:themeColor="background1"/>
                                <w:sz w:val="22"/>
                              </w:rPr>
                              <w:t xml:space="preserve"> </w:t>
                            </w:r>
                            <w:r w:rsidR="000D17D9" w:rsidRPr="000D17D9">
                              <w:rPr>
                                <w:rFonts w:ascii="Calibri" w:hAnsi="Calibri" w:cs="Calibri"/>
                                <w:color w:val="FFFFFF" w:themeColor="background1"/>
                                <w:sz w:val="22"/>
                              </w:rPr>
                              <w:t xml:space="preserve">10, </w:t>
                            </w:r>
                            <w:r w:rsidRPr="000D17D9">
                              <w:rPr>
                                <w:rFonts w:ascii="Calibri" w:hAnsi="Calibri" w:cs="Calibri"/>
                                <w:color w:val="FFFFFF" w:themeColor="background1"/>
                                <w:sz w:val="22"/>
                              </w:rPr>
                              <w:t>2023</w:t>
                            </w:r>
                          </w:p>
                          <w:p w14:paraId="41AE62E8" w14:textId="77777777" w:rsidR="0074205F" w:rsidRPr="000D17D9" w:rsidRDefault="0074205F" w:rsidP="0074205F">
                            <w:pPr>
                              <w:jc w:val="right"/>
                              <w:rPr>
                                <w:rFonts w:ascii="Calibri" w:hAnsi="Calibri" w:cs="Calibri"/>
                                <w:color w:val="FFFFFF" w:themeColor="background1"/>
                                <w:sz w:val="22"/>
                              </w:rPr>
                            </w:pPr>
                            <w:r w:rsidRPr="000D17D9">
                              <w:rPr>
                                <w:rFonts w:ascii="Calibri" w:hAnsi="Calibri" w:cs="Calibri"/>
                                <w:color w:val="FFFFFF" w:themeColor="background1"/>
                                <w:sz w:val="22"/>
                              </w:rPr>
                              <w:t>Original: Spanish</w:t>
                            </w:r>
                          </w:p>
                        </w:txbxContent>
                      </v:textbox>
                    </v:shape>
                    <v:shape id="Text Box 14" o:spid="_x0000_s1035" type="#_x0000_t202" style="position:absolute;left:16240;top:73015;width:48241;height:7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" filled="f" stroked="f" strokeweight=".5pt">
                      <v:textbox>
                        <w:txbxContent>
                          <w:p w14:paraId="5A152876" w14:textId="79F03369" w:rsidR="0074205F" w:rsidRPr="00F25F41" w:rsidRDefault="0074205F" w:rsidP="0074205F">
                            <w:pPr>
                              <w:spacing w:line="276" w:lineRule="auto"/>
                              <w:rPr>
                                <w:rFonts w:ascii="Cambria" w:hAnsi="Cambria"/>
                                <w:color w:val="595959" w:themeColor="text1" w:themeTint="A6"/>
                                <w:sz w:val="18"/>
                              </w:rPr>
                            </w:pPr>
                            <w:r w:rsidRPr="00F25F41">
                              <w:rPr>
                                <w:rFonts w:ascii="Cambria" w:hAnsi="Cambria"/>
                                <w:b/>
                                <w:color w:val="595959" w:themeColor="text1" w:themeTint="A6"/>
                                <w:sz w:val="18"/>
                              </w:rPr>
                              <w:t xml:space="preserve">Cite as: </w:t>
                            </w:r>
                            <w:r w:rsidRPr="00F25F41">
                              <w:rPr>
                                <w:rFonts w:ascii="Cambria" w:hAnsi="Cambria"/>
                                <w:color w:val="595959" w:themeColor="text1" w:themeTint="A6"/>
                                <w:sz w:val="18"/>
                              </w:rPr>
                              <w:t xml:space="preserve">IACHR, </w:t>
                            </w:r>
                            <w:r w:rsidRPr="007B0FA4">
                              <w:rPr>
                                <w:rFonts w:ascii="Cambria" w:hAnsi="Cambria"/>
                                <w:color w:val="595959" w:themeColor="text1" w:themeTint="A6"/>
                                <w:sz w:val="18"/>
                              </w:rPr>
                              <w:t xml:space="preserve">Report No. </w:t>
                            </w:r>
                            <w:r w:rsidR="000D17D9">
                              <w:rPr>
                                <w:rFonts w:ascii="Cambria" w:hAnsi="Cambria"/>
                                <w:color w:val="595959" w:themeColor="text1" w:themeTint="A6"/>
                                <w:sz w:val="18"/>
                              </w:rPr>
                              <w:t>252</w:t>
                            </w:r>
                            <w:r w:rsidRPr="007B793E">
                              <w:rPr>
                                <w:rFonts w:ascii="Cambria" w:hAnsi="Cambria"/>
                                <w:color w:val="595959" w:themeColor="text1" w:themeTint="A6"/>
                                <w:sz w:val="18"/>
                              </w:rPr>
                              <w:t xml:space="preserve">/23, Petition 1998-17. </w:t>
                            </w:r>
                            <w:r w:rsidRPr="00E7759F">
                              <w:rPr>
                                <w:rFonts w:ascii="Cambria" w:hAnsi="Cambria"/>
                                <w:color w:val="595959" w:themeColor="text1" w:themeTint="A6"/>
                                <w:sz w:val="18"/>
                                <w:lang w:val="es-CO"/>
                              </w:rPr>
                              <w:t xml:space="preserve">Inadmissibility. Gina María González Domínguez. </w:t>
                            </w:r>
                            <w:r w:rsidRPr="007B0FA4">
                              <w:rPr>
                                <w:rFonts w:ascii="Cambria" w:hAnsi="Cambria"/>
                                <w:color w:val="595959" w:themeColor="text1" w:themeTint="A6"/>
                                <w:sz w:val="18"/>
                              </w:rPr>
                              <w:t>Honduras</w:t>
                            </w:r>
                            <w:r w:rsidR="000D17D9">
                              <w:rPr>
                                <w:rFonts w:ascii="Cambria" w:hAnsi="Cambria"/>
                                <w:color w:val="595959" w:themeColor="text1" w:themeTint="A6"/>
                                <w:sz w:val="18"/>
                              </w:rPr>
                              <w:t>.</w:t>
                            </w:r>
                            <w:r w:rsidRPr="007B0FA4">
                              <w:rPr>
                                <w:rFonts w:ascii="Cambria" w:hAnsi="Cambria"/>
                                <w:color w:val="595959" w:themeColor="text1" w:themeTint="A6"/>
                                <w:sz w:val="18"/>
                              </w:rPr>
                              <w:t xml:space="preserve"> </w:t>
                            </w:r>
                            <w:r w:rsidR="000D17D9">
                              <w:rPr>
                                <w:rFonts w:ascii="Cambria" w:hAnsi="Cambria"/>
                                <w:color w:val="595959" w:themeColor="text1" w:themeTint="A6"/>
                                <w:sz w:val="18"/>
                              </w:rPr>
                              <w:t>October 10, 2023</w:t>
                            </w:r>
                            <w:r w:rsidRPr="007B0FA4">
                              <w:rPr>
                                <w:rFonts w:ascii="Cambria" w:hAnsi="Cambria"/>
                                <w:color w:val="595959" w:themeColor="text1" w:themeTint="A6"/>
                                <w:sz w:val="18"/>
                              </w:rPr>
                              <w:t>.</w:t>
                            </w:r>
                          </w:p>
                        </w:txbxContent>
                      </v:textbox>
                    </v:shape>
                    <v:shape id="Text Box 3" o:spid="_x0000_s1036" type="#_x0000_t202" style="position:absolute;left:1091;top:86117;width:11811;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" filled="f" stroked="f" strokeweight=".5pt">
                      <v:textbox>
                        <w:txbxContent>
                          <w:p w14:paraId="2D910D11" w14:textId="77777777" w:rsidR="0074205F" w:rsidRPr="002B3748" w:rsidRDefault="0074205F" w:rsidP="0074205F">
                            <w:pPr>
                              <w:jc w:val="center"/>
                              <w:rPr>
                                <w:rFonts w:ascii="Calibri" w:hAnsi="Calibri" w:cs="Calibri"/>
                                <w:b/>
                                <w:color w:val="FFFFFF" w:themeColor="background1"/>
                              </w:rPr>
                            </w:pPr>
                            <w:r w:rsidRPr="002B3748">
                              <w:rPr>
                                <w:rFonts w:ascii="Calibri" w:hAnsi="Calibri" w:cs="Calibri"/>
                                <w:b/>
                                <w:color w:val="FFFFFF" w:themeColor="background1"/>
                              </w:rPr>
                              <w:t>www.iachr.org</w:t>
                            </w:r>
                          </w:p>
                        </w:txbxContent>
                      </v:textbox>
                    </v:shape>
                  </v:group>
                </v:group>
                <w10:wrap anchorx="margin"/>
              </v:group>
            </w:pict>
          </mc:Fallback>
        </mc:AlternateContent>
      </w:r>
    </w:p>
    <w:p w14:paraId="47386BAF" w14:textId="77777777" w:rsidR="00040C3A" w:rsidRPr="001E0DF4" w:rsidRDefault="00040C3A" w:rsidP="00040C3A">
      <w:pPr>
        <w:tabs>
          <w:tab w:val="center" w:pos="5400"/>
        </w:tabs>
        <w:suppressAutoHyphens/>
        <w:jc w:val="both"/>
        <w:rPr>
          <w:rFonts w:asciiTheme="majorHAnsi" w:hAnsiTheme="majorHAnsi"/>
          <w:sz w:val="22"/>
          <w:szCs w:val="22"/>
        </w:rPr>
      </w:pPr>
    </w:p>
    <w:p w14:paraId="5A87E141" w14:textId="77777777" w:rsidR="00040C3A" w:rsidRPr="001E0DF4" w:rsidRDefault="00040C3A" w:rsidP="00040C3A">
      <w:pPr>
        <w:tabs>
          <w:tab w:val="center" w:pos="5400"/>
        </w:tabs>
        <w:suppressAutoHyphens/>
        <w:jc w:val="both"/>
        <w:rPr>
          <w:rFonts w:asciiTheme="majorHAnsi" w:hAnsiTheme="majorHAnsi"/>
          <w:sz w:val="22"/>
          <w:szCs w:val="22"/>
        </w:rPr>
      </w:pPr>
    </w:p>
    <w:p w14:paraId="29D95BCC" w14:textId="77777777" w:rsidR="005128E4" w:rsidRPr="001E0DF4" w:rsidRDefault="005128E4" w:rsidP="00040C3A">
      <w:pPr>
        <w:tabs>
          <w:tab w:val="center" w:pos="5400"/>
        </w:tabs>
        <w:suppressAutoHyphens/>
        <w:rPr>
          <w:rFonts w:asciiTheme="majorHAnsi" w:hAnsiTheme="majorHAnsi"/>
          <w:sz w:val="22"/>
          <w:szCs w:val="22"/>
        </w:rPr>
      </w:pPr>
    </w:p>
    <w:p w14:paraId="12A36B24" w14:textId="77777777" w:rsidR="005128E4" w:rsidRPr="001E0DF4" w:rsidRDefault="005128E4" w:rsidP="00040C3A">
      <w:pPr>
        <w:tabs>
          <w:tab w:val="center" w:pos="5400"/>
        </w:tabs>
        <w:suppressAutoHyphens/>
        <w:rPr>
          <w:rFonts w:asciiTheme="majorHAnsi" w:hAnsiTheme="majorHAnsi"/>
          <w:sz w:val="22"/>
          <w:szCs w:val="22"/>
        </w:rPr>
      </w:pPr>
    </w:p>
    <w:p w14:paraId="2252093D" w14:textId="77777777" w:rsidR="005128E4" w:rsidRPr="001E0DF4" w:rsidRDefault="005128E4" w:rsidP="00040C3A">
      <w:pPr>
        <w:tabs>
          <w:tab w:val="center" w:pos="5400"/>
        </w:tabs>
        <w:suppressAutoHyphens/>
        <w:rPr>
          <w:rFonts w:asciiTheme="majorHAnsi" w:hAnsiTheme="majorHAnsi"/>
          <w:sz w:val="22"/>
          <w:szCs w:val="22"/>
        </w:rPr>
      </w:pPr>
    </w:p>
    <w:p w14:paraId="403935BD" w14:textId="77777777" w:rsidR="00040C3A" w:rsidRPr="001E0DF4" w:rsidRDefault="00040C3A" w:rsidP="005128E4">
      <w:pPr>
        <w:tabs>
          <w:tab w:val="center" w:pos="5400"/>
        </w:tabs>
        <w:suppressAutoHyphens/>
        <w:jc w:val="center"/>
        <w:rPr>
          <w:rFonts w:asciiTheme="majorHAnsi" w:hAnsiTheme="majorHAnsi"/>
          <w:sz w:val="22"/>
          <w:szCs w:val="22"/>
        </w:rPr>
      </w:pPr>
    </w:p>
    <w:p w14:paraId="6DCF5F8F" w14:textId="77777777" w:rsidR="00040C3A" w:rsidRPr="001E0DF4" w:rsidRDefault="00040C3A" w:rsidP="005128E4">
      <w:pPr>
        <w:tabs>
          <w:tab w:val="center" w:pos="5400"/>
        </w:tabs>
        <w:suppressAutoHyphens/>
        <w:jc w:val="center"/>
        <w:rPr>
          <w:rFonts w:asciiTheme="majorHAnsi" w:hAnsiTheme="majorHAnsi"/>
          <w:sz w:val="22"/>
          <w:szCs w:val="22"/>
        </w:rPr>
      </w:pPr>
    </w:p>
    <w:p w14:paraId="4791F13A" w14:textId="77777777" w:rsidR="005B52B0" w:rsidRPr="001E0DF4" w:rsidRDefault="005B52B0" w:rsidP="005128E4">
      <w:pPr>
        <w:tabs>
          <w:tab w:val="center" w:pos="5400"/>
        </w:tabs>
        <w:suppressAutoHyphens/>
        <w:jc w:val="center"/>
        <w:rPr>
          <w:rFonts w:asciiTheme="majorHAnsi" w:hAnsiTheme="majorHAnsi"/>
          <w:sz w:val="22"/>
          <w:szCs w:val="22"/>
        </w:rPr>
      </w:pPr>
    </w:p>
    <w:p w14:paraId="44E016B6" w14:textId="77777777" w:rsidR="005B52B0" w:rsidRPr="001E0DF4" w:rsidRDefault="005B52B0" w:rsidP="005128E4">
      <w:pPr>
        <w:tabs>
          <w:tab w:val="center" w:pos="5400"/>
        </w:tabs>
        <w:suppressAutoHyphens/>
        <w:jc w:val="center"/>
        <w:rPr>
          <w:rFonts w:asciiTheme="majorHAnsi" w:hAnsiTheme="majorHAnsi"/>
          <w:sz w:val="22"/>
          <w:szCs w:val="22"/>
        </w:rPr>
      </w:pPr>
    </w:p>
    <w:p w14:paraId="63D41962" w14:textId="77777777" w:rsidR="005B52B0" w:rsidRPr="001E0DF4" w:rsidRDefault="005B52B0" w:rsidP="005128E4">
      <w:pPr>
        <w:tabs>
          <w:tab w:val="center" w:pos="5400"/>
        </w:tabs>
        <w:suppressAutoHyphens/>
        <w:jc w:val="center"/>
        <w:rPr>
          <w:rFonts w:asciiTheme="majorHAnsi" w:hAnsiTheme="majorHAnsi"/>
          <w:sz w:val="22"/>
          <w:szCs w:val="22"/>
        </w:rPr>
      </w:pPr>
    </w:p>
    <w:p w14:paraId="5ADEB990" w14:textId="77777777" w:rsidR="00040C3A" w:rsidRPr="001E0DF4" w:rsidRDefault="00040C3A" w:rsidP="00040C3A">
      <w:pPr>
        <w:tabs>
          <w:tab w:val="center" w:pos="5400"/>
        </w:tabs>
        <w:suppressAutoHyphens/>
        <w:jc w:val="center"/>
        <w:rPr>
          <w:rFonts w:asciiTheme="majorHAnsi" w:hAnsiTheme="majorHAnsi"/>
          <w:sz w:val="22"/>
          <w:szCs w:val="22"/>
        </w:rPr>
      </w:pPr>
    </w:p>
    <w:p w14:paraId="2D81B7E8" w14:textId="77777777" w:rsidR="00040C3A" w:rsidRPr="001E0DF4" w:rsidRDefault="00040C3A" w:rsidP="00040C3A">
      <w:pPr>
        <w:tabs>
          <w:tab w:val="center" w:pos="5400"/>
        </w:tabs>
        <w:suppressAutoHyphens/>
        <w:jc w:val="center"/>
        <w:rPr>
          <w:rFonts w:asciiTheme="majorHAnsi" w:hAnsiTheme="majorHAnsi"/>
          <w:sz w:val="22"/>
          <w:szCs w:val="22"/>
        </w:rPr>
      </w:pPr>
    </w:p>
    <w:p w14:paraId="64791D04" w14:textId="53C5E6E3" w:rsidR="00040C3A" w:rsidRPr="001E0DF4" w:rsidRDefault="004E2649" w:rsidP="00040C3A">
      <w:pPr>
        <w:tabs>
          <w:tab w:val="center" w:pos="5400"/>
        </w:tabs>
        <w:suppressAutoHyphens/>
        <w:jc w:val="center"/>
        <w:rPr>
          <w:rFonts w:asciiTheme="majorHAnsi" w:hAnsiTheme="majorHAnsi"/>
          <w:sz w:val="22"/>
          <w:szCs w:val="22"/>
        </w:rPr>
      </w:pPr>
      <w:r w:rsidRPr="001E0DF4">
        <w:rPr>
          <w:rFonts w:asciiTheme="majorHAnsi" w:hAnsiTheme="majorHAnsi"/>
          <w:noProof/>
          <w:sz w:val="22"/>
          <w:szCs w:val="22"/>
          <w:lang w:eastAsia="es-419"/>
        </w:rPr>
        <mc:AlternateContent>
          <mc:Choice Requires="wps">
            <w:drawing>
              <wp:anchor distT="0" distB="0" distL="114300" distR="114300" simplePos="0" relativeHeight="251671552" behindDoc="0" locked="0" layoutInCell="1" allowOverlap="1" wp14:anchorId="73BE5919" wp14:editId="2C68F45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07910D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A11212">
                              <w:rPr>
                                <w:rFonts w:asciiTheme="minorHAnsi" w:hAnsiTheme="minorHAnsi"/>
                                <w:color w:val="FFFFFF" w:themeColor="background1"/>
                                <w:sz w:val="22"/>
                                <w:lang w:val="pt-BR"/>
                              </w:rPr>
                              <w:t>X</w:t>
                            </w:r>
                            <w:r>
                              <w:rPr>
                                <w:rFonts w:asciiTheme="minorHAnsi" w:hAnsiTheme="minorHAnsi"/>
                                <w:color w:val="FFFFFF" w:themeColor="background1"/>
                                <w:sz w:val="22"/>
                                <w:lang w:val="pt-BR"/>
                              </w:rPr>
                              <w:t>X</w:t>
                            </w:r>
                          </w:p>
                          <w:p w14:paraId="6A41611B"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69373ED2" w14:textId="4A687C4C" w:rsidR="00627C9F" w:rsidRPr="00C25ADB" w:rsidRDefault="00627C9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XX </w:t>
                            </w:r>
                            <w:r w:rsidR="007B05C4" w:rsidRPr="00C25ADB">
                              <w:rPr>
                                <w:rFonts w:asciiTheme="minorHAnsi" w:hAnsiTheme="minorHAnsi"/>
                                <w:color w:val="FFFFFF" w:themeColor="background1"/>
                                <w:sz w:val="22"/>
                                <w:lang w:val="es-PA"/>
                              </w:rPr>
                              <w:t xml:space="preserve">mes </w:t>
                            </w:r>
                            <w:r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37"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vsm+msCAABFBQAADgAAAAAAAAAAAAAA&#10;AAAuAgAAZHJzL2Uyb0RvYy54bWxQSwECLQAUAAYACAAAACEAqU+kd+EAAAAKAQAADwAAAAAAAAAA&#10;AAAAAADFBAAAZHJzL2Rvd25yZXYueG1sUEsFBgAAAAAEAAQA8wAAANMFAAAAAA==&#10;" filled="f" stroked="f" strokeweight=".5pt">
                <v:textbox>
                  <w:txbxContent>
                    <w:p w14:paraId="6CF0BAF6" w14:textId="307910D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A11212">
                        <w:rPr>
                          <w:rFonts w:asciiTheme="minorHAnsi" w:hAnsiTheme="minorHAnsi"/>
                          <w:color w:val="FFFFFF" w:themeColor="background1"/>
                          <w:sz w:val="22"/>
                          <w:lang w:val="pt-BR"/>
                        </w:rPr>
                        <w:t>X</w:t>
                      </w:r>
                      <w:r>
                        <w:rPr>
                          <w:rFonts w:asciiTheme="minorHAnsi" w:hAnsiTheme="minorHAnsi"/>
                          <w:color w:val="FFFFFF" w:themeColor="background1"/>
                          <w:sz w:val="22"/>
                          <w:lang w:val="pt-BR"/>
                        </w:rPr>
                        <w:t>X</w:t>
                      </w:r>
                    </w:p>
                    <w:p w14:paraId="6A41611B"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69373ED2" w14:textId="4A687C4C" w:rsidR="00627C9F" w:rsidRPr="00C25ADB" w:rsidRDefault="00627C9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XX </w:t>
                      </w:r>
                      <w:r w:rsidR="007B05C4" w:rsidRPr="00C25ADB">
                        <w:rPr>
                          <w:rFonts w:asciiTheme="minorHAnsi" w:hAnsiTheme="minorHAnsi"/>
                          <w:color w:val="FFFFFF" w:themeColor="background1"/>
                          <w:sz w:val="22"/>
                          <w:lang w:val="es-PA"/>
                        </w:rPr>
                        <w:t xml:space="preserve">mes </w:t>
                      </w:r>
                      <w:r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1E0DF4" w:rsidRDefault="00040C3A" w:rsidP="00040C3A">
      <w:pPr>
        <w:tabs>
          <w:tab w:val="center" w:pos="5400"/>
        </w:tabs>
        <w:suppressAutoHyphens/>
        <w:jc w:val="center"/>
        <w:rPr>
          <w:rFonts w:asciiTheme="majorHAnsi" w:hAnsiTheme="majorHAnsi"/>
          <w:sz w:val="22"/>
          <w:szCs w:val="22"/>
        </w:rPr>
      </w:pPr>
    </w:p>
    <w:p w14:paraId="5FE3AB87" w14:textId="77777777" w:rsidR="00040C3A" w:rsidRPr="001E0DF4" w:rsidRDefault="00040C3A" w:rsidP="00040C3A">
      <w:pPr>
        <w:tabs>
          <w:tab w:val="center" w:pos="5400"/>
        </w:tabs>
        <w:suppressAutoHyphens/>
        <w:jc w:val="center"/>
        <w:rPr>
          <w:rFonts w:asciiTheme="majorHAnsi" w:hAnsiTheme="majorHAnsi"/>
          <w:sz w:val="22"/>
          <w:szCs w:val="22"/>
        </w:rPr>
      </w:pPr>
    </w:p>
    <w:p w14:paraId="3C383BC0" w14:textId="77777777" w:rsidR="00040C3A" w:rsidRPr="001E0DF4"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1E0DF4" w:rsidRDefault="00040C3A" w:rsidP="00040C3A">
      <w:pPr>
        <w:tabs>
          <w:tab w:val="center" w:pos="5400"/>
        </w:tabs>
        <w:suppressAutoHyphens/>
        <w:jc w:val="center"/>
        <w:rPr>
          <w:rFonts w:asciiTheme="majorHAnsi" w:hAnsiTheme="majorHAnsi"/>
          <w:sz w:val="22"/>
          <w:szCs w:val="22"/>
        </w:rPr>
      </w:pPr>
    </w:p>
    <w:p w14:paraId="76C291D6" w14:textId="77777777" w:rsidR="00040C3A" w:rsidRPr="001E0DF4" w:rsidRDefault="00040C3A" w:rsidP="00040C3A">
      <w:pPr>
        <w:tabs>
          <w:tab w:val="center" w:pos="5400"/>
        </w:tabs>
        <w:suppressAutoHyphens/>
        <w:jc w:val="center"/>
        <w:rPr>
          <w:rFonts w:asciiTheme="majorHAnsi" w:hAnsiTheme="majorHAnsi"/>
          <w:sz w:val="22"/>
          <w:szCs w:val="22"/>
        </w:rPr>
      </w:pPr>
    </w:p>
    <w:p w14:paraId="2161B44F" w14:textId="77777777" w:rsidR="00040C3A" w:rsidRPr="001E0DF4" w:rsidRDefault="00040C3A" w:rsidP="00040C3A">
      <w:pPr>
        <w:tabs>
          <w:tab w:val="center" w:pos="5400"/>
        </w:tabs>
        <w:suppressAutoHyphens/>
        <w:jc w:val="center"/>
        <w:rPr>
          <w:rFonts w:asciiTheme="majorHAnsi" w:hAnsiTheme="majorHAnsi"/>
          <w:sz w:val="22"/>
          <w:szCs w:val="22"/>
        </w:rPr>
      </w:pPr>
    </w:p>
    <w:p w14:paraId="3C4EEE07" w14:textId="77777777" w:rsidR="00040C3A" w:rsidRPr="001E0DF4" w:rsidRDefault="00040C3A" w:rsidP="00040C3A">
      <w:pPr>
        <w:tabs>
          <w:tab w:val="center" w:pos="5400"/>
        </w:tabs>
        <w:suppressAutoHyphens/>
        <w:jc w:val="center"/>
        <w:rPr>
          <w:rFonts w:asciiTheme="majorHAnsi" w:hAnsiTheme="majorHAnsi"/>
          <w:sz w:val="22"/>
          <w:szCs w:val="22"/>
        </w:rPr>
      </w:pPr>
    </w:p>
    <w:p w14:paraId="3B0E4647" w14:textId="77777777" w:rsidR="005128E4" w:rsidRPr="001E0DF4" w:rsidRDefault="005128E4" w:rsidP="00040C3A">
      <w:pPr>
        <w:tabs>
          <w:tab w:val="center" w:pos="5400"/>
        </w:tabs>
        <w:suppressAutoHyphens/>
        <w:jc w:val="center"/>
        <w:rPr>
          <w:rFonts w:asciiTheme="majorHAnsi" w:hAnsiTheme="majorHAnsi"/>
          <w:sz w:val="22"/>
          <w:szCs w:val="22"/>
        </w:rPr>
      </w:pPr>
    </w:p>
    <w:p w14:paraId="2DAAF36D" w14:textId="77777777" w:rsidR="00040C3A" w:rsidRPr="001E0DF4" w:rsidRDefault="00040C3A" w:rsidP="00040C3A">
      <w:pPr>
        <w:tabs>
          <w:tab w:val="center" w:pos="5400"/>
        </w:tabs>
        <w:suppressAutoHyphens/>
        <w:jc w:val="center"/>
        <w:rPr>
          <w:rFonts w:asciiTheme="majorHAnsi" w:hAnsiTheme="majorHAnsi"/>
          <w:sz w:val="22"/>
          <w:szCs w:val="22"/>
        </w:rPr>
      </w:pPr>
    </w:p>
    <w:p w14:paraId="12496A14" w14:textId="77777777" w:rsidR="005128E4" w:rsidRPr="001E0DF4" w:rsidRDefault="005128E4" w:rsidP="00040C3A">
      <w:pPr>
        <w:tabs>
          <w:tab w:val="center" w:pos="5400"/>
        </w:tabs>
        <w:suppressAutoHyphens/>
        <w:jc w:val="center"/>
        <w:rPr>
          <w:rFonts w:asciiTheme="majorHAnsi" w:hAnsiTheme="majorHAnsi"/>
          <w:sz w:val="22"/>
          <w:szCs w:val="22"/>
        </w:rPr>
      </w:pPr>
    </w:p>
    <w:p w14:paraId="25772DB3" w14:textId="77777777" w:rsidR="005128E4" w:rsidRPr="001E0DF4" w:rsidRDefault="005128E4" w:rsidP="00040C3A">
      <w:pPr>
        <w:tabs>
          <w:tab w:val="center" w:pos="5400"/>
        </w:tabs>
        <w:suppressAutoHyphens/>
        <w:jc w:val="center"/>
        <w:rPr>
          <w:rFonts w:asciiTheme="majorHAnsi" w:hAnsiTheme="majorHAnsi"/>
          <w:sz w:val="22"/>
          <w:szCs w:val="22"/>
        </w:rPr>
      </w:pPr>
    </w:p>
    <w:p w14:paraId="6820FADA" w14:textId="77777777" w:rsidR="005128E4" w:rsidRPr="001E0DF4" w:rsidRDefault="005128E4" w:rsidP="00040C3A">
      <w:pPr>
        <w:tabs>
          <w:tab w:val="center" w:pos="5400"/>
        </w:tabs>
        <w:suppressAutoHyphens/>
        <w:jc w:val="center"/>
        <w:rPr>
          <w:rFonts w:asciiTheme="majorHAnsi" w:hAnsiTheme="majorHAnsi"/>
          <w:sz w:val="22"/>
          <w:szCs w:val="22"/>
        </w:rPr>
      </w:pPr>
    </w:p>
    <w:p w14:paraId="54445A55" w14:textId="77777777" w:rsidR="00040C3A" w:rsidRPr="001E0DF4" w:rsidRDefault="00040C3A" w:rsidP="00040C3A">
      <w:pPr>
        <w:tabs>
          <w:tab w:val="center" w:pos="5400"/>
        </w:tabs>
        <w:suppressAutoHyphens/>
        <w:jc w:val="center"/>
        <w:rPr>
          <w:rFonts w:asciiTheme="majorHAnsi" w:hAnsiTheme="majorHAnsi"/>
          <w:sz w:val="22"/>
          <w:szCs w:val="22"/>
        </w:rPr>
      </w:pPr>
    </w:p>
    <w:p w14:paraId="5D4A4040" w14:textId="77777777" w:rsidR="00040C3A" w:rsidRPr="001E0DF4" w:rsidRDefault="00040C3A" w:rsidP="00040C3A">
      <w:pPr>
        <w:tabs>
          <w:tab w:val="center" w:pos="5400"/>
        </w:tabs>
        <w:suppressAutoHyphens/>
        <w:jc w:val="center"/>
        <w:rPr>
          <w:rFonts w:asciiTheme="majorHAnsi" w:hAnsiTheme="majorHAnsi"/>
          <w:sz w:val="22"/>
          <w:szCs w:val="22"/>
        </w:rPr>
      </w:pPr>
    </w:p>
    <w:p w14:paraId="048FBB22" w14:textId="77777777" w:rsidR="00A50FCF" w:rsidRPr="001E0DF4" w:rsidRDefault="00A50FCF" w:rsidP="00040C3A">
      <w:pPr>
        <w:tabs>
          <w:tab w:val="center" w:pos="5400"/>
        </w:tabs>
        <w:suppressAutoHyphens/>
        <w:jc w:val="center"/>
        <w:rPr>
          <w:rFonts w:asciiTheme="majorHAnsi" w:hAnsiTheme="majorHAnsi"/>
          <w:sz w:val="18"/>
          <w:szCs w:val="22"/>
        </w:rPr>
      </w:pPr>
    </w:p>
    <w:p w14:paraId="190ABFB3" w14:textId="77777777" w:rsidR="00A50FCF" w:rsidRPr="001E0DF4" w:rsidRDefault="00A50FCF" w:rsidP="00040C3A">
      <w:pPr>
        <w:tabs>
          <w:tab w:val="center" w:pos="5400"/>
        </w:tabs>
        <w:suppressAutoHyphens/>
        <w:jc w:val="center"/>
        <w:rPr>
          <w:rFonts w:asciiTheme="majorHAnsi" w:hAnsiTheme="majorHAnsi"/>
          <w:sz w:val="18"/>
          <w:szCs w:val="22"/>
        </w:rPr>
      </w:pPr>
    </w:p>
    <w:p w14:paraId="4C690048" w14:textId="77777777" w:rsidR="00A50FCF" w:rsidRPr="001E0DF4" w:rsidRDefault="00A50FCF" w:rsidP="00040C3A">
      <w:pPr>
        <w:tabs>
          <w:tab w:val="center" w:pos="5400"/>
        </w:tabs>
        <w:suppressAutoHyphens/>
        <w:jc w:val="center"/>
        <w:rPr>
          <w:rFonts w:asciiTheme="majorHAnsi" w:hAnsiTheme="majorHAnsi"/>
          <w:sz w:val="18"/>
          <w:szCs w:val="22"/>
        </w:rPr>
      </w:pPr>
    </w:p>
    <w:p w14:paraId="733CA438" w14:textId="77777777" w:rsidR="00A50FCF" w:rsidRPr="001E0DF4" w:rsidRDefault="00A50FCF" w:rsidP="00040C3A">
      <w:pPr>
        <w:tabs>
          <w:tab w:val="center" w:pos="5400"/>
        </w:tabs>
        <w:suppressAutoHyphens/>
        <w:jc w:val="center"/>
        <w:rPr>
          <w:rFonts w:asciiTheme="majorHAnsi" w:hAnsiTheme="majorHAnsi"/>
          <w:sz w:val="18"/>
          <w:szCs w:val="22"/>
        </w:rPr>
      </w:pPr>
    </w:p>
    <w:p w14:paraId="7874DEEB" w14:textId="77777777" w:rsidR="00A50FCF" w:rsidRPr="001E0DF4" w:rsidRDefault="00A50FCF" w:rsidP="00040C3A">
      <w:pPr>
        <w:tabs>
          <w:tab w:val="center" w:pos="5400"/>
        </w:tabs>
        <w:suppressAutoHyphens/>
        <w:jc w:val="center"/>
        <w:rPr>
          <w:rFonts w:asciiTheme="majorHAnsi" w:hAnsiTheme="majorHAnsi"/>
          <w:sz w:val="18"/>
          <w:szCs w:val="22"/>
        </w:rPr>
      </w:pPr>
    </w:p>
    <w:p w14:paraId="3698D0D6" w14:textId="77777777" w:rsidR="00A50FCF" w:rsidRPr="001E0DF4" w:rsidRDefault="00A50FCF" w:rsidP="00040C3A">
      <w:pPr>
        <w:tabs>
          <w:tab w:val="center" w:pos="5400"/>
        </w:tabs>
        <w:suppressAutoHyphens/>
        <w:jc w:val="center"/>
        <w:rPr>
          <w:rFonts w:asciiTheme="majorHAnsi" w:hAnsiTheme="majorHAnsi"/>
          <w:sz w:val="18"/>
          <w:szCs w:val="22"/>
        </w:rPr>
      </w:pPr>
    </w:p>
    <w:p w14:paraId="1F907823" w14:textId="77777777" w:rsidR="00A50FCF" w:rsidRPr="001E0DF4" w:rsidRDefault="00A50FCF" w:rsidP="00040C3A">
      <w:pPr>
        <w:tabs>
          <w:tab w:val="center" w:pos="5400"/>
        </w:tabs>
        <w:suppressAutoHyphens/>
        <w:jc w:val="center"/>
        <w:rPr>
          <w:rFonts w:asciiTheme="majorHAnsi" w:hAnsiTheme="majorHAnsi"/>
          <w:sz w:val="18"/>
          <w:szCs w:val="22"/>
        </w:rPr>
      </w:pPr>
    </w:p>
    <w:p w14:paraId="045D9AC1" w14:textId="77777777" w:rsidR="00A50FCF" w:rsidRPr="001E0DF4" w:rsidRDefault="00A50FCF" w:rsidP="00040C3A">
      <w:pPr>
        <w:tabs>
          <w:tab w:val="center" w:pos="5400"/>
        </w:tabs>
        <w:suppressAutoHyphens/>
        <w:jc w:val="center"/>
        <w:rPr>
          <w:rFonts w:asciiTheme="majorHAnsi" w:hAnsiTheme="majorHAnsi"/>
          <w:sz w:val="18"/>
          <w:szCs w:val="22"/>
        </w:rPr>
      </w:pPr>
    </w:p>
    <w:p w14:paraId="16068EE5" w14:textId="77777777" w:rsidR="00A50FCF" w:rsidRPr="001E0DF4" w:rsidRDefault="00A50FCF" w:rsidP="00040C3A">
      <w:pPr>
        <w:tabs>
          <w:tab w:val="center" w:pos="5400"/>
        </w:tabs>
        <w:suppressAutoHyphens/>
        <w:jc w:val="center"/>
        <w:rPr>
          <w:rFonts w:asciiTheme="majorHAnsi" w:hAnsiTheme="majorHAnsi"/>
          <w:sz w:val="18"/>
          <w:szCs w:val="22"/>
        </w:rPr>
      </w:pPr>
    </w:p>
    <w:p w14:paraId="14A4A430" w14:textId="77777777" w:rsidR="00A50FCF" w:rsidRPr="001E0DF4" w:rsidRDefault="00A50FCF" w:rsidP="00040C3A">
      <w:pPr>
        <w:tabs>
          <w:tab w:val="center" w:pos="5400"/>
        </w:tabs>
        <w:suppressAutoHyphens/>
        <w:jc w:val="center"/>
        <w:rPr>
          <w:rFonts w:asciiTheme="majorHAnsi" w:hAnsiTheme="majorHAnsi"/>
          <w:sz w:val="18"/>
          <w:szCs w:val="22"/>
        </w:rPr>
      </w:pPr>
    </w:p>
    <w:p w14:paraId="0B3B735F" w14:textId="77777777" w:rsidR="00A50FCF" w:rsidRPr="001E0DF4" w:rsidRDefault="00A50FCF" w:rsidP="00040C3A">
      <w:pPr>
        <w:tabs>
          <w:tab w:val="center" w:pos="5400"/>
        </w:tabs>
        <w:suppressAutoHyphens/>
        <w:jc w:val="center"/>
        <w:rPr>
          <w:rFonts w:asciiTheme="majorHAnsi" w:hAnsiTheme="majorHAnsi"/>
          <w:sz w:val="18"/>
          <w:szCs w:val="22"/>
        </w:rPr>
      </w:pPr>
    </w:p>
    <w:p w14:paraId="02C5C441" w14:textId="77777777" w:rsidR="00A50FCF" w:rsidRPr="001E0DF4" w:rsidRDefault="00A50FCF" w:rsidP="00040C3A">
      <w:pPr>
        <w:tabs>
          <w:tab w:val="center" w:pos="5400"/>
        </w:tabs>
        <w:suppressAutoHyphens/>
        <w:jc w:val="center"/>
        <w:rPr>
          <w:rFonts w:asciiTheme="majorHAnsi" w:hAnsiTheme="majorHAnsi"/>
          <w:sz w:val="18"/>
          <w:szCs w:val="22"/>
        </w:rPr>
      </w:pPr>
    </w:p>
    <w:p w14:paraId="7806A2B0" w14:textId="77777777" w:rsidR="00A50FCF" w:rsidRPr="001E0DF4" w:rsidRDefault="00A50FCF" w:rsidP="00040C3A">
      <w:pPr>
        <w:tabs>
          <w:tab w:val="center" w:pos="5400"/>
        </w:tabs>
        <w:suppressAutoHyphens/>
        <w:jc w:val="center"/>
        <w:rPr>
          <w:rFonts w:asciiTheme="majorHAnsi" w:hAnsiTheme="majorHAnsi"/>
          <w:sz w:val="18"/>
          <w:szCs w:val="22"/>
        </w:rPr>
      </w:pPr>
    </w:p>
    <w:p w14:paraId="319C392B" w14:textId="77777777" w:rsidR="00A50FCF" w:rsidRPr="001E0DF4" w:rsidRDefault="00A50FCF" w:rsidP="00040C3A">
      <w:pPr>
        <w:tabs>
          <w:tab w:val="center" w:pos="5400"/>
        </w:tabs>
        <w:suppressAutoHyphens/>
        <w:jc w:val="center"/>
        <w:rPr>
          <w:rFonts w:asciiTheme="majorHAnsi" w:hAnsiTheme="majorHAnsi"/>
          <w:sz w:val="18"/>
          <w:szCs w:val="22"/>
        </w:rPr>
      </w:pPr>
    </w:p>
    <w:p w14:paraId="514A0182" w14:textId="729171A6" w:rsidR="00A50FCF" w:rsidRPr="001E0DF4" w:rsidRDefault="00A50FCF" w:rsidP="00040C3A">
      <w:pPr>
        <w:tabs>
          <w:tab w:val="center" w:pos="5400"/>
        </w:tabs>
        <w:suppressAutoHyphens/>
        <w:jc w:val="center"/>
        <w:rPr>
          <w:rFonts w:asciiTheme="majorHAnsi" w:hAnsiTheme="majorHAnsi"/>
          <w:sz w:val="18"/>
          <w:szCs w:val="22"/>
        </w:rPr>
      </w:pPr>
    </w:p>
    <w:p w14:paraId="1F28BEBB" w14:textId="77777777" w:rsidR="00A50FCF" w:rsidRPr="001E0DF4" w:rsidRDefault="00A50FCF" w:rsidP="00040C3A">
      <w:pPr>
        <w:tabs>
          <w:tab w:val="center" w:pos="5400"/>
        </w:tabs>
        <w:suppressAutoHyphens/>
        <w:jc w:val="center"/>
        <w:rPr>
          <w:rFonts w:asciiTheme="majorHAnsi" w:hAnsiTheme="majorHAnsi"/>
          <w:sz w:val="18"/>
          <w:szCs w:val="22"/>
        </w:rPr>
      </w:pPr>
    </w:p>
    <w:p w14:paraId="7929D1FD" w14:textId="77777777" w:rsidR="00A50FCF" w:rsidRPr="001E0DF4" w:rsidRDefault="00A50FCF" w:rsidP="00040C3A">
      <w:pPr>
        <w:tabs>
          <w:tab w:val="center" w:pos="5400"/>
        </w:tabs>
        <w:suppressAutoHyphens/>
        <w:jc w:val="center"/>
        <w:rPr>
          <w:rFonts w:asciiTheme="majorHAnsi" w:hAnsiTheme="majorHAnsi"/>
          <w:sz w:val="18"/>
          <w:szCs w:val="22"/>
        </w:rPr>
      </w:pPr>
    </w:p>
    <w:p w14:paraId="5469D0BE" w14:textId="77777777" w:rsidR="00A50FCF" w:rsidRPr="001E0DF4" w:rsidRDefault="00A50FCF" w:rsidP="00040C3A">
      <w:pPr>
        <w:tabs>
          <w:tab w:val="center" w:pos="5400"/>
        </w:tabs>
        <w:suppressAutoHyphens/>
        <w:jc w:val="center"/>
        <w:rPr>
          <w:rFonts w:asciiTheme="majorHAnsi" w:hAnsiTheme="majorHAnsi"/>
          <w:sz w:val="18"/>
          <w:szCs w:val="22"/>
        </w:rPr>
      </w:pPr>
    </w:p>
    <w:p w14:paraId="7A79F059" w14:textId="77777777" w:rsidR="00A50FCF" w:rsidRPr="001E0DF4" w:rsidRDefault="00A50FCF" w:rsidP="00040C3A">
      <w:pPr>
        <w:tabs>
          <w:tab w:val="center" w:pos="5400"/>
        </w:tabs>
        <w:suppressAutoHyphens/>
        <w:jc w:val="center"/>
        <w:rPr>
          <w:rFonts w:asciiTheme="majorHAnsi" w:hAnsiTheme="majorHAnsi"/>
          <w:sz w:val="18"/>
          <w:szCs w:val="22"/>
        </w:rPr>
      </w:pPr>
    </w:p>
    <w:p w14:paraId="330672AE" w14:textId="50C1EF01" w:rsidR="00A50FCF" w:rsidRPr="001E0DF4" w:rsidRDefault="00A50FCF" w:rsidP="00040C3A">
      <w:pPr>
        <w:tabs>
          <w:tab w:val="center" w:pos="5400"/>
        </w:tabs>
        <w:suppressAutoHyphens/>
        <w:jc w:val="center"/>
        <w:rPr>
          <w:rFonts w:asciiTheme="majorHAnsi" w:hAnsiTheme="majorHAnsi"/>
          <w:sz w:val="18"/>
          <w:szCs w:val="22"/>
        </w:rPr>
      </w:pPr>
    </w:p>
    <w:p w14:paraId="196A49DE" w14:textId="77777777" w:rsidR="00A50FCF" w:rsidRPr="001E0DF4" w:rsidRDefault="00A50FCF" w:rsidP="00040C3A">
      <w:pPr>
        <w:tabs>
          <w:tab w:val="center" w:pos="5400"/>
        </w:tabs>
        <w:suppressAutoHyphens/>
        <w:jc w:val="center"/>
        <w:rPr>
          <w:rFonts w:asciiTheme="majorHAnsi" w:hAnsiTheme="majorHAnsi"/>
          <w:sz w:val="18"/>
          <w:szCs w:val="22"/>
        </w:rPr>
      </w:pPr>
    </w:p>
    <w:p w14:paraId="1DA07629" w14:textId="45F227A1" w:rsidR="0090270B" w:rsidRPr="001E0DF4" w:rsidRDefault="00D306D1" w:rsidP="005516A1">
      <w:pPr>
        <w:tabs>
          <w:tab w:val="center" w:pos="5400"/>
        </w:tabs>
        <w:suppressAutoHyphens/>
        <w:jc w:val="center"/>
        <w:rPr>
          <w:rFonts w:asciiTheme="majorHAnsi" w:hAnsiTheme="majorHAnsi"/>
          <w:b/>
          <w:sz w:val="20"/>
        </w:rPr>
      </w:pPr>
      <w:r w:rsidRPr="001E0DF4">
        <w:rPr>
          <w:rFonts w:asciiTheme="majorHAnsi" w:hAnsiTheme="majorHAnsi"/>
          <w:noProof/>
          <w:sz w:val="22"/>
          <w:szCs w:val="22"/>
          <w:lang w:eastAsia="es-419"/>
        </w:rPr>
        <mc:AlternateContent>
          <mc:Choice Requires="wps">
            <w:drawing>
              <wp:anchor distT="0" distB="0" distL="114300" distR="114300" simplePos="0" relativeHeight="251682816" behindDoc="0" locked="0" layoutInCell="1" allowOverlap="1" wp14:anchorId="02EDA5EE" wp14:editId="75E71D1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8"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DeSE4K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1E0DF4" w:rsidRDefault="004A6A54" w:rsidP="005516A1">
      <w:pPr>
        <w:tabs>
          <w:tab w:val="center" w:pos="5400"/>
        </w:tabs>
        <w:suppressAutoHyphens/>
        <w:jc w:val="center"/>
        <w:rPr>
          <w:rFonts w:asciiTheme="majorHAnsi" w:hAnsiTheme="majorHAnsi"/>
          <w:b/>
          <w:sz w:val="20"/>
        </w:rPr>
        <w:sectPr w:rsidR="0070697F" w:rsidRPr="001E0DF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E0DF4">
        <w:rPr>
          <w:rFonts w:asciiTheme="majorHAnsi" w:hAnsiTheme="majorHAnsi"/>
          <w:b/>
          <w:sz w:val="20"/>
        </w:rPr>
        <w:tab/>
      </w:r>
    </w:p>
    <w:p w14:paraId="376DDC8B" w14:textId="6AEB240B" w:rsidR="003239B8" w:rsidRPr="001E0DF4" w:rsidRDefault="003239B8" w:rsidP="004A6A54">
      <w:pPr>
        <w:spacing w:after="240"/>
        <w:ind w:firstLine="720"/>
        <w:jc w:val="both"/>
        <w:rPr>
          <w:rFonts w:asciiTheme="majorHAnsi" w:hAnsiTheme="majorHAnsi"/>
          <w:b/>
          <w:bCs/>
          <w:sz w:val="20"/>
          <w:szCs w:val="20"/>
        </w:rPr>
      </w:pPr>
      <w:r w:rsidRPr="001E0DF4">
        <w:rPr>
          <w:rFonts w:asciiTheme="majorHAnsi" w:hAnsiTheme="majorHAnsi"/>
          <w:b/>
          <w:bCs/>
          <w:sz w:val="20"/>
          <w:szCs w:val="20"/>
        </w:rPr>
        <w:lastRenderedPageBreak/>
        <w:t>I.</w:t>
      </w:r>
      <w:r w:rsidRPr="001E0DF4">
        <w:rPr>
          <w:rFonts w:asciiTheme="majorHAnsi" w:hAnsiTheme="majorHAnsi"/>
          <w:b/>
          <w:bCs/>
          <w:sz w:val="20"/>
          <w:szCs w:val="20"/>
        </w:rPr>
        <w:tab/>
      </w:r>
      <w:r w:rsidR="0074205F" w:rsidRPr="001E0DF4">
        <w:rPr>
          <w:rFonts w:asciiTheme="majorHAnsi" w:hAnsiTheme="majorHAnsi"/>
          <w:b/>
          <w:bCs/>
          <w:sz w:val="20"/>
          <w:szCs w:val="20"/>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E0DF4" w14:paraId="5A79D1F7" w14:textId="77777777" w:rsidTr="0074205F">
        <w:tc>
          <w:tcPr>
            <w:tcW w:w="3600" w:type="dxa"/>
            <w:tcBorders>
              <w:top w:val="single" w:sz="4" w:space="0" w:color="auto"/>
              <w:bottom w:val="single" w:sz="6" w:space="0" w:color="auto"/>
            </w:tcBorders>
            <w:shd w:val="clear" w:color="auto" w:fill="67AE3C"/>
            <w:vAlign w:val="center"/>
          </w:tcPr>
          <w:p w14:paraId="0CB2A43B" w14:textId="44F7F169" w:rsidR="003239B8" w:rsidRPr="001E0DF4" w:rsidRDefault="0074205F" w:rsidP="008D2290">
            <w:pPr>
              <w:jc w:val="center"/>
              <w:rPr>
                <w:rFonts w:ascii="Cambria" w:hAnsi="Cambria"/>
                <w:b/>
                <w:bCs/>
                <w:color w:val="FFFFFF" w:themeColor="background1"/>
                <w:sz w:val="20"/>
                <w:szCs w:val="20"/>
              </w:rPr>
            </w:pPr>
            <w:r w:rsidRPr="001E0DF4">
              <w:rPr>
                <w:rFonts w:ascii="Cambria" w:hAnsi="Cambria"/>
                <w:b/>
                <w:bCs/>
                <w:color w:val="FFFFFF" w:themeColor="background1"/>
                <w:sz w:val="20"/>
                <w:szCs w:val="20"/>
              </w:rPr>
              <w:t>Petitioner</w:t>
            </w:r>
            <w:r w:rsidR="003239B8" w:rsidRPr="001E0DF4">
              <w:rPr>
                <w:rFonts w:ascii="Cambria" w:hAnsi="Cambria"/>
                <w:b/>
                <w:bCs/>
                <w:color w:val="FFFFFF" w:themeColor="background1"/>
                <w:sz w:val="20"/>
                <w:szCs w:val="20"/>
              </w:rPr>
              <w:t>:</w:t>
            </w:r>
          </w:p>
        </w:tc>
        <w:tc>
          <w:tcPr>
            <w:tcW w:w="5760" w:type="dxa"/>
            <w:vAlign w:val="center"/>
          </w:tcPr>
          <w:p w14:paraId="3C5315D8" w14:textId="0E5450E3" w:rsidR="003239B8" w:rsidRPr="001E0DF4" w:rsidRDefault="008C3DE2" w:rsidP="000C3A72">
            <w:pPr>
              <w:jc w:val="both"/>
              <w:rPr>
                <w:rFonts w:ascii="Cambria" w:hAnsi="Cambria"/>
                <w:bCs/>
                <w:sz w:val="20"/>
                <w:szCs w:val="20"/>
              </w:rPr>
            </w:pPr>
            <w:r w:rsidRPr="001E0DF4">
              <w:rPr>
                <w:rFonts w:ascii="Cambria" w:hAnsi="Cambria"/>
                <w:bCs/>
                <w:sz w:val="20"/>
                <w:szCs w:val="20"/>
              </w:rPr>
              <w:t xml:space="preserve">Gina María </w:t>
            </w:r>
            <w:r w:rsidR="00DE64AC" w:rsidRPr="001E0DF4">
              <w:rPr>
                <w:rFonts w:ascii="Cambria" w:hAnsi="Cambria"/>
                <w:bCs/>
                <w:sz w:val="20"/>
                <w:szCs w:val="20"/>
              </w:rPr>
              <w:t>González</w:t>
            </w:r>
            <w:r w:rsidRPr="001E0DF4">
              <w:rPr>
                <w:rFonts w:ascii="Cambria" w:hAnsi="Cambria"/>
                <w:bCs/>
                <w:sz w:val="20"/>
                <w:szCs w:val="20"/>
              </w:rPr>
              <w:t xml:space="preserve"> Domínguez</w:t>
            </w:r>
          </w:p>
        </w:tc>
      </w:tr>
      <w:tr w:rsidR="0074205F" w:rsidRPr="001E0DF4" w14:paraId="593A7E45" w14:textId="77777777" w:rsidTr="0074205F">
        <w:tc>
          <w:tcPr>
            <w:tcW w:w="3600" w:type="dxa"/>
            <w:tcBorders>
              <w:top w:val="single" w:sz="6" w:space="0" w:color="auto"/>
              <w:bottom w:val="single" w:sz="6" w:space="0" w:color="auto"/>
            </w:tcBorders>
            <w:shd w:val="clear" w:color="auto" w:fill="67AE3C"/>
            <w:vAlign w:val="center"/>
          </w:tcPr>
          <w:p w14:paraId="0E78CA0C" w14:textId="7CD5E087" w:rsidR="0074205F" w:rsidRPr="001E0DF4" w:rsidRDefault="00F25874" w:rsidP="0074205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6C6581BAE33A48A487651BB7AE112F51"/>
                </w:placeholder>
                <w:dropDownList>
                  <w:listItem w:value="Choose an item."/>
                  <w:listItem w:displayText="Alleged victim" w:value="Alleged victim"/>
                  <w:listItem w:displayText="Alleged victims" w:value="Alleged victims"/>
                </w:dropDownList>
              </w:sdtPr>
              <w:sdtEndPr/>
              <w:sdtContent>
                <w:r w:rsidR="0074205F" w:rsidRPr="001E0DF4">
                  <w:rPr>
                    <w:rFonts w:ascii="Cambria" w:hAnsi="Cambria"/>
                    <w:b/>
                    <w:bCs/>
                    <w:color w:val="FFFFFF" w:themeColor="background1"/>
                    <w:sz w:val="20"/>
                    <w:szCs w:val="20"/>
                  </w:rPr>
                  <w:t>Alleged victim</w:t>
                </w:r>
              </w:sdtContent>
            </w:sdt>
            <w:r w:rsidR="0074205F" w:rsidRPr="001E0DF4">
              <w:rPr>
                <w:rFonts w:ascii="Cambria" w:hAnsi="Cambria"/>
                <w:b/>
                <w:bCs/>
                <w:color w:val="FFFFFF" w:themeColor="background1"/>
                <w:sz w:val="20"/>
                <w:szCs w:val="20"/>
              </w:rPr>
              <w:t>:</w:t>
            </w:r>
          </w:p>
        </w:tc>
        <w:tc>
          <w:tcPr>
            <w:tcW w:w="5760" w:type="dxa"/>
            <w:vAlign w:val="center"/>
          </w:tcPr>
          <w:p w14:paraId="4AEBF59E" w14:textId="63DB14B5" w:rsidR="0074205F" w:rsidRPr="001E0DF4" w:rsidRDefault="0074205F" w:rsidP="0074205F">
            <w:pPr>
              <w:jc w:val="both"/>
              <w:rPr>
                <w:rFonts w:ascii="Cambria" w:hAnsi="Cambria"/>
                <w:bCs/>
                <w:sz w:val="20"/>
                <w:szCs w:val="20"/>
              </w:rPr>
            </w:pPr>
            <w:r w:rsidRPr="001E0DF4">
              <w:rPr>
                <w:rFonts w:ascii="Cambria" w:hAnsi="Cambria"/>
                <w:bCs/>
                <w:sz w:val="20"/>
                <w:szCs w:val="20"/>
              </w:rPr>
              <w:t>Gina María González Domínguez</w:t>
            </w:r>
          </w:p>
        </w:tc>
      </w:tr>
      <w:tr w:rsidR="0074205F" w:rsidRPr="001E0DF4" w14:paraId="3E62E1D3" w14:textId="77777777" w:rsidTr="0074205F">
        <w:tc>
          <w:tcPr>
            <w:tcW w:w="3600" w:type="dxa"/>
            <w:tcBorders>
              <w:top w:val="single" w:sz="6" w:space="0" w:color="auto"/>
              <w:bottom w:val="single" w:sz="6" w:space="0" w:color="auto"/>
            </w:tcBorders>
            <w:shd w:val="clear" w:color="auto" w:fill="67AE3C"/>
            <w:vAlign w:val="center"/>
          </w:tcPr>
          <w:p w14:paraId="340B0F09" w14:textId="7B091705" w:rsidR="0074205F" w:rsidRPr="001E0DF4" w:rsidRDefault="0074205F" w:rsidP="0074205F">
            <w:pPr>
              <w:jc w:val="center"/>
              <w:rPr>
                <w:rFonts w:ascii="Cambria" w:hAnsi="Cambria"/>
                <w:b/>
                <w:bCs/>
                <w:color w:val="FFFFFF" w:themeColor="background1"/>
                <w:sz w:val="20"/>
                <w:szCs w:val="20"/>
              </w:rPr>
            </w:pPr>
            <w:r w:rsidRPr="001E0DF4">
              <w:rPr>
                <w:rFonts w:ascii="Cambria" w:hAnsi="Cambria"/>
                <w:b/>
                <w:bCs/>
                <w:color w:val="FFFFFF" w:themeColor="background1"/>
                <w:sz w:val="20"/>
                <w:szCs w:val="20"/>
              </w:rPr>
              <w:t>Respondent State:</w:t>
            </w:r>
          </w:p>
        </w:tc>
        <w:tc>
          <w:tcPr>
            <w:tcW w:w="5760" w:type="dxa"/>
            <w:vAlign w:val="center"/>
          </w:tcPr>
          <w:p w14:paraId="274C8A50" w14:textId="5C6D20B6" w:rsidR="0074205F" w:rsidRPr="001E0DF4" w:rsidRDefault="0074205F" w:rsidP="0074205F">
            <w:pPr>
              <w:jc w:val="both"/>
              <w:rPr>
                <w:rFonts w:ascii="Cambria" w:hAnsi="Cambria"/>
                <w:bCs/>
                <w:sz w:val="20"/>
                <w:szCs w:val="20"/>
              </w:rPr>
            </w:pPr>
            <w:r w:rsidRPr="001E0DF4">
              <w:rPr>
                <w:rFonts w:ascii="Cambria" w:hAnsi="Cambria"/>
                <w:bCs/>
                <w:sz w:val="20"/>
                <w:szCs w:val="20"/>
              </w:rPr>
              <w:t>Honduras</w:t>
            </w:r>
          </w:p>
        </w:tc>
      </w:tr>
      <w:tr w:rsidR="0074205F" w:rsidRPr="001E0DF4" w14:paraId="632511BC" w14:textId="77777777" w:rsidTr="0074205F">
        <w:tc>
          <w:tcPr>
            <w:tcW w:w="3600" w:type="dxa"/>
            <w:tcBorders>
              <w:top w:val="single" w:sz="6" w:space="0" w:color="auto"/>
              <w:bottom w:val="single" w:sz="6" w:space="0" w:color="auto"/>
            </w:tcBorders>
            <w:shd w:val="clear" w:color="auto" w:fill="67AE3C"/>
            <w:vAlign w:val="center"/>
          </w:tcPr>
          <w:p w14:paraId="727E2F6B" w14:textId="6F1E096D" w:rsidR="0074205F" w:rsidRPr="001E0DF4" w:rsidRDefault="0074205F" w:rsidP="0074205F">
            <w:pPr>
              <w:jc w:val="center"/>
              <w:rPr>
                <w:rFonts w:ascii="Cambria" w:hAnsi="Cambria"/>
                <w:b/>
                <w:bCs/>
                <w:color w:val="FFFFFF" w:themeColor="background1"/>
                <w:sz w:val="20"/>
                <w:szCs w:val="20"/>
              </w:rPr>
            </w:pPr>
            <w:r w:rsidRPr="001E0DF4">
              <w:rPr>
                <w:rFonts w:ascii="Cambria" w:hAnsi="Cambria"/>
                <w:b/>
                <w:bCs/>
                <w:color w:val="FFFFFF" w:themeColor="background1"/>
                <w:sz w:val="20"/>
                <w:szCs w:val="20"/>
              </w:rPr>
              <w:t>Rights invoked:</w:t>
            </w:r>
          </w:p>
        </w:tc>
        <w:tc>
          <w:tcPr>
            <w:tcW w:w="5760" w:type="dxa"/>
            <w:vAlign w:val="center"/>
          </w:tcPr>
          <w:p w14:paraId="6DEE1EEB" w14:textId="44833777" w:rsidR="0074205F" w:rsidRPr="001E0DF4" w:rsidRDefault="001E0DF4" w:rsidP="0074205F">
            <w:pPr>
              <w:jc w:val="both"/>
              <w:rPr>
                <w:rFonts w:ascii="Cambria" w:hAnsi="Cambria"/>
                <w:bCs/>
                <w:sz w:val="20"/>
                <w:szCs w:val="20"/>
              </w:rPr>
            </w:pPr>
            <w:r w:rsidRPr="001E0DF4">
              <w:rPr>
                <w:rFonts w:ascii="Cambria" w:hAnsi="Cambria"/>
                <w:bCs/>
                <w:sz w:val="20"/>
                <w:szCs w:val="20"/>
              </w:rPr>
              <w:t>Articles 8 (fair trial), 24 (equality before the law) and 25 (judicial protection) of the American Convention on Human Right</w:t>
            </w:r>
            <w:r>
              <w:rPr>
                <w:rFonts w:ascii="Cambria" w:hAnsi="Cambria"/>
                <w:bCs/>
                <w:sz w:val="20"/>
                <w:szCs w:val="20"/>
              </w:rPr>
              <w:t>s</w:t>
            </w:r>
            <w:r w:rsidR="0074205F" w:rsidRPr="001E0DF4">
              <w:rPr>
                <w:rStyle w:val="FootnoteReference"/>
                <w:rFonts w:ascii="Cambria" w:hAnsi="Cambria"/>
                <w:bCs/>
                <w:sz w:val="20"/>
                <w:szCs w:val="20"/>
              </w:rPr>
              <w:footnoteReference w:id="2"/>
            </w:r>
            <w:r w:rsidR="0074205F" w:rsidRPr="001E0DF4">
              <w:rPr>
                <w:rFonts w:ascii="Cambria" w:hAnsi="Cambria"/>
                <w:bCs/>
                <w:sz w:val="20"/>
                <w:szCs w:val="20"/>
              </w:rPr>
              <w:t xml:space="preserve">; </w:t>
            </w:r>
            <w:r w:rsidRPr="001E0DF4">
              <w:rPr>
                <w:rFonts w:ascii="Cambria" w:hAnsi="Cambria"/>
                <w:bCs/>
                <w:sz w:val="20"/>
                <w:szCs w:val="20"/>
              </w:rPr>
              <w:t>article XVIII (justice) of the American Declaration of the Rights and Duties of Ma</w:t>
            </w:r>
            <w:r>
              <w:rPr>
                <w:rFonts w:ascii="Cambria" w:hAnsi="Cambria"/>
                <w:bCs/>
                <w:sz w:val="20"/>
                <w:szCs w:val="20"/>
              </w:rPr>
              <w:t>n</w:t>
            </w:r>
            <w:r w:rsidR="0074205F" w:rsidRPr="001E0DF4">
              <w:rPr>
                <w:rStyle w:val="FootnoteReference"/>
                <w:rFonts w:ascii="Cambria" w:hAnsi="Cambria"/>
                <w:bCs/>
                <w:sz w:val="20"/>
                <w:szCs w:val="20"/>
              </w:rPr>
              <w:footnoteReference w:id="3"/>
            </w:r>
            <w:r w:rsidR="0074205F" w:rsidRPr="001E0DF4">
              <w:rPr>
                <w:rFonts w:ascii="Cambria" w:hAnsi="Cambria"/>
                <w:bCs/>
                <w:sz w:val="20"/>
                <w:szCs w:val="20"/>
              </w:rPr>
              <w:t xml:space="preserve">: </w:t>
            </w:r>
            <w:r w:rsidRPr="001E0DF4">
              <w:rPr>
                <w:rFonts w:ascii="Cambria" w:hAnsi="Cambria"/>
                <w:bCs/>
                <w:sz w:val="20"/>
                <w:szCs w:val="20"/>
              </w:rPr>
              <w:t>and Articles 3, 4, 5 and 7 of the Inter-American Convention on the Prevention, Punishment and Eradication of Violence against Women ("the Convention of Belém Do Pará")</w:t>
            </w:r>
          </w:p>
        </w:tc>
      </w:tr>
    </w:tbl>
    <w:p w14:paraId="20263696" w14:textId="26853FB9" w:rsidR="003239B8" w:rsidRPr="001E0DF4" w:rsidRDefault="003239B8" w:rsidP="003239B8">
      <w:pPr>
        <w:spacing w:before="240" w:after="240"/>
        <w:ind w:firstLine="720"/>
        <w:jc w:val="both"/>
        <w:rPr>
          <w:rFonts w:asciiTheme="majorHAnsi" w:hAnsiTheme="majorHAnsi"/>
          <w:b/>
          <w:bCs/>
          <w:sz w:val="20"/>
          <w:szCs w:val="20"/>
        </w:rPr>
      </w:pPr>
      <w:r w:rsidRPr="001E0DF4">
        <w:rPr>
          <w:rFonts w:asciiTheme="majorHAnsi" w:hAnsiTheme="majorHAnsi"/>
          <w:b/>
          <w:bCs/>
          <w:sz w:val="20"/>
          <w:szCs w:val="20"/>
        </w:rPr>
        <w:t>II.</w:t>
      </w:r>
      <w:r w:rsidRPr="001E0DF4">
        <w:rPr>
          <w:rFonts w:asciiTheme="majorHAnsi" w:hAnsiTheme="majorHAnsi"/>
          <w:b/>
          <w:bCs/>
          <w:sz w:val="20"/>
          <w:szCs w:val="20"/>
        </w:rPr>
        <w:tab/>
      </w:r>
      <w:r w:rsidR="0074205F" w:rsidRPr="001E0DF4">
        <w:rPr>
          <w:rFonts w:asciiTheme="majorHAnsi" w:hAnsiTheme="majorHAnsi"/>
          <w:b/>
          <w:bCs/>
          <w:sz w:val="20"/>
          <w:szCs w:val="20"/>
        </w:rPr>
        <w:t>PROCEEDINGS BEFORE THE IACHR</w:t>
      </w:r>
      <w:r w:rsidR="0074205F" w:rsidRPr="001E0DF4">
        <w:rPr>
          <w:rStyle w:val="FootnoteReference"/>
          <w:rFonts w:ascii="Cambria" w:hAnsi="Cambria"/>
          <w:b/>
          <w:sz w:val="20"/>
          <w:szCs w:val="20"/>
        </w:rPr>
        <w:t xml:space="preserve"> </w:t>
      </w:r>
      <w:r w:rsidR="008E3BFE" w:rsidRPr="001E0DF4">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4205F" w:rsidRPr="001E0DF4" w14:paraId="306EFCB0" w14:textId="77777777" w:rsidTr="0074205F">
        <w:tc>
          <w:tcPr>
            <w:tcW w:w="3600" w:type="dxa"/>
            <w:tcBorders>
              <w:top w:val="single" w:sz="6" w:space="0" w:color="auto"/>
              <w:bottom w:val="single" w:sz="6" w:space="0" w:color="auto"/>
            </w:tcBorders>
            <w:shd w:val="clear" w:color="auto" w:fill="67AE3C"/>
            <w:vAlign w:val="center"/>
          </w:tcPr>
          <w:p w14:paraId="7508D16F" w14:textId="1775A088" w:rsidR="0074205F" w:rsidRPr="001E0DF4" w:rsidRDefault="0074205F" w:rsidP="0074205F">
            <w:pPr>
              <w:jc w:val="center"/>
              <w:rPr>
                <w:rFonts w:ascii="Cambria" w:hAnsi="Cambria"/>
                <w:b/>
                <w:bCs/>
                <w:color w:val="FFFFFF" w:themeColor="background1"/>
                <w:sz w:val="20"/>
                <w:szCs w:val="20"/>
              </w:rPr>
            </w:pPr>
            <w:r w:rsidRPr="001E0DF4">
              <w:rPr>
                <w:rFonts w:ascii="Cambria" w:hAnsi="Cambria"/>
                <w:b/>
                <w:bCs/>
                <w:color w:val="FFFFFF" w:themeColor="background1"/>
                <w:sz w:val="20"/>
                <w:szCs w:val="20"/>
              </w:rPr>
              <w:t>Filing of the petition:</w:t>
            </w:r>
          </w:p>
        </w:tc>
        <w:tc>
          <w:tcPr>
            <w:tcW w:w="5760" w:type="dxa"/>
            <w:vAlign w:val="center"/>
          </w:tcPr>
          <w:p w14:paraId="6E579153" w14:textId="13311A01" w:rsidR="0074205F" w:rsidRPr="001E0DF4" w:rsidRDefault="001E0DF4" w:rsidP="0074205F">
            <w:pPr>
              <w:jc w:val="both"/>
              <w:rPr>
                <w:rFonts w:ascii="Cambria" w:hAnsi="Cambria"/>
                <w:bCs/>
                <w:sz w:val="20"/>
                <w:szCs w:val="20"/>
              </w:rPr>
            </w:pPr>
            <w:r>
              <w:rPr>
                <w:rFonts w:ascii="Cambria" w:hAnsi="Cambria"/>
                <w:bCs/>
                <w:sz w:val="20"/>
                <w:szCs w:val="20"/>
              </w:rPr>
              <w:t>November 2,</w:t>
            </w:r>
            <w:r w:rsidR="0074205F" w:rsidRPr="001E0DF4">
              <w:rPr>
                <w:rFonts w:ascii="Cambria" w:hAnsi="Cambria"/>
                <w:bCs/>
                <w:sz w:val="20"/>
                <w:szCs w:val="20"/>
              </w:rPr>
              <w:t xml:space="preserve"> 2017</w:t>
            </w:r>
          </w:p>
        </w:tc>
      </w:tr>
      <w:tr w:rsidR="0074205F" w:rsidRPr="001E0DF4" w14:paraId="51A46188" w14:textId="77777777" w:rsidTr="0074205F">
        <w:tc>
          <w:tcPr>
            <w:tcW w:w="3600" w:type="dxa"/>
            <w:tcBorders>
              <w:top w:val="single" w:sz="6" w:space="0" w:color="auto"/>
              <w:bottom w:val="single" w:sz="6" w:space="0" w:color="auto"/>
            </w:tcBorders>
            <w:shd w:val="clear" w:color="auto" w:fill="67AE3C"/>
            <w:vAlign w:val="center"/>
          </w:tcPr>
          <w:p w14:paraId="119D69CD" w14:textId="024F2C26" w:rsidR="0074205F" w:rsidRPr="001E0DF4" w:rsidRDefault="0074205F" w:rsidP="0074205F">
            <w:pPr>
              <w:jc w:val="center"/>
              <w:rPr>
                <w:rFonts w:ascii="Cambria" w:hAnsi="Cambria"/>
                <w:b/>
                <w:bCs/>
                <w:color w:val="FFFFFF" w:themeColor="background1"/>
                <w:sz w:val="20"/>
                <w:szCs w:val="20"/>
              </w:rPr>
            </w:pPr>
            <w:r w:rsidRPr="001E0DF4">
              <w:rPr>
                <w:rFonts w:ascii="Cambria" w:hAnsi="Cambria"/>
                <w:b/>
                <w:color w:val="FFFFFF" w:themeColor="background1"/>
                <w:sz w:val="20"/>
                <w:szCs w:val="20"/>
              </w:rPr>
              <w:t>Additional information received at the stage of initial review:</w:t>
            </w:r>
          </w:p>
        </w:tc>
        <w:tc>
          <w:tcPr>
            <w:tcW w:w="5760" w:type="dxa"/>
            <w:vAlign w:val="center"/>
          </w:tcPr>
          <w:p w14:paraId="5EF0A986" w14:textId="47B69641" w:rsidR="0074205F" w:rsidRPr="001E0DF4" w:rsidRDefault="001E0DF4" w:rsidP="0074205F">
            <w:pPr>
              <w:jc w:val="both"/>
              <w:rPr>
                <w:rFonts w:ascii="Cambria" w:hAnsi="Cambria"/>
                <w:bCs/>
                <w:sz w:val="20"/>
                <w:szCs w:val="20"/>
              </w:rPr>
            </w:pPr>
            <w:r>
              <w:rPr>
                <w:rFonts w:ascii="Cambria" w:hAnsi="Cambria"/>
                <w:bCs/>
                <w:sz w:val="20"/>
                <w:szCs w:val="20"/>
              </w:rPr>
              <w:t>February 11,</w:t>
            </w:r>
            <w:r w:rsidR="0074205F" w:rsidRPr="001E0DF4">
              <w:rPr>
                <w:rFonts w:ascii="Cambria" w:hAnsi="Cambria"/>
                <w:bCs/>
                <w:sz w:val="20"/>
                <w:szCs w:val="20"/>
              </w:rPr>
              <w:t xml:space="preserve"> 2021 </w:t>
            </w:r>
            <w:r>
              <w:rPr>
                <w:rFonts w:ascii="Cambria" w:hAnsi="Cambria"/>
                <w:bCs/>
                <w:sz w:val="20"/>
                <w:szCs w:val="20"/>
              </w:rPr>
              <w:t>and</w:t>
            </w:r>
            <w:r w:rsidR="0074205F" w:rsidRPr="001E0DF4">
              <w:rPr>
                <w:rFonts w:ascii="Cambria" w:hAnsi="Cambria"/>
                <w:bCs/>
                <w:sz w:val="20"/>
                <w:szCs w:val="20"/>
              </w:rPr>
              <w:t xml:space="preserve"> </w:t>
            </w:r>
            <w:r>
              <w:rPr>
                <w:rFonts w:ascii="Cambria" w:hAnsi="Cambria"/>
                <w:bCs/>
                <w:sz w:val="20"/>
                <w:szCs w:val="20"/>
              </w:rPr>
              <w:t>June 13,</w:t>
            </w:r>
            <w:r w:rsidR="0074205F" w:rsidRPr="001E0DF4">
              <w:rPr>
                <w:rFonts w:ascii="Cambria" w:hAnsi="Cambria"/>
                <w:bCs/>
                <w:sz w:val="20"/>
                <w:szCs w:val="20"/>
              </w:rPr>
              <w:t xml:space="preserve"> 2022</w:t>
            </w:r>
          </w:p>
        </w:tc>
      </w:tr>
      <w:tr w:rsidR="0074205F" w:rsidRPr="001E0DF4" w14:paraId="1BDCD5C6" w14:textId="77777777" w:rsidTr="0074205F">
        <w:tc>
          <w:tcPr>
            <w:tcW w:w="3600" w:type="dxa"/>
            <w:tcBorders>
              <w:top w:val="single" w:sz="6" w:space="0" w:color="auto"/>
              <w:bottom w:val="single" w:sz="6" w:space="0" w:color="auto"/>
            </w:tcBorders>
            <w:shd w:val="clear" w:color="auto" w:fill="67AE3C"/>
            <w:vAlign w:val="center"/>
          </w:tcPr>
          <w:p w14:paraId="7A18664F" w14:textId="41674FFB" w:rsidR="0074205F" w:rsidRPr="001E0DF4" w:rsidRDefault="0074205F" w:rsidP="0074205F">
            <w:pPr>
              <w:jc w:val="center"/>
              <w:rPr>
                <w:rFonts w:ascii="Cambria" w:hAnsi="Cambria"/>
                <w:b/>
                <w:bCs/>
                <w:color w:val="FFFFFF" w:themeColor="background1"/>
                <w:sz w:val="20"/>
                <w:szCs w:val="20"/>
              </w:rPr>
            </w:pPr>
            <w:r w:rsidRPr="001E0DF4">
              <w:rPr>
                <w:rFonts w:ascii="Cambria" w:hAnsi="Cambria"/>
                <w:b/>
                <w:color w:val="FFFFFF" w:themeColor="background1"/>
                <w:sz w:val="20"/>
                <w:szCs w:val="20"/>
              </w:rPr>
              <w:t>Notification of the petition to the State:</w:t>
            </w:r>
          </w:p>
        </w:tc>
        <w:tc>
          <w:tcPr>
            <w:tcW w:w="5760" w:type="dxa"/>
            <w:vAlign w:val="center"/>
          </w:tcPr>
          <w:p w14:paraId="1519DA6A" w14:textId="23AD42ED" w:rsidR="0074205F" w:rsidRPr="001E0DF4" w:rsidRDefault="001E0DF4" w:rsidP="0074205F">
            <w:pPr>
              <w:jc w:val="both"/>
              <w:rPr>
                <w:rFonts w:ascii="Cambria" w:hAnsi="Cambria"/>
                <w:bCs/>
                <w:sz w:val="20"/>
                <w:szCs w:val="20"/>
              </w:rPr>
            </w:pPr>
            <w:r>
              <w:rPr>
                <w:rFonts w:ascii="Cambria" w:hAnsi="Cambria"/>
                <w:bCs/>
                <w:sz w:val="20"/>
                <w:szCs w:val="20"/>
              </w:rPr>
              <w:t>June 13,</w:t>
            </w:r>
            <w:r w:rsidR="0074205F" w:rsidRPr="001E0DF4">
              <w:rPr>
                <w:rFonts w:ascii="Cambria" w:hAnsi="Cambria"/>
                <w:bCs/>
                <w:sz w:val="20"/>
                <w:szCs w:val="20"/>
              </w:rPr>
              <w:t xml:space="preserve"> 2022</w:t>
            </w:r>
          </w:p>
        </w:tc>
      </w:tr>
      <w:tr w:rsidR="0074205F" w:rsidRPr="001E0DF4" w14:paraId="6147A8D5" w14:textId="77777777" w:rsidTr="0074205F">
        <w:tc>
          <w:tcPr>
            <w:tcW w:w="3600" w:type="dxa"/>
            <w:tcBorders>
              <w:top w:val="single" w:sz="6" w:space="0" w:color="auto"/>
              <w:bottom w:val="single" w:sz="6" w:space="0" w:color="auto"/>
            </w:tcBorders>
            <w:shd w:val="clear" w:color="auto" w:fill="67AE3C"/>
            <w:vAlign w:val="center"/>
          </w:tcPr>
          <w:p w14:paraId="0201C86D" w14:textId="096EC603" w:rsidR="0074205F" w:rsidRPr="001E0DF4" w:rsidRDefault="0074205F" w:rsidP="0074205F">
            <w:pPr>
              <w:jc w:val="center"/>
              <w:rPr>
                <w:rFonts w:ascii="Cambria" w:hAnsi="Cambria"/>
                <w:b/>
                <w:bCs/>
                <w:color w:val="FFFFFF" w:themeColor="background1"/>
                <w:sz w:val="20"/>
                <w:szCs w:val="20"/>
              </w:rPr>
            </w:pPr>
            <w:r w:rsidRPr="001E0DF4">
              <w:rPr>
                <w:rFonts w:ascii="Cambria" w:hAnsi="Cambria"/>
                <w:b/>
                <w:color w:val="FFFFFF" w:themeColor="background1"/>
                <w:sz w:val="20"/>
                <w:szCs w:val="20"/>
              </w:rPr>
              <w:t>State’s first response:</w:t>
            </w:r>
          </w:p>
        </w:tc>
        <w:tc>
          <w:tcPr>
            <w:tcW w:w="5760" w:type="dxa"/>
            <w:vAlign w:val="center"/>
          </w:tcPr>
          <w:p w14:paraId="1972B99E" w14:textId="144A1DE1" w:rsidR="0074205F" w:rsidRPr="001E0DF4" w:rsidRDefault="001E0DF4" w:rsidP="0074205F">
            <w:pPr>
              <w:jc w:val="both"/>
              <w:rPr>
                <w:rFonts w:ascii="Cambria" w:hAnsi="Cambria"/>
                <w:bCs/>
                <w:sz w:val="20"/>
                <w:szCs w:val="20"/>
              </w:rPr>
            </w:pPr>
            <w:r>
              <w:rPr>
                <w:rFonts w:ascii="Cambria" w:hAnsi="Cambria"/>
                <w:bCs/>
                <w:sz w:val="20"/>
                <w:szCs w:val="20"/>
              </w:rPr>
              <w:t>October 14,</w:t>
            </w:r>
            <w:r w:rsidR="0074205F" w:rsidRPr="001E0DF4">
              <w:rPr>
                <w:rFonts w:ascii="Cambria" w:hAnsi="Cambria"/>
                <w:bCs/>
                <w:sz w:val="20"/>
                <w:szCs w:val="20"/>
              </w:rPr>
              <w:t xml:space="preserve"> 2022</w:t>
            </w:r>
          </w:p>
        </w:tc>
      </w:tr>
      <w:tr w:rsidR="003A31E2" w:rsidRPr="001E0DF4" w14:paraId="0E1C3DC1" w14:textId="77777777" w:rsidTr="0074205F">
        <w:tc>
          <w:tcPr>
            <w:tcW w:w="3600" w:type="dxa"/>
            <w:tcBorders>
              <w:top w:val="single" w:sz="6" w:space="0" w:color="auto"/>
              <w:bottom w:val="single" w:sz="6" w:space="0" w:color="auto"/>
            </w:tcBorders>
            <w:shd w:val="clear" w:color="auto" w:fill="67AE3C"/>
            <w:vAlign w:val="center"/>
          </w:tcPr>
          <w:p w14:paraId="55CCD3A5" w14:textId="43C3F310" w:rsidR="003A31E2" w:rsidRPr="001E0DF4" w:rsidRDefault="0074205F" w:rsidP="004A6A54">
            <w:pPr>
              <w:jc w:val="center"/>
              <w:rPr>
                <w:rFonts w:ascii="Cambria" w:hAnsi="Cambria"/>
                <w:b/>
                <w:color w:val="FFFFFF" w:themeColor="background1"/>
                <w:sz w:val="20"/>
                <w:szCs w:val="20"/>
              </w:rPr>
            </w:pPr>
            <w:r w:rsidRPr="001E0DF4">
              <w:rPr>
                <w:rFonts w:ascii="Cambria" w:hAnsi="Cambria"/>
                <w:b/>
                <w:bCs/>
                <w:color w:val="FFFFFF" w:themeColor="background1"/>
                <w:sz w:val="20"/>
                <w:szCs w:val="20"/>
              </w:rPr>
              <w:t>Additional observations from the petitioner:</w:t>
            </w:r>
          </w:p>
        </w:tc>
        <w:tc>
          <w:tcPr>
            <w:tcW w:w="5760" w:type="dxa"/>
            <w:vAlign w:val="center"/>
          </w:tcPr>
          <w:p w14:paraId="2DE039F5" w14:textId="6F72EF73" w:rsidR="003A31E2" w:rsidRPr="001E0DF4" w:rsidRDefault="001E0DF4" w:rsidP="008D2290">
            <w:pPr>
              <w:jc w:val="both"/>
              <w:rPr>
                <w:rFonts w:ascii="Cambria" w:hAnsi="Cambria"/>
                <w:bCs/>
                <w:sz w:val="20"/>
                <w:szCs w:val="20"/>
              </w:rPr>
            </w:pPr>
            <w:r>
              <w:rPr>
                <w:rFonts w:ascii="Cambria" w:hAnsi="Cambria"/>
                <w:bCs/>
                <w:sz w:val="20"/>
                <w:szCs w:val="20"/>
              </w:rPr>
              <w:t>January 4,</w:t>
            </w:r>
            <w:r w:rsidR="00C75A95" w:rsidRPr="001E0DF4">
              <w:rPr>
                <w:rFonts w:ascii="Cambria" w:hAnsi="Cambria"/>
                <w:bCs/>
                <w:sz w:val="20"/>
                <w:szCs w:val="20"/>
              </w:rPr>
              <w:t xml:space="preserve"> 2023</w:t>
            </w:r>
          </w:p>
        </w:tc>
      </w:tr>
      <w:tr w:rsidR="0074205F" w:rsidRPr="001E0DF4" w14:paraId="0F502B44" w14:textId="77777777" w:rsidTr="0074205F">
        <w:tc>
          <w:tcPr>
            <w:tcW w:w="3600" w:type="dxa"/>
            <w:tcBorders>
              <w:top w:val="single" w:sz="6" w:space="0" w:color="auto"/>
              <w:bottom w:val="single" w:sz="6" w:space="0" w:color="auto"/>
            </w:tcBorders>
            <w:shd w:val="clear" w:color="auto" w:fill="67AE3C"/>
            <w:vAlign w:val="center"/>
          </w:tcPr>
          <w:p w14:paraId="046FEDC0" w14:textId="037BB532" w:rsidR="0074205F" w:rsidRPr="001E0DF4" w:rsidRDefault="0074205F" w:rsidP="0074205F">
            <w:pPr>
              <w:jc w:val="center"/>
              <w:rPr>
                <w:rFonts w:ascii="Cambria" w:hAnsi="Cambria"/>
                <w:b/>
                <w:bCs/>
                <w:color w:val="FFFFFF" w:themeColor="background1"/>
                <w:sz w:val="20"/>
                <w:szCs w:val="20"/>
              </w:rPr>
            </w:pPr>
            <w:r w:rsidRPr="001E0DF4">
              <w:rPr>
                <w:rFonts w:ascii="Cambria" w:hAnsi="Cambria"/>
                <w:b/>
                <w:bCs/>
                <w:color w:val="FFFFFF" w:themeColor="background1"/>
                <w:sz w:val="20"/>
                <w:szCs w:val="20"/>
              </w:rPr>
              <w:t>Notification of the possible archiving of the petition:</w:t>
            </w:r>
          </w:p>
        </w:tc>
        <w:tc>
          <w:tcPr>
            <w:tcW w:w="5760" w:type="dxa"/>
            <w:vAlign w:val="center"/>
          </w:tcPr>
          <w:p w14:paraId="5500808B" w14:textId="21F148A5" w:rsidR="0074205F" w:rsidRPr="001E0DF4" w:rsidRDefault="001E0DF4" w:rsidP="0074205F">
            <w:pPr>
              <w:jc w:val="both"/>
              <w:rPr>
                <w:rFonts w:ascii="Cambria" w:hAnsi="Cambria"/>
                <w:bCs/>
                <w:sz w:val="20"/>
                <w:szCs w:val="20"/>
              </w:rPr>
            </w:pPr>
            <w:r>
              <w:rPr>
                <w:rFonts w:ascii="Cambria" w:hAnsi="Cambria"/>
                <w:bCs/>
                <w:sz w:val="20"/>
                <w:szCs w:val="20"/>
              </w:rPr>
              <w:t>January 12,</w:t>
            </w:r>
            <w:r w:rsidR="0074205F" w:rsidRPr="001E0DF4">
              <w:rPr>
                <w:rFonts w:ascii="Cambria" w:hAnsi="Cambria"/>
                <w:bCs/>
                <w:sz w:val="20"/>
                <w:szCs w:val="20"/>
              </w:rPr>
              <w:t xml:space="preserve"> 2021</w:t>
            </w:r>
          </w:p>
        </w:tc>
      </w:tr>
      <w:tr w:rsidR="0074205F" w:rsidRPr="001E0DF4" w14:paraId="789A7AF7" w14:textId="77777777" w:rsidTr="0074205F">
        <w:tc>
          <w:tcPr>
            <w:tcW w:w="3600" w:type="dxa"/>
            <w:tcBorders>
              <w:top w:val="single" w:sz="6" w:space="0" w:color="auto"/>
              <w:bottom w:val="single" w:sz="6" w:space="0" w:color="auto"/>
            </w:tcBorders>
            <w:shd w:val="clear" w:color="auto" w:fill="67AE3C"/>
            <w:vAlign w:val="center"/>
          </w:tcPr>
          <w:p w14:paraId="11989038" w14:textId="0E691966" w:rsidR="0074205F" w:rsidRPr="001E0DF4" w:rsidRDefault="0074205F" w:rsidP="0074205F">
            <w:pPr>
              <w:jc w:val="center"/>
              <w:rPr>
                <w:rFonts w:ascii="Cambria" w:hAnsi="Cambria"/>
                <w:b/>
                <w:bCs/>
                <w:color w:val="FFFFFF" w:themeColor="background1"/>
                <w:sz w:val="20"/>
                <w:szCs w:val="20"/>
              </w:rPr>
            </w:pPr>
            <w:r w:rsidRPr="001E0DF4">
              <w:rPr>
                <w:rFonts w:ascii="Cambria" w:hAnsi="Cambria"/>
                <w:b/>
                <w:bCs/>
                <w:color w:val="FFFFFF" w:themeColor="background1"/>
                <w:sz w:val="20"/>
                <w:szCs w:val="20"/>
              </w:rPr>
              <w:t>Petitioner’s response to the notification regarding the possible archiving of the petition:</w:t>
            </w:r>
          </w:p>
        </w:tc>
        <w:tc>
          <w:tcPr>
            <w:tcW w:w="5760" w:type="dxa"/>
            <w:vAlign w:val="center"/>
          </w:tcPr>
          <w:p w14:paraId="24E176E2" w14:textId="5A0B0A90" w:rsidR="0074205F" w:rsidRPr="001E0DF4" w:rsidRDefault="001E0DF4" w:rsidP="0074205F">
            <w:pPr>
              <w:jc w:val="both"/>
              <w:rPr>
                <w:rFonts w:ascii="Cambria" w:hAnsi="Cambria"/>
                <w:bCs/>
                <w:sz w:val="20"/>
                <w:szCs w:val="20"/>
              </w:rPr>
            </w:pPr>
            <w:r>
              <w:rPr>
                <w:rFonts w:ascii="Cambria" w:hAnsi="Cambria"/>
                <w:bCs/>
                <w:sz w:val="20"/>
                <w:szCs w:val="20"/>
              </w:rPr>
              <w:t>January 28,</w:t>
            </w:r>
            <w:r w:rsidR="0074205F" w:rsidRPr="001E0DF4">
              <w:rPr>
                <w:rFonts w:ascii="Cambria" w:hAnsi="Cambria"/>
                <w:bCs/>
                <w:sz w:val="20"/>
                <w:szCs w:val="20"/>
              </w:rPr>
              <w:t xml:space="preserve"> 2021</w:t>
            </w:r>
          </w:p>
        </w:tc>
      </w:tr>
    </w:tbl>
    <w:p w14:paraId="21DAA666" w14:textId="0A2D6EE4" w:rsidR="003239B8" w:rsidRPr="001E0DF4" w:rsidRDefault="003239B8" w:rsidP="003239B8">
      <w:pPr>
        <w:spacing w:before="240" w:after="240"/>
        <w:ind w:firstLine="720"/>
        <w:jc w:val="both"/>
        <w:rPr>
          <w:rFonts w:asciiTheme="majorHAnsi" w:hAnsiTheme="majorHAnsi"/>
          <w:b/>
          <w:bCs/>
          <w:sz w:val="20"/>
          <w:szCs w:val="20"/>
        </w:rPr>
      </w:pPr>
      <w:r w:rsidRPr="001E0DF4">
        <w:rPr>
          <w:rFonts w:asciiTheme="majorHAnsi" w:hAnsiTheme="majorHAnsi"/>
          <w:b/>
          <w:bCs/>
          <w:sz w:val="20"/>
          <w:szCs w:val="20"/>
        </w:rPr>
        <w:t xml:space="preserve">III. </w:t>
      </w:r>
      <w:r w:rsidRPr="001E0DF4">
        <w:rPr>
          <w:rFonts w:asciiTheme="majorHAnsi" w:hAnsiTheme="majorHAnsi"/>
          <w:b/>
          <w:bCs/>
          <w:sz w:val="20"/>
          <w:szCs w:val="20"/>
        </w:rPr>
        <w:tab/>
        <w:t>COMPETENC</w:t>
      </w:r>
      <w:r w:rsidR="0074205F" w:rsidRPr="001E0DF4">
        <w:rPr>
          <w:rFonts w:asciiTheme="majorHAnsi" w:hAnsiTheme="majorHAnsi"/>
          <w:b/>
          <w:bCs/>
          <w:sz w:val="20"/>
          <w:szCs w:val="20"/>
        </w:rPr>
        <w:t>E</w:t>
      </w:r>
      <w:r w:rsidR="00EE00E9" w:rsidRPr="001E0DF4">
        <w:rPr>
          <w:rFonts w:asciiTheme="majorHAnsi" w:hAnsiTheme="majorHAnsi"/>
          <w:b/>
          <w:bCs/>
          <w:sz w:val="20"/>
          <w:szCs w:val="20"/>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E0DF4" w14:paraId="072532AD" w14:textId="77777777" w:rsidTr="0074205F">
        <w:trPr>
          <w:cantSplit/>
        </w:trPr>
        <w:tc>
          <w:tcPr>
            <w:tcW w:w="3561" w:type="dxa"/>
            <w:tcBorders>
              <w:top w:val="single" w:sz="4" w:space="0" w:color="auto"/>
              <w:bottom w:val="single" w:sz="6" w:space="0" w:color="auto"/>
            </w:tcBorders>
            <w:shd w:val="clear" w:color="auto" w:fill="67AE3C"/>
            <w:vAlign w:val="center"/>
          </w:tcPr>
          <w:p w14:paraId="5C2E4B34" w14:textId="3AEA9006" w:rsidR="003239B8" w:rsidRPr="001E0DF4" w:rsidRDefault="003239B8" w:rsidP="008D2290">
            <w:pPr>
              <w:jc w:val="center"/>
              <w:rPr>
                <w:rFonts w:ascii="Cambria" w:hAnsi="Cambria"/>
                <w:b/>
                <w:bCs/>
                <w:i/>
                <w:color w:val="FFFFFF" w:themeColor="background1"/>
                <w:sz w:val="20"/>
                <w:szCs w:val="20"/>
              </w:rPr>
            </w:pPr>
            <w:r w:rsidRPr="001E0DF4">
              <w:rPr>
                <w:rFonts w:ascii="Cambria" w:hAnsi="Cambria"/>
                <w:b/>
                <w:bCs/>
                <w:color w:val="FFFFFF" w:themeColor="background1"/>
                <w:sz w:val="20"/>
                <w:szCs w:val="20"/>
              </w:rPr>
              <w:t>Competenc</w:t>
            </w:r>
            <w:r w:rsidR="0074205F" w:rsidRPr="001E0DF4">
              <w:rPr>
                <w:rFonts w:ascii="Cambria" w:hAnsi="Cambria"/>
                <w:b/>
                <w:bCs/>
                <w:color w:val="FFFFFF" w:themeColor="background1"/>
                <w:sz w:val="20"/>
                <w:szCs w:val="20"/>
              </w:rPr>
              <w:t>e</w:t>
            </w:r>
            <w:r w:rsidRPr="001E0DF4">
              <w:rPr>
                <w:rFonts w:ascii="Cambria" w:hAnsi="Cambria"/>
                <w:b/>
                <w:bCs/>
                <w:i/>
                <w:color w:val="FFFFFF" w:themeColor="background1"/>
                <w:sz w:val="20"/>
                <w:szCs w:val="20"/>
              </w:rPr>
              <w:t xml:space="preserve"> Ratione personae:</w:t>
            </w:r>
          </w:p>
        </w:tc>
        <w:tc>
          <w:tcPr>
            <w:tcW w:w="5776" w:type="dxa"/>
            <w:vAlign w:val="center"/>
          </w:tcPr>
          <w:p w14:paraId="7707F3E9" w14:textId="5FBA1FF9" w:rsidR="003239B8" w:rsidRPr="001E0DF4" w:rsidRDefault="001E0DF4" w:rsidP="008D2290">
            <w:pPr>
              <w:rPr>
                <w:rFonts w:ascii="Cambria" w:hAnsi="Cambria"/>
                <w:bCs/>
                <w:sz w:val="20"/>
                <w:szCs w:val="20"/>
              </w:rPr>
            </w:pPr>
            <w:r>
              <w:rPr>
                <w:rFonts w:ascii="Cambria" w:hAnsi="Cambria"/>
                <w:bCs/>
                <w:sz w:val="20"/>
                <w:szCs w:val="20"/>
              </w:rPr>
              <w:t>Yes</w:t>
            </w:r>
          </w:p>
        </w:tc>
      </w:tr>
      <w:tr w:rsidR="003239B8" w:rsidRPr="001E0DF4" w14:paraId="4B8802DA" w14:textId="77777777" w:rsidTr="0074205F">
        <w:trPr>
          <w:cantSplit/>
        </w:trPr>
        <w:tc>
          <w:tcPr>
            <w:tcW w:w="3561" w:type="dxa"/>
            <w:tcBorders>
              <w:top w:val="single" w:sz="6" w:space="0" w:color="auto"/>
              <w:bottom w:val="single" w:sz="6" w:space="0" w:color="auto"/>
            </w:tcBorders>
            <w:shd w:val="clear" w:color="auto" w:fill="67AE3C"/>
            <w:vAlign w:val="center"/>
          </w:tcPr>
          <w:p w14:paraId="3915C23B" w14:textId="73142910" w:rsidR="003239B8" w:rsidRPr="001E0DF4" w:rsidRDefault="0074205F" w:rsidP="008D2290">
            <w:pPr>
              <w:jc w:val="center"/>
              <w:rPr>
                <w:rFonts w:ascii="Cambria" w:hAnsi="Cambria"/>
                <w:b/>
                <w:bCs/>
                <w:color w:val="FFFFFF" w:themeColor="background1"/>
                <w:sz w:val="20"/>
                <w:szCs w:val="20"/>
              </w:rPr>
            </w:pPr>
            <w:r w:rsidRPr="001E0DF4">
              <w:rPr>
                <w:rFonts w:ascii="Cambria" w:hAnsi="Cambria"/>
                <w:b/>
                <w:bCs/>
                <w:color w:val="FFFFFF" w:themeColor="background1"/>
                <w:sz w:val="20"/>
                <w:szCs w:val="20"/>
              </w:rPr>
              <w:t>Competence</w:t>
            </w:r>
            <w:r w:rsidRPr="001E0DF4">
              <w:rPr>
                <w:rFonts w:ascii="Cambria" w:hAnsi="Cambria"/>
                <w:b/>
                <w:bCs/>
                <w:i/>
                <w:color w:val="FFFFFF" w:themeColor="background1"/>
                <w:sz w:val="20"/>
                <w:szCs w:val="20"/>
              </w:rPr>
              <w:t xml:space="preserve"> </w:t>
            </w:r>
            <w:r w:rsidR="003239B8" w:rsidRPr="001E0DF4">
              <w:rPr>
                <w:rFonts w:ascii="Cambria" w:hAnsi="Cambria"/>
                <w:b/>
                <w:bCs/>
                <w:i/>
                <w:color w:val="FFFFFF" w:themeColor="background1"/>
                <w:sz w:val="20"/>
                <w:szCs w:val="20"/>
              </w:rPr>
              <w:t>Ratione loci</w:t>
            </w:r>
            <w:r w:rsidR="003239B8" w:rsidRPr="001E0DF4">
              <w:rPr>
                <w:rFonts w:ascii="Cambria" w:hAnsi="Cambria"/>
                <w:b/>
                <w:bCs/>
                <w:color w:val="FFFFFF" w:themeColor="background1"/>
                <w:sz w:val="20"/>
                <w:szCs w:val="20"/>
              </w:rPr>
              <w:t>:</w:t>
            </w:r>
          </w:p>
        </w:tc>
        <w:tc>
          <w:tcPr>
            <w:tcW w:w="5776" w:type="dxa"/>
            <w:vAlign w:val="center"/>
          </w:tcPr>
          <w:p w14:paraId="12C931CB" w14:textId="3EC4F978" w:rsidR="003239B8" w:rsidRPr="001E0DF4" w:rsidRDefault="001E0DF4" w:rsidP="008D2290">
            <w:pPr>
              <w:rPr>
                <w:rFonts w:ascii="Cambria" w:hAnsi="Cambria"/>
                <w:bCs/>
                <w:sz w:val="20"/>
                <w:szCs w:val="20"/>
              </w:rPr>
            </w:pPr>
            <w:r>
              <w:rPr>
                <w:rFonts w:ascii="Cambria" w:hAnsi="Cambria"/>
                <w:bCs/>
                <w:sz w:val="20"/>
                <w:szCs w:val="20"/>
              </w:rPr>
              <w:t>Yes</w:t>
            </w:r>
          </w:p>
        </w:tc>
      </w:tr>
      <w:tr w:rsidR="003239B8" w:rsidRPr="001E0DF4" w14:paraId="4362FDF3" w14:textId="77777777" w:rsidTr="0074205F">
        <w:trPr>
          <w:cantSplit/>
        </w:trPr>
        <w:tc>
          <w:tcPr>
            <w:tcW w:w="3561" w:type="dxa"/>
            <w:tcBorders>
              <w:top w:val="single" w:sz="6" w:space="0" w:color="auto"/>
              <w:bottom w:val="single" w:sz="6" w:space="0" w:color="auto"/>
            </w:tcBorders>
            <w:shd w:val="clear" w:color="auto" w:fill="67AE3C"/>
            <w:vAlign w:val="center"/>
          </w:tcPr>
          <w:p w14:paraId="3BE23153" w14:textId="0C8C6E15" w:rsidR="003239B8" w:rsidRPr="001E0DF4" w:rsidRDefault="0074205F" w:rsidP="008D2290">
            <w:pPr>
              <w:jc w:val="center"/>
              <w:rPr>
                <w:rFonts w:ascii="Cambria" w:hAnsi="Cambria"/>
                <w:b/>
                <w:bCs/>
                <w:color w:val="FFFFFF" w:themeColor="background1"/>
                <w:sz w:val="20"/>
                <w:szCs w:val="20"/>
              </w:rPr>
            </w:pPr>
            <w:r w:rsidRPr="001E0DF4">
              <w:rPr>
                <w:rFonts w:ascii="Cambria" w:hAnsi="Cambria"/>
                <w:b/>
                <w:bCs/>
                <w:color w:val="FFFFFF" w:themeColor="background1"/>
                <w:sz w:val="20"/>
                <w:szCs w:val="20"/>
              </w:rPr>
              <w:t>Competence</w:t>
            </w:r>
            <w:r w:rsidRPr="001E0DF4">
              <w:rPr>
                <w:rFonts w:ascii="Cambria" w:hAnsi="Cambria"/>
                <w:b/>
                <w:bCs/>
                <w:i/>
                <w:color w:val="FFFFFF" w:themeColor="background1"/>
                <w:sz w:val="20"/>
                <w:szCs w:val="20"/>
              </w:rPr>
              <w:t xml:space="preserve"> </w:t>
            </w:r>
            <w:r w:rsidR="003239B8" w:rsidRPr="001E0DF4">
              <w:rPr>
                <w:rFonts w:ascii="Cambria" w:hAnsi="Cambria"/>
                <w:b/>
                <w:bCs/>
                <w:i/>
                <w:color w:val="FFFFFF" w:themeColor="background1"/>
                <w:sz w:val="20"/>
                <w:szCs w:val="20"/>
              </w:rPr>
              <w:t>Ratione temporis</w:t>
            </w:r>
            <w:r w:rsidR="003239B8" w:rsidRPr="001E0DF4">
              <w:rPr>
                <w:rFonts w:ascii="Cambria" w:hAnsi="Cambria"/>
                <w:b/>
                <w:bCs/>
                <w:color w:val="FFFFFF" w:themeColor="background1"/>
                <w:sz w:val="20"/>
                <w:szCs w:val="20"/>
              </w:rPr>
              <w:t>:</w:t>
            </w:r>
          </w:p>
        </w:tc>
        <w:tc>
          <w:tcPr>
            <w:tcW w:w="5776" w:type="dxa"/>
            <w:vAlign w:val="center"/>
          </w:tcPr>
          <w:p w14:paraId="6F8B059B" w14:textId="01A835D0" w:rsidR="003239B8" w:rsidRPr="001E0DF4" w:rsidRDefault="001E0DF4" w:rsidP="008D2290">
            <w:pPr>
              <w:rPr>
                <w:rFonts w:ascii="Cambria" w:hAnsi="Cambria"/>
                <w:bCs/>
                <w:sz w:val="20"/>
                <w:szCs w:val="20"/>
              </w:rPr>
            </w:pPr>
            <w:r>
              <w:rPr>
                <w:rFonts w:ascii="Cambria" w:hAnsi="Cambria"/>
                <w:bCs/>
                <w:sz w:val="20"/>
                <w:szCs w:val="20"/>
              </w:rPr>
              <w:t>Yes</w:t>
            </w:r>
          </w:p>
        </w:tc>
      </w:tr>
      <w:tr w:rsidR="003239B8" w:rsidRPr="001E0DF4" w14:paraId="30ABEC3E" w14:textId="77777777" w:rsidTr="0074205F">
        <w:trPr>
          <w:cantSplit/>
        </w:trPr>
        <w:tc>
          <w:tcPr>
            <w:tcW w:w="3561" w:type="dxa"/>
            <w:tcBorders>
              <w:top w:val="single" w:sz="6" w:space="0" w:color="auto"/>
              <w:bottom w:val="single" w:sz="6" w:space="0" w:color="auto"/>
            </w:tcBorders>
            <w:shd w:val="clear" w:color="auto" w:fill="67AE3C"/>
            <w:vAlign w:val="center"/>
          </w:tcPr>
          <w:p w14:paraId="47B529D2" w14:textId="65C2D67C" w:rsidR="003239B8" w:rsidRPr="001E0DF4" w:rsidRDefault="0074205F" w:rsidP="008D2290">
            <w:pPr>
              <w:jc w:val="center"/>
              <w:rPr>
                <w:rFonts w:ascii="Cambria" w:hAnsi="Cambria"/>
                <w:b/>
                <w:bCs/>
                <w:color w:val="FFFFFF" w:themeColor="background1"/>
                <w:sz w:val="20"/>
                <w:szCs w:val="20"/>
              </w:rPr>
            </w:pPr>
            <w:r w:rsidRPr="001E0DF4">
              <w:rPr>
                <w:rFonts w:ascii="Cambria" w:hAnsi="Cambria"/>
                <w:b/>
                <w:bCs/>
                <w:color w:val="FFFFFF" w:themeColor="background1"/>
                <w:sz w:val="20"/>
                <w:szCs w:val="20"/>
              </w:rPr>
              <w:t>Competence</w:t>
            </w:r>
            <w:r w:rsidRPr="001E0DF4">
              <w:rPr>
                <w:rFonts w:ascii="Cambria" w:hAnsi="Cambria"/>
                <w:b/>
                <w:bCs/>
                <w:i/>
                <w:color w:val="FFFFFF" w:themeColor="background1"/>
                <w:sz w:val="20"/>
                <w:szCs w:val="20"/>
              </w:rPr>
              <w:t xml:space="preserve"> </w:t>
            </w:r>
            <w:r w:rsidR="003239B8" w:rsidRPr="001E0DF4">
              <w:rPr>
                <w:rFonts w:ascii="Cambria" w:hAnsi="Cambria"/>
                <w:b/>
                <w:bCs/>
                <w:i/>
                <w:color w:val="FFFFFF" w:themeColor="background1"/>
                <w:sz w:val="20"/>
                <w:szCs w:val="20"/>
              </w:rPr>
              <w:t>Ratione materia</w:t>
            </w:r>
            <w:r w:rsidR="00EE00E9" w:rsidRPr="001E0DF4">
              <w:rPr>
                <w:rFonts w:ascii="Cambria" w:hAnsi="Cambria"/>
                <w:b/>
                <w:bCs/>
                <w:i/>
                <w:color w:val="FFFFFF" w:themeColor="background1"/>
                <w:sz w:val="20"/>
                <w:szCs w:val="20"/>
              </w:rPr>
              <w:t>e</w:t>
            </w:r>
            <w:r w:rsidR="003239B8" w:rsidRPr="001E0DF4">
              <w:rPr>
                <w:rFonts w:ascii="Cambria" w:hAnsi="Cambria"/>
                <w:b/>
                <w:bCs/>
                <w:color w:val="FFFFFF" w:themeColor="background1"/>
                <w:sz w:val="20"/>
                <w:szCs w:val="20"/>
              </w:rPr>
              <w:t>:</w:t>
            </w:r>
          </w:p>
        </w:tc>
        <w:tc>
          <w:tcPr>
            <w:tcW w:w="5776" w:type="dxa"/>
            <w:vAlign w:val="center"/>
          </w:tcPr>
          <w:p w14:paraId="0C122F44" w14:textId="6AA6B25C" w:rsidR="003239B8" w:rsidRPr="001E0DF4" w:rsidRDefault="001E0DF4" w:rsidP="008D2290">
            <w:pPr>
              <w:jc w:val="both"/>
              <w:rPr>
                <w:rFonts w:ascii="Cambria" w:hAnsi="Cambria"/>
                <w:bCs/>
                <w:sz w:val="20"/>
                <w:szCs w:val="20"/>
              </w:rPr>
            </w:pPr>
            <w:r>
              <w:rPr>
                <w:rFonts w:ascii="Cambria" w:hAnsi="Cambria"/>
                <w:bCs/>
                <w:sz w:val="20"/>
                <w:szCs w:val="20"/>
              </w:rPr>
              <w:t>Yes</w:t>
            </w:r>
            <w:r w:rsidR="003467A3" w:rsidRPr="001E0DF4">
              <w:rPr>
                <w:rFonts w:ascii="Cambria" w:hAnsi="Cambria"/>
                <w:bCs/>
                <w:sz w:val="20"/>
                <w:szCs w:val="20"/>
              </w:rPr>
              <w:t xml:space="preserve">, </w:t>
            </w:r>
            <w:r w:rsidRPr="001E0DF4">
              <w:rPr>
                <w:rFonts w:ascii="Cambria" w:hAnsi="Cambria"/>
                <w:bCs/>
                <w:sz w:val="20"/>
                <w:szCs w:val="20"/>
              </w:rPr>
              <w:t>American Convention (deposit of instrument of ratification on September 8, 1977), American Declaration (ratification of the OAS Charter on January 13, 1950) and Convention of Belém do Pará (deposit of instrument on July 12, 1995)</w:t>
            </w:r>
          </w:p>
        </w:tc>
      </w:tr>
    </w:tbl>
    <w:p w14:paraId="4E92C444" w14:textId="580E8B72" w:rsidR="003239B8" w:rsidRPr="001E0DF4" w:rsidRDefault="003239B8" w:rsidP="003239B8">
      <w:pPr>
        <w:spacing w:before="240" w:after="240"/>
        <w:ind w:firstLine="720"/>
        <w:jc w:val="both"/>
        <w:rPr>
          <w:rFonts w:asciiTheme="majorHAnsi" w:hAnsiTheme="majorHAnsi"/>
          <w:b/>
          <w:bCs/>
          <w:sz w:val="20"/>
          <w:szCs w:val="20"/>
        </w:rPr>
      </w:pPr>
      <w:r w:rsidRPr="001E0DF4">
        <w:rPr>
          <w:rFonts w:asciiTheme="majorHAnsi" w:hAnsiTheme="majorHAnsi"/>
          <w:b/>
          <w:bCs/>
          <w:sz w:val="20"/>
          <w:szCs w:val="20"/>
        </w:rPr>
        <w:t xml:space="preserve">IV. </w:t>
      </w:r>
      <w:r w:rsidRPr="001E0DF4">
        <w:rPr>
          <w:rFonts w:asciiTheme="majorHAnsi" w:hAnsiTheme="majorHAnsi"/>
          <w:b/>
          <w:bCs/>
          <w:sz w:val="20"/>
          <w:szCs w:val="20"/>
        </w:rPr>
        <w:tab/>
      </w:r>
      <w:r w:rsidR="0074205F" w:rsidRPr="001E0DF4">
        <w:rPr>
          <w:rFonts w:asciiTheme="majorHAnsi" w:hAnsiTheme="majorHAnsi"/>
          <w:b/>
          <w:bCs/>
          <w:sz w:val="20"/>
          <w:szCs w:val="20"/>
        </w:rPr>
        <w:t xml:space="preserve">DUPLICATION OF PROCEDURES AND INTERNATIONAL </w:t>
      </w:r>
      <w:r w:rsidR="0074205F" w:rsidRPr="001E0DF4">
        <w:rPr>
          <w:rFonts w:asciiTheme="majorHAnsi" w:hAnsiTheme="majorHAnsi"/>
          <w:b/>
          <w:bCs/>
          <w:i/>
          <w:sz w:val="20"/>
          <w:szCs w:val="20"/>
        </w:rPr>
        <w:t>RES JUDICATA</w:t>
      </w:r>
      <w:r w:rsidR="0074205F" w:rsidRPr="001E0DF4">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2D394B" w:rsidRPr="001E0DF4" w14:paraId="1231C988" w14:textId="77777777" w:rsidTr="0074205F">
        <w:trPr>
          <w:cantSplit/>
        </w:trPr>
        <w:tc>
          <w:tcPr>
            <w:tcW w:w="3566" w:type="dxa"/>
            <w:tcBorders>
              <w:top w:val="single" w:sz="4" w:space="0" w:color="auto"/>
              <w:bottom w:val="single" w:sz="6" w:space="0" w:color="auto"/>
            </w:tcBorders>
            <w:shd w:val="clear" w:color="auto" w:fill="67AE3C"/>
            <w:vAlign w:val="center"/>
          </w:tcPr>
          <w:p w14:paraId="6F8031F4" w14:textId="6455D180" w:rsidR="002D394B" w:rsidRPr="001E0DF4" w:rsidRDefault="002D394B" w:rsidP="002D394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771" w:type="dxa"/>
            <w:vAlign w:val="center"/>
          </w:tcPr>
          <w:p w14:paraId="240941E6" w14:textId="699D3B97" w:rsidR="002D394B" w:rsidRPr="001E0DF4" w:rsidRDefault="002D394B" w:rsidP="002D394B">
            <w:pPr>
              <w:jc w:val="both"/>
              <w:rPr>
                <w:rFonts w:ascii="Cambria" w:hAnsi="Cambria"/>
                <w:bCs/>
                <w:sz w:val="20"/>
                <w:szCs w:val="20"/>
              </w:rPr>
            </w:pPr>
            <w:r w:rsidRPr="001E0DF4">
              <w:rPr>
                <w:rFonts w:ascii="Cambria" w:hAnsi="Cambria"/>
                <w:bCs/>
                <w:sz w:val="20"/>
                <w:szCs w:val="20"/>
              </w:rPr>
              <w:t>No</w:t>
            </w:r>
          </w:p>
        </w:tc>
      </w:tr>
      <w:tr w:rsidR="002D394B" w:rsidRPr="001E0DF4" w14:paraId="15FAA7D1" w14:textId="77777777" w:rsidTr="0074205F">
        <w:trPr>
          <w:cantSplit/>
        </w:trPr>
        <w:tc>
          <w:tcPr>
            <w:tcW w:w="3566" w:type="dxa"/>
            <w:tcBorders>
              <w:top w:val="single" w:sz="4" w:space="0" w:color="auto"/>
              <w:bottom w:val="single" w:sz="6" w:space="0" w:color="auto"/>
            </w:tcBorders>
            <w:shd w:val="clear" w:color="auto" w:fill="67AE3C"/>
            <w:vAlign w:val="center"/>
          </w:tcPr>
          <w:p w14:paraId="1B0D29FF" w14:textId="49641339" w:rsidR="002D394B" w:rsidRPr="001E0DF4" w:rsidRDefault="002D394B" w:rsidP="002D394B">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771" w:type="dxa"/>
            <w:vAlign w:val="center"/>
          </w:tcPr>
          <w:p w14:paraId="6310C8F7" w14:textId="7FA4CE88" w:rsidR="002D394B" w:rsidRPr="001E0DF4" w:rsidRDefault="002D394B" w:rsidP="002D394B">
            <w:pPr>
              <w:jc w:val="both"/>
              <w:rPr>
                <w:rFonts w:ascii="Cambria" w:hAnsi="Cambria"/>
                <w:bCs/>
                <w:sz w:val="20"/>
                <w:szCs w:val="20"/>
              </w:rPr>
            </w:pPr>
            <w:r>
              <w:rPr>
                <w:rFonts w:ascii="Cambria" w:hAnsi="Cambria"/>
                <w:bCs/>
                <w:sz w:val="20"/>
                <w:szCs w:val="20"/>
              </w:rPr>
              <w:t>None</w:t>
            </w:r>
          </w:p>
        </w:tc>
      </w:tr>
      <w:tr w:rsidR="002D394B" w:rsidRPr="001E0DF4" w14:paraId="4EFD141E" w14:textId="77777777" w:rsidTr="0074205F">
        <w:trPr>
          <w:cantSplit/>
        </w:trPr>
        <w:tc>
          <w:tcPr>
            <w:tcW w:w="3566" w:type="dxa"/>
            <w:tcBorders>
              <w:top w:val="single" w:sz="6" w:space="0" w:color="auto"/>
              <w:bottom w:val="single" w:sz="6" w:space="0" w:color="auto"/>
            </w:tcBorders>
            <w:shd w:val="clear" w:color="auto" w:fill="67AE3C"/>
            <w:vAlign w:val="center"/>
          </w:tcPr>
          <w:p w14:paraId="4C04A89C" w14:textId="500AEC7E" w:rsidR="002D394B" w:rsidRPr="001E0DF4" w:rsidRDefault="002D394B" w:rsidP="002D394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771" w:type="dxa"/>
            <w:vAlign w:val="center"/>
          </w:tcPr>
          <w:p w14:paraId="69C53E8A" w14:textId="65B79879" w:rsidR="002D394B" w:rsidRPr="001E0DF4" w:rsidRDefault="002D394B" w:rsidP="002D394B">
            <w:pPr>
              <w:rPr>
                <w:rFonts w:ascii="Cambria" w:hAnsi="Cambria"/>
                <w:bCs/>
                <w:sz w:val="20"/>
                <w:szCs w:val="20"/>
              </w:rPr>
            </w:pPr>
            <w:r>
              <w:rPr>
                <w:rFonts w:ascii="Cambria" w:hAnsi="Cambria"/>
                <w:bCs/>
                <w:sz w:val="20"/>
                <w:szCs w:val="20"/>
              </w:rPr>
              <w:t>Yes</w:t>
            </w:r>
          </w:p>
        </w:tc>
      </w:tr>
      <w:tr w:rsidR="003239B8" w:rsidRPr="001E0DF4" w14:paraId="52B5BA17" w14:textId="77777777" w:rsidTr="0074205F">
        <w:trPr>
          <w:cantSplit/>
        </w:trPr>
        <w:tc>
          <w:tcPr>
            <w:tcW w:w="3566" w:type="dxa"/>
            <w:tcBorders>
              <w:top w:val="single" w:sz="6" w:space="0" w:color="auto"/>
              <w:bottom w:val="single" w:sz="6" w:space="0" w:color="auto"/>
            </w:tcBorders>
            <w:shd w:val="clear" w:color="auto" w:fill="67AE3C"/>
            <w:vAlign w:val="center"/>
          </w:tcPr>
          <w:p w14:paraId="5DF99086" w14:textId="153DD6F4" w:rsidR="003239B8" w:rsidRPr="001E0DF4" w:rsidRDefault="002D394B" w:rsidP="008D229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771" w:type="dxa"/>
            <w:vAlign w:val="center"/>
          </w:tcPr>
          <w:p w14:paraId="4A2A4569" w14:textId="2575F62E" w:rsidR="003239B8" w:rsidRPr="001E0DF4" w:rsidRDefault="001E0DF4" w:rsidP="008D2290">
            <w:pPr>
              <w:rPr>
                <w:rFonts w:ascii="Cambria" w:hAnsi="Cambria"/>
                <w:bCs/>
                <w:sz w:val="20"/>
                <w:szCs w:val="20"/>
              </w:rPr>
            </w:pPr>
            <w:r>
              <w:rPr>
                <w:rFonts w:ascii="Cambria" w:hAnsi="Cambria"/>
                <w:bCs/>
                <w:sz w:val="20"/>
                <w:szCs w:val="20"/>
              </w:rPr>
              <w:t>Yes</w:t>
            </w:r>
          </w:p>
        </w:tc>
      </w:tr>
    </w:tbl>
    <w:p w14:paraId="22081E3E" w14:textId="77777777" w:rsidR="00F10D86" w:rsidRPr="001E0DF4" w:rsidRDefault="00F10D86" w:rsidP="00B4637C">
      <w:pPr>
        <w:spacing w:before="240" w:after="240"/>
        <w:ind w:firstLine="720"/>
        <w:jc w:val="both"/>
        <w:rPr>
          <w:rFonts w:asciiTheme="majorHAnsi" w:hAnsiTheme="majorHAnsi"/>
          <w:b/>
          <w:sz w:val="20"/>
          <w:szCs w:val="20"/>
        </w:rPr>
      </w:pPr>
    </w:p>
    <w:p w14:paraId="53977EAC" w14:textId="35052E09" w:rsidR="00B4637C" w:rsidRPr="001E0DF4" w:rsidRDefault="00223A29" w:rsidP="00B4637C">
      <w:pPr>
        <w:spacing w:before="240" w:after="240"/>
        <w:ind w:firstLine="720"/>
        <w:jc w:val="both"/>
        <w:rPr>
          <w:rFonts w:asciiTheme="majorHAnsi" w:hAnsiTheme="majorHAnsi"/>
          <w:b/>
          <w:sz w:val="20"/>
          <w:szCs w:val="20"/>
        </w:rPr>
      </w:pPr>
      <w:r w:rsidRPr="001E0DF4">
        <w:rPr>
          <w:rFonts w:asciiTheme="majorHAnsi" w:hAnsiTheme="majorHAnsi"/>
          <w:b/>
          <w:sz w:val="20"/>
          <w:szCs w:val="20"/>
        </w:rPr>
        <w:t xml:space="preserve">V. </w:t>
      </w:r>
      <w:r w:rsidRPr="001E0DF4">
        <w:rPr>
          <w:rFonts w:asciiTheme="majorHAnsi" w:hAnsiTheme="majorHAnsi"/>
          <w:b/>
          <w:sz w:val="20"/>
          <w:szCs w:val="20"/>
        </w:rPr>
        <w:tab/>
      </w:r>
      <w:r w:rsidR="00867314" w:rsidRPr="001E0DF4">
        <w:rPr>
          <w:rFonts w:asciiTheme="majorHAnsi" w:hAnsiTheme="majorHAnsi"/>
          <w:b/>
          <w:sz w:val="20"/>
          <w:szCs w:val="20"/>
        </w:rPr>
        <w:t>POSI</w:t>
      </w:r>
      <w:r w:rsidR="0074205F" w:rsidRPr="001E0DF4">
        <w:rPr>
          <w:rFonts w:asciiTheme="majorHAnsi" w:hAnsiTheme="majorHAnsi"/>
          <w:b/>
          <w:sz w:val="20"/>
          <w:szCs w:val="20"/>
        </w:rPr>
        <w:t>TIO</w:t>
      </w:r>
      <w:r w:rsidR="00867314" w:rsidRPr="001E0DF4">
        <w:rPr>
          <w:rFonts w:asciiTheme="majorHAnsi" w:hAnsiTheme="majorHAnsi"/>
          <w:b/>
          <w:sz w:val="20"/>
          <w:szCs w:val="20"/>
        </w:rPr>
        <w:t xml:space="preserve">N </w:t>
      </w:r>
      <w:r w:rsidR="0074205F" w:rsidRPr="001E0DF4">
        <w:rPr>
          <w:rFonts w:asciiTheme="majorHAnsi" w:hAnsiTheme="majorHAnsi"/>
          <w:b/>
          <w:sz w:val="20"/>
          <w:szCs w:val="20"/>
        </w:rPr>
        <w:t>OF THE</w:t>
      </w:r>
      <w:r w:rsidR="00867314" w:rsidRPr="001E0DF4">
        <w:rPr>
          <w:rFonts w:asciiTheme="majorHAnsi" w:hAnsiTheme="majorHAnsi"/>
          <w:b/>
          <w:sz w:val="20"/>
          <w:szCs w:val="20"/>
        </w:rPr>
        <w:t xml:space="preserve"> PART</w:t>
      </w:r>
      <w:r w:rsidR="0074205F" w:rsidRPr="001E0DF4">
        <w:rPr>
          <w:rFonts w:asciiTheme="majorHAnsi" w:hAnsiTheme="majorHAnsi"/>
          <w:b/>
          <w:sz w:val="20"/>
          <w:szCs w:val="20"/>
        </w:rPr>
        <w:t>I</w:t>
      </w:r>
      <w:r w:rsidR="00867314" w:rsidRPr="001E0DF4">
        <w:rPr>
          <w:rFonts w:asciiTheme="majorHAnsi" w:hAnsiTheme="majorHAnsi"/>
          <w:b/>
          <w:sz w:val="20"/>
          <w:szCs w:val="20"/>
        </w:rPr>
        <w:t>ES</w:t>
      </w:r>
    </w:p>
    <w:p w14:paraId="0009D771" w14:textId="4E4617D0" w:rsidR="00B4637C" w:rsidRPr="001E0DF4" w:rsidRDefault="00F42E46" w:rsidP="003309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42E46">
        <w:rPr>
          <w:rFonts w:ascii="Cambria" w:hAnsi="Cambria"/>
          <w:sz w:val="20"/>
          <w:szCs w:val="20"/>
        </w:rPr>
        <w:t>The present petition refers to the alleged lack of access to justice and the violation of the rights to a fair trial and to judicial protection of Ms. Gina María González Domínguez in the context of a criminal proceeding for domestic violence in which she denounced her ex-partner, which culminated in a cassation decision that revoked the conviction imposed on the latter</w:t>
      </w:r>
      <w:r w:rsidR="00683ADB" w:rsidRPr="001E0DF4">
        <w:rPr>
          <w:rFonts w:ascii="Cambria" w:hAnsi="Cambria"/>
          <w:sz w:val="20"/>
          <w:szCs w:val="20"/>
        </w:rPr>
        <w:t xml:space="preserve">. </w:t>
      </w:r>
    </w:p>
    <w:p w14:paraId="67801844" w14:textId="7BAB0148" w:rsidR="00683ADB" w:rsidRPr="001E0DF4" w:rsidRDefault="0074205F" w:rsidP="00683A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1E0DF4">
        <w:rPr>
          <w:rFonts w:ascii="Cambria" w:hAnsi="Cambria"/>
          <w:i/>
          <w:iCs/>
          <w:sz w:val="20"/>
          <w:szCs w:val="20"/>
        </w:rPr>
        <w:t>Allegations of the petitioner</w:t>
      </w:r>
    </w:p>
    <w:p w14:paraId="4956BC86" w14:textId="2E0EFC89" w:rsidR="008E2AEB" w:rsidRPr="001E0DF4" w:rsidRDefault="00F42E4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42E46">
        <w:rPr>
          <w:rFonts w:ascii="Cambria" w:hAnsi="Cambria"/>
          <w:sz w:val="20"/>
          <w:szCs w:val="20"/>
        </w:rPr>
        <w:t>The petitioner holds that from 2004 to 2007 she had a common-law relationship with Mr. F.A.H.P., which ended due to alleged acts of violence committed by him against her. From that moment on, her ex-partner began a series of threats, persecutions and actions to discredit her, consisting of filing a series of false complaints before different entities, contained in the files: 0801-2010-15771 for the crime of misappropriation; 2045-11 for falsification of public documents; 3470-2014 for disobedience; TST 0801-2011-03388/TST 0801-2011-03388 for defamation and slander; with the purpose of harming her personally and professionally, which caused her psychological and patrimonial detriment</w:t>
      </w:r>
      <w:r w:rsidR="003078CC" w:rsidRPr="001E0DF4">
        <w:rPr>
          <w:rFonts w:ascii="Cambria" w:hAnsi="Cambria"/>
          <w:sz w:val="20"/>
          <w:szCs w:val="20"/>
        </w:rPr>
        <w:t>.</w:t>
      </w:r>
    </w:p>
    <w:p w14:paraId="7141635A" w14:textId="35949337" w:rsidR="00183646" w:rsidRPr="001E0DF4" w:rsidRDefault="00AB3111" w:rsidP="009918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B3111">
        <w:rPr>
          <w:rFonts w:ascii="Cambria" w:hAnsi="Cambria"/>
          <w:sz w:val="20"/>
          <w:szCs w:val="20"/>
        </w:rPr>
        <w:t xml:space="preserve">In December 2005, together with Mr. F.A.H.P., she incorporated the commercial company Inversiones Géminis S.A. de C.V. However, she holds that she and her children were deprived of their shares in the company by her former partner (in a telecommunications company). On February 4, 2013, the petitioner requested the nullity of resolution AS455/10 of November 11, 2010 issued by the National Telecommunications Commission (CONATEL) for violation of the legal system. Subsequently, on June 11, 2014, the Contentious Administrative Court of Appeals issued a final judgment in which it declared the action filed by the petitioner admissible and annulled the aforementioned resolution, which was confirmed by the Labor-Administrative Chamber of the Supreme Court of Justice, although </w:t>
      </w:r>
      <w:r w:rsidR="006968FC">
        <w:rPr>
          <w:rFonts w:ascii="Cambria" w:hAnsi="Cambria"/>
          <w:sz w:val="20"/>
          <w:szCs w:val="20"/>
        </w:rPr>
        <w:t>it</w:t>
      </w:r>
      <w:r w:rsidRPr="00AB3111">
        <w:rPr>
          <w:rFonts w:ascii="Cambria" w:hAnsi="Cambria"/>
          <w:sz w:val="20"/>
          <w:szCs w:val="20"/>
        </w:rPr>
        <w:t xml:space="preserve"> </w:t>
      </w:r>
      <w:r w:rsidR="006968FC">
        <w:rPr>
          <w:rFonts w:ascii="Cambria" w:hAnsi="Cambria"/>
          <w:sz w:val="20"/>
          <w:szCs w:val="20"/>
        </w:rPr>
        <w:t>holds</w:t>
      </w:r>
      <w:r w:rsidRPr="00AB3111">
        <w:rPr>
          <w:rFonts w:ascii="Cambria" w:hAnsi="Cambria"/>
          <w:sz w:val="20"/>
          <w:szCs w:val="20"/>
        </w:rPr>
        <w:t xml:space="preserve"> </w:t>
      </w:r>
      <w:r w:rsidR="006968FC">
        <w:rPr>
          <w:rFonts w:ascii="Cambria" w:hAnsi="Cambria"/>
          <w:sz w:val="20"/>
          <w:szCs w:val="20"/>
        </w:rPr>
        <w:t>it has been unable</w:t>
      </w:r>
      <w:r w:rsidRPr="00AB3111">
        <w:rPr>
          <w:rFonts w:ascii="Cambria" w:hAnsi="Cambria"/>
          <w:sz w:val="20"/>
          <w:szCs w:val="20"/>
        </w:rPr>
        <w:t xml:space="preserve"> to recover the company and its assets since they </w:t>
      </w:r>
      <w:r>
        <w:rPr>
          <w:rFonts w:ascii="Cambria" w:hAnsi="Cambria"/>
          <w:sz w:val="20"/>
          <w:szCs w:val="20"/>
        </w:rPr>
        <w:t>seemingly</w:t>
      </w:r>
      <w:r w:rsidRPr="00AB3111">
        <w:rPr>
          <w:rFonts w:ascii="Cambria" w:hAnsi="Cambria"/>
          <w:sz w:val="20"/>
          <w:szCs w:val="20"/>
        </w:rPr>
        <w:t xml:space="preserve"> disappeared</w:t>
      </w:r>
      <w:r w:rsidR="00D1318F" w:rsidRPr="001E0DF4">
        <w:rPr>
          <w:rFonts w:ascii="Cambria" w:hAnsi="Cambria"/>
          <w:sz w:val="20"/>
          <w:szCs w:val="20"/>
        </w:rPr>
        <w:t xml:space="preserve">. </w:t>
      </w:r>
    </w:p>
    <w:p w14:paraId="5FC5584E" w14:textId="1DD08062" w:rsidR="002F1AAE" w:rsidRPr="001E0DF4" w:rsidRDefault="0074205F" w:rsidP="00683A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1E0DF4">
        <w:rPr>
          <w:rFonts w:ascii="Cambria" w:hAnsi="Cambria"/>
          <w:i/>
          <w:iCs/>
          <w:sz w:val="20"/>
          <w:szCs w:val="20"/>
        </w:rPr>
        <w:t>Judicial proceedings for domestic violence</w:t>
      </w:r>
    </w:p>
    <w:p w14:paraId="44B8C0E0" w14:textId="6A0270A1" w:rsidR="00C14AB7" w:rsidRPr="001E0DF4" w:rsidRDefault="00BD7AFC" w:rsidP="00C14A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7AFC">
        <w:rPr>
          <w:rFonts w:ascii="Cambria" w:hAnsi="Cambria"/>
          <w:sz w:val="20"/>
          <w:szCs w:val="20"/>
        </w:rPr>
        <w:t xml:space="preserve">On November 3, 2008, Mrs. González filed a complaint (file 6327-08) before the Special Prosecutor's Office for Women for the crime of domestic violence. Subsequently, on November 19, 2008, the Domestic Violence Court of the Department of Francisco Morazán issued a conviction judgment against Mr. F.A.H.P., sanctioning him with community service for two months, a ruling that was issued on November 19, 2010; </w:t>
      </w:r>
      <w:r w:rsidR="006968FC" w:rsidRPr="00BD7AFC">
        <w:rPr>
          <w:rFonts w:ascii="Cambria" w:hAnsi="Cambria"/>
          <w:sz w:val="20"/>
          <w:szCs w:val="20"/>
        </w:rPr>
        <w:t xml:space="preserve">with </w:t>
      </w:r>
      <w:r w:rsidRPr="00BD7AFC">
        <w:rPr>
          <w:rFonts w:ascii="Cambria" w:hAnsi="Cambria"/>
          <w:sz w:val="20"/>
          <w:szCs w:val="20"/>
        </w:rPr>
        <w:t>which he allegedly did not comply. In view of the recidivist actions of her ex-partner, Mrs. González filed a new complaint for the crime of domestic violence before the Special Prosecutor's Office for Women, for which the criminal action was declared admissible before the Trial Court of Francisco Morazán</w:t>
      </w:r>
      <w:r w:rsidR="00220063" w:rsidRPr="001E0DF4">
        <w:rPr>
          <w:rFonts w:ascii="Cambria" w:hAnsi="Cambria"/>
          <w:sz w:val="20"/>
          <w:szCs w:val="20"/>
        </w:rPr>
        <w:t xml:space="preserve">. </w:t>
      </w:r>
    </w:p>
    <w:p w14:paraId="4398FF1C" w14:textId="0B151DD8" w:rsidR="003C1E7D" w:rsidRPr="001E0DF4" w:rsidRDefault="00BD7AFC" w:rsidP="00DF6D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7AFC">
        <w:rPr>
          <w:rFonts w:ascii="Cambria" w:hAnsi="Cambria"/>
          <w:sz w:val="20"/>
          <w:szCs w:val="20"/>
        </w:rPr>
        <w:t>On April 30, 2014, the Sentencing Court of Tegucigalpa issued conviction judgment No. 39-2014, within file No. 8-477-2012, sentencing Mr. F.A.H.P to one year of imprisonment for the crime of domestic violence, in addition to declaring him civilly liable for the compensation and indemnification of damages caused by the crime for which he was convicted. On May 28, 2014, the defense of Mr. F.A.H.P filed an extraordinary appeal in cassation against the conviction for not assessing in due form the evidence provided at trial, so that on March 29, 2017, the Criminal Chamber of the Supreme Court of Justice, by means of a resolution, decided to revoke the sentence issued by the Sentencing Court for error in the appraisal of the evidence, considering that from the proven facts, the elements for the crime of domestic violence were not present. Thus, the sentence of one year of imprisonment was revoked and the declaration of civil liability and the compensation and indemnification for damages was left in force. The decision was notified on May 5, 2017</w:t>
      </w:r>
      <w:r w:rsidR="00E47843" w:rsidRPr="001E0DF4">
        <w:rPr>
          <w:rFonts w:ascii="Cambria" w:hAnsi="Cambria"/>
          <w:sz w:val="20"/>
          <w:szCs w:val="20"/>
        </w:rPr>
        <w:t xml:space="preserve">. </w:t>
      </w:r>
    </w:p>
    <w:p w14:paraId="22E0DDB0" w14:textId="27014524" w:rsidR="006D460E" w:rsidRPr="001E0DF4" w:rsidRDefault="00BD7AF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7AFC">
        <w:rPr>
          <w:rFonts w:ascii="Cambria" w:hAnsi="Cambria"/>
          <w:sz w:val="20"/>
          <w:szCs w:val="20"/>
        </w:rPr>
        <w:t>Finally, Mrs. Gonzalez holds that she denounced two prosecutors for failing in their duties as public officials for concealing evidence in some proceedings initiated by Mr. F.A.H.P. against her</w:t>
      </w:r>
      <w:r w:rsidR="006C4E28" w:rsidRPr="001E0DF4">
        <w:rPr>
          <w:rFonts w:ascii="Cambria" w:hAnsi="Cambria"/>
          <w:sz w:val="20"/>
          <w:szCs w:val="20"/>
        </w:rPr>
        <w:t>.</w:t>
      </w:r>
    </w:p>
    <w:p w14:paraId="0887669B" w14:textId="7AA7C393" w:rsidR="000C0244" w:rsidRPr="001E0DF4" w:rsidRDefault="00BD7AFC" w:rsidP="00AC3D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7AFC">
        <w:rPr>
          <w:rFonts w:ascii="Cambria" w:hAnsi="Cambria"/>
          <w:sz w:val="20"/>
          <w:szCs w:val="20"/>
        </w:rPr>
        <w:t xml:space="preserve">The petitioner considers that the Supreme Court's decision does not mention which law or doctrine was considered to have been violated by the Court's judgment, and therefore the decision to revoke </w:t>
      </w:r>
      <w:r w:rsidRPr="00BD7AFC">
        <w:rPr>
          <w:rFonts w:ascii="Cambria" w:hAnsi="Cambria"/>
          <w:sz w:val="20"/>
          <w:szCs w:val="20"/>
        </w:rPr>
        <w:lastRenderedPageBreak/>
        <w:t>the Court's judgment was unjust and arbitrary, leaving her unprotected and her case in complete impunity. Additionally, she refers that the actions of her ex-partner have harmed her professionally since they have interfered so that she cannot run for important positions for which she has been proposed as a candidate for judge of the Supreme Court of Justice or Public Prosecutor of the Republic. She concludes that all of the above constitutes a denial of access to justice, that there was an unjustified delay in the course of the proceedings and appeals, and a violation of the Convention of Belem do Para, since the lack of conviction constitutes an act of tolerance by the State to the psychological aggressions suffered and sends a message to Mr. F.A.H.P. that he can continue committing his actions, perpetrating violence against women</w:t>
      </w:r>
      <w:r w:rsidR="000C0244" w:rsidRPr="001E0DF4">
        <w:rPr>
          <w:rFonts w:ascii="Cambria" w:hAnsi="Cambria"/>
          <w:sz w:val="20"/>
          <w:szCs w:val="20"/>
        </w:rPr>
        <w:t>.</w:t>
      </w:r>
      <w:r w:rsidR="006968FC">
        <w:rPr>
          <w:rFonts w:ascii="Cambria" w:hAnsi="Cambria"/>
          <w:sz w:val="20"/>
          <w:szCs w:val="20"/>
        </w:rPr>
        <w:t xml:space="preserve"> </w:t>
      </w:r>
    </w:p>
    <w:p w14:paraId="5B02DC8A" w14:textId="4D62D75A" w:rsidR="00D67233" w:rsidRPr="001E0DF4" w:rsidRDefault="0074205F" w:rsidP="00D672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1E0DF4">
        <w:rPr>
          <w:rFonts w:ascii="Cambria" w:hAnsi="Cambria"/>
          <w:i/>
          <w:iCs/>
          <w:sz w:val="20"/>
          <w:szCs w:val="20"/>
        </w:rPr>
        <w:t>Allegations of the Honduran State</w:t>
      </w:r>
    </w:p>
    <w:p w14:paraId="40969F67" w14:textId="4F96B20E" w:rsidR="006C4E28" w:rsidRPr="001E0DF4" w:rsidRDefault="00AD0F1C" w:rsidP="00AC3D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D0F1C">
        <w:rPr>
          <w:rFonts w:ascii="Cambria" w:hAnsi="Cambria"/>
          <w:sz w:val="20"/>
          <w:szCs w:val="20"/>
        </w:rPr>
        <w:t>For</w:t>
      </w:r>
      <w:r w:rsidR="006968FC">
        <w:rPr>
          <w:rFonts w:ascii="Cambria" w:hAnsi="Cambria"/>
          <w:sz w:val="20"/>
          <w:szCs w:val="20"/>
        </w:rPr>
        <w:t xml:space="preserve"> </w:t>
      </w:r>
      <w:r w:rsidRPr="00AD0F1C">
        <w:rPr>
          <w:rFonts w:ascii="Cambria" w:hAnsi="Cambria"/>
          <w:sz w:val="20"/>
          <w:szCs w:val="20"/>
        </w:rPr>
        <w:t>its part, the State requests that the instant petition be declared inadmissible, since in the administrative and contentious-administrative proceedings under resolution AS455/10 issued by CONATEL, it acted in accordance with the law and remedied the legal situation that had been infringed. With regard to the alleged violation of rights by the issuance of the decision of the Criminal Chamber of the Supreme Court of Justice in the scope of the proceedings for domestic violence, due process was observed, the decision was duly motivated, and the participation of Mrs. González was guaranteed at all times</w:t>
      </w:r>
      <w:r w:rsidR="006C4E28" w:rsidRPr="001E0DF4">
        <w:rPr>
          <w:rFonts w:ascii="Cambria" w:hAnsi="Cambria"/>
          <w:sz w:val="20"/>
          <w:szCs w:val="20"/>
        </w:rPr>
        <w:t xml:space="preserve">. </w:t>
      </w:r>
    </w:p>
    <w:p w14:paraId="685B0D3D" w14:textId="79C9E525" w:rsidR="00E47843" w:rsidRPr="001E0DF4" w:rsidRDefault="00AD0F1C" w:rsidP="001C11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D0F1C">
        <w:rPr>
          <w:rFonts w:ascii="Cambria" w:hAnsi="Cambria"/>
          <w:sz w:val="20"/>
          <w:szCs w:val="20"/>
        </w:rPr>
        <w:t xml:space="preserve">The </w:t>
      </w:r>
      <w:r w:rsidR="006968FC">
        <w:rPr>
          <w:rFonts w:ascii="Cambria" w:hAnsi="Cambria"/>
          <w:sz w:val="20"/>
          <w:szCs w:val="20"/>
        </w:rPr>
        <w:t>State</w:t>
      </w:r>
      <w:r w:rsidRPr="00AD0F1C">
        <w:rPr>
          <w:rFonts w:ascii="Cambria" w:hAnsi="Cambria"/>
          <w:sz w:val="20"/>
          <w:szCs w:val="20"/>
        </w:rPr>
        <w:t xml:space="preserve"> agrees that the death threats, intimidation, persecution, and other violent manifestations made by Mr. F.A.H.P. against the petitioner led her to file a complaint with the Domestic Violence Courts. However, despite having obtained a conviction, the violence continued, for which reason the petitioner again denounced her ex-partner before the Criminal Trial Court for the crime of domestic violence, obtaining a conviction issued by the Sentencing Court of Tegucigalpa in case file 8-477-2012. Subsequently, the Criminal Chamber of the Supreme Court ruled in favor of the cassation appeal filed by Mr. F.A.H.P., acquitting him of all responsibility and revoking the precautionary measures imposed on the grounds that there was a violation of substantive law. The petitioner decided to file a complaint with the Inspectorate of Courts against the judges of the Criminal Chamber of the Supreme Court of Justice</w:t>
      </w:r>
      <w:r w:rsidR="001C1174" w:rsidRPr="001E0DF4">
        <w:rPr>
          <w:rFonts w:ascii="Cambria" w:hAnsi="Cambria"/>
          <w:sz w:val="20"/>
          <w:szCs w:val="20"/>
        </w:rPr>
        <w:t xml:space="preserve">. </w:t>
      </w:r>
    </w:p>
    <w:p w14:paraId="06B309EB" w14:textId="24704054" w:rsidR="006004BF" w:rsidRPr="001E0DF4" w:rsidRDefault="00AD0F1C" w:rsidP="008562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D0F1C">
        <w:rPr>
          <w:rFonts w:ascii="Cambria" w:hAnsi="Cambria"/>
          <w:sz w:val="20"/>
          <w:szCs w:val="20"/>
        </w:rPr>
        <w:t xml:space="preserve">By virtue of the foregoing, the State considers that the petitioner was heard by the courts under conditions of equality and non-discrimination, that her rights to due process were respected, and that she had access to appeal the judgments and to the remedies available under domestic law. In this regard, the State holds that, faced with the March 29, 2017 ruling in the cassation appeal for violation of the law filed by Mr. F.A.H. P, the magistrates of the Criminal Chamber of the Supreme Court of Justice considered that </w:t>
      </w:r>
      <w:r w:rsidR="000D6767">
        <w:rPr>
          <w:rFonts w:ascii="Cambria" w:hAnsi="Cambria"/>
          <w:sz w:val="20"/>
          <w:szCs w:val="20"/>
        </w:rPr>
        <w:t>among</w:t>
      </w:r>
      <w:r w:rsidRPr="00AD0F1C">
        <w:rPr>
          <w:rFonts w:ascii="Cambria" w:hAnsi="Cambria"/>
          <w:sz w:val="20"/>
          <w:szCs w:val="20"/>
        </w:rPr>
        <w:t xml:space="preserve"> the facts proven in the judgment and the qualification of the criminal type by the Court, there was an improper application of the criminal precept, since the conducts described were not subsumable in the objective elements of the criminal type, and therefore, they decided to acquit Mr. F.A.H.P of all criminal liability, leaving in force the civil liability and payment of damages in favor of the petitioner</w:t>
      </w:r>
      <w:r w:rsidR="00344F7E" w:rsidRPr="001E0DF4">
        <w:rPr>
          <w:rFonts w:ascii="Cambria" w:hAnsi="Cambria"/>
          <w:sz w:val="20"/>
          <w:szCs w:val="20"/>
        </w:rPr>
        <w:t xml:space="preserve">. </w:t>
      </w:r>
    </w:p>
    <w:p w14:paraId="718B09BA" w14:textId="25608101" w:rsidR="00344F7E" w:rsidRPr="001E0DF4" w:rsidRDefault="000D676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w:t>
      </w:r>
      <w:r w:rsidR="00AD0F1C" w:rsidRPr="00AD0F1C">
        <w:rPr>
          <w:rFonts w:ascii="Cambria" w:hAnsi="Cambria"/>
          <w:sz w:val="20"/>
          <w:szCs w:val="20"/>
        </w:rPr>
        <w:t xml:space="preserve"> considers that the judgment was issued by virtue of the contestation made by Mr. F.A.H.P., where the petitioner was heard and was able to provide evidence. It also notes that the judgment was issued by three competent magistrates and was duly reasoned</w:t>
      </w:r>
      <w:r w:rsidR="005B1FD5" w:rsidRPr="001E0DF4">
        <w:rPr>
          <w:rFonts w:ascii="Cambria" w:hAnsi="Cambria"/>
          <w:sz w:val="20"/>
          <w:szCs w:val="20"/>
        </w:rPr>
        <w:t xml:space="preserve">. </w:t>
      </w:r>
    </w:p>
    <w:p w14:paraId="36A80FF1" w14:textId="66E75FCD" w:rsidR="005B1FD5" w:rsidRPr="007B793E" w:rsidRDefault="000C32A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B793E">
        <w:rPr>
          <w:rFonts w:ascii="Cambria" w:hAnsi="Cambria"/>
          <w:sz w:val="20"/>
          <w:szCs w:val="20"/>
        </w:rPr>
        <w:t>With respect to the complaints filed by Mr. F.A.H.P. against Ms. González, which are contained in files 13892-2010, 3470-2014, 1465309522-2016, and 151106181-2017, holds that none of them have been successful because they were closed by the prosecutorial body, for which reason they have not harmed the petitioner's candidacy to be Attorney General of the Republic or a Supreme Court Justice, as she argues. On the other hand, the prosecutorial request against Ms. Gonzalez in file 2045/2011 of February 9, 2011, is pending the resolution of the amparo filed by the petitioner</w:t>
      </w:r>
      <w:r w:rsidR="005B1FD5" w:rsidRPr="007B793E">
        <w:rPr>
          <w:rFonts w:ascii="Cambria" w:hAnsi="Cambria"/>
          <w:sz w:val="20"/>
          <w:szCs w:val="20"/>
        </w:rPr>
        <w:t xml:space="preserve">. </w:t>
      </w:r>
    </w:p>
    <w:p w14:paraId="54878D86" w14:textId="4F3718FB" w:rsidR="00A11E44" w:rsidRPr="001E0DF4" w:rsidRDefault="000C32A3" w:rsidP="006C4E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2A3">
        <w:rPr>
          <w:rFonts w:ascii="Cambria" w:hAnsi="Cambria"/>
          <w:sz w:val="20"/>
          <w:szCs w:val="20"/>
        </w:rPr>
        <w:t>Finally, regarding the complaints filed by Ms. Gonzalez against two officials for the crimes of abuse of authority and violation of the duties of public servants to the detriment of the public administration, which are contained in files 019-2013 of October 22, 2013, 080-2014 of June 18, 2014 and 147-2018 of January 17, 2018; accumulated under the No. SEDI 019-2013 and SIGEFI 16431419232022, are under investigation due to the pending remission of the report by the Forensic Audit Unit of the Special Prosecutor's Office for the Prosecution of Servants and Officials of the Justice Sector</w:t>
      </w:r>
      <w:r w:rsidR="003124DB" w:rsidRPr="001E0DF4">
        <w:rPr>
          <w:rFonts w:ascii="Cambria" w:hAnsi="Cambria"/>
          <w:sz w:val="20"/>
          <w:szCs w:val="20"/>
        </w:rPr>
        <w:t xml:space="preserve">. </w:t>
      </w:r>
      <w:r w:rsidR="008C5E2D" w:rsidRPr="001E0DF4">
        <w:rPr>
          <w:rFonts w:ascii="Cambria" w:hAnsi="Cambria"/>
          <w:sz w:val="20"/>
          <w:szCs w:val="20"/>
        </w:rPr>
        <w:t xml:space="preserve"> </w:t>
      </w:r>
    </w:p>
    <w:p w14:paraId="6F4D4171" w14:textId="2A7BB1CE" w:rsidR="003239B8" w:rsidRPr="001E0DF4" w:rsidRDefault="003239B8" w:rsidP="003239B8">
      <w:pPr>
        <w:spacing w:before="240" w:after="240"/>
        <w:ind w:firstLine="720"/>
        <w:jc w:val="both"/>
        <w:rPr>
          <w:rFonts w:ascii="Cambria" w:hAnsi="Cambria"/>
          <w:sz w:val="20"/>
          <w:szCs w:val="20"/>
        </w:rPr>
      </w:pPr>
      <w:r w:rsidRPr="001E0DF4">
        <w:rPr>
          <w:rFonts w:asciiTheme="majorHAnsi" w:eastAsia="Cambria" w:hAnsiTheme="majorHAnsi" w:cs="Cambria"/>
          <w:b/>
          <w:bCs/>
          <w:color w:val="000000"/>
          <w:sz w:val="20"/>
          <w:szCs w:val="20"/>
          <w:u w:color="000000"/>
          <w:lang w:eastAsia="es-ES"/>
        </w:rPr>
        <w:lastRenderedPageBreak/>
        <w:t>VI.</w:t>
      </w:r>
      <w:r w:rsidRPr="001E0DF4">
        <w:rPr>
          <w:rFonts w:asciiTheme="majorHAnsi" w:eastAsia="Cambria" w:hAnsiTheme="majorHAnsi" w:cs="Cambria"/>
          <w:b/>
          <w:bCs/>
          <w:color w:val="000000"/>
          <w:sz w:val="20"/>
          <w:szCs w:val="20"/>
          <w:u w:color="000000"/>
          <w:lang w:eastAsia="es-ES"/>
        </w:rPr>
        <w:tab/>
      </w:r>
      <w:r w:rsidR="0074205F" w:rsidRPr="001E0DF4">
        <w:rPr>
          <w:rFonts w:asciiTheme="majorHAnsi" w:hAnsiTheme="majorHAnsi"/>
          <w:b/>
          <w:bCs/>
          <w:sz w:val="20"/>
          <w:szCs w:val="20"/>
        </w:rPr>
        <w:t>ANALYSIS OF EXHAUSTION OF DOMESTIC REMEDIES AND TIMELINESS OF THE PETITION</w:t>
      </w:r>
    </w:p>
    <w:p w14:paraId="223A4953" w14:textId="69DFEE51" w:rsidR="00B12044" w:rsidRPr="001E0DF4" w:rsidRDefault="000C32A3" w:rsidP="00AF06E8">
      <w:pPr>
        <w:pStyle w:val="ListParagraph"/>
        <w:numPr>
          <w:ilvl w:val="0"/>
          <w:numId w:val="103"/>
        </w:numPr>
        <w:spacing w:before="240" w:after="240"/>
        <w:jc w:val="both"/>
        <w:rPr>
          <w:sz w:val="20"/>
          <w:szCs w:val="20"/>
        </w:rPr>
      </w:pPr>
      <w:r w:rsidRPr="000C32A3">
        <w:rPr>
          <w:sz w:val="20"/>
          <w:szCs w:val="20"/>
        </w:rPr>
        <w:t>The petitioner claims that she exhausted all domestic remedies to obtain the annulment of CONATEL resolution AS455/10, which granted the transfer of the radio frequency permit and license rights of Sociedad Mercantil Inversiones Géminis S.A. de C.V., as well as to file and pursue the domestic violence proceedings against her ex-partner. For its part, the State argues that it responded to Mrs. González's claims in the domestic courts</w:t>
      </w:r>
      <w:r w:rsidR="000161B8" w:rsidRPr="001E0DF4">
        <w:rPr>
          <w:sz w:val="20"/>
          <w:szCs w:val="20"/>
        </w:rPr>
        <w:t xml:space="preserve">. </w:t>
      </w:r>
    </w:p>
    <w:p w14:paraId="38F1CB7D" w14:textId="79E240D9" w:rsidR="00AF06E8" w:rsidRPr="001E0DF4" w:rsidRDefault="000C32A3" w:rsidP="00AF06E8">
      <w:pPr>
        <w:pStyle w:val="ListParagraph"/>
        <w:numPr>
          <w:ilvl w:val="0"/>
          <w:numId w:val="103"/>
        </w:numPr>
        <w:spacing w:before="240" w:after="240"/>
        <w:jc w:val="both"/>
        <w:rPr>
          <w:sz w:val="20"/>
          <w:szCs w:val="20"/>
        </w:rPr>
      </w:pPr>
      <w:r w:rsidRPr="000C32A3">
        <w:rPr>
          <w:sz w:val="20"/>
          <w:szCs w:val="20"/>
        </w:rPr>
        <w:t>In order to evaluate the adequacy of the remedies available in the domestic legal system, the Commission usually establishes the specific claim that has been formulated, and then identifies the judicial remedies provided by the domestic legal system that were available and adequate to ventilate that particular claim. This is precisely what constitutes the suitability and effectiveness of each remedy considered concretely, in that it provides a real opportunity for the alleged human rights violation to be remedied and resolved by the national authorities before having to resort to the Inter-American system for protection</w:t>
      </w:r>
      <w:r w:rsidR="00AF06E8" w:rsidRPr="001E0DF4">
        <w:rPr>
          <w:sz w:val="20"/>
          <w:szCs w:val="20"/>
        </w:rPr>
        <w:t>.</w:t>
      </w:r>
    </w:p>
    <w:p w14:paraId="35B49B26" w14:textId="25D5658A" w:rsidR="000161B8" w:rsidRPr="001E0DF4" w:rsidRDefault="000C32A3" w:rsidP="005208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C32A3">
        <w:rPr>
          <w:rFonts w:asciiTheme="majorHAnsi" w:hAnsiTheme="majorHAnsi"/>
          <w:sz w:val="20"/>
          <w:szCs w:val="20"/>
        </w:rPr>
        <w:t>The IACHR notes that the final decision in the criminal proceedings for the crime of domestic violence was the cassation judgment that revoked the one-year prison sentence imposed on Mr. F.A.H.P., which was issued on March 29, 2017 and notified on May 5 of that same year</w:t>
      </w:r>
      <w:r w:rsidR="00AF06E8" w:rsidRPr="001E0DF4">
        <w:rPr>
          <w:rFonts w:asciiTheme="majorHAnsi" w:hAnsiTheme="majorHAnsi"/>
          <w:sz w:val="20"/>
          <w:szCs w:val="20"/>
        </w:rPr>
        <w:t xml:space="preserve">. </w:t>
      </w:r>
    </w:p>
    <w:p w14:paraId="67B22993" w14:textId="70514107" w:rsidR="00AF06E8" w:rsidRPr="001E0DF4" w:rsidRDefault="000C32A3" w:rsidP="005208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C32A3">
        <w:rPr>
          <w:rFonts w:ascii="Cambria" w:hAnsi="Cambria"/>
          <w:sz w:val="20"/>
          <w:szCs w:val="20"/>
        </w:rPr>
        <w:t xml:space="preserve">Consequently, and since the petition was filed on November 2, 2017, the Commission concludes that the present petition meets the requirements of exhaustion of domestic remedies and the deadline for submission, </w:t>
      </w:r>
      <w:r w:rsidR="000D6767">
        <w:rPr>
          <w:rFonts w:ascii="Cambria" w:hAnsi="Cambria"/>
          <w:sz w:val="20"/>
          <w:szCs w:val="20"/>
        </w:rPr>
        <w:t>set forth</w:t>
      </w:r>
      <w:r w:rsidRPr="000C32A3">
        <w:rPr>
          <w:rFonts w:ascii="Cambria" w:hAnsi="Cambria"/>
          <w:sz w:val="20"/>
          <w:szCs w:val="20"/>
        </w:rPr>
        <w:t xml:space="preserve"> in Article 46.1 (a) and (b) of the American Convention</w:t>
      </w:r>
      <w:r w:rsidR="00DF425F" w:rsidRPr="001E0DF4">
        <w:rPr>
          <w:rFonts w:ascii="Cambria" w:hAnsi="Cambria"/>
          <w:sz w:val="20"/>
          <w:szCs w:val="20"/>
        </w:rPr>
        <w:t xml:space="preserve">. </w:t>
      </w:r>
    </w:p>
    <w:p w14:paraId="4FFBE378" w14:textId="2D118DD7" w:rsidR="003239B8" w:rsidRPr="001E0DF4" w:rsidRDefault="003239B8" w:rsidP="003239B8">
      <w:pPr>
        <w:pStyle w:val="ListParagraph"/>
        <w:spacing w:before="240" w:after="240"/>
        <w:jc w:val="both"/>
        <w:rPr>
          <w:rFonts w:asciiTheme="majorHAnsi" w:hAnsiTheme="majorHAnsi"/>
          <w:b/>
          <w:sz w:val="20"/>
          <w:szCs w:val="20"/>
        </w:rPr>
      </w:pPr>
      <w:r w:rsidRPr="001E0DF4">
        <w:rPr>
          <w:rFonts w:asciiTheme="majorHAnsi" w:hAnsiTheme="majorHAnsi"/>
          <w:b/>
          <w:bCs/>
          <w:sz w:val="20"/>
          <w:szCs w:val="20"/>
        </w:rPr>
        <w:t>VII.</w:t>
      </w:r>
      <w:r w:rsidRPr="001E0DF4">
        <w:rPr>
          <w:rFonts w:asciiTheme="majorHAnsi" w:hAnsiTheme="majorHAnsi"/>
          <w:b/>
          <w:bCs/>
          <w:sz w:val="20"/>
          <w:szCs w:val="20"/>
        </w:rPr>
        <w:tab/>
      </w:r>
      <w:r w:rsidR="00743861" w:rsidRPr="001E0DF4">
        <w:rPr>
          <w:rFonts w:asciiTheme="majorHAnsi" w:hAnsiTheme="majorHAnsi"/>
          <w:b/>
          <w:bCs/>
          <w:sz w:val="20"/>
          <w:szCs w:val="20"/>
        </w:rPr>
        <w:t>ANALYSIS OF COLORABLE CLAIM</w:t>
      </w:r>
    </w:p>
    <w:p w14:paraId="6B4D7EAE" w14:textId="2D182507" w:rsidR="00DF425F" w:rsidRPr="001E0DF4" w:rsidRDefault="000C32A3" w:rsidP="00DF425F">
      <w:pPr>
        <w:pStyle w:val="ListParagraph"/>
        <w:numPr>
          <w:ilvl w:val="0"/>
          <w:numId w:val="103"/>
        </w:numPr>
        <w:spacing w:before="240" w:after="240"/>
        <w:jc w:val="both"/>
        <w:rPr>
          <w:rFonts w:cs="Calibri"/>
          <w:sz w:val="20"/>
          <w:szCs w:val="20"/>
        </w:rPr>
      </w:pPr>
      <w:r w:rsidRPr="000C32A3">
        <w:rPr>
          <w:sz w:val="20"/>
          <w:szCs w:val="20"/>
        </w:rPr>
        <w:t>The Commission reiterates that, for the purposes of admissibility, it must decide whether the alleged facts can be characterized as a violation of rights, as stipulated in Article 47(b) of the American Convention, or whether the petition is 'manifestly unfounded' or 'obviously out of order', in accordance with paragraph (c) of said article. The criterion for assessing these requirements differs from that used to rule on the merits of a petition. In this regard, the Commission reiterates that it is not competent to review judgments handed down by national courts acting within their jurisdiction and applying due process and judicial guarantees</w:t>
      </w:r>
      <w:r w:rsidR="00DF425F" w:rsidRPr="001E0DF4">
        <w:rPr>
          <w:sz w:val="20"/>
          <w:szCs w:val="20"/>
        </w:rPr>
        <w:t>.</w:t>
      </w:r>
    </w:p>
    <w:p w14:paraId="4ED8065C" w14:textId="530412D6" w:rsidR="007E68F2" w:rsidRPr="001E0DF4" w:rsidRDefault="000C32A3" w:rsidP="007E68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C32A3">
        <w:rPr>
          <w:rFonts w:asciiTheme="majorHAnsi" w:hAnsiTheme="majorHAnsi"/>
          <w:sz w:val="20"/>
          <w:szCs w:val="20"/>
        </w:rPr>
        <w:t>In the instant case, the Commission observes that the administrative and judicial proceedings conducted in the domestic legal system, particularly the contentious-administrative judgment declaring the nullity of resolution AS455/10, and the cassation judgment revoking the one-year prison sentence of the petitioner's ex-partner, were duly motivated and in both proceedings Ms. González exercised her right to contradict, provided evidence and, in general, was guaranteed due process</w:t>
      </w:r>
      <w:r w:rsidR="005522BB" w:rsidRPr="001E0DF4">
        <w:rPr>
          <w:rFonts w:asciiTheme="majorHAnsi" w:hAnsiTheme="majorHAnsi"/>
          <w:sz w:val="20"/>
          <w:szCs w:val="20"/>
        </w:rPr>
        <w:t xml:space="preserve">. </w:t>
      </w:r>
    </w:p>
    <w:p w14:paraId="435F532F" w14:textId="11F0995E" w:rsidR="00191D19" w:rsidRPr="001E0DF4" w:rsidRDefault="00C554EE" w:rsidP="00EB5B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554EE">
        <w:rPr>
          <w:rFonts w:asciiTheme="majorHAnsi" w:hAnsiTheme="majorHAnsi"/>
          <w:sz w:val="20"/>
          <w:szCs w:val="20"/>
        </w:rPr>
        <w:t xml:space="preserve">Thus, the Commission does not find specific allegations or sufficient elements in the present proceedings to support </w:t>
      </w:r>
      <w:r w:rsidRPr="00C554EE">
        <w:rPr>
          <w:rFonts w:asciiTheme="majorHAnsi" w:hAnsiTheme="majorHAnsi"/>
          <w:i/>
          <w:iCs/>
          <w:sz w:val="20"/>
          <w:szCs w:val="20"/>
        </w:rPr>
        <w:t>prima facie</w:t>
      </w:r>
      <w:r w:rsidRPr="00C554EE">
        <w:rPr>
          <w:rFonts w:asciiTheme="majorHAnsi" w:hAnsiTheme="majorHAnsi"/>
          <w:sz w:val="20"/>
          <w:szCs w:val="20"/>
        </w:rPr>
        <w:t xml:space="preserve"> that the judicial proceedings conducted by the petitioner did not respect her judicial guarantees. On the contrary, the State outlined how the judicial authorities responded to each allegation raised at the domestic level. In particular, the Commission observes from the main decisions issued in the process of alleged domestic violence, that the domestic courts conducted an exhaustive examination of the evidence and the facts denounced, without verifying the commission of said crime; furthermore, the Commission does not identify </w:t>
      </w:r>
      <w:r w:rsidRPr="00C554EE">
        <w:rPr>
          <w:rFonts w:asciiTheme="majorHAnsi" w:hAnsiTheme="majorHAnsi"/>
          <w:i/>
          <w:iCs/>
          <w:sz w:val="20"/>
          <w:szCs w:val="20"/>
        </w:rPr>
        <w:t>prima facie</w:t>
      </w:r>
      <w:r w:rsidRPr="00C554EE">
        <w:rPr>
          <w:rFonts w:asciiTheme="majorHAnsi" w:hAnsiTheme="majorHAnsi"/>
          <w:sz w:val="20"/>
          <w:szCs w:val="20"/>
        </w:rPr>
        <w:t xml:space="preserve"> that the competent authorities have failed in their duty to investigate the facts with due diligence</w:t>
      </w:r>
      <w:r w:rsidR="0076521E" w:rsidRPr="001E0DF4">
        <w:rPr>
          <w:rFonts w:asciiTheme="majorHAnsi" w:hAnsiTheme="majorHAnsi"/>
          <w:sz w:val="20"/>
          <w:szCs w:val="20"/>
        </w:rPr>
        <w:t>.</w:t>
      </w:r>
      <w:r w:rsidR="00A60800" w:rsidRPr="001E0DF4">
        <w:rPr>
          <w:rFonts w:asciiTheme="majorHAnsi" w:hAnsiTheme="majorHAnsi"/>
          <w:sz w:val="20"/>
          <w:szCs w:val="20"/>
        </w:rPr>
        <w:t xml:space="preserve"> </w:t>
      </w:r>
    </w:p>
    <w:p w14:paraId="4B8325B3" w14:textId="1BD8C1A1" w:rsidR="007E68F2" w:rsidRPr="001E0DF4" w:rsidRDefault="00330920" w:rsidP="007E68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30920">
        <w:rPr>
          <w:rFonts w:ascii="Cambria" w:hAnsi="Cambria"/>
          <w:bCs/>
          <w:sz w:val="20"/>
          <w:szCs w:val="20"/>
        </w:rPr>
        <w:t xml:space="preserve">In this regard, the Commission reiterates that the mere disagreement of the petitioners with the interpretation that the domestic courts have made of the relevant legal norms is not sufficient to establish violations to the Convention. The interpretation of the law, the relevant procedure and the evaluation of the evidence is, </w:t>
      </w:r>
      <w:r w:rsidRPr="00E07D58">
        <w:rPr>
          <w:rFonts w:ascii="Cambria" w:hAnsi="Cambria"/>
          <w:bCs/>
          <w:i/>
          <w:iCs/>
          <w:sz w:val="20"/>
          <w:szCs w:val="20"/>
        </w:rPr>
        <w:t>inter alia</w:t>
      </w:r>
      <w:r w:rsidRPr="00330920">
        <w:rPr>
          <w:rFonts w:ascii="Cambria" w:hAnsi="Cambria"/>
          <w:bCs/>
          <w:sz w:val="20"/>
          <w:szCs w:val="20"/>
        </w:rPr>
        <w:t xml:space="preserve">, the exercise of the function of domestic jurisdiction, which cannot be replaced by the </w:t>
      </w:r>
      <w:r w:rsidRPr="00330920">
        <w:rPr>
          <w:rFonts w:ascii="Cambria" w:hAnsi="Cambria"/>
          <w:bCs/>
          <w:sz w:val="20"/>
          <w:szCs w:val="20"/>
        </w:rPr>
        <w:lastRenderedPageBreak/>
        <w:t>IACHR</w:t>
      </w:r>
      <w:r w:rsidR="007E68F2" w:rsidRPr="001E0DF4">
        <w:rPr>
          <w:rStyle w:val="FootnoteReference"/>
          <w:rFonts w:ascii="Cambria" w:hAnsi="Cambria"/>
          <w:bCs/>
          <w:sz w:val="20"/>
          <w:szCs w:val="20"/>
        </w:rPr>
        <w:footnoteReference w:id="5"/>
      </w:r>
      <w:r w:rsidR="007E68F2" w:rsidRPr="001E0DF4">
        <w:rPr>
          <w:rFonts w:ascii="Cambria" w:hAnsi="Cambria"/>
          <w:bCs/>
          <w:sz w:val="20"/>
          <w:szCs w:val="20"/>
        </w:rPr>
        <w:t xml:space="preserve">. </w:t>
      </w:r>
      <w:r w:rsidR="00E07D58" w:rsidRPr="00E07D58">
        <w:rPr>
          <w:rFonts w:ascii="Cambria" w:hAnsi="Cambria"/>
          <w:bCs/>
          <w:sz w:val="20"/>
          <w:szCs w:val="20"/>
        </w:rPr>
        <w:t>The Commission's role is to ensure compliance with the obligations undertaken by the States parties to the American Convention, but it cannot act as a court of appeal to examine alleged errors of law or fact that may have been committed by national courts acting within the limits of their competence</w:t>
      </w:r>
      <w:r w:rsidR="007E68F2" w:rsidRPr="001E0DF4">
        <w:rPr>
          <w:rStyle w:val="FootnoteReference"/>
          <w:rFonts w:ascii="Cambria" w:hAnsi="Cambria"/>
          <w:bCs/>
          <w:sz w:val="20"/>
          <w:szCs w:val="20"/>
        </w:rPr>
        <w:footnoteReference w:id="6"/>
      </w:r>
      <w:r w:rsidR="007E68F2" w:rsidRPr="001E0DF4">
        <w:rPr>
          <w:rFonts w:ascii="Cambria" w:hAnsi="Cambria"/>
          <w:bCs/>
          <w:sz w:val="20"/>
          <w:szCs w:val="20"/>
        </w:rPr>
        <w:t xml:space="preserve">.  </w:t>
      </w:r>
    </w:p>
    <w:p w14:paraId="47E2F106" w14:textId="07B79DE8" w:rsidR="00DF425F" w:rsidRPr="001E0DF4" w:rsidRDefault="00E07D58" w:rsidP="00DF425F">
      <w:pPr>
        <w:pStyle w:val="ListParagraph"/>
        <w:numPr>
          <w:ilvl w:val="0"/>
          <w:numId w:val="103"/>
        </w:numPr>
        <w:spacing w:before="240" w:after="240"/>
        <w:jc w:val="both"/>
        <w:rPr>
          <w:rFonts w:cs="Calibri"/>
          <w:sz w:val="20"/>
          <w:szCs w:val="20"/>
        </w:rPr>
      </w:pPr>
      <w:r w:rsidRPr="00E07D58">
        <w:rPr>
          <w:rFonts w:cs="Calibri"/>
          <w:sz w:val="20"/>
          <w:szCs w:val="20"/>
        </w:rPr>
        <w:t xml:space="preserve">With respect to the allegation of violation of the American Declaration, in accordance with Articles 23 and 49 of its Rules of Procedure, the Commission has, in principle, competence </w:t>
      </w:r>
      <w:r w:rsidRPr="00E07D58">
        <w:rPr>
          <w:rFonts w:cs="Calibri"/>
          <w:i/>
          <w:iCs/>
          <w:sz w:val="20"/>
          <w:szCs w:val="20"/>
        </w:rPr>
        <w:t>ratione materiae</w:t>
      </w:r>
      <w:r w:rsidRPr="00E07D58">
        <w:rPr>
          <w:rFonts w:cs="Calibri"/>
          <w:sz w:val="20"/>
          <w:szCs w:val="20"/>
        </w:rPr>
        <w:t xml:space="preserve"> to examine violations of the rights enshrined in the Declaration. However, the IACHR has previously established that, once the American Convention enters into force in relation to a State, the Convention and not the Declaration becomes the primary source of law applicable by the Commission, provided that the petition refers to the alleged violation of rights identical in both instruments and does not involve a situation of continuous violation</w:t>
      </w:r>
      <w:r w:rsidR="00DF425F" w:rsidRPr="001E0DF4">
        <w:rPr>
          <w:rFonts w:cs="Calibri"/>
          <w:sz w:val="20"/>
          <w:szCs w:val="20"/>
        </w:rPr>
        <w:t xml:space="preserve">. </w:t>
      </w:r>
    </w:p>
    <w:p w14:paraId="3BEEA7F3" w14:textId="5697F730" w:rsidR="00DB6251" w:rsidRPr="001E0DF4" w:rsidRDefault="00E07D58" w:rsidP="00DF425F">
      <w:pPr>
        <w:pStyle w:val="ListParagraph"/>
        <w:numPr>
          <w:ilvl w:val="0"/>
          <w:numId w:val="103"/>
        </w:numPr>
        <w:spacing w:before="240" w:after="240"/>
        <w:jc w:val="both"/>
        <w:rPr>
          <w:rFonts w:cs="Calibri"/>
          <w:sz w:val="20"/>
          <w:szCs w:val="20"/>
        </w:rPr>
      </w:pPr>
      <w:r w:rsidRPr="00E07D58">
        <w:rPr>
          <w:rFonts w:cs="Calibri"/>
          <w:sz w:val="20"/>
          <w:szCs w:val="20"/>
        </w:rPr>
        <w:t xml:space="preserve">On the other hand, regarding the claim of alleged violation of Article 7 of the Convention of Belém do Pará, the Commission observes that the petitioner has not offered sufficient allegations or support to allow a </w:t>
      </w:r>
      <w:r w:rsidRPr="00E07D58">
        <w:rPr>
          <w:rFonts w:cs="Calibri"/>
          <w:i/>
          <w:iCs/>
          <w:sz w:val="20"/>
          <w:szCs w:val="20"/>
        </w:rPr>
        <w:t>prima facie</w:t>
      </w:r>
      <w:r w:rsidRPr="00E07D58">
        <w:rPr>
          <w:rFonts w:cs="Calibri"/>
          <w:sz w:val="20"/>
          <w:szCs w:val="20"/>
        </w:rPr>
        <w:t xml:space="preserve"> consideration of a possible violation. With regard to the alleged violation of Articles 3, 4, 5 thereof, the Commission observes that, in accordance with the provisions of its </w:t>
      </w:r>
      <w:r w:rsidR="000D17D9" w:rsidRPr="00E07D58">
        <w:rPr>
          <w:rFonts w:cs="Calibri"/>
          <w:sz w:val="20"/>
          <w:szCs w:val="20"/>
        </w:rPr>
        <w:t>article</w:t>
      </w:r>
      <w:r w:rsidRPr="00E07D58">
        <w:rPr>
          <w:rFonts w:cs="Calibri"/>
          <w:sz w:val="20"/>
          <w:szCs w:val="20"/>
        </w:rPr>
        <w:t xml:space="preserve"> 12, in order to rule in the context of an individual case it is limited to Article 7. With regard to the other articles, in accordance with Article 29 of the Convention, the IACHR may consider said Convention in the interpretation of other applicable provisions of the American Convention and other treaties over which it has competence </w:t>
      </w:r>
      <w:r w:rsidRPr="00E07D58">
        <w:rPr>
          <w:rFonts w:cs="Calibri"/>
          <w:i/>
          <w:iCs/>
          <w:sz w:val="20"/>
          <w:szCs w:val="20"/>
        </w:rPr>
        <w:t>ratione materiae</w:t>
      </w:r>
      <w:r w:rsidR="004D7877" w:rsidRPr="001E0DF4">
        <w:rPr>
          <w:rStyle w:val="FootnoteReference"/>
          <w:rFonts w:cs="Calibri"/>
          <w:sz w:val="20"/>
          <w:szCs w:val="20"/>
        </w:rPr>
        <w:footnoteReference w:id="7"/>
      </w:r>
      <w:r w:rsidR="004D7877" w:rsidRPr="001E0DF4">
        <w:rPr>
          <w:rFonts w:cs="Calibri"/>
          <w:sz w:val="20"/>
          <w:szCs w:val="20"/>
        </w:rPr>
        <w:t>.</w:t>
      </w:r>
    </w:p>
    <w:p w14:paraId="540E135D" w14:textId="5ED855E8" w:rsidR="00982821" w:rsidRPr="001E0DF4" w:rsidRDefault="00E07D58" w:rsidP="009828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07D58">
        <w:rPr>
          <w:rFonts w:asciiTheme="majorHAnsi" w:hAnsiTheme="majorHAnsi"/>
          <w:sz w:val="20"/>
          <w:szCs w:val="20"/>
        </w:rPr>
        <w:t xml:space="preserve">Consequently, the Commission concludes that these allegations are inadmissible under Article 47(b) of the American Convention, since the facts presented do not indicate, even </w:t>
      </w:r>
      <w:r w:rsidRPr="00E07D58">
        <w:rPr>
          <w:rFonts w:asciiTheme="majorHAnsi" w:hAnsiTheme="majorHAnsi"/>
          <w:i/>
          <w:iCs/>
          <w:sz w:val="20"/>
          <w:szCs w:val="20"/>
        </w:rPr>
        <w:t>prima facie</w:t>
      </w:r>
      <w:r w:rsidRPr="00E07D58">
        <w:rPr>
          <w:rFonts w:asciiTheme="majorHAnsi" w:hAnsiTheme="majorHAnsi"/>
          <w:sz w:val="20"/>
          <w:szCs w:val="20"/>
        </w:rPr>
        <w:t>, possible violations of the American Convention</w:t>
      </w:r>
      <w:r w:rsidR="00982821" w:rsidRPr="001E0DF4">
        <w:rPr>
          <w:rFonts w:asciiTheme="majorHAnsi" w:hAnsiTheme="majorHAnsi"/>
          <w:sz w:val="20"/>
          <w:szCs w:val="20"/>
        </w:rPr>
        <w:t xml:space="preserve">. </w:t>
      </w:r>
    </w:p>
    <w:p w14:paraId="29BB41F5" w14:textId="64C3BE4A" w:rsidR="003239B8" w:rsidRPr="001E0DF4" w:rsidRDefault="003239B8" w:rsidP="003239B8">
      <w:pPr>
        <w:pStyle w:val="ListParagraph"/>
        <w:spacing w:before="240" w:after="240"/>
        <w:jc w:val="both"/>
        <w:rPr>
          <w:rFonts w:asciiTheme="majorHAnsi" w:hAnsiTheme="majorHAnsi"/>
          <w:b/>
          <w:bCs/>
          <w:sz w:val="20"/>
          <w:szCs w:val="20"/>
        </w:rPr>
      </w:pPr>
      <w:r w:rsidRPr="001E0DF4">
        <w:rPr>
          <w:rFonts w:asciiTheme="majorHAnsi" w:hAnsiTheme="majorHAnsi"/>
          <w:b/>
          <w:bCs/>
          <w:sz w:val="20"/>
          <w:szCs w:val="20"/>
        </w:rPr>
        <w:t xml:space="preserve">VIII. </w:t>
      </w:r>
      <w:r w:rsidRPr="001E0DF4">
        <w:rPr>
          <w:rFonts w:asciiTheme="majorHAnsi" w:hAnsiTheme="majorHAnsi"/>
          <w:b/>
          <w:bCs/>
          <w:sz w:val="20"/>
          <w:szCs w:val="20"/>
        </w:rPr>
        <w:tab/>
        <w:t>DECISI</w:t>
      </w:r>
      <w:r w:rsidR="00743861" w:rsidRPr="001E0DF4">
        <w:rPr>
          <w:rFonts w:asciiTheme="majorHAnsi" w:hAnsiTheme="majorHAnsi"/>
          <w:b/>
          <w:bCs/>
          <w:sz w:val="20"/>
          <w:szCs w:val="20"/>
        </w:rPr>
        <w:t>O</w:t>
      </w:r>
      <w:r w:rsidRPr="001E0DF4">
        <w:rPr>
          <w:rFonts w:asciiTheme="majorHAnsi" w:hAnsiTheme="majorHAnsi"/>
          <w:b/>
          <w:bCs/>
          <w:sz w:val="20"/>
          <w:szCs w:val="20"/>
        </w:rPr>
        <w:t>N</w:t>
      </w:r>
    </w:p>
    <w:p w14:paraId="570DA61C" w14:textId="376323E1" w:rsidR="000419AD" w:rsidRPr="001E0DF4" w:rsidRDefault="00E07D58" w:rsidP="003A3F50">
      <w:pPr>
        <w:pStyle w:val="ListParagraph"/>
        <w:numPr>
          <w:ilvl w:val="0"/>
          <w:numId w:val="109"/>
        </w:numPr>
        <w:jc w:val="both"/>
        <w:rPr>
          <w:rFonts w:eastAsia="Arial Unicode MS" w:cs="Times New Roman"/>
          <w:color w:val="auto"/>
          <w:sz w:val="20"/>
          <w:szCs w:val="20"/>
          <w:lang w:eastAsia="en-US"/>
        </w:rPr>
      </w:pPr>
      <w:r w:rsidRPr="00E07D58">
        <w:rPr>
          <w:rFonts w:eastAsia="Arial Unicode MS" w:cs="Times New Roman"/>
          <w:color w:val="auto"/>
          <w:sz w:val="20"/>
          <w:szCs w:val="20"/>
          <w:lang w:eastAsia="en-US"/>
        </w:rPr>
        <w:t>To declare the present petition inadmissible pursuant to Article 47. b) of the American Convention; and</w:t>
      </w:r>
    </w:p>
    <w:p w14:paraId="41AA5BF6" w14:textId="77777777" w:rsidR="000419AD" w:rsidRPr="001E0DF4" w:rsidRDefault="000419AD" w:rsidP="000419AD">
      <w:pPr>
        <w:pStyle w:val="ListParagraph"/>
        <w:rPr>
          <w:rFonts w:eastAsia="Arial Unicode MS" w:cs="Times New Roman"/>
          <w:color w:val="auto"/>
          <w:sz w:val="20"/>
          <w:szCs w:val="20"/>
          <w:lang w:eastAsia="en-US"/>
        </w:rPr>
      </w:pPr>
    </w:p>
    <w:p w14:paraId="12A7002C" w14:textId="203AF2F2" w:rsidR="004A6A54" w:rsidRPr="001E0DF4" w:rsidRDefault="00E07D58"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F1902">
        <w:rPr>
          <w:rFonts w:asciiTheme="majorHAnsi" w:hAnsiTheme="majorHAnsi"/>
          <w:sz w:val="20"/>
          <w:szCs w:val="20"/>
        </w:rPr>
        <w:t xml:space="preserve">To notify the parties of this decision; and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r w:rsidR="004A6A54" w:rsidRPr="001E0DF4">
        <w:rPr>
          <w:rFonts w:asciiTheme="majorHAnsi" w:hAnsiTheme="majorHAnsi"/>
          <w:sz w:val="20"/>
          <w:szCs w:val="20"/>
        </w:rPr>
        <w:t>.</w:t>
      </w:r>
    </w:p>
    <w:p w14:paraId="1AE258B8" w14:textId="4A3D94CE" w:rsidR="000D17D9" w:rsidRPr="000D17D9" w:rsidRDefault="000D17D9" w:rsidP="000D17D9">
      <w:pPr>
        <w:pStyle w:val="ListParagraph"/>
        <w:suppressAutoHyphens/>
        <w:ind w:left="0" w:firstLine="720"/>
        <w:jc w:val="both"/>
        <w:rPr>
          <w:rFonts w:cs="Segoe UI"/>
          <w:sz w:val="20"/>
          <w:szCs w:val="20"/>
        </w:rPr>
      </w:pPr>
      <w:r w:rsidRPr="000D17D9">
        <w:rPr>
          <w:spacing w:val="-2"/>
          <w:sz w:val="20"/>
        </w:rPr>
        <w:t xml:space="preserve">Approved by the Inter-American Commission on Human Rights on the </w:t>
      </w:r>
      <w:r>
        <w:rPr>
          <w:spacing w:val="-2"/>
          <w:sz w:val="20"/>
        </w:rPr>
        <w:t>10th</w:t>
      </w:r>
      <w:r w:rsidRPr="000D17D9">
        <w:rPr>
          <w:spacing w:val="-2"/>
          <w:sz w:val="20"/>
        </w:rPr>
        <w:t xml:space="preserve"> days of the month of October 2023.  (Signed:) </w:t>
      </w:r>
      <w:r w:rsidRPr="000D17D9">
        <w:rPr>
          <w:rStyle w:val="normaltextrun"/>
          <w:rFonts w:cs="Segoe UI"/>
          <w:sz w:val="20"/>
          <w:szCs w:val="20"/>
        </w:rPr>
        <w:t xml:space="preserve">Margarette May Macaulay, President; Roberta Clarke, Second Vice President; Julissa Mantilla Falcón and </w:t>
      </w:r>
      <w:r>
        <w:rPr>
          <w:rStyle w:val="normaltextrun"/>
          <w:rFonts w:cs="Segoe UI"/>
          <w:sz w:val="20"/>
          <w:szCs w:val="20"/>
        </w:rPr>
        <w:t>Carlos Bernal</w:t>
      </w:r>
      <w:r w:rsidRPr="000D17D9">
        <w:rPr>
          <w:rStyle w:val="normaltextrun"/>
          <w:rFonts w:cs="Segoe UI"/>
          <w:sz w:val="20"/>
          <w:szCs w:val="20"/>
        </w:rPr>
        <w:t>, Commissioners.</w:t>
      </w:r>
    </w:p>
    <w:p w14:paraId="7CD4DFBD" w14:textId="77777777" w:rsidR="003239B8" w:rsidRPr="001E0DF4" w:rsidRDefault="003239B8" w:rsidP="003239B8">
      <w:pPr>
        <w:pStyle w:val="ListParagraph"/>
        <w:suppressAutoHyphens/>
        <w:spacing w:before="240" w:after="240"/>
        <w:jc w:val="both"/>
        <w:rPr>
          <w:rFonts w:asciiTheme="majorHAnsi" w:hAnsiTheme="majorHAnsi"/>
          <w:sz w:val="20"/>
          <w:szCs w:val="20"/>
        </w:rPr>
      </w:pPr>
    </w:p>
    <w:p w14:paraId="0D98495A" w14:textId="77777777" w:rsidR="008D768D" w:rsidRPr="001E0DF4" w:rsidRDefault="008D768D" w:rsidP="001D65EF">
      <w:pPr>
        <w:tabs>
          <w:tab w:val="center" w:pos="5400"/>
        </w:tabs>
        <w:suppressAutoHyphens/>
        <w:spacing w:line="276" w:lineRule="auto"/>
        <w:rPr>
          <w:rFonts w:asciiTheme="majorHAnsi" w:hAnsiTheme="majorHAnsi"/>
          <w:sz w:val="20"/>
          <w:szCs w:val="20"/>
        </w:rPr>
      </w:pPr>
    </w:p>
    <w:p w14:paraId="2642C68E" w14:textId="77777777" w:rsidR="008D768D" w:rsidRPr="001E0DF4" w:rsidRDefault="008D768D" w:rsidP="001D65EF">
      <w:pPr>
        <w:tabs>
          <w:tab w:val="center" w:pos="5400"/>
        </w:tabs>
        <w:suppressAutoHyphens/>
        <w:spacing w:line="276" w:lineRule="auto"/>
        <w:rPr>
          <w:rFonts w:asciiTheme="majorHAnsi" w:hAnsiTheme="majorHAnsi"/>
          <w:sz w:val="20"/>
          <w:szCs w:val="20"/>
        </w:rPr>
      </w:pPr>
    </w:p>
    <w:p w14:paraId="6AC80CA6" w14:textId="77777777" w:rsidR="00722C9F" w:rsidRPr="001E0DF4" w:rsidRDefault="00722C9F" w:rsidP="00974491">
      <w:pPr>
        <w:rPr>
          <w:rFonts w:ascii="Cambria" w:hAnsi="Cambria" w:cs="Calibri"/>
          <w:sz w:val="20"/>
          <w:szCs w:val="20"/>
        </w:rPr>
      </w:pPr>
    </w:p>
    <w:sectPr w:rsidR="00722C9F" w:rsidRPr="001E0DF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B533" w14:textId="77777777" w:rsidR="00BD15D4" w:rsidRDefault="00BD15D4">
      <w:r>
        <w:separator/>
      </w:r>
    </w:p>
  </w:endnote>
  <w:endnote w:type="continuationSeparator" w:id="0">
    <w:p w14:paraId="742FFF95" w14:textId="77777777" w:rsidR="00BD15D4" w:rsidRDefault="00BD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332D" w14:textId="77777777" w:rsidR="00BD15D4" w:rsidRPr="000F35ED" w:rsidRDefault="00BD15D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373FD9" w14:textId="77777777" w:rsidR="00BD15D4" w:rsidRPr="000F35ED" w:rsidRDefault="00BD15D4" w:rsidP="000F35ED">
      <w:pPr>
        <w:rPr>
          <w:rFonts w:asciiTheme="majorHAnsi" w:hAnsiTheme="majorHAnsi"/>
          <w:sz w:val="16"/>
          <w:szCs w:val="16"/>
        </w:rPr>
      </w:pPr>
      <w:r w:rsidRPr="000F35ED">
        <w:rPr>
          <w:rFonts w:asciiTheme="majorHAnsi" w:hAnsiTheme="majorHAnsi"/>
          <w:sz w:val="16"/>
          <w:szCs w:val="16"/>
        </w:rPr>
        <w:separator/>
      </w:r>
    </w:p>
    <w:p w14:paraId="5F992951" w14:textId="77777777" w:rsidR="00BD15D4" w:rsidRPr="000F35ED" w:rsidRDefault="00BD15D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694AA74" w14:textId="77777777" w:rsidR="00BD15D4" w:rsidRPr="000F35ED" w:rsidRDefault="00BD15D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005167" w14:textId="662883F7" w:rsidR="0074205F" w:rsidRPr="001E0DF4" w:rsidRDefault="0074205F" w:rsidP="001C48C7">
      <w:pPr>
        <w:pStyle w:val="FootnoteText"/>
        <w:ind w:firstLine="720"/>
        <w:jc w:val="both"/>
        <w:rPr>
          <w:rFonts w:asciiTheme="majorHAnsi" w:hAnsiTheme="majorHAnsi"/>
          <w:sz w:val="16"/>
          <w:szCs w:val="16"/>
        </w:rPr>
      </w:pPr>
      <w:r w:rsidRPr="001E0DF4">
        <w:rPr>
          <w:rStyle w:val="FootnoteReference"/>
          <w:rFonts w:asciiTheme="majorHAnsi" w:hAnsiTheme="majorHAnsi"/>
          <w:sz w:val="16"/>
          <w:szCs w:val="16"/>
        </w:rPr>
        <w:footnoteRef/>
      </w:r>
      <w:r w:rsidRPr="001E0DF4">
        <w:rPr>
          <w:rFonts w:asciiTheme="majorHAnsi" w:hAnsiTheme="majorHAnsi"/>
          <w:sz w:val="16"/>
          <w:szCs w:val="16"/>
        </w:rPr>
        <w:t xml:space="preserve"> </w:t>
      </w:r>
      <w:r w:rsidR="001E0DF4" w:rsidRPr="001E0DF4">
        <w:rPr>
          <w:rFonts w:asciiTheme="majorHAnsi" w:hAnsiTheme="majorHAnsi"/>
          <w:sz w:val="16"/>
          <w:szCs w:val="16"/>
        </w:rPr>
        <w:t>Hereinafter "The Convention" or "the American Convention"</w:t>
      </w:r>
      <w:r w:rsidRPr="001E0DF4">
        <w:rPr>
          <w:rFonts w:asciiTheme="majorHAnsi" w:hAnsiTheme="majorHAnsi"/>
          <w:sz w:val="16"/>
          <w:szCs w:val="16"/>
        </w:rPr>
        <w:t>.</w:t>
      </w:r>
    </w:p>
  </w:footnote>
  <w:footnote w:id="3">
    <w:p w14:paraId="0F806616" w14:textId="28C33C87" w:rsidR="0074205F" w:rsidRPr="001E0DF4" w:rsidRDefault="0074205F" w:rsidP="001C48C7">
      <w:pPr>
        <w:pStyle w:val="FootnoteText"/>
        <w:ind w:firstLine="720"/>
        <w:jc w:val="both"/>
        <w:rPr>
          <w:rFonts w:asciiTheme="majorHAnsi" w:hAnsiTheme="majorHAnsi"/>
          <w:sz w:val="16"/>
          <w:szCs w:val="16"/>
        </w:rPr>
      </w:pPr>
      <w:r w:rsidRPr="001E0DF4">
        <w:rPr>
          <w:rStyle w:val="FootnoteReference"/>
          <w:rFonts w:asciiTheme="majorHAnsi" w:hAnsiTheme="majorHAnsi"/>
          <w:sz w:val="16"/>
          <w:szCs w:val="16"/>
        </w:rPr>
        <w:footnoteRef/>
      </w:r>
      <w:r w:rsidRPr="001E0DF4">
        <w:rPr>
          <w:rFonts w:asciiTheme="majorHAnsi" w:hAnsiTheme="majorHAnsi"/>
          <w:sz w:val="16"/>
          <w:szCs w:val="16"/>
        </w:rPr>
        <w:t xml:space="preserve"> </w:t>
      </w:r>
      <w:r w:rsidR="001E0DF4" w:rsidRPr="001E0DF4">
        <w:rPr>
          <w:rFonts w:asciiTheme="majorHAnsi" w:hAnsiTheme="majorHAnsi"/>
          <w:sz w:val="16"/>
          <w:szCs w:val="16"/>
        </w:rPr>
        <w:t>Hereinafter "the Declaration" or "the American Declaration"</w:t>
      </w:r>
    </w:p>
  </w:footnote>
  <w:footnote w:id="4">
    <w:p w14:paraId="79F07139" w14:textId="0779E6E9" w:rsidR="008E3BFE" w:rsidRPr="001E0DF4" w:rsidRDefault="008E3BFE" w:rsidP="001C48C7">
      <w:pPr>
        <w:pStyle w:val="FootnoteText"/>
        <w:spacing w:after="120"/>
        <w:ind w:firstLine="720"/>
        <w:jc w:val="both"/>
        <w:rPr>
          <w:rFonts w:asciiTheme="majorHAnsi" w:hAnsiTheme="majorHAnsi"/>
          <w:sz w:val="16"/>
          <w:szCs w:val="16"/>
        </w:rPr>
      </w:pPr>
      <w:r w:rsidRPr="001E0DF4">
        <w:rPr>
          <w:rStyle w:val="FootnoteReference"/>
          <w:rFonts w:asciiTheme="majorHAnsi" w:hAnsiTheme="majorHAnsi"/>
          <w:sz w:val="16"/>
          <w:szCs w:val="16"/>
        </w:rPr>
        <w:footnoteRef/>
      </w:r>
      <w:r w:rsidRPr="001E0DF4">
        <w:rPr>
          <w:rFonts w:asciiTheme="majorHAnsi" w:hAnsiTheme="majorHAnsi"/>
          <w:sz w:val="16"/>
          <w:szCs w:val="16"/>
        </w:rPr>
        <w:t xml:space="preserve"> </w:t>
      </w:r>
      <w:r w:rsidR="001E0DF4" w:rsidRPr="001E0DF4">
        <w:rPr>
          <w:rFonts w:asciiTheme="majorHAnsi" w:hAnsiTheme="majorHAnsi"/>
          <w:sz w:val="16"/>
          <w:szCs w:val="16"/>
        </w:rPr>
        <w:t>The observations of each party were duly forwarded to the opposing party</w:t>
      </w:r>
      <w:r w:rsidRPr="001E0DF4">
        <w:rPr>
          <w:rFonts w:asciiTheme="majorHAnsi" w:hAnsiTheme="majorHAnsi"/>
          <w:sz w:val="16"/>
          <w:szCs w:val="16"/>
        </w:rPr>
        <w:t>.</w:t>
      </w:r>
    </w:p>
  </w:footnote>
  <w:footnote w:id="5">
    <w:p w14:paraId="45517AB3" w14:textId="3EBB7125" w:rsidR="007E68F2" w:rsidRPr="001E0DF4" w:rsidRDefault="007E68F2" w:rsidP="001C48C7">
      <w:pPr>
        <w:pStyle w:val="FootnoteText"/>
        <w:ind w:firstLine="720"/>
        <w:jc w:val="both"/>
        <w:rPr>
          <w:rFonts w:ascii="Cambria" w:hAnsi="Cambria"/>
          <w:sz w:val="16"/>
          <w:szCs w:val="16"/>
        </w:rPr>
      </w:pPr>
      <w:r w:rsidRPr="001E0DF4">
        <w:rPr>
          <w:rStyle w:val="FootnoteReference"/>
          <w:rFonts w:ascii="Cambria" w:hAnsi="Cambria"/>
          <w:sz w:val="16"/>
          <w:szCs w:val="16"/>
        </w:rPr>
        <w:footnoteRef/>
      </w:r>
      <w:r w:rsidRPr="001E0DF4">
        <w:rPr>
          <w:rFonts w:ascii="Cambria" w:hAnsi="Cambria"/>
          <w:sz w:val="16"/>
          <w:szCs w:val="16"/>
        </w:rPr>
        <w:t xml:space="preserve"> </w:t>
      </w:r>
      <w:r w:rsidR="002D394B" w:rsidRPr="002D394B">
        <w:rPr>
          <w:rFonts w:ascii="Cambria" w:hAnsi="Cambria"/>
          <w:sz w:val="16"/>
          <w:szCs w:val="16"/>
        </w:rPr>
        <w:t>IACHR, Report No. 83/05 (Inadmissibility), Petition 644/00, Carlos Alberto López Urquia, Honduras, 24 October 2005, para</w:t>
      </w:r>
      <w:r w:rsidRPr="001E0DF4">
        <w:rPr>
          <w:rFonts w:ascii="Cambria" w:hAnsi="Cambria"/>
          <w:sz w:val="16"/>
          <w:szCs w:val="16"/>
        </w:rPr>
        <w:t>. 72.</w:t>
      </w:r>
    </w:p>
  </w:footnote>
  <w:footnote w:id="6">
    <w:p w14:paraId="61DCF9B2" w14:textId="008BACE0" w:rsidR="007E68F2" w:rsidRPr="001E0DF4" w:rsidRDefault="007E68F2" w:rsidP="001C48C7">
      <w:pPr>
        <w:pStyle w:val="FootnoteText"/>
        <w:ind w:firstLine="720"/>
        <w:jc w:val="both"/>
        <w:rPr>
          <w:rFonts w:ascii="Cambria" w:hAnsi="Cambria"/>
          <w:sz w:val="16"/>
          <w:szCs w:val="16"/>
        </w:rPr>
      </w:pPr>
      <w:r w:rsidRPr="001E0DF4">
        <w:rPr>
          <w:rStyle w:val="FootnoteReference"/>
          <w:rFonts w:ascii="Cambria" w:hAnsi="Cambria"/>
          <w:sz w:val="16"/>
          <w:szCs w:val="16"/>
        </w:rPr>
        <w:footnoteRef/>
      </w:r>
      <w:r w:rsidRPr="001E0DF4">
        <w:rPr>
          <w:rFonts w:ascii="Cambria" w:hAnsi="Cambria"/>
          <w:sz w:val="16"/>
          <w:szCs w:val="16"/>
        </w:rPr>
        <w:t xml:space="preserve"> </w:t>
      </w:r>
      <w:r w:rsidR="002D394B" w:rsidRPr="002D394B">
        <w:rPr>
          <w:rFonts w:ascii="Cambria" w:hAnsi="Cambria"/>
          <w:sz w:val="16"/>
          <w:szCs w:val="16"/>
        </w:rPr>
        <w:t>IACHR, Report No. 70/08, (Admissibility), Petition 12.242, Pediatric Clinic of the Lake Region, Brazil, October 16, 2008, para.</w:t>
      </w:r>
      <w:r w:rsidRPr="001E0DF4">
        <w:rPr>
          <w:rFonts w:ascii="Cambria" w:hAnsi="Cambria"/>
          <w:sz w:val="16"/>
          <w:szCs w:val="16"/>
        </w:rPr>
        <w:t xml:space="preserve"> 47.</w:t>
      </w:r>
    </w:p>
  </w:footnote>
  <w:footnote w:id="7">
    <w:p w14:paraId="7843D601" w14:textId="20A3A826" w:rsidR="004D7877" w:rsidRPr="001E0DF4" w:rsidRDefault="004D7877" w:rsidP="001C48C7">
      <w:pPr>
        <w:pStyle w:val="FootnoteText"/>
        <w:ind w:firstLine="720"/>
        <w:jc w:val="both"/>
      </w:pPr>
      <w:r w:rsidRPr="001E0DF4">
        <w:rPr>
          <w:rStyle w:val="FootnoteReference"/>
          <w:rFonts w:asciiTheme="majorHAnsi" w:hAnsiTheme="majorHAnsi"/>
          <w:sz w:val="16"/>
          <w:szCs w:val="16"/>
        </w:rPr>
        <w:footnoteRef/>
      </w:r>
      <w:r w:rsidRPr="001E0DF4">
        <w:rPr>
          <w:rFonts w:asciiTheme="majorHAnsi" w:hAnsiTheme="majorHAnsi"/>
          <w:sz w:val="16"/>
          <w:szCs w:val="16"/>
        </w:rPr>
        <w:t xml:space="preserve"> </w:t>
      </w:r>
      <w:r w:rsidR="002D394B" w:rsidRPr="002D394B">
        <w:rPr>
          <w:rFonts w:asciiTheme="majorHAnsi" w:hAnsiTheme="majorHAnsi"/>
          <w:sz w:val="16"/>
          <w:szCs w:val="16"/>
        </w:rPr>
        <w:t>IACHR, Report No. 44/04 (Inadmissibility), Petition 2584-02, Laura Tena Colunga and others, Mexico, October 13, 2004, paras. 39 and 40</w:t>
      </w:r>
      <w:r w:rsidRPr="001E0DF4">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6F8C245F">
          <wp:extent cx="1972235" cy="1047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972235" cy="104775"/>
                  </a:xfrm>
                  <a:prstGeom prst="rect">
                    <a:avLst/>
                  </a:prstGeom>
                  <a:noFill/>
                  <a:ln>
                    <a:noFill/>
                  </a:ln>
                </pic:spPr>
              </pic:pic>
            </a:graphicData>
          </a:graphic>
        </wp:inline>
      </w:drawing>
    </w:r>
  </w:p>
  <w:p w14:paraId="1CF3204D" w14:textId="77777777" w:rsidR="00040C3A" w:rsidRPr="00EC7D62" w:rsidRDefault="00F2587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90472898">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10161607">
    <w:abstractNumId w:val="5"/>
  </w:num>
  <w:num w:numId="3" w16cid:durableId="996153375">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564220830">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513644960">
    <w:abstractNumId w:val="7"/>
  </w:num>
  <w:num w:numId="6" w16cid:durableId="578758832">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302782047">
    <w:abstractNumId w:val="60"/>
  </w:num>
  <w:num w:numId="8" w16cid:durableId="1878346795">
    <w:abstractNumId w:val="23"/>
  </w:num>
  <w:num w:numId="9" w16cid:durableId="17126722">
    <w:abstractNumId w:val="51"/>
  </w:num>
  <w:num w:numId="10" w16cid:durableId="1351878095">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700319871">
    <w:abstractNumId w:val="29"/>
  </w:num>
  <w:num w:numId="12" w16cid:durableId="841889997">
    <w:abstractNumId w:val="58"/>
  </w:num>
  <w:num w:numId="13" w16cid:durableId="9463882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46157253">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546484597">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8388647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281566128">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601031840">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009796092">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65908725">
    <w:abstractNumId w:val="8"/>
  </w:num>
  <w:num w:numId="21" w16cid:durableId="1438519035">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548505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683441305">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595673448">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85179337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04159271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32698115">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564608293">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24630476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8294336">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969974134">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638241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522082701">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4576625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604728520">
    <w:abstractNumId w:val="19"/>
  </w:num>
  <w:num w:numId="36" w16cid:durableId="10311744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719089493">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0123759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226450608">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36880469">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37812854">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46637302">
    <w:abstractNumId w:val="41"/>
  </w:num>
  <w:num w:numId="43" w16cid:durableId="98641592">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85781683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32874671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897978288">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872768185">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997883559">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489594136">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670406235">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93470451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13979271">
    <w:abstractNumId w:val="45"/>
  </w:num>
  <w:num w:numId="53" w16cid:durableId="1510409329">
    <w:abstractNumId w:val="0"/>
  </w:num>
  <w:num w:numId="54" w16cid:durableId="1888757812">
    <w:abstractNumId w:val="40"/>
  </w:num>
  <w:num w:numId="55" w16cid:durableId="1021122969">
    <w:abstractNumId w:val="41"/>
  </w:num>
  <w:num w:numId="56" w16cid:durableId="407923864">
    <w:abstractNumId w:val="47"/>
  </w:num>
  <w:num w:numId="57" w16cid:durableId="243925251">
    <w:abstractNumId w:val="1"/>
  </w:num>
  <w:num w:numId="58" w16cid:durableId="2014608272">
    <w:abstractNumId w:val="2"/>
  </w:num>
  <w:num w:numId="59" w16cid:durableId="800921820">
    <w:abstractNumId w:val="9"/>
  </w:num>
  <w:num w:numId="60" w16cid:durableId="1736320870">
    <w:abstractNumId w:val="10"/>
  </w:num>
  <w:num w:numId="61" w16cid:durableId="1554345600">
    <w:abstractNumId w:val="11"/>
  </w:num>
  <w:num w:numId="62" w16cid:durableId="836189191">
    <w:abstractNumId w:val="12"/>
  </w:num>
  <w:num w:numId="63" w16cid:durableId="951084493">
    <w:abstractNumId w:val="13"/>
  </w:num>
  <w:num w:numId="64" w16cid:durableId="43070090">
    <w:abstractNumId w:val="15"/>
  </w:num>
  <w:num w:numId="65" w16cid:durableId="871461244">
    <w:abstractNumId w:val="16"/>
  </w:num>
  <w:num w:numId="66" w16cid:durableId="2062710830">
    <w:abstractNumId w:val="17"/>
  </w:num>
  <w:num w:numId="67" w16cid:durableId="1092355736">
    <w:abstractNumId w:val="18"/>
  </w:num>
  <w:num w:numId="68" w16cid:durableId="2040542561">
    <w:abstractNumId w:val="20"/>
  </w:num>
  <w:num w:numId="69" w16cid:durableId="1105223696">
    <w:abstractNumId w:val="21"/>
  </w:num>
  <w:num w:numId="70" w16cid:durableId="356003200">
    <w:abstractNumId w:val="24"/>
  </w:num>
  <w:num w:numId="71" w16cid:durableId="263002996">
    <w:abstractNumId w:val="25"/>
  </w:num>
  <w:num w:numId="72" w16cid:durableId="145706940">
    <w:abstractNumId w:val="26"/>
  </w:num>
  <w:num w:numId="73" w16cid:durableId="897670380">
    <w:abstractNumId w:val="28"/>
  </w:num>
  <w:num w:numId="74" w16cid:durableId="1171749654">
    <w:abstractNumId w:val="30"/>
  </w:num>
  <w:num w:numId="75" w16cid:durableId="96557829">
    <w:abstractNumId w:val="32"/>
  </w:num>
  <w:num w:numId="76" w16cid:durableId="26805710">
    <w:abstractNumId w:val="33"/>
  </w:num>
  <w:num w:numId="77" w16cid:durableId="1297643304">
    <w:abstractNumId w:val="34"/>
  </w:num>
  <w:num w:numId="78" w16cid:durableId="831793017">
    <w:abstractNumId w:val="35"/>
  </w:num>
  <w:num w:numId="79" w16cid:durableId="586309711">
    <w:abstractNumId w:val="36"/>
  </w:num>
  <w:num w:numId="80" w16cid:durableId="1936202964">
    <w:abstractNumId w:val="37"/>
  </w:num>
  <w:num w:numId="81" w16cid:durableId="534926609">
    <w:abstractNumId w:val="38"/>
  </w:num>
  <w:num w:numId="82" w16cid:durableId="1323655494">
    <w:abstractNumId w:val="42"/>
  </w:num>
  <w:num w:numId="83" w16cid:durableId="2090887988">
    <w:abstractNumId w:val="43"/>
  </w:num>
  <w:num w:numId="84" w16cid:durableId="1106272219">
    <w:abstractNumId w:val="49"/>
  </w:num>
  <w:num w:numId="85" w16cid:durableId="289825108">
    <w:abstractNumId w:val="52"/>
  </w:num>
  <w:num w:numId="86" w16cid:durableId="80225030">
    <w:abstractNumId w:val="55"/>
  </w:num>
  <w:num w:numId="87" w16cid:durableId="753816013">
    <w:abstractNumId w:val="57"/>
  </w:num>
  <w:num w:numId="88" w16cid:durableId="907034899">
    <w:abstractNumId w:val="59"/>
  </w:num>
  <w:num w:numId="89" w16cid:durableId="1486896977">
    <w:abstractNumId w:val="61"/>
  </w:num>
  <w:num w:numId="90" w16cid:durableId="2115710514">
    <w:abstractNumId w:val="62"/>
  </w:num>
  <w:num w:numId="91" w16cid:durableId="2038578042">
    <w:abstractNumId w:val="63"/>
  </w:num>
  <w:num w:numId="92" w16cid:durableId="2034766628">
    <w:abstractNumId w:val="64"/>
  </w:num>
  <w:num w:numId="93" w16cid:durableId="1714034082">
    <w:abstractNumId w:val="66"/>
  </w:num>
  <w:num w:numId="94" w16cid:durableId="1443722158">
    <w:abstractNumId w:val="22"/>
  </w:num>
  <w:num w:numId="95" w16cid:durableId="1217473445">
    <w:abstractNumId w:val="44"/>
  </w:num>
  <w:num w:numId="96" w16cid:durableId="480343580">
    <w:abstractNumId w:val="56"/>
  </w:num>
  <w:num w:numId="97" w16cid:durableId="23210640">
    <w:abstractNumId w:val="53"/>
  </w:num>
  <w:num w:numId="98" w16cid:durableId="27723962">
    <w:abstractNumId w:val="48"/>
  </w:num>
  <w:num w:numId="99" w16cid:durableId="1805001181">
    <w:abstractNumId w:val="39"/>
  </w:num>
  <w:num w:numId="100" w16cid:durableId="1533108434">
    <w:abstractNumId w:val="3"/>
  </w:num>
  <w:num w:numId="101" w16cid:durableId="1176840714">
    <w:abstractNumId w:val="27"/>
  </w:num>
  <w:num w:numId="102" w16cid:durableId="1953900653">
    <w:abstractNumId w:val="50"/>
  </w:num>
  <w:num w:numId="103" w16cid:durableId="1782067935">
    <w:abstractNumId w:val="6"/>
  </w:num>
  <w:num w:numId="104" w16cid:durableId="1194460207">
    <w:abstractNumId w:val="65"/>
  </w:num>
  <w:num w:numId="105" w16cid:durableId="1867594832">
    <w:abstractNumId w:val="54"/>
  </w:num>
  <w:num w:numId="106" w16cid:durableId="326255065">
    <w:abstractNumId w:val="4"/>
  </w:num>
  <w:num w:numId="107" w16cid:durableId="928736126">
    <w:abstractNumId w:val="31"/>
  </w:num>
  <w:num w:numId="108" w16cid:durableId="10298780">
    <w:abstractNumId w:val="14"/>
  </w:num>
  <w:num w:numId="109" w16cid:durableId="146866511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9EA"/>
    <w:rsid w:val="00006E1F"/>
    <w:rsid w:val="000070D7"/>
    <w:rsid w:val="00014CA2"/>
    <w:rsid w:val="000161B8"/>
    <w:rsid w:val="0001788C"/>
    <w:rsid w:val="000337EF"/>
    <w:rsid w:val="00040C3A"/>
    <w:rsid w:val="000419AD"/>
    <w:rsid w:val="00042E89"/>
    <w:rsid w:val="000433C9"/>
    <w:rsid w:val="00067CA6"/>
    <w:rsid w:val="000716C5"/>
    <w:rsid w:val="00075E23"/>
    <w:rsid w:val="0009344A"/>
    <w:rsid w:val="0009589B"/>
    <w:rsid w:val="000A1F6A"/>
    <w:rsid w:val="000A392E"/>
    <w:rsid w:val="000A575F"/>
    <w:rsid w:val="000B062C"/>
    <w:rsid w:val="000B6A0B"/>
    <w:rsid w:val="000C0244"/>
    <w:rsid w:val="000C32A3"/>
    <w:rsid w:val="000C3A72"/>
    <w:rsid w:val="000D05CB"/>
    <w:rsid w:val="000D10DB"/>
    <w:rsid w:val="000D17D9"/>
    <w:rsid w:val="000D6767"/>
    <w:rsid w:val="000E1A34"/>
    <w:rsid w:val="000E3A36"/>
    <w:rsid w:val="000E5EB5"/>
    <w:rsid w:val="000F35ED"/>
    <w:rsid w:val="000F62B5"/>
    <w:rsid w:val="00107131"/>
    <w:rsid w:val="0010736F"/>
    <w:rsid w:val="00113F73"/>
    <w:rsid w:val="00121CC2"/>
    <w:rsid w:val="00123001"/>
    <w:rsid w:val="00131425"/>
    <w:rsid w:val="00133EE5"/>
    <w:rsid w:val="00144C69"/>
    <w:rsid w:val="00154E53"/>
    <w:rsid w:val="00157745"/>
    <w:rsid w:val="00167A34"/>
    <w:rsid w:val="00183646"/>
    <w:rsid w:val="00191D19"/>
    <w:rsid w:val="001A7870"/>
    <w:rsid w:val="001B3A00"/>
    <w:rsid w:val="001B4FFF"/>
    <w:rsid w:val="001C1174"/>
    <w:rsid w:val="001C1B41"/>
    <w:rsid w:val="001C48C7"/>
    <w:rsid w:val="001D3447"/>
    <w:rsid w:val="001D65EF"/>
    <w:rsid w:val="001D7945"/>
    <w:rsid w:val="001E0DF4"/>
    <w:rsid w:val="001E49E7"/>
    <w:rsid w:val="001F7201"/>
    <w:rsid w:val="0020664C"/>
    <w:rsid w:val="002129B4"/>
    <w:rsid w:val="00220063"/>
    <w:rsid w:val="00223A29"/>
    <w:rsid w:val="002250A3"/>
    <w:rsid w:val="00235217"/>
    <w:rsid w:val="00237C8F"/>
    <w:rsid w:val="00245261"/>
    <w:rsid w:val="002469D2"/>
    <w:rsid w:val="00246D1F"/>
    <w:rsid w:val="00247403"/>
    <w:rsid w:val="00247542"/>
    <w:rsid w:val="0026020D"/>
    <w:rsid w:val="00266B61"/>
    <w:rsid w:val="0026712A"/>
    <w:rsid w:val="002704DB"/>
    <w:rsid w:val="00280F97"/>
    <w:rsid w:val="002A0AAE"/>
    <w:rsid w:val="002A5820"/>
    <w:rsid w:val="002B2C58"/>
    <w:rsid w:val="002D2B26"/>
    <w:rsid w:val="002D394B"/>
    <w:rsid w:val="002D7EA2"/>
    <w:rsid w:val="002E187C"/>
    <w:rsid w:val="002F1AAE"/>
    <w:rsid w:val="00300289"/>
    <w:rsid w:val="00302733"/>
    <w:rsid w:val="003078CC"/>
    <w:rsid w:val="003124DB"/>
    <w:rsid w:val="00314078"/>
    <w:rsid w:val="0031535D"/>
    <w:rsid w:val="003239B8"/>
    <w:rsid w:val="00325FC3"/>
    <w:rsid w:val="00330920"/>
    <w:rsid w:val="0033093C"/>
    <w:rsid w:val="003310DC"/>
    <w:rsid w:val="0033169F"/>
    <w:rsid w:val="00344977"/>
    <w:rsid w:val="00344F7E"/>
    <w:rsid w:val="00344FD5"/>
    <w:rsid w:val="003467A3"/>
    <w:rsid w:val="00346C95"/>
    <w:rsid w:val="00351314"/>
    <w:rsid w:val="00356185"/>
    <w:rsid w:val="00360380"/>
    <w:rsid w:val="00363F62"/>
    <w:rsid w:val="0037519E"/>
    <w:rsid w:val="00386CF0"/>
    <w:rsid w:val="00391ABD"/>
    <w:rsid w:val="003A31E2"/>
    <w:rsid w:val="003A3F50"/>
    <w:rsid w:val="003A4A05"/>
    <w:rsid w:val="003B70FB"/>
    <w:rsid w:val="003B7572"/>
    <w:rsid w:val="003C1E7D"/>
    <w:rsid w:val="003C676B"/>
    <w:rsid w:val="003D3BC2"/>
    <w:rsid w:val="003E4216"/>
    <w:rsid w:val="003E6CA1"/>
    <w:rsid w:val="00405F9C"/>
    <w:rsid w:val="004065A8"/>
    <w:rsid w:val="004165C2"/>
    <w:rsid w:val="00430DC7"/>
    <w:rsid w:val="00441524"/>
    <w:rsid w:val="00441ECB"/>
    <w:rsid w:val="00445193"/>
    <w:rsid w:val="00462C1B"/>
    <w:rsid w:val="00467B7E"/>
    <w:rsid w:val="00473BB4"/>
    <w:rsid w:val="004762FA"/>
    <w:rsid w:val="00477592"/>
    <w:rsid w:val="00486F1C"/>
    <w:rsid w:val="0049419D"/>
    <w:rsid w:val="004A6A54"/>
    <w:rsid w:val="004C20D2"/>
    <w:rsid w:val="004C2312"/>
    <w:rsid w:val="004C4B62"/>
    <w:rsid w:val="004C54C9"/>
    <w:rsid w:val="004D4ABA"/>
    <w:rsid w:val="004D6025"/>
    <w:rsid w:val="004D7877"/>
    <w:rsid w:val="004E2649"/>
    <w:rsid w:val="004F626F"/>
    <w:rsid w:val="00501399"/>
    <w:rsid w:val="0050633D"/>
    <w:rsid w:val="00507BC4"/>
    <w:rsid w:val="005128E4"/>
    <w:rsid w:val="005133DB"/>
    <w:rsid w:val="00514504"/>
    <w:rsid w:val="005151EF"/>
    <w:rsid w:val="00525560"/>
    <w:rsid w:val="00544C49"/>
    <w:rsid w:val="005516A1"/>
    <w:rsid w:val="005522BB"/>
    <w:rsid w:val="005559EF"/>
    <w:rsid w:val="005564B7"/>
    <w:rsid w:val="00563557"/>
    <w:rsid w:val="005673C0"/>
    <w:rsid w:val="0057402A"/>
    <w:rsid w:val="005771D0"/>
    <w:rsid w:val="00584BD9"/>
    <w:rsid w:val="0059191A"/>
    <w:rsid w:val="005921FF"/>
    <w:rsid w:val="005A24ED"/>
    <w:rsid w:val="005A254F"/>
    <w:rsid w:val="005A6D0E"/>
    <w:rsid w:val="005B1FD5"/>
    <w:rsid w:val="005B52B0"/>
    <w:rsid w:val="005B6806"/>
    <w:rsid w:val="005C4225"/>
    <w:rsid w:val="005D38F9"/>
    <w:rsid w:val="005F0DAD"/>
    <w:rsid w:val="005F0F33"/>
    <w:rsid w:val="006004BF"/>
    <w:rsid w:val="00600DEB"/>
    <w:rsid w:val="00627C9F"/>
    <w:rsid w:val="006311E9"/>
    <w:rsid w:val="00632354"/>
    <w:rsid w:val="00635421"/>
    <w:rsid w:val="00642810"/>
    <w:rsid w:val="00652333"/>
    <w:rsid w:val="00656135"/>
    <w:rsid w:val="0068009E"/>
    <w:rsid w:val="00683ADB"/>
    <w:rsid w:val="00691ECD"/>
    <w:rsid w:val="00692219"/>
    <w:rsid w:val="006968FC"/>
    <w:rsid w:val="006A17D2"/>
    <w:rsid w:val="006A73E6"/>
    <w:rsid w:val="006B2D5C"/>
    <w:rsid w:val="006C4E28"/>
    <w:rsid w:val="006C4EB1"/>
    <w:rsid w:val="006D460E"/>
    <w:rsid w:val="006D5B19"/>
    <w:rsid w:val="006E0166"/>
    <w:rsid w:val="006E2FFB"/>
    <w:rsid w:val="006E7B34"/>
    <w:rsid w:val="006F3860"/>
    <w:rsid w:val="00702492"/>
    <w:rsid w:val="0070697F"/>
    <w:rsid w:val="007103C6"/>
    <w:rsid w:val="00714E29"/>
    <w:rsid w:val="0072199C"/>
    <w:rsid w:val="00722C9F"/>
    <w:rsid w:val="007253B8"/>
    <w:rsid w:val="00736B42"/>
    <w:rsid w:val="0073741F"/>
    <w:rsid w:val="0074205F"/>
    <w:rsid w:val="0074361F"/>
    <w:rsid w:val="00743861"/>
    <w:rsid w:val="0076521E"/>
    <w:rsid w:val="0076643F"/>
    <w:rsid w:val="00777F63"/>
    <w:rsid w:val="007A5817"/>
    <w:rsid w:val="007B05C4"/>
    <w:rsid w:val="007B0FA4"/>
    <w:rsid w:val="007B60E9"/>
    <w:rsid w:val="007B6CC3"/>
    <w:rsid w:val="007B76D3"/>
    <w:rsid w:val="007B793E"/>
    <w:rsid w:val="007C27E5"/>
    <w:rsid w:val="007C3334"/>
    <w:rsid w:val="007C4DC8"/>
    <w:rsid w:val="007C7056"/>
    <w:rsid w:val="007D2B98"/>
    <w:rsid w:val="007E21BC"/>
    <w:rsid w:val="007E68F2"/>
    <w:rsid w:val="007E7C82"/>
    <w:rsid w:val="007F2AA1"/>
    <w:rsid w:val="007F588D"/>
    <w:rsid w:val="00803F1C"/>
    <w:rsid w:val="0080600E"/>
    <w:rsid w:val="00810FE9"/>
    <w:rsid w:val="00814688"/>
    <w:rsid w:val="00817612"/>
    <w:rsid w:val="008338A4"/>
    <w:rsid w:val="00834D49"/>
    <w:rsid w:val="008362F6"/>
    <w:rsid w:val="00837C45"/>
    <w:rsid w:val="00844730"/>
    <w:rsid w:val="008457C2"/>
    <w:rsid w:val="00857A82"/>
    <w:rsid w:val="00862CC0"/>
    <w:rsid w:val="00867314"/>
    <w:rsid w:val="00873836"/>
    <w:rsid w:val="00874BEA"/>
    <w:rsid w:val="00885737"/>
    <w:rsid w:val="00890650"/>
    <w:rsid w:val="00895101"/>
    <w:rsid w:val="00897E12"/>
    <w:rsid w:val="008A3C34"/>
    <w:rsid w:val="008A7E0F"/>
    <w:rsid w:val="008B097C"/>
    <w:rsid w:val="008B12F5"/>
    <w:rsid w:val="008C3DE2"/>
    <w:rsid w:val="008C5E2D"/>
    <w:rsid w:val="008D0B62"/>
    <w:rsid w:val="008D33C6"/>
    <w:rsid w:val="008D768D"/>
    <w:rsid w:val="008E1D6C"/>
    <w:rsid w:val="008E2AEB"/>
    <w:rsid w:val="008E3759"/>
    <w:rsid w:val="008E3BFE"/>
    <w:rsid w:val="008F1912"/>
    <w:rsid w:val="0090270B"/>
    <w:rsid w:val="009041DC"/>
    <w:rsid w:val="00906076"/>
    <w:rsid w:val="009063D1"/>
    <w:rsid w:val="00913776"/>
    <w:rsid w:val="00917B5A"/>
    <w:rsid w:val="00920A58"/>
    <w:rsid w:val="00920A8C"/>
    <w:rsid w:val="00934A2C"/>
    <w:rsid w:val="00937CE9"/>
    <w:rsid w:val="009450EC"/>
    <w:rsid w:val="009467F0"/>
    <w:rsid w:val="0096706E"/>
    <w:rsid w:val="00974491"/>
    <w:rsid w:val="00975C4E"/>
    <w:rsid w:val="00981FBA"/>
    <w:rsid w:val="00982821"/>
    <w:rsid w:val="00987DEB"/>
    <w:rsid w:val="00991844"/>
    <w:rsid w:val="00997BC5"/>
    <w:rsid w:val="009A4F41"/>
    <w:rsid w:val="009B381B"/>
    <w:rsid w:val="009D1753"/>
    <w:rsid w:val="009D7611"/>
    <w:rsid w:val="009E051B"/>
    <w:rsid w:val="009E0B61"/>
    <w:rsid w:val="009E53DE"/>
    <w:rsid w:val="009E5D53"/>
    <w:rsid w:val="009F11CA"/>
    <w:rsid w:val="009F50C7"/>
    <w:rsid w:val="00A03D63"/>
    <w:rsid w:val="00A11212"/>
    <w:rsid w:val="00A11E44"/>
    <w:rsid w:val="00A30100"/>
    <w:rsid w:val="00A328B3"/>
    <w:rsid w:val="00A50FCF"/>
    <w:rsid w:val="00A528D1"/>
    <w:rsid w:val="00A60800"/>
    <w:rsid w:val="00A610CD"/>
    <w:rsid w:val="00A6510F"/>
    <w:rsid w:val="00A758AA"/>
    <w:rsid w:val="00A76AD7"/>
    <w:rsid w:val="00A84A44"/>
    <w:rsid w:val="00A92A79"/>
    <w:rsid w:val="00AA09A2"/>
    <w:rsid w:val="00AA6726"/>
    <w:rsid w:val="00AA7996"/>
    <w:rsid w:val="00AB3111"/>
    <w:rsid w:val="00AB7FC4"/>
    <w:rsid w:val="00AC19CB"/>
    <w:rsid w:val="00AD0F1C"/>
    <w:rsid w:val="00AE5488"/>
    <w:rsid w:val="00AE6F91"/>
    <w:rsid w:val="00AF06E8"/>
    <w:rsid w:val="00AF5571"/>
    <w:rsid w:val="00B01FCE"/>
    <w:rsid w:val="00B044C7"/>
    <w:rsid w:val="00B07341"/>
    <w:rsid w:val="00B12044"/>
    <w:rsid w:val="00B23DCF"/>
    <w:rsid w:val="00B30539"/>
    <w:rsid w:val="00B314DB"/>
    <w:rsid w:val="00B361F2"/>
    <w:rsid w:val="00B3718B"/>
    <w:rsid w:val="00B3745F"/>
    <w:rsid w:val="00B4632A"/>
    <w:rsid w:val="00B4637C"/>
    <w:rsid w:val="00B530F1"/>
    <w:rsid w:val="00B71109"/>
    <w:rsid w:val="00B71B3A"/>
    <w:rsid w:val="00BA276C"/>
    <w:rsid w:val="00BB306F"/>
    <w:rsid w:val="00BB608F"/>
    <w:rsid w:val="00BD15D4"/>
    <w:rsid w:val="00BD4B89"/>
    <w:rsid w:val="00BD5922"/>
    <w:rsid w:val="00BD7AFC"/>
    <w:rsid w:val="00BF02CB"/>
    <w:rsid w:val="00BF6FD8"/>
    <w:rsid w:val="00C03680"/>
    <w:rsid w:val="00C054DF"/>
    <w:rsid w:val="00C14AB7"/>
    <w:rsid w:val="00C167E6"/>
    <w:rsid w:val="00C21762"/>
    <w:rsid w:val="00C21FEF"/>
    <w:rsid w:val="00C23BA4"/>
    <w:rsid w:val="00C24543"/>
    <w:rsid w:val="00C256A2"/>
    <w:rsid w:val="00C25ADB"/>
    <w:rsid w:val="00C43C68"/>
    <w:rsid w:val="00C51515"/>
    <w:rsid w:val="00C554EE"/>
    <w:rsid w:val="00C5660B"/>
    <w:rsid w:val="00C66B72"/>
    <w:rsid w:val="00C75A95"/>
    <w:rsid w:val="00C87AC4"/>
    <w:rsid w:val="00C9567A"/>
    <w:rsid w:val="00CB212D"/>
    <w:rsid w:val="00CB2660"/>
    <w:rsid w:val="00CB59A9"/>
    <w:rsid w:val="00CC2CC3"/>
    <w:rsid w:val="00CC36A4"/>
    <w:rsid w:val="00CC5E90"/>
    <w:rsid w:val="00CC7B54"/>
    <w:rsid w:val="00CD046C"/>
    <w:rsid w:val="00CE076C"/>
    <w:rsid w:val="00CE13B3"/>
    <w:rsid w:val="00CE5199"/>
    <w:rsid w:val="00CE5972"/>
    <w:rsid w:val="00CE66D5"/>
    <w:rsid w:val="00CF637A"/>
    <w:rsid w:val="00CF6840"/>
    <w:rsid w:val="00D059DE"/>
    <w:rsid w:val="00D05ABD"/>
    <w:rsid w:val="00D1127C"/>
    <w:rsid w:val="00D1318F"/>
    <w:rsid w:val="00D13FCE"/>
    <w:rsid w:val="00D306D1"/>
    <w:rsid w:val="00D30800"/>
    <w:rsid w:val="00D34786"/>
    <w:rsid w:val="00D37BFC"/>
    <w:rsid w:val="00D47A8E"/>
    <w:rsid w:val="00D52D14"/>
    <w:rsid w:val="00D6700E"/>
    <w:rsid w:val="00D67233"/>
    <w:rsid w:val="00D712D3"/>
    <w:rsid w:val="00D71422"/>
    <w:rsid w:val="00D72DC6"/>
    <w:rsid w:val="00D7558D"/>
    <w:rsid w:val="00D81D92"/>
    <w:rsid w:val="00D876F9"/>
    <w:rsid w:val="00D91A90"/>
    <w:rsid w:val="00DA7B5F"/>
    <w:rsid w:val="00DB6251"/>
    <w:rsid w:val="00DC11E7"/>
    <w:rsid w:val="00DC24E3"/>
    <w:rsid w:val="00DC64C1"/>
    <w:rsid w:val="00DC7023"/>
    <w:rsid w:val="00DC769A"/>
    <w:rsid w:val="00DD3D86"/>
    <w:rsid w:val="00DD4AD2"/>
    <w:rsid w:val="00DE01A7"/>
    <w:rsid w:val="00DE64AC"/>
    <w:rsid w:val="00DF1EC4"/>
    <w:rsid w:val="00DF425F"/>
    <w:rsid w:val="00E0340B"/>
    <w:rsid w:val="00E04A90"/>
    <w:rsid w:val="00E0551F"/>
    <w:rsid w:val="00E07D58"/>
    <w:rsid w:val="00E219C7"/>
    <w:rsid w:val="00E25FE9"/>
    <w:rsid w:val="00E3747B"/>
    <w:rsid w:val="00E4118C"/>
    <w:rsid w:val="00E43157"/>
    <w:rsid w:val="00E461CE"/>
    <w:rsid w:val="00E47843"/>
    <w:rsid w:val="00E573E4"/>
    <w:rsid w:val="00E64C3D"/>
    <w:rsid w:val="00E720CA"/>
    <w:rsid w:val="00E7759F"/>
    <w:rsid w:val="00E82DDC"/>
    <w:rsid w:val="00E84EB5"/>
    <w:rsid w:val="00E85662"/>
    <w:rsid w:val="00E8789F"/>
    <w:rsid w:val="00E942DA"/>
    <w:rsid w:val="00E9797B"/>
    <w:rsid w:val="00E97B71"/>
    <w:rsid w:val="00EA3D34"/>
    <w:rsid w:val="00EB454D"/>
    <w:rsid w:val="00EB5BAC"/>
    <w:rsid w:val="00ED549D"/>
    <w:rsid w:val="00ED76BE"/>
    <w:rsid w:val="00EE00E9"/>
    <w:rsid w:val="00EF1AAA"/>
    <w:rsid w:val="00EF619B"/>
    <w:rsid w:val="00F00B55"/>
    <w:rsid w:val="00F02AD1"/>
    <w:rsid w:val="00F10D86"/>
    <w:rsid w:val="00F253CC"/>
    <w:rsid w:val="00F25874"/>
    <w:rsid w:val="00F37106"/>
    <w:rsid w:val="00F42E46"/>
    <w:rsid w:val="00F44E25"/>
    <w:rsid w:val="00F519CF"/>
    <w:rsid w:val="00F56BA5"/>
    <w:rsid w:val="00F60D45"/>
    <w:rsid w:val="00F60E22"/>
    <w:rsid w:val="00F61FCD"/>
    <w:rsid w:val="00F81395"/>
    <w:rsid w:val="00F81BB8"/>
    <w:rsid w:val="00F90C64"/>
    <w:rsid w:val="00F917D1"/>
    <w:rsid w:val="00F9508E"/>
    <w:rsid w:val="00F9653B"/>
    <w:rsid w:val="00FA7142"/>
    <w:rsid w:val="00FB62CF"/>
    <w:rsid w:val="00FD3C3B"/>
    <w:rsid w:val="00FE07DD"/>
    <w:rsid w:val="00FE356A"/>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7C27E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CC7B54"/>
    <w:rPr>
      <w:sz w:val="16"/>
      <w:szCs w:val="16"/>
    </w:rPr>
  </w:style>
  <w:style w:type="paragraph" w:styleId="CommentText">
    <w:name w:val="annotation text"/>
    <w:basedOn w:val="Normal"/>
    <w:link w:val="CommentTextChar"/>
    <w:uiPriority w:val="99"/>
    <w:unhideWhenUsed/>
    <w:rsid w:val="00CC7B54"/>
    <w:rPr>
      <w:sz w:val="20"/>
      <w:szCs w:val="20"/>
    </w:rPr>
  </w:style>
  <w:style w:type="character" w:customStyle="1" w:styleId="CommentTextChar">
    <w:name w:val="Comment Text Char"/>
    <w:basedOn w:val="DefaultParagraphFont"/>
    <w:link w:val="CommentText"/>
    <w:uiPriority w:val="99"/>
    <w:rsid w:val="00CC7B54"/>
    <w:rPr>
      <w:lang w:val="en-US" w:eastAsia="en-US"/>
    </w:rPr>
  </w:style>
  <w:style w:type="paragraph" w:styleId="CommentSubject">
    <w:name w:val="annotation subject"/>
    <w:basedOn w:val="CommentText"/>
    <w:next w:val="CommentText"/>
    <w:link w:val="CommentSubjectChar"/>
    <w:uiPriority w:val="99"/>
    <w:semiHidden/>
    <w:unhideWhenUsed/>
    <w:rsid w:val="00CC7B54"/>
    <w:rPr>
      <w:b/>
      <w:bCs/>
    </w:rPr>
  </w:style>
  <w:style w:type="character" w:customStyle="1" w:styleId="CommentSubjectChar">
    <w:name w:val="Comment Subject Char"/>
    <w:basedOn w:val="CommentTextChar"/>
    <w:link w:val="CommentSubject"/>
    <w:uiPriority w:val="99"/>
    <w:semiHidden/>
    <w:rsid w:val="00CC7B54"/>
    <w:rPr>
      <w:b/>
      <w:bCs/>
      <w:lang w:val="en-US" w:eastAsia="en-US"/>
    </w:rPr>
  </w:style>
  <w:style w:type="paragraph" w:styleId="Revision">
    <w:name w:val="Revision"/>
    <w:hidden/>
    <w:uiPriority w:val="99"/>
    <w:semiHidden/>
    <w:rsid w:val="008B097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0D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4104">
      <w:bodyDiv w:val="1"/>
      <w:marLeft w:val="0"/>
      <w:marRight w:val="0"/>
      <w:marTop w:val="0"/>
      <w:marBottom w:val="0"/>
      <w:divBdr>
        <w:top w:val="none" w:sz="0" w:space="0" w:color="auto"/>
        <w:left w:val="none" w:sz="0" w:space="0" w:color="auto"/>
        <w:bottom w:val="none" w:sz="0" w:space="0" w:color="auto"/>
        <w:right w:val="none" w:sz="0" w:space="0" w:color="auto"/>
      </w:divBdr>
      <w:divsChild>
        <w:div w:id="766265597">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581BAE33A48A487651BB7AE112F51"/>
        <w:category>
          <w:name w:val="General"/>
          <w:gallery w:val="placeholder"/>
        </w:category>
        <w:types>
          <w:type w:val="bbPlcHdr"/>
        </w:types>
        <w:behaviors>
          <w:behavior w:val="content"/>
        </w:behaviors>
        <w:guid w:val="{65602C17-40F9-424B-90DC-41307936ED47}"/>
      </w:docPartPr>
      <w:docPartBody>
        <w:p w:rsidR="00B854E2" w:rsidRDefault="008071A6" w:rsidP="008071A6">
          <w:pPr>
            <w:pStyle w:val="6C6581BAE33A48A487651BB7AE112F5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01CE6"/>
    <w:rsid w:val="0025245B"/>
    <w:rsid w:val="0025489C"/>
    <w:rsid w:val="002A3923"/>
    <w:rsid w:val="003364F6"/>
    <w:rsid w:val="00394049"/>
    <w:rsid w:val="004B5BBB"/>
    <w:rsid w:val="004F2DF8"/>
    <w:rsid w:val="005B76F9"/>
    <w:rsid w:val="006F24A1"/>
    <w:rsid w:val="008071A6"/>
    <w:rsid w:val="009A261B"/>
    <w:rsid w:val="00AA2E17"/>
    <w:rsid w:val="00AA7DDC"/>
    <w:rsid w:val="00AC15A4"/>
    <w:rsid w:val="00B0336C"/>
    <w:rsid w:val="00B10761"/>
    <w:rsid w:val="00B30277"/>
    <w:rsid w:val="00B854E2"/>
    <w:rsid w:val="00C203B1"/>
    <w:rsid w:val="00D241E9"/>
    <w:rsid w:val="00D7750D"/>
    <w:rsid w:val="00D96C7C"/>
    <w:rsid w:val="00DA5070"/>
    <w:rsid w:val="00DB6BF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1A6"/>
    <w:rPr>
      <w:color w:val="808080"/>
    </w:rPr>
  </w:style>
  <w:style w:type="paragraph" w:customStyle="1" w:styleId="6C6581BAE33A48A487651BB7AE112F51">
    <w:name w:val="6C6581BAE33A48A487651BB7AE112F51"/>
    <w:rsid w:val="008071A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2607</Words>
  <Characters>14861</Characters>
  <Application>Microsoft Office Word</Application>
  <DocSecurity>0</DocSecurity>
  <Lines>123</Lines>
  <Paragraphs>34</Paragraphs>
  <ScaleCrop>false</ScaleCrop>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2024-01-02T20:44:00Z</dcterms:created>
  <dcterms:modified xsi:type="dcterms:W3CDTF">2024-01-02T20:44:00Z</dcterms:modified>
</cp:coreProperties>
</file>