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FA7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427F17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51FEE">
                              <w:rPr>
                                <w:rFonts w:asciiTheme="majorHAnsi" w:hAnsiTheme="majorHAnsi" w:cs="Arial"/>
                                <w:b/>
                                <w:bCs/>
                                <w:color w:val="0D0D0D" w:themeColor="text1" w:themeTint="F2"/>
                                <w:sz w:val="36"/>
                                <w:szCs w:val="40"/>
                              </w:rPr>
                              <w:t>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B34344">
                              <w:rPr>
                                <w:rFonts w:asciiTheme="majorHAnsi" w:hAnsiTheme="majorHAnsi" w:cs="Arial"/>
                                <w:b/>
                                <w:bCs/>
                                <w:color w:val="0D0D0D" w:themeColor="text1" w:themeTint="F2"/>
                                <w:sz w:val="36"/>
                                <w:szCs w:val="40"/>
                              </w:rPr>
                              <w:t>3</w:t>
                            </w:r>
                          </w:p>
                          <w:p w14:paraId="081F51F3" w14:textId="093205E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92C1A" w:rsidRPr="00D92C1A">
                              <w:rPr>
                                <w:rFonts w:asciiTheme="majorHAnsi" w:hAnsiTheme="majorHAnsi" w:cs="Arial"/>
                                <w:b/>
                                <w:bCs/>
                                <w:color w:val="0D0D0D" w:themeColor="text1" w:themeTint="F2"/>
                                <w:sz w:val="36"/>
                                <w:szCs w:val="40"/>
                              </w:rPr>
                              <w:t>1093</w:t>
                            </w:r>
                            <w:r w:rsidR="00F621C3">
                              <w:rPr>
                                <w:rFonts w:asciiTheme="majorHAnsi" w:hAnsiTheme="majorHAnsi" w:cs="Arial"/>
                                <w:b/>
                                <w:bCs/>
                                <w:color w:val="0D0D0D" w:themeColor="text1" w:themeTint="F2"/>
                                <w:sz w:val="36"/>
                                <w:szCs w:val="40"/>
                              </w:rPr>
                              <w:t>-</w:t>
                            </w:r>
                            <w:r w:rsidR="00D92C1A">
                              <w:rPr>
                                <w:rFonts w:asciiTheme="majorHAnsi" w:hAnsiTheme="majorHAnsi" w:cs="Arial"/>
                                <w:b/>
                                <w:bCs/>
                                <w:color w:val="0D0D0D" w:themeColor="text1" w:themeTint="F2"/>
                                <w:sz w:val="36"/>
                                <w:szCs w:val="40"/>
                              </w:rPr>
                              <w:t>11</w:t>
                            </w:r>
                          </w:p>
                          <w:p w14:paraId="34978E5A" w14:textId="5F18D73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45EA3A38" w:rsidR="00F42B71" w:rsidRPr="004B625D" w:rsidRDefault="001E53B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BRIAN EUGENE LEPLEY</w:t>
                            </w:r>
                          </w:p>
                          <w:p w14:paraId="17A89EFB" w14:textId="23363703" w:rsidR="005B52B0" w:rsidRPr="000C4365" w:rsidRDefault="001E53BE"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2427F17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51FEE">
                        <w:rPr>
                          <w:rFonts w:asciiTheme="majorHAnsi" w:hAnsiTheme="majorHAnsi" w:cs="Arial"/>
                          <w:b/>
                          <w:bCs/>
                          <w:color w:val="0D0D0D" w:themeColor="text1" w:themeTint="F2"/>
                          <w:sz w:val="36"/>
                          <w:szCs w:val="40"/>
                        </w:rPr>
                        <w:t>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B34344">
                        <w:rPr>
                          <w:rFonts w:asciiTheme="majorHAnsi" w:hAnsiTheme="majorHAnsi" w:cs="Arial"/>
                          <w:b/>
                          <w:bCs/>
                          <w:color w:val="0D0D0D" w:themeColor="text1" w:themeTint="F2"/>
                          <w:sz w:val="36"/>
                          <w:szCs w:val="40"/>
                        </w:rPr>
                        <w:t>3</w:t>
                      </w:r>
                    </w:p>
                    <w:p w14:paraId="081F51F3" w14:textId="093205E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92C1A" w:rsidRPr="00D92C1A">
                        <w:rPr>
                          <w:rFonts w:asciiTheme="majorHAnsi" w:hAnsiTheme="majorHAnsi" w:cs="Arial"/>
                          <w:b/>
                          <w:bCs/>
                          <w:color w:val="0D0D0D" w:themeColor="text1" w:themeTint="F2"/>
                          <w:sz w:val="36"/>
                          <w:szCs w:val="40"/>
                        </w:rPr>
                        <w:t>1093</w:t>
                      </w:r>
                      <w:r w:rsidR="00F621C3">
                        <w:rPr>
                          <w:rFonts w:asciiTheme="majorHAnsi" w:hAnsiTheme="majorHAnsi" w:cs="Arial"/>
                          <w:b/>
                          <w:bCs/>
                          <w:color w:val="0D0D0D" w:themeColor="text1" w:themeTint="F2"/>
                          <w:sz w:val="36"/>
                          <w:szCs w:val="40"/>
                        </w:rPr>
                        <w:t>-</w:t>
                      </w:r>
                      <w:r w:rsidR="00D92C1A">
                        <w:rPr>
                          <w:rFonts w:asciiTheme="majorHAnsi" w:hAnsiTheme="majorHAnsi" w:cs="Arial"/>
                          <w:b/>
                          <w:bCs/>
                          <w:color w:val="0D0D0D" w:themeColor="text1" w:themeTint="F2"/>
                          <w:sz w:val="36"/>
                          <w:szCs w:val="40"/>
                        </w:rPr>
                        <w:t>11</w:t>
                      </w:r>
                    </w:p>
                    <w:p w14:paraId="34978E5A" w14:textId="5F18D73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45EA3A38" w:rsidR="00F42B71" w:rsidRPr="004B625D" w:rsidRDefault="001E53B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BRIAN EUGENE LEPLEY</w:t>
                      </w:r>
                    </w:p>
                    <w:p w14:paraId="17A89EFB" w14:textId="23363703" w:rsidR="005B52B0" w:rsidRPr="000C4365" w:rsidRDefault="001E53BE"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B675792" w:rsidR="00627C9F" w:rsidRPr="00A35D16" w:rsidRDefault="009E566A" w:rsidP="009E566A">
                            <w:pPr>
                              <w:jc w:val="right"/>
                              <w:rPr>
                                <w:rFonts w:asciiTheme="minorHAnsi" w:hAnsiTheme="minorHAnsi"/>
                                <w:color w:val="FFFFFF" w:themeColor="background1"/>
                                <w:sz w:val="22"/>
                              </w:rPr>
                            </w:pPr>
                            <w:r w:rsidRPr="00A35D16">
                              <w:rPr>
                                <w:rFonts w:asciiTheme="minorHAnsi" w:hAnsiTheme="minorHAnsi"/>
                                <w:color w:val="FFFFFF" w:themeColor="background1"/>
                                <w:sz w:val="22"/>
                              </w:rPr>
                              <w:t>OEA/Ser.L/V/II</w:t>
                            </w:r>
                          </w:p>
                          <w:p w14:paraId="4AA08A8C" w14:textId="6B5C725D" w:rsidR="00627C9F" w:rsidRPr="00A35D16" w:rsidRDefault="00CA6577" w:rsidP="009E566A">
                            <w:pPr>
                              <w:jc w:val="right"/>
                              <w:rPr>
                                <w:rFonts w:asciiTheme="minorHAnsi" w:hAnsiTheme="minorHAnsi"/>
                                <w:color w:val="FFFFFF" w:themeColor="background1"/>
                                <w:sz w:val="22"/>
                              </w:rPr>
                            </w:pPr>
                            <w:r w:rsidRPr="00A35D16">
                              <w:rPr>
                                <w:rFonts w:asciiTheme="minorHAnsi" w:hAnsiTheme="minorHAnsi"/>
                                <w:color w:val="FFFFFF" w:themeColor="background1"/>
                                <w:sz w:val="22"/>
                              </w:rPr>
                              <w:t xml:space="preserve">Doc. </w:t>
                            </w:r>
                            <w:r w:rsidR="00251FEE" w:rsidRPr="00A35D16">
                              <w:rPr>
                                <w:rFonts w:asciiTheme="minorHAnsi" w:hAnsiTheme="minorHAnsi"/>
                                <w:color w:val="FFFFFF" w:themeColor="background1"/>
                                <w:sz w:val="22"/>
                              </w:rPr>
                              <w:t>5</w:t>
                            </w:r>
                          </w:p>
                          <w:p w14:paraId="0BEFF61A" w14:textId="2A35257F" w:rsidR="00627C9F" w:rsidRPr="00E365BB" w:rsidRDefault="00022CF5" w:rsidP="009E566A">
                            <w:pPr>
                              <w:jc w:val="right"/>
                              <w:rPr>
                                <w:rFonts w:asciiTheme="minorHAnsi" w:hAnsiTheme="minorHAnsi"/>
                                <w:color w:val="FFFFFF" w:themeColor="background1"/>
                                <w:sz w:val="22"/>
                              </w:rPr>
                            </w:pPr>
                            <w:r w:rsidRPr="00A35D16">
                              <w:rPr>
                                <w:rFonts w:asciiTheme="minorHAnsi" w:hAnsiTheme="minorHAnsi"/>
                                <w:color w:val="FFFFFF" w:themeColor="background1"/>
                                <w:sz w:val="22"/>
                              </w:rPr>
                              <w:t xml:space="preserve"> </w:t>
                            </w:r>
                            <w:r w:rsidR="00251FEE">
                              <w:rPr>
                                <w:rFonts w:asciiTheme="minorHAnsi" w:hAnsiTheme="minorHAnsi"/>
                                <w:color w:val="FFFFFF" w:themeColor="background1"/>
                                <w:sz w:val="22"/>
                              </w:rPr>
                              <w:t>20 January</w:t>
                            </w:r>
                            <w:r w:rsidR="000C4365" w:rsidRPr="00E365BB">
                              <w:rPr>
                                <w:rFonts w:asciiTheme="minorHAnsi" w:hAnsiTheme="minorHAnsi"/>
                                <w:color w:val="FFFFFF" w:themeColor="background1"/>
                                <w:sz w:val="22"/>
                              </w:rPr>
                              <w:t xml:space="preserve"> </w:t>
                            </w:r>
                            <w:r w:rsidR="00F42B71" w:rsidRPr="00E365BB">
                              <w:rPr>
                                <w:rFonts w:asciiTheme="minorHAnsi" w:hAnsiTheme="minorHAnsi"/>
                                <w:color w:val="FFFFFF" w:themeColor="background1"/>
                                <w:sz w:val="22"/>
                              </w:rPr>
                              <w:t>20</w:t>
                            </w:r>
                            <w:r w:rsidR="00251FEE">
                              <w:rPr>
                                <w:rFonts w:asciiTheme="minorHAnsi" w:hAnsiTheme="minorHAnsi"/>
                                <w:color w:val="FFFFFF" w:themeColor="background1"/>
                                <w:sz w:val="22"/>
                              </w:rPr>
                              <w:t>23</w:t>
                            </w:r>
                          </w:p>
                          <w:p w14:paraId="0FC103BD" w14:textId="585D9CC4" w:rsidR="00627C9F" w:rsidRPr="00E365BB" w:rsidRDefault="00627C9F" w:rsidP="009E566A">
                            <w:pPr>
                              <w:jc w:val="right"/>
                              <w:rPr>
                                <w:rFonts w:asciiTheme="minorHAnsi" w:hAnsiTheme="minorHAnsi"/>
                                <w:color w:val="FFFFFF" w:themeColor="background1"/>
                                <w:sz w:val="22"/>
                              </w:rPr>
                            </w:pPr>
                            <w:r w:rsidRPr="00E365BB">
                              <w:rPr>
                                <w:rFonts w:asciiTheme="minorHAnsi" w:hAnsiTheme="minorHAnsi"/>
                                <w:color w:val="FFFFFF" w:themeColor="background1"/>
                                <w:sz w:val="22"/>
                              </w:rPr>
                              <w:t>Original:</w:t>
                            </w:r>
                            <w:r w:rsidR="002C1641" w:rsidRPr="00E365BB">
                              <w:rPr>
                                <w:rFonts w:asciiTheme="minorHAnsi" w:hAnsiTheme="minorHAnsi"/>
                                <w:color w:val="FFFFFF" w:themeColor="background1"/>
                                <w:sz w:val="22"/>
                              </w:rPr>
                              <w:t xml:space="preserve"> </w:t>
                            </w:r>
                            <w:r w:rsidR="000C4365" w:rsidRPr="00E365BB">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2B675792" w:rsidR="00627C9F" w:rsidRPr="00A35D16" w:rsidRDefault="009E566A" w:rsidP="009E566A">
                      <w:pPr>
                        <w:jc w:val="right"/>
                        <w:rPr>
                          <w:rFonts w:asciiTheme="minorHAnsi" w:hAnsiTheme="minorHAnsi"/>
                          <w:color w:val="FFFFFF" w:themeColor="background1"/>
                          <w:sz w:val="22"/>
                        </w:rPr>
                      </w:pPr>
                      <w:r w:rsidRPr="00A35D16">
                        <w:rPr>
                          <w:rFonts w:asciiTheme="minorHAnsi" w:hAnsiTheme="minorHAnsi"/>
                          <w:color w:val="FFFFFF" w:themeColor="background1"/>
                          <w:sz w:val="22"/>
                        </w:rPr>
                        <w:t>OEA/Ser.L/V/II</w:t>
                      </w:r>
                    </w:p>
                    <w:p w14:paraId="4AA08A8C" w14:textId="6B5C725D" w:rsidR="00627C9F" w:rsidRPr="00A35D16" w:rsidRDefault="00CA6577" w:rsidP="009E566A">
                      <w:pPr>
                        <w:jc w:val="right"/>
                        <w:rPr>
                          <w:rFonts w:asciiTheme="minorHAnsi" w:hAnsiTheme="minorHAnsi"/>
                          <w:color w:val="FFFFFF" w:themeColor="background1"/>
                          <w:sz w:val="22"/>
                        </w:rPr>
                      </w:pPr>
                      <w:r w:rsidRPr="00A35D16">
                        <w:rPr>
                          <w:rFonts w:asciiTheme="minorHAnsi" w:hAnsiTheme="minorHAnsi"/>
                          <w:color w:val="FFFFFF" w:themeColor="background1"/>
                          <w:sz w:val="22"/>
                        </w:rPr>
                        <w:t xml:space="preserve">Doc. </w:t>
                      </w:r>
                      <w:r w:rsidR="00251FEE" w:rsidRPr="00A35D16">
                        <w:rPr>
                          <w:rFonts w:asciiTheme="minorHAnsi" w:hAnsiTheme="minorHAnsi"/>
                          <w:color w:val="FFFFFF" w:themeColor="background1"/>
                          <w:sz w:val="22"/>
                        </w:rPr>
                        <w:t>5</w:t>
                      </w:r>
                    </w:p>
                    <w:p w14:paraId="0BEFF61A" w14:textId="2A35257F" w:rsidR="00627C9F" w:rsidRPr="00E365BB" w:rsidRDefault="00022CF5" w:rsidP="009E566A">
                      <w:pPr>
                        <w:jc w:val="right"/>
                        <w:rPr>
                          <w:rFonts w:asciiTheme="minorHAnsi" w:hAnsiTheme="minorHAnsi"/>
                          <w:color w:val="FFFFFF" w:themeColor="background1"/>
                          <w:sz w:val="22"/>
                        </w:rPr>
                      </w:pPr>
                      <w:r w:rsidRPr="00A35D16">
                        <w:rPr>
                          <w:rFonts w:asciiTheme="minorHAnsi" w:hAnsiTheme="minorHAnsi"/>
                          <w:color w:val="FFFFFF" w:themeColor="background1"/>
                          <w:sz w:val="22"/>
                        </w:rPr>
                        <w:t xml:space="preserve"> </w:t>
                      </w:r>
                      <w:r w:rsidR="00251FEE">
                        <w:rPr>
                          <w:rFonts w:asciiTheme="minorHAnsi" w:hAnsiTheme="minorHAnsi"/>
                          <w:color w:val="FFFFFF" w:themeColor="background1"/>
                          <w:sz w:val="22"/>
                        </w:rPr>
                        <w:t>20 January</w:t>
                      </w:r>
                      <w:r w:rsidR="000C4365" w:rsidRPr="00E365BB">
                        <w:rPr>
                          <w:rFonts w:asciiTheme="minorHAnsi" w:hAnsiTheme="minorHAnsi"/>
                          <w:color w:val="FFFFFF" w:themeColor="background1"/>
                          <w:sz w:val="22"/>
                        </w:rPr>
                        <w:t xml:space="preserve"> </w:t>
                      </w:r>
                      <w:r w:rsidR="00F42B71" w:rsidRPr="00E365BB">
                        <w:rPr>
                          <w:rFonts w:asciiTheme="minorHAnsi" w:hAnsiTheme="minorHAnsi"/>
                          <w:color w:val="FFFFFF" w:themeColor="background1"/>
                          <w:sz w:val="22"/>
                        </w:rPr>
                        <w:t>20</w:t>
                      </w:r>
                      <w:r w:rsidR="00251FEE">
                        <w:rPr>
                          <w:rFonts w:asciiTheme="minorHAnsi" w:hAnsiTheme="minorHAnsi"/>
                          <w:color w:val="FFFFFF" w:themeColor="background1"/>
                          <w:sz w:val="22"/>
                        </w:rPr>
                        <w:t>23</w:t>
                      </w:r>
                    </w:p>
                    <w:p w14:paraId="0FC103BD" w14:textId="585D9CC4" w:rsidR="00627C9F" w:rsidRPr="00E365BB" w:rsidRDefault="00627C9F" w:rsidP="009E566A">
                      <w:pPr>
                        <w:jc w:val="right"/>
                        <w:rPr>
                          <w:rFonts w:asciiTheme="minorHAnsi" w:hAnsiTheme="minorHAnsi"/>
                          <w:color w:val="FFFFFF" w:themeColor="background1"/>
                          <w:sz w:val="22"/>
                        </w:rPr>
                      </w:pPr>
                      <w:r w:rsidRPr="00E365BB">
                        <w:rPr>
                          <w:rFonts w:asciiTheme="minorHAnsi" w:hAnsiTheme="minorHAnsi"/>
                          <w:color w:val="FFFFFF" w:themeColor="background1"/>
                          <w:sz w:val="22"/>
                        </w:rPr>
                        <w:t>Original:</w:t>
                      </w:r>
                      <w:r w:rsidR="002C1641" w:rsidRPr="00E365BB">
                        <w:rPr>
                          <w:rFonts w:asciiTheme="minorHAnsi" w:hAnsiTheme="minorHAnsi"/>
                          <w:color w:val="FFFFFF" w:themeColor="background1"/>
                          <w:sz w:val="22"/>
                        </w:rPr>
                        <w:t xml:space="preserve"> </w:t>
                      </w:r>
                      <w:r w:rsidR="000C4365" w:rsidRPr="00E365BB">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2BA95E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8F6E08">
                              <w:rPr>
                                <w:rFonts w:asciiTheme="majorHAnsi" w:hAnsiTheme="majorHAnsi"/>
                                <w:color w:val="0D0D0D" w:themeColor="text1" w:themeTint="F2"/>
                                <w:sz w:val="18"/>
                                <w:szCs w:val="20"/>
                              </w:rPr>
                              <w:t xml:space="preserve"> </w:t>
                            </w:r>
                            <w:r w:rsidR="008F6E08"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251FEE">
                              <w:rPr>
                                <w:rFonts w:asciiTheme="majorHAnsi" w:hAnsiTheme="majorHAnsi"/>
                                <w:color w:val="0D0D0D" w:themeColor="text1" w:themeTint="F2"/>
                                <w:sz w:val="18"/>
                                <w:szCs w:val="20"/>
                              </w:rPr>
                              <w:t>January 20,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62BA95E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8F6E08">
                        <w:rPr>
                          <w:rFonts w:asciiTheme="majorHAnsi" w:hAnsiTheme="majorHAnsi"/>
                          <w:color w:val="0D0D0D" w:themeColor="text1" w:themeTint="F2"/>
                          <w:sz w:val="18"/>
                          <w:szCs w:val="20"/>
                        </w:rPr>
                        <w:t xml:space="preserve"> </w:t>
                      </w:r>
                      <w:r w:rsidR="008F6E08"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251FEE">
                        <w:rPr>
                          <w:rFonts w:asciiTheme="majorHAnsi" w:hAnsiTheme="majorHAnsi"/>
                          <w:color w:val="0D0D0D" w:themeColor="text1" w:themeTint="F2"/>
                          <w:sz w:val="18"/>
                          <w:szCs w:val="20"/>
                        </w:rPr>
                        <w:t>January 20,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C1B3E4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51FEE" w:rsidRPr="00251FEE">
                              <w:rPr>
                                <w:rFonts w:asciiTheme="majorHAnsi" w:hAnsiTheme="majorHAnsi"/>
                                <w:color w:val="595959" w:themeColor="text1" w:themeTint="A6"/>
                                <w:sz w:val="18"/>
                              </w:rPr>
                              <w:t>5</w:t>
                            </w:r>
                            <w:r w:rsidR="00022CF5" w:rsidRPr="00251FEE">
                              <w:rPr>
                                <w:rFonts w:asciiTheme="majorHAnsi" w:hAnsiTheme="majorHAnsi"/>
                                <w:color w:val="595959" w:themeColor="text1" w:themeTint="A6"/>
                                <w:sz w:val="18"/>
                              </w:rPr>
                              <w:t>/</w:t>
                            </w:r>
                            <w:r w:rsidR="00251FEE" w:rsidRPr="00251FEE">
                              <w:rPr>
                                <w:rFonts w:asciiTheme="majorHAnsi" w:hAnsiTheme="majorHAnsi"/>
                                <w:color w:val="595959" w:themeColor="text1" w:themeTint="A6"/>
                                <w:sz w:val="18"/>
                              </w:rPr>
                              <w:t>23</w:t>
                            </w:r>
                            <w:r w:rsidRPr="00251FEE">
                              <w:rPr>
                                <w:rFonts w:asciiTheme="majorHAnsi" w:hAnsiTheme="majorHAnsi"/>
                                <w:color w:val="595959" w:themeColor="text1" w:themeTint="A6"/>
                                <w:sz w:val="18"/>
                              </w:rPr>
                              <w:t xml:space="preserve">, </w:t>
                            </w:r>
                            <w:r w:rsidR="00F42B71" w:rsidRPr="00251FEE">
                              <w:rPr>
                                <w:rFonts w:asciiTheme="majorHAnsi" w:hAnsiTheme="majorHAnsi"/>
                                <w:color w:val="595959" w:themeColor="text1" w:themeTint="A6"/>
                                <w:sz w:val="18"/>
                              </w:rPr>
                              <w:t xml:space="preserve">Petition </w:t>
                            </w:r>
                            <w:r w:rsidR="00251FEE" w:rsidRPr="00251FEE">
                              <w:rPr>
                                <w:rFonts w:asciiTheme="majorHAnsi" w:hAnsiTheme="majorHAnsi"/>
                                <w:color w:val="595959" w:themeColor="text1" w:themeTint="A6"/>
                                <w:sz w:val="18"/>
                              </w:rPr>
                              <w:t>1093</w:t>
                            </w:r>
                            <w:r w:rsidR="00F621C3" w:rsidRPr="00251FEE">
                              <w:rPr>
                                <w:rFonts w:asciiTheme="majorHAnsi" w:hAnsiTheme="majorHAnsi"/>
                                <w:color w:val="595959" w:themeColor="text1" w:themeTint="A6"/>
                                <w:sz w:val="18"/>
                              </w:rPr>
                              <w:t>-</w:t>
                            </w:r>
                            <w:r w:rsidR="00251FEE" w:rsidRPr="00251FEE">
                              <w:rPr>
                                <w:rFonts w:asciiTheme="majorHAnsi" w:hAnsiTheme="majorHAnsi"/>
                                <w:color w:val="595959" w:themeColor="text1" w:themeTint="A6"/>
                                <w:sz w:val="18"/>
                              </w:rPr>
                              <w:t>11</w:t>
                            </w:r>
                            <w:r w:rsidRPr="00251FEE">
                              <w:rPr>
                                <w:rFonts w:asciiTheme="majorHAnsi" w:hAnsiTheme="majorHAnsi"/>
                                <w:color w:val="595959" w:themeColor="text1" w:themeTint="A6"/>
                                <w:sz w:val="18"/>
                              </w:rPr>
                              <w:t>.</w:t>
                            </w:r>
                            <w:r w:rsidR="009E566A" w:rsidRPr="00251FEE">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251FEE">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251FEE">
                              <w:rPr>
                                <w:rFonts w:asciiTheme="majorHAnsi" w:hAnsiTheme="majorHAnsi"/>
                                <w:color w:val="595959" w:themeColor="text1" w:themeTint="A6"/>
                                <w:sz w:val="18"/>
                              </w:rPr>
                              <w:t>Brian Eugene Lepley</w:t>
                            </w:r>
                            <w:r w:rsidRPr="003C32BC">
                              <w:rPr>
                                <w:rFonts w:asciiTheme="majorHAnsi" w:hAnsiTheme="majorHAnsi"/>
                                <w:color w:val="595959" w:themeColor="text1" w:themeTint="A6"/>
                                <w:sz w:val="18"/>
                              </w:rPr>
                              <w:t xml:space="preserve">. </w:t>
                            </w:r>
                            <w:r w:rsidR="00251FEE">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251FEE">
                              <w:rPr>
                                <w:rFonts w:asciiTheme="majorHAnsi" w:hAnsiTheme="majorHAnsi"/>
                                <w:color w:val="595959" w:themeColor="text1" w:themeTint="A6"/>
                                <w:sz w:val="18"/>
                              </w:rPr>
                              <w:t xml:space="preserve">January 20, </w:t>
                            </w:r>
                            <w:r w:rsidR="00801651">
                              <w:rPr>
                                <w:rFonts w:asciiTheme="majorHAnsi" w:hAnsiTheme="majorHAnsi"/>
                                <w:color w:val="595959" w:themeColor="text1" w:themeTint="A6"/>
                                <w:sz w:val="1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4C1B3E4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51FEE" w:rsidRPr="00251FEE">
                        <w:rPr>
                          <w:rFonts w:asciiTheme="majorHAnsi" w:hAnsiTheme="majorHAnsi"/>
                          <w:color w:val="595959" w:themeColor="text1" w:themeTint="A6"/>
                          <w:sz w:val="18"/>
                        </w:rPr>
                        <w:t>5</w:t>
                      </w:r>
                      <w:r w:rsidR="00022CF5" w:rsidRPr="00251FEE">
                        <w:rPr>
                          <w:rFonts w:asciiTheme="majorHAnsi" w:hAnsiTheme="majorHAnsi"/>
                          <w:color w:val="595959" w:themeColor="text1" w:themeTint="A6"/>
                          <w:sz w:val="18"/>
                        </w:rPr>
                        <w:t>/</w:t>
                      </w:r>
                      <w:r w:rsidR="00251FEE" w:rsidRPr="00251FEE">
                        <w:rPr>
                          <w:rFonts w:asciiTheme="majorHAnsi" w:hAnsiTheme="majorHAnsi"/>
                          <w:color w:val="595959" w:themeColor="text1" w:themeTint="A6"/>
                          <w:sz w:val="18"/>
                        </w:rPr>
                        <w:t>23</w:t>
                      </w:r>
                      <w:r w:rsidRPr="00251FEE">
                        <w:rPr>
                          <w:rFonts w:asciiTheme="majorHAnsi" w:hAnsiTheme="majorHAnsi"/>
                          <w:color w:val="595959" w:themeColor="text1" w:themeTint="A6"/>
                          <w:sz w:val="18"/>
                        </w:rPr>
                        <w:t xml:space="preserve">, </w:t>
                      </w:r>
                      <w:r w:rsidR="00F42B71" w:rsidRPr="00251FEE">
                        <w:rPr>
                          <w:rFonts w:asciiTheme="majorHAnsi" w:hAnsiTheme="majorHAnsi"/>
                          <w:color w:val="595959" w:themeColor="text1" w:themeTint="A6"/>
                          <w:sz w:val="18"/>
                        </w:rPr>
                        <w:t xml:space="preserve">Petition </w:t>
                      </w:r>
                      <w:r w:rsidR="00251FEE" w:rsidRPr="00251FEE">
                        <w:rPr>
                          <w:rFonts w:asciiTheme="majorHAnsi" w:hAnsiTheme="majorHAnsi"/>
                          <w:color w:val="595959" w:themeColor="text1" w:themeTint="A6"/>
                          <w:sz w:val="18"/>
                        </w:rPr>
                        <w:t>1093</w:t>
                      </w:r>
                      <w:r w:rsidR="00F621C3" w:rsidRPr="00251FEE">
                        <w:rPr>
                          <w:rFonts w:asciiTheme="majorHAnsi" w:hAnsiTheme="majorHAnsi"/>
                          <w:color w:val="595959" w:themeColor="text1" w:themeTint="A6"/>
                          <w:sz w:val="18"/>
                        </w:rPr>
                        <w:t>-</w:t>
                      </w:r>
                      <w:r w:rsidR="00251FEE" w:rsidRPr="00251FEE">
                        <w:rPr>
                          <w:rFonts w:asciiTheme="majorHAnsi" w:hAnsiTheme="majorHAnsi"/>
                          <w:color w:val="595959" w:themeColor="text1" w:themeTint="A6"/>
                          <w:sz w:val="18"/>
                        </w:rPr>
                        <w:t>11</w:t>
                      </w:r>
                      <w:r w:rsidRPr="00251FEE">
                        <w:rPr>
                          <w:rFonts w:asciiTheme="majorHAnsi" w:hAnsiTheme="majorHAnsi"/>
                          <w:color w:val="595959" w:themeColor="text1" w:themeTint="A6"/>
                          <w:sz w:val="18"/>
                        </w:rPr>
                        <w:t>.</w:t>
                      </w:r>
                      <w:r w:rsidR="009E566A" w:rsidRPr="00251FEE">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251FEE">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251FEE">
                        <w:rPr>
                          <w:rFonts w:asciiTheme="majorHAnsi" w:hAnsiTheme="majorHAnsi"/>
                          <w:color w:val="595959" w:themeColor="text1" w:themeTint="A6"/>
                          <w:sz w:val="18"/>
                        </w:rPr>
                        <w:t>Brian Eugene Lepley</w:t>
                      </w:r>
                      <w:r w:rsidRPr="003C32BC">
                        <w:rPr>
                          <w:rFonts w:asciiTheme="majorHAnsi" w:hAnsiTheme="majorHAnsi"/>
                          <w:color w:val="595959" w:themeColor="text1" w:themeTint="A6"/>
                          <w:sz w:val="18"/>
                        </w:rPr>
                        <w:t xml:space="preserve">. </w:t>
                      </w:r>
                      <w:r w:rsidR="00251FEE">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251FEE">
                        <w:rPr>
                          <w:rFonts w:asciiTheme="majorHAnsi" w:hAnsiTheme="majorHAnsi"/>
                          <w:color w:val="595959" w:themeColor="text1" w:themeTint="A6"/>
                          <w:sz w:val="18"/>
                        </w:rPr>
                        <w:t xml:space="preserve">January 20, </w:t>
                      </w:r>
                      <w:r w:rsidR="00801651">
                        <w:rPr>
                          <w:rFonts w:asciiTheme="majorHAnsi" w:hAnsiTheme="majorHAnsi"/>
                          <w:color w:val="595959" w:themeColor="text1" w:themeTint="A6"/>
                          <w:sz w:val="18"/>
                        </w:rPr>
                        <w:t>2023.</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6D84DE3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91C2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6D84DE3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91C2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C55BF57" w:rsidR="00F621C3" w:rsidRPr="000B6B7A" w:rsidRDefault="001E53BE" w:rsidP="009163FC">
            <w:pPr>
              <w:jc w:val="both"/>
              <w:rPr>
                <w:rFonts w:ascii="Cambria" w:hAnsi="Cambria"/>
                <w:bCs/>
                <w:sz w:val="20"/>
                <w:szCs w:val="20"/>
              </w:rPr>
            </w:pPr>
            <w:r w:rsidRPr="001E53BE">
              <w:rPr>
                <w:rFonts w:ascii="Cambria" w:hAnsi="Cambria"/>
                <w:bCs/>
                <w:sz w:val="20"/>
                <w:szCs w:val="20"/>
              </w:rPr>
              <w:t>Brian Eugene Lepley</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21C5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2F46B9D" w:rsidR="00F621C3" w:rsidRPr="000B6B7A" w:rsidRDefault="001E53BE" w:rsidP="009163FC">
            <w:pPr>
              <w:jc w:val="both"/>
              <w:rPr>
                <w:rFonts w:ascii="Cambria" w:hAnsi="Cambria"/>
                <w:bCs/>
                <w:sz w:val="20"/>
                <w:szCs w:val="20"/>
              </w:rPr>
            </w:pPr>
            <w:r w:rsidRPr="001E53BE">
              <w:rPr>
                <w:rFonts w:ascii="Cambria" w:hAnsi="Cambria"/>
                <w:bCs/>
                <w:sz w:val="20"/>
                <w:szCs w:val="20"/>
              </w:rPr>
              <w:t>Brian Eugene Lepley</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AEFD9C9" w:rsidR="00F621C3" w:rsidRPr="000B6B7A" w:rsidRDefault="0036555F" w:rsidP="009163FC">
            <w:pPr>
              <w:jc w:val="both"/>
              <w:rPr>
                <w:rFonts w:ascii="Cambria" w:hAnsi="Cambria"/>
                <w:bCs/>
                <w:sz w:val="20"/>
                <w:szCs w:val="20"/>
              </w:rPr>
            </w:pPr>
            <w:r w:rsidRPr="0036555F">
              <w:rPr>
                <w:rFonts w:ascii="Cambria" w:hAnsi="Cambria"/>
                <w:bCs/>
                <w:sz w:val="20"/>
                <w:szCs w:val="20"/>
              </w:rPr>
              <w:t>United States of America</w:t>
            </w:r>
            <w:r w:rsidR="005A793A">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4F71C958" w14:textId="112CBEA3" w:rsidR="000B15F3" w:rsidRPr="000B15F3" w:rsidRDefault="000B15F3" w:rsidP="000B15F3">
            <w:pPr>
              <w:jc w:val="both"/>
              <w:rPr>
                <w:rFonts w:ascii="Cambria" w:hAnsi="Cambria"/>
                <w:bCs/>
                <w:sz w:val="20"/>
                <w:szCs w:val="20"/>
              </w:rPr>
            </w:pPr>
            <w:r w:rsidRPr="000B15F3">
              <w:rPr>
                <w:rFonts w:ascii="Cambria" w:hAnsi="Cambria"/>
                <w:bCs/>
                <w:sz w:val="20"/>
                <w:szCs w:val="20"/>
              </w:rPr>
              <w:t xml:space="preserve">Articles I, </w:t>
            </w:r>
            <w:r>
              <w:rPr>
                <w:rFonts w:ascii="Cambria" w:hAnsi="Cambria"/>
                <w:bCs/>
                <w:sz w:val="20"/>
                <w:szCs w:val="20"/>
              </w:rPr>
              <w:t>(</w:t>
            </w:r>
            <w:r w:rsidRPr="000B15F3">
              <w:rPr>
                <w:rFonts w:ascii="Cambria" w:hAnsi="Cambria"/>
                <w:bCs/>
                <w:sz w:val="20"/>
                <w:szCs w:val="20"/>
              </w:rPr>
              <w:t>Right to life, liberty and personal security</w:t>
            </w:r>
            <w:r>
              <w:rPr>
                <w:rFonts w:ascii="Cambria" w:hAnsi="Cambria"/>
                <w:bCs/>
                <w:sz w:val="20"/>
                <w:szCs w:val="20"/>
              </w:rPr>
              <w:t>)</w:t>
            </w:r>
            <w:r w:rsidRPr="000B15F3">
              <w:rPr>
                <w:rFonts w:ascii="Cambria" w:hAnsi="Cambria"/>
                <w:bCs/>
                <w:sz w:val="20"/>
                <w:szCs w:val="20"/>
              </w:rPr>
              <w:t xml:space="preserve">, II, </w:t>
            </w:r>
            <w:r>
              <w:rPr>
                <w:rFonts w:ascii="Cambria" w:hAnsi="Cambria"/>
                <w:bCs/>
                <w:sz w:val="20"/>
                <w:szCs w:val="20"/>
              </w:rPr>
              <w:t>(</w:t>
            </w:r>
            <w:r w:rsidRPr="000B15F3">
              <w:rPr>
                <w:rFonts w:ascii="Cambria" w:hAnsi="Cambria"/>
                <w:bCs/>
                <w:sz w:val="20"/>
                <w:szCs w:val="20"/>
              </w:rPr>
              <w:t>Right to equality before law</w:t>
            </w:r>
            <w:r>
              <w:rPr>
                <w:rFonts w:ascii="Cambria" w:hAnsi="Cambria"/>
                <w:bCs/>
                <w:sz w:val="20"/>
                <w:szCs w:val="20"/>
              </w:rPr>
              <w:t>)</w:t>
            </w:r>
            <w:r w:rsidRPr="000B15F3">
              <w:rPr>
                <w:rFonts w:ascii="Cambria" w:hAnsi="Cambria"/>
                <w:bCs/>
                <w:sz w:val="20"/>
                <w:szCs w:val="20"/>
              </w:rPr>
              <w:t xml:space="preserve">, XI </w:t>
            </w:r>
            <w:r>
              <w:rPr>
                <w:rFonts w:ascii="Cambria" w:hAnsi="Cambria"/>
                <w:bCs/>
                <w:sz w:val="20"/>
                <w:szCs w:val="20"/>
              </w:rPr>
              <w:t>(</w:t>
            </w:r>
            <w:r w:rsidRPr="000B15F3">
              <w:rPr>
                <w:rFonts w:ascii="Cambria" w:hAnsi="Cambria"/>
                <w:bCs/>
                <w:sz w:val="20"/>
                <w:szCs w:val="20"/>
              </w:rPr>
              <w:t>Right to the preservation of health and to well-being</w:t>
            </w:r>
            <w:r>
              <w:rPr>
                <w:rFonts w:ascii="Cambria" w:hAnsi="Cambria"/>
                <w:bCs/>
                <w:sz w:val="20"/>
                <w:szCs w:val="20"/>
              </w:rPr>
              <w:t>)</w:t>
            </w:r>
            <w:r w:rsidRPr="000B15F3">
              <w:rPr>
                <w:rFonts w:ascii="Cambria" w:hAnsi="Cambria"/>
                <w:bCs/>
                <w:sz w:val="20"/>
                <w:szCs w:val="20"/>
              </w:rPr>
              <w:t xml:space="preserve">, XVII </w:t>
            </w:r>
            <w:r>
              <w:rPr>
                <w:rFonts w:ascii="Cambria" w:hAnsi="Cambria"/>
                <w:bCs/>
                <w:sz w:val="20"/>
                <w:szCs w:val="20"/>
              </w:rPr>
              <w:t>(</w:t>
            </w:r>
            <w:r w:rsidRPr="000B15F3">
              <w:rPr>
                <w:rFonts w:ascii="Cambria" w:hAnsi="Cambria"/>
                <w:bCs/>
                <w:sz w:val="20"/>
                <w:szCs w:val="20"/>
              </w:rPr>
              <w:t>Right to recognition of juridical personality and civil rights</w:t>
            </w:r>
            <w:r>
              <w:rPr>
                <w:rFonts w:ascii="Cambria" w:hAnsi="Cambria"/>
                <w:bCs/>
                <w:sz w:val="20"/>
                <w:szCs w:val="20"/>
              </w:rPr>
              <w:t>)</w:t>
            </w:r>
            <w:r w:rsidRPr="000B15F3">
              <w:rPr>
                <w:rFonts w:ascii="Cambria" w:hAnsi="Cambria"/>
                <w:bCs/>
                <w:sz w:val="20"/>
                <w:szCs w:val="20"/>
              </w:rPr>
              <w:t xml:space="preserve">, XXIV, </w:t>
            </w:r>
            <w:r w:rsidR="00C16465">
              <w:rPr>
                <w:rFonts w:ascii="Cambria" w:hAnsi="Cambria"/>
                <w:bCs/>
                <w:sz w:val="20"/>
                <w:szCs w:val="20"/>
              </w:rPr>
              <w:t>(</w:t>
            </w:r>
            <w:r w:rsidRPr="000B15F3">
              <w:rPr>
                <w:rFonts w:ascii="Cambria" w:hAnsi="Cambria"/>
                <w:bCs/>
                <w:sz w:val="20"/>
                <w:szCs w:val="20"/>
              </w:rPr>
              <w:t>Right of petition</w:t>
            </w:r>
            <w:r w:rsidR="00C16465">
              <w:rPr>
                <w:rFonts w:ascii="Cambria" w:hAnsi="Cambria"/>
                <w:bCs/>
                <w:sz w:val="20"/>
                <w:szCs w:val="20"/>
              </w:rPr>
              <w:t>)</w:t>
            </w:r>
            <w:r w:rsidRPr="000B15F3">
              <w:rPr>
                <w:rFonts w:ascii="Cambria" w:hAnsi="Cambria"/>
                <w:bCs/>
                <w:sz w:val="20"/>
                <w:szCs w:val="20"/>
              </w:rPr>
              <w:t xml:space="preserve">, </w:t>
            </w:r>
            <w:r w:rsidR="007B5C1B" w:rsidRPr="000B15F3">
              <w:rPr>
                <w:rFonts w:ascii="Cambria" w:hAnsi="Cambria"/>
                <w:bCs/>
                <w:sz w:val="20"/>
                <w:szCs w:val="20"/>
              </w:rPr>
              <w:t>XXV,</w:t>
            </w:r>
            <w:r w:rsidRPr="000B15F3">
              <w:rPr>
                <w:rFonts w:ascii="Cambria" w:hAnsi="Cambria"/>
                <w:bCs/>
                <w:sz w:val="20"/>
                <w:szCs w:val="20"/>
              </w:rPr>
              <w:t xml:space="preserve"> </w:t>
            </w:r>
            <w:r w:rsidR="007B5C1B">
              <w:rPr>
                <w:rFonts w:ascii="Cambria" w:hAnsi="Cambria"/>
                <w:bCs/>
                <w:sz w:val="20"/>
                <w:szCs w:val="20"/>
              </w:rPr>
              <w:t>(</w:t>
            </w:r>
            <w:r w:rsidRPr="000B15F3">
              <w:rPr>
                <w:rFonts w:ascii="Cambria" w:hAnsi="Cambria"/>
                <w:bCs/>
                <w:sz w:val="20"/>
                <w:szCs w:val="20"/>
              </w:rPr>
              <w:t>Right of protection from arbitrary arrest</w:t>
            </w:r>
            <w:r w:rsidR="00C16465">
              <w:rPr>
                <w:rFonts w:ascii="Cambria" w:hAnsi="Cambria"/>
                <w:bCs/>
                <w:sz w:val="20"/>
                <w:szCs w:val="20"/>
              </w:rPr>
              <w:t>)</w:t>
            </w:r>
            <w:r w:rsidRPr="000B15F3">
              <w:rPr>
                <w:rFonts w:ascii="Cambria" w:hAnsi="Cambria"/>
                <w:bCs/>
                <w:sz w:val="20"/>
                <w:szCs w:val="20"/>
              </w:rPr>
              <w:t xml:space="preserve">, XXVI </w:t>
            </w:r>
            <w:r w:rsidR="00C16465">
              <w:rPr>
                <w:rFonts w:ascii="Cambria" w:hAnsi="Cambria"/>
                <w:bCs/>
                <w:sz w:val="20"/>
                <w:szCs w:val="20"/>
              </w:rPr>
              <w:t>(</w:t>
            </w:r>
            <w:r w:rsidRPr="000B15F3">
              <w:rPr>
                <w:rFonts w:ascii="Cambria" w:hAnsi="Cambria"/>
                <w:bCs/>
                <w:sz w:val="20"/>
                <w:szCs w:val="20"/>
              </w:rPr>
              <w:t>Right to due process of law</w:t>
            </w:r>
            <w:r w:rsidR="00C16465">
              <w:rPr>
                <w:rFonts w:ascii="Cambria" w:hAnsi="Cambria"/>
                <w:bCs/>
                <w:sz w:val="20"/>
                <w:szCs w:val="20"/>
              </w:rPr>
              <w:t>)</w:t>
            </w:r>
            <w:r w:rsidRPr="000B15F3">
              <w:rPr>
                <w:rFonts w:ascii="Cambria" w:hAnsi="Cambria"/>
                <w:bCs/>
                <w:sz w:val="20"/>
                <w:szCs w:val="20"/>
              </w:rPr>
              <w:t>.</w:t>
            </w:r>
          </w:p>
          <w:p w14:paraId="51EEF9D2" w14:textId="77777777" w:rsidR="00E47F3D" w:rsidRPr="000B6B7A" w:rsidRDefault="00E47F3D" w:rsidP="009163FC">
            <w:pPr>
              <w:jc w:val="both"/>
              <w:rPr>
                <w:rFonts w:ascii="Cambria" w:hAnsi="Cambria"/>
                <w:bCs/>
                <w:sz w:val="20"/>
                <w:szCs w:val="20"/>
              </w:rPr>
            </w:pP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E9634A6" w:rsidR="00F621C3" w:rsidRPr="000B6B7A" w:rsidRDefault="003B70CF" w:rsidP="009163FC">
            <w:pPr>
              <w:jc w:val="both"/>
              <w:rPr>
                <w:rFonts w:ascii="Cambria" w:hAnsi="Cambria"/>
                <w:bCs/>
                <w:sz w:val="20"/>
                <w:szCs w:val="20"/>
              </w:rPr>
            </w:pPr>
            <w:r w:rsidRPr="003B70CF">
              <w:rPr>
                <w:rFonts w:ascii="Cambria" w:hAnsi="Cambria"/>
                <w:bCs/>
                <w:sz w:val="20"/>
                <w:szCs w:val="20"/>
              </w:rPr>
              <w:t>August 11, 2011</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6BFD7127" w:rsidR="00F621C3" w:rsidRPr="000B6B7A" w:rsidRDefault="000D7BF5" w:rsidP="009163FC">
            <w:pPr>
              <w:jc w:val="both"/>
              <w:rPr>
                <w:rFonts w:ascii="Cambria" w:hAnsi="Cambria"/>
                <w:bCs/>
                <w:sz w:val="20"/>
                <w:szCs w:val="20"/>
              </w:rPr>
            </w:pPr>
            <w:r w:rsidRPr="000D7BF5">
              <w:rPr>
                <w:rFonts w:ascii="Cambria" w:hAnsi="Cambria"/>
                <w:bCs/>
                <w:sz w:val="20"/>
                <w:szCs w:val="20"/>
              </w:rPr>
              <w:t>September 23, 2011</w:t>
            </w:r>
            <w:r w:rsidR="000535DF">
              <w:rPr>
                <w:rFonts w:ascii="Cambria" w:hAnsi="Cambria"/>
                <w:bCs/>
                <w:sz w:val="20"/>
                <w:szCs w:val="20"/>
              </w:rPr>
              <w:t xml:space="preserve">, </w:t>
            </w:r>
            <w:r w:rsidR="000535DF" w:rsidRPr="000535DF">
              <w:rPr>
                <w:rFonts w:ascii="Cambria" w:hAnsi="Cambria"/>
                <w:bCs/>
                <w:sz w:val="20"/>
                <w:szCs w:val="20"/>
              </w:rPr>
              <w:t>November 28, 2011</w:t>
            </w:r>
            <w:r w:rsidR="001D4AF4">
              <w:rPr>
                <w:rFonts w:ascii="Cambria" w:hAnsi="Cambria"/>
                <w:bCs/>
                <w:sz w:val="20"/>
                <w:szCs w:val="20"/>
              </w:rPr>
              <w:t xml:space="preserve">, January 31, 2012, </w:t>
            </w:r>
            <w:r w:rsidR="00566F19">
              <w:rPr>
                <w:rFonts w:ascii="Cambria" w:hAnsi="Cambria"/>
                <w:bCs/>
                <w:sz w:val="20"/>
                <w:szCs w:val="20"/>
              </w:rPr>
              <w:t xml:space="preserve">and </w:t>
            </w:r>
            <w:r w:rsidR="00E96E02">
              <w:rPr>
                <w:rFonts w:ascii="Cambria" w:hAnsi="Cambria"/>
                <w:bCs/>
                <w:sz w:val="20"/>
                <w:szCs w:val="20"/>
              </w:rPr>
              <w:t xml:space="preserve">August </w:t>
            </w:r>
            <w:r w:rsidR="009D191C">
              <w:rPr>
                <w:rFonts w:ascii="Cambria" w:hAnsi="Cambria"/>
                <w:bCs/>
                <w:sz w:val="20"/>
                <w:szCs w:val="20"/>
              </w:rPr>
              <w:t>5, 2015</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30AB6AD" w:rsidR="00F621C3" w:rsidRPr="000B6B7A" w:rsidRDefault="003B70CF" w:rsidP="009163FC">
            <w:pPr>
              <w:jc w:val="both"/>
              <w:rPr>
                <w:rFonts w:ascii="Cambria" w:hAnsi="Cambria"/>
                <w:bCs/>
                <w:sz w:val="20"/>
                <w:szCs w:val="20"/>
              </w:rPr>
            </w:pPr>
            <w:r w:rsidRPr="003B70CF">
              <w:rPr>
                <w:rFonts w:ascii="Cambria" w:hAnsi="Cambria"/>
                <w:bCs/>
                <w:sz w:val="20"/>
                <w:szCs w:val="20"/>
              </w:rPr>
              <w:t>December 17, 2015</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256C2F4" w:rsidR="00F621C3" w:rsidRPr="000B6B7A" w:rsidRDefault="00B42FFC" w:rsidP="009163FC">
            <w:pPr>
              <w:jc w:val="both"/>
              <w:rPr>
                <w:rFonts w:ascii="Cambria" w:hAnsi="Cambria"/>
                <w:bCs/>
                <w:sz w:val="20"/>
                <w:szCs w:val="20"/>
              </w:rPr>
            </w:pPr>
            <w:r w:rsidRPr="00B42FFC">
              <w:rPr>
                <w:rFonts w:ascii="Cambria" w:hAnsi="Cambria"/>
                <w:bCs/>
                <w:sz w:val="20"/>
                <w:szCs w:val="20"/>
              </w:rPr>
              <w:t>October 19, 2016</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DBE2F64" w:rsidR="003771A3" w:rsidRPr="000B6B7A" w:rsidRDefault="00B51474" w:rsidP="009163FC">
            <w:pPr>
              <w:jc w:val="both"/>
              <w:rPr>
                <w:rFonts w:ascii="Cambria" w:hAnsi="Cambria"/>
                <w:bCs/>
                <w:sz w:val="20"/>
                <w:szCs w:val="20"/>
              </w:rPr>
            </w:pPr>
            <w:r>
              <w:rPr>
                <w:rFonts w:ascii="Cambria" w:hAnsi="Cambria"/>
                <w:bCs/>
                <w:sz w:val="20"/>
                <w:szCs w:val="20"/>
              </w:rPr>
              <w:t>October 13, 2022</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54A61F3C" w:rsidR="003771A3" w:rsidRPr="000B6B7A" w:rsidRDefault="007F425E" w:rsidP="009163FC">
            <w:pPr>
              <w:jc w:val="both"/>
              <w:rPr>
                <w:rFonts w:ascii="Cambria" w:hAnsi="Cambria"/>
                <w:bCs/>
                <w:sz w:val="20"/>
                <w:szCs w:val="20"/>
              </w:rPr>
            </w:pPr>
            <w:r w:rsidRPr="007F425E">
              <w:rPr>
                <w:rFonts w:ascii="Cambria" w:hAnsi="Cambria"/>
                <w:bCs/>
                <w:sz w:val="20"/>
                <w:szCs w:val="20"/>
              </w:rPr>
              <w:t>July 19, 2022</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07A500FC" w:rsidR="003771A3" w:rsidRPr="000B6B7A" w:rsidRDefault="009F26A3" w:rsidP="009163FC">
            <w:pPr>
              <w:jc w:val="both"/>
              <w:rPr>
                <w:rFonts w:ascii="Cambria" w:hAnsi="Cambria"/>
                <w:bCs/>
                <w:sz w:val="20"/>
                <w:szCs w:val="20"/>
              </w:rPr>
            </w:pPr>
            <w:r>
              <w:rPr>
                <w:rFonts w:ascii="Cambria" w:hAnsi="Cambria"/>
                <w:bCs/>
                <w:sz w:val="20"/>
                <w:szCs w:val="20"/>
              </w:rPr>
              <w:t>October 9,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1D5C6136" w:rsidR="00F621C3" w:rsidRPr="000B6B7A" w:rsidRDefault="00D12C22"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154D7A91" w:rsidR="00F621C3" w:rsidRPr="000B6B7A" w:rsidRDefault="00D12C22"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A8DBE8D" w:rsidR="00F621C3" w:rsidRPr="000B6B7A" w:rsidRDefault="00D12C22"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877CCA8" w:rsidR="00F621C3" w:rsidRPr="000B6B7A" w:rsidRDefault="00D12C22" w:rsidP="009163FC">
            <w:pPr>
              <w:jc w:val="both"/>
              <w:rPr>
                <w:rFonts w:asciiTheme="majorHAnsi" w:hAnsiTheme="majorHAnsi"/>
                <w:bCs/>
                <w:sz w:val="20"/>
                <w:szCs w:val="20"/>
              </w:rPr>
            </w:pPr>
            <w:r w:rsidRPr="00D12C22">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57D379FC" w:rsidR="00F621C3" w:rsidRPr="000B6B7A" w:rsidRDefault="00D12C22"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BD4C6DD" w:rsidR="00F621C3" w:rsidRPr="000B6B7A" w:rsidRDefault="00D12C22" w:rsidP="009163FC">
            <w:pPr>
              <w:jc w:val="both"/>
              <w:rPr>
                <w:rFonts w:ascii="Cambria" w:hAnsi="Cambria"/>
                <w:bCs/>
                <w:sz w:val="20"/>
                <w:szCs w:val="20"/>
              </w:rPr>
            </w:pPr>
            <w:r w:rsidRPr="00D12C22">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6C157194" w14:textId="77777777" w:rsidR="00B746B3" w:rsidRPr="00B746B3" w:rsidRDefault="00B746B3" w:rsidP="00B746B3">
            <w:pPr>
              <w:rPr>
                <w:rFonts w:ascii="Cambria" w:hAnsi="Cambria"/>
                <w:bCs/>
                <w:sz w:val="20"/>
                <w:szCs w:val="20"/>
              </w:rPr>
            </w:pPr>
            <w:r w:rsidRPr="00B746B3">
              <w:rPr>
                <w:rFonts w:ascii="Cambria" w:hAnsi="Cambria"/>
                <w:bCs/>
                <w:sz w:val="20"/>
                <w:szCs w:val="20"/>
              </w:rPr>
              <w:t>Not applicable</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70B6BD54" w14:textId="77777777" w:rsidR="00B746B3" w:rsidRPr="00B746B3" w:rsidRDefault="00B746B3" w:rsidP="00B746B3">
            <w:pPr>
              <w:rPr>
                <w:rFonts w:asciiTheme="majorHAnsi" w:hAnsiTheme="majorHAnsi"/>
                <w:bCs/>
                <w:sz w:val="20"/>
                <w:szCs w:val="20"/>
              </w:rPr>
            </w:pPr>
            <w:r w:rsidRPr="00B746B3">
              <w:rPr>
                <w:rFonts w:asciiTheme="majorHAnsi" w:hAnsiTheme="majorHAnsi"/>
                <w:bCs/>
                <w:sz w:val="20"/>
                <w:szCs w:val="20"/>
              </w:rPr>
              <w:t>Not applicable</w:t>
            </w:r>
          </w:p>
          <w:p w14:paraId="6A26CCE9" w14:textId="77777777" w:rsidR="00F621C3" w:rsidRPr="000B6B7A" w:rsidRDefault="00F621C3" w:rsidP="009163FC">
            <w:pPr>
              <w:rPr>
                <w:rFonts w:asciiTheme="majorHAnsi" w:hAnsiTheme="majorHAnsi"/>
                <w:bCs/>
                <w:sz w:val="20"/>
                <w:szCs w:val="20"/>
              </w:rPr>
            </w:pPr>
          </w:p>
        </w:tc>
      </w:tr>
    </w:tbl>
    <w:p w14:paraId="7251977A" w14:textId="77777777" w:rsidR="00566F19" w:rsidRDefault="00566F19" w:rsidP="00F621C3">
      <w:pPr>
        <w:spacing w:before="240" w:after="240"/>
        <w:ind w:firstLine="720"/>
        <w:jc w:val="both"/>
        <w:rPr>
          <w:rFonts w:asciiTheme="majorHAnsi" w:hAnsiTheme="majorHAnsi"/>
          <w:b/>
          <w:sz w:val="20"/>
          <w:szCs w:val="20"/>
        </w:rPr>
      </w:pPr>
    </w:p>
    <w:p w14:paraId="629E2DE8" w14:textId="74EAE49F" w:rsidR="00F621C3" w:rsidRPr="00791906" w:rsidRDefault="00F621C3" w:rsidP="00F621C3">
      <w:pPr>
        <w:spacing w:before="240" w:after="240"/>
        <w:ind w:firstLine="720"/>
        <w:jc w:val="both"/>
        <w:rPr>
          <w:rFonts w:asciiTheme="majorHAnsi" w:hAnsiTheme="majorHAnsi"/>
          <w:b/>
          <w:sz w:val="20"/>
          <w:szCs w:val="20"/>
        </w:rPr>
      </w:pPr>
      <w:r w:rsidRPr="00791906">
        <w:rPr>
          <w:rFonts w:asciiTheme="majorHAnsi" w:hAnsiTheme="majorHAnsi"/>
          <w:b/>
          <w:sz w:val="20"/>
          <w:szCs w:val="20"/>
        </w:rPr>
        <w:lastRenderedPageBreak/>
        <w:t xml:space="preserve">V. </w:t>
      </w:r>
      <w:r w:rsidRPr="00791906">
        <w:rPr>
          <w:rFonts w:asciiTheme="majorHAnsi" w:hAnsiTheme="majorHAnsi"/>
          <w:b/>
          <w:sz w:val="20"/>
          <w:szCs w:val="20"/>
        </w:rPr>
        <w:tab/>
      </w:r>
      <w:r w:rsidR="00706858" w:rsidRPr="00791906">
        <w:rPr>
          <w:rFonts w:asciiTheme="majorHAnsi" w:hAnsiTheme="majorHAnsi"/>
          <w:b/>
          <w:sz w:val="20"/>
          <w:szCs w:val="20"/>
        </w:rPr>
        <w:t xml:space="preserve">ALLEGED </w:t>
      </w:r>
      <w:r w:rsidRPr="00791906">
        <w:rPr>
          <w:rFonts w:asciiTheme="majorHAnsi" w:hAnsiTheme="majorHAnsi"/>
          <w:b/>
          <w:sz w:val="20"/>
          <w:szCs w:val="20"/>
        </w:rPr>
        <w:t xml:space="preserve">FACTS </w:t>
      </w:r>
    </w:p>
    <w:p w14:paraId="00B799EC" w14:textId="67F9A2F6" w:rsidR="00A90949" w:rsidRPr="00791906" w:rsidRDefault="00B746B3" w:rsidP="00B746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This petitioner is an inmate of the Nevada Department of Corrections (“the NDOC”). His petition alleges that officials of the NDOC have committed various abuses of his human rights, including the right to due process. </w:t>
      </w:r>
    </w:p>
    <w:p w14:paraId="2BD01387" w14:textId="36AF165A" w:rsidR="00B746B3" w:rsidRPr="00791906" w:rsidRDefault="001E5FF0" w:rsidP="00B746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The documentation from the petitioner does not provide any details on: (a) when the petitioner was imprisoned; (b) the term of imprisonment imposed; and (c) the nature of the conviction that led to the term of imprisonment. Generally, it should be noted that the petitioner’s documentation is partly illegible, and somewhat incoherent.</w:t>
      </w:r>
    </w:p>
    <w:p w14:paraId="734E677C" w14:textId="5DB71075" w:rsidR="00C84D0A" w:rsidRPr="00791906" w:rsidRDefault="001B092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The grievances in the petition appear to arise largely from disciplinary proceedings that were conducted against the petitioner while he was incarcerated at the Lovelock Correctional Center.  According to the file, the NDOC charged the petitioner with engaging in sexually stimulating activities (with another inmate) in violation of prison disciplinary rules. From the information available, it appears that the petitioner was accused of committing these activities on January 2, 2011. The petitioner denies that he committed any of these activities.  </w:t>
      </w:r>
      <w:r w:rsidR="00504E11" w:rsidRPr="00791906">
        <w:rPr>
          <w:rFonts w:asciiTheme="majorHAnsi" w:hAnsiTheme="majorHAnsi"/>
          <w:sz w:val="20"/>
          <w:szCs w:val="20"/>
        </w:rPr>
        <w:t xml:space="preserve"> </w:t>
      </w:r>
    </w:p>
    <w:p w14:paraId="767230D4" w14:textId="2ED94D2D" w:rsidR="00CC7D2C" w:rsidRPr="00791906" w:rsidRDefault="00CC7D2C" w:rsidP="00CC7D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Based on file, it appears that the NDOC subsequently conducted an administrative hearing at which the petitioner was found guilty and given a punishment 24 months of disciplinary segregation.   According to the petitioner he is HIV-positive. He alleges that because he received a different administrative punishment than a non-HIV positive inmate who was involved in the same incident. </w:t>
      </w:r>
      <w:bookmarkStart w:id="0" w:name="_Hlk124846364"/>
      <w:r w:rsidR="00D10347" w:rsidRPr="00791906">
        <w:rPr>
          <w:rFonts w:asciiTheme="majorHAnsi" w:hAnsiTheme="majorHAnsi"/>
          <w:sz w:val="20"/>
          <w:szCs w:val="20"/>
        </w:rPr>
        <w:t>–</w:t>
      </w:r>
      <w:bookmarkEnd w:id="0"/>
      <w:r w:rsidR="00D10347" w:rsidRPr="00791906">
        <w:rPr>
          <w:rFonts w:asciiTheme="majorHAnsi" w:hAnsiTheme="majorHAnsi"/>
          <w:sz w:val="20"/>
          <w:szCs w:val="20"/>
        </w:rPr>
        <w:t>It is not clear from the petitioner’s documentation how his punishment differed from the other inmate</w:t>
      </w:r>
      <w:bookmarkStart w:id="1" w:name="_Hlk124846546"/>
      <w:r w:rsidR="00D10347" w:rsidRPr="00791906">
        <w:rPr>
          <w:rFonts w:asciiTheme="majorHAnsi" w:hAnsiTheme="majorHAnsi"/>
          <w:sz w:val="20"/>
          <w:szCs w:val="20"/>
        </w:rPr>
        <w:t>–</w:t>
      </w:r>
      <w:bookmarkEnd w:id="1"/>
      <w:r w:rsidR="00D10347" w:rsidRPr="00791906">
        <w:rPr>
          <w:rFonts w:asciiTheme="majorHAnsi" w:hAnsiTheme="majorHAnsi"/>
          <w:sz w:val="20"/>
          <w:szCs w:val="20"/>
        </w:rPr>
        <w:t xml:space="preserve">. </w:t>
      </w:r>
      <w:r w:rsidRPr="00791906">
        <w:rPr>
          <w:rFonts w:asciiTheme="majorHAnsi" w:hAnsiTheme="majorHAnsi"/>
          <w:sz w:val="20"/>
          <w:szCs w:val="20"/>
        </w:rPr>
        <w:t>The petitioner contends that this constitutes a violation of his right to equal treatment. He also alleges that his due process rights were violated regarding the administrative hearing, because Nevada Administrative Regulation 610 (“AR 610”) requires that an inmate must admit guilt in order to be removed from indefinite administrative segregation.</w:t>
      </w:r>
    </w:p>
    <w:p w14:paraId="4CC80347" w14:textId="1E384696" w:rsidR="003908F0" w:rsidRPr="00791906" w:rsidRDefault="003908F0" w:rsidP="003908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The petitioner alleges that he was the subject of retaliation by the NDOC after he filed a tort claim on February 28, 2011, with the Office of the Nevada Attorney General. </w:t>
      </w:r>
      <w:bookmarkStart w:id="2" w:name="_Hlk124846639"/>
      <w:r w:rsidR="00952D9B" w:rsidRPr="00791906">
        <w:rPr>
          <w:rFonts w:asciiTheme="majorHAnsi" w:hAnsiTheme="majorHAnsi"/>
          <w:sz w:val="20"/>
          <w:szCs w:val="20"/>
        </w:rPr>
        <w:t>–</w:t>
      </w:r>
      <w:bookmarkEnd w:id="2"/>
      <w:r w:rsidR="00952D9B" w:rsidRPr="00791906">
        <w:rPr>
          <w:rFonts w:asciiTheme="majorHAnsi" w:hAnsiTheme="majorHAnsi"/>
          <w:sz w:val="20"/>
          <w:szCs w:val="20"/>
        </w:rPr>
        <w:t xml:space="preserve">The nature of this tort claim is unclear (from the petitioner’s documentation)–. </w:t>
      </w:r>
      <w:r w:rsidRPr="00791906">
        <w:rPr>
          <w:rFonts w:asciiTheme="majorHAnsi" w:hAnsiTheme="majorHAnsi"/>
          <w:sz w:val="20"/>
          <w:szCs w:val="20"/>
        </w:rPr>
        <w:t xml:space="preserve">In this respect, the petitioner contends that he was transferred to a maximum-security prison called Ely State Prison. At Ely State Prison, the petitioner alleges that he was placed in a feces-smeared cell with food thrown up against the walls and floor. The petitioner also states that the cell had rat, </w:t>
      </w:r>
      <w:r w:rsidR="005F5DCA" w:rsidRPr="00791906">
        <w:rPr>
          <w:rFonts w:asciiTheme="majorHAnsi" w:hAnsiTheme="majorHAnsi"/>
          <w:sz w:val="20"/>
          <w:szCs w:val="20"/>
        </w:rPr>
        <w:t>vole,</w:t>
      </w:r>
      <w:r w:rsidRPr="00791906">
        <w:rPr>
          <w:rFonts w:asciiTheme="majorHAnsi" w:hAnsiTheme="majorHAnsi"/>
          <w:sz w:val="20"/>
          <w:szCs w:val="20"/>
        </w:rPr>
        <w:t xml:space="preserve"> or mice feces in corner; ants coming in window, as well as dried ejaculate on wall, and no working intercom. He further alleges that prison officials initially refused to provide him with cleaning supplies, denied him food, and denied him access to his property for 17 days.</w:t>
      </w:r>
    </w:p>
    <w:p w14:paraId="53CB8194" w14:textId="6D03295C" w:rsidR="00DF58C1" w:rsidRPr="00791906" w:rsidRDefault="00DF58C1" w:rsidP="00DF58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Based on the available information, it appears that the petitioner sought judicial relief (against the NDOC) principally before the U.S. District Court for the District of Nevada</w:t>
      </w:r>
      <w:r w:rsidR="00177A6D" w:rsidRPr="00791906">
        <w:rPr>
          <w:rFonts w:asciiTheme="majorHAnsi" w:hAnsiTheme="majorHAnsi"/>
          <w:sz w:val="20"/>
          <w:szCs w:val="20"/>
        </w:rPr>
        <w:t xml:space="preserve"> (a federal court)</w:t>
      </w:r>
      <w:r w:rsidRPr="00791906">
        <w:rPr>
          <w:rFonts w:asciiTheme="majorHAnsi" w:hAnsiTheme="majorHAnsi"/>
          <w:sz w:val="20"/>
          <w:szCs w:val="20"/>
        </w:rPr>
        <w:t xml:space="preserve">.  </w:t>
      </w:r>
      <w:r w:rsidR="007E3DEF" w:rsidRPr="00791906">
        <w:rPr>
          <w:rFonts w:asciiTheme="majorHAnsi" w:hAnsiTheme="majorHAnsi"/>
          <w:sz w:val="20"/>
          <w:szCs w:val="20"/>
        </w:rPr>
        <w:t>–</w:t>
      </w:r>
      <w:r w:rsidR="00E943DE" w:rsidRPr="00791906">
        <w:rPr>
          <w:rFonts w:asciiTheme="majorHAnsi" w:hAnsiTheme="majorHAnsi"/>
          <w:sz w:val="20"/>
          <w:szCs w:val="20"/>
        </w:rPr>
        <w:t>There appears to be mention of other judicial proceedings in the petition, but the information on this is largely illegible, and there is no clear mention of the results of these judicial proceedings</w:t>
      </w:r>
      <w:r w:rsidR="007E3DEF" w:rsidRPr="00791906">
        <w:rPr>
          <w:rFonts w:asciiTheme="majorHAnsi" w:hAnsiTheme="majorHAnsi"/>
          <w:sz w:val="20"/>
          <w:szCs w:val="20"/>
        </w:rPr>
        <w:t>–</w:t>
      </w:r>
      <w:r w:rsidR="00E943DE" w:rsidRPr="00791906">
        <w:rPr>
          <w:rFonts w:asciiTheme="majorHAnsi" w:hAnsiTheme="majorHAnsi"/>
          <w:sz w:val="20"/>
          <w:szCs w:val="20"/>
        </w:rPr>
        <w:t xml:space="preserve">. </w:t>
      </w:r>
      <w:r w:rsidRPr="00791906">
        <w:rPr>
          <w:rFonts w:asciiTheme="majorHAnsi" w:hAnsiTheme="majorHAnsi"/>
          <w:sz w:val="20"/>
          <w:szCs w:val="20"/>
        </w:rPr>
        <w:t>According to the file, the petitioner</w:t>
      </w:r>
      <w:r w:rsidRPr="00791906">
        <w:rPr>
          <w:rFonts w:asciiTheme="majorHAnsi" w:eastAsiaTheme="minorHAnsi" w:hAnsiTheme="majorHAnsi" w:cstheme="minorBidi"/>
          <w:sz w:val="22"/>
          <w:szCs w:val="22"/>
          <w:bdr w:val="none" w:sz="0" w:space="0" w:color="auto"/>
        </w:rPr>
        <w:t xml:space="preserve"> </w:t>
      </w:r>
      <w:r w:rsidRPr="00791906">
        <w:rPr>
          <w:rFonts w:asciiTheme="majorHAnsi" w:hAnsiTheme="majorHAnsi"/>
          <w:sz w:val="20"/>
          <w:szCs w:val="20"/>
        </w:rPr>
        <w:t>filed suit on October 26, 2011, pursuant to 42 U.S.C. §1983</w:t>
      </w:r>
      <w:r w:rsidRPr="00791906">
        <w:rPr>
          <w:rFonts w:asciiTheme="majorHAnsi" w:hAnsiTheme="majorHAnsi"/>
          <w:sz w:val="20"/>
          <w:szCs w:val="20"/>
          <w:vertAlign w:val="superscript"/>
        </w:rPr>
        <w:footnoteReference w:id="4"/>
      </w:r>
      <w:r w:rsidRPr="00791906">
        <w:rPr>
          <w:rFonts w:asciiTheme="majorHAnsi" w:hAnsiTheme="majorHAnsi"/>
          <w:sz w:val="20"/>
          <w:szCs w:val="20"/>
        </w:rPr>
        <w:t>, alleging various violations of his civil rights (arising from the incident that took place on January 2, 2011, at Lovelock Correctional Center).</w:t>
      </w:r>
      <w:r w:rsidR="00563EF0" w:rsidRPr="00791906">
        <w:rPr>
          <w:rFonts w:asciiTheme="majorHAnsi" w:hAnsiTheme="majorHAnsi"/>
          <w:sz w:val="20"/>
          <w:szCs w:val="20"/>
        </w:rPr>
        <w:t xml:space="preserve"> The petitioner’s documentation does not </w:t>
      </w:r>
      <w:r w:rsidR="00E82455" w:rsidRPr="00791906">
        <w:rPr>
          <w:rFonts w:asciiTheme="majorHAnsi" w:hAnsiTheme="majorHAnsi"/>
          <w:sz w:val="20"/>
          <w:szCs w:val="20"/>
        </w:rPr>
        <w:t xml:space="preserve">appear to </w:t>
      </w:r>
      <w:r w:rsidR="00563EF0" w:rsidRPr="00791906">
        <w:rPr>
          <w:rFonts w:asciiTheme="majorHAnsi" w:hAnsiTheme="majorHAnsi"/>
          <w:sz w:val="20"/>
          <w:szCs w:val="20"/>
        </w:rPr>
        <w:t xml:space="preserve">indicate the outcome of this litigation. </w:t>
      </w:r>
    </w:p>
    <w:p w14:paraId="304E567B" w14:textId="2EF170D5" w:rsidR="00F40F52" w:rsidRPr="00791906" w:rsidRDefault="00F40F52" w:rsidP="00F40F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The State rejects the petition as inadmissible principally on the ground that it is manifestly groundless pursuant to Article 34 of the Commission’s Rules of Procedure. The State also argues that to the extent that the petitioner may have ongoing lawsuits challenging his alleged treatment in prison, this would serve to make his claims inadmissible under Article 31 of the Commission’s Rules of Procedure for failure to exhaust domestic remedies.</w:t>
      </w:r>
      <w:r w:rsidR="00161C96" w:rsidRPr="00791906">
        <w:rPr>
          <w:rFonts w:asciiTheme="majorHAnsi" w:hAnsiTheme="majorHAnsi"/>
          <w:sz w:val="20"/>
          <w:szCs w:val="20"/>
        </w:rPr>
        <w:t xml:space="preserve"> The State generally notes that the petitioner’s documentation is difficult to decipher, which in turn makes it difficult to determine the nature or status of the petitioner’s ongoing lawsuits.</w:t>
      </w:r>
    </w:p>
    <w:p w14:paraId="4DDB171D" w14:textId="2F90DE2B" w:rsidR="001512E4" w:rsidRPr="00791906" w:rsidRDefault="00810B0C" w:rsidP="00CC7D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lastRenderedPageBreak/>
        <w:t xml:space="preserve">The State acknowledges that the petitioner’s claims arise primarily from an alleged violation of prison rule (engaging in sexual stimulating activities) on January 2, 2011, together with the outcome and aftermath of consequential disciplinary proceedings against the petitioner. The State further acknowledges that the petitioner filed suit against NDOC in the U.S. District Court for the District of Nevada on October 26, 2011, pursuant to 42 U.S.C. §1983, alleging various violations of his civil rights (arising from the incident that took place on January 2, </w:t>
      </w:r>
      <w:r w:rsidR="006B60F5" w:rsidRPr="00791906">
        <w:rPr>
          <w:rFonts w:asciiTheme="majorHAnsi" w:hAnsiTheme="majorHAnsi"/>
          <w:sz w:val="20"/>
          <w:szCs w:val="20"/>
        </w:rPr>
        <w:t>2011,</w:t>
      </w:r>
      <w:r w:rsidRPr="00791906">
        <w:rPr>
          <w:rFonts w:asciiTheme="majorHAnsi" w:hAnsiTheme="majorHAnsi"/>
          <w:sz w:val="20"/>
          <w:szCs w:val="20"/>
        </w:rPr>
        <w:t xml:space="preserve"> at Lovelock Correctional Center).</w:t>
      </w:r>
    </w:p>
    <w:p w14:paraId="5F57D6FA" w14:textId="3CD7AA58" w:rsidR="00CC7D2C" w:rsidRPr="00791906" w:rsidRDefault="006B60F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The State submits that this lawsuit was ultimately dismissed on May 30, 2013, after the petitioner and officials of NDOC executed a settlement agreement regarding the petitioner’s claims. In this respect, the State indicates that the settlement agreement provided for the settlement of all claims, disputes and controversies arising from the alleged violation of the petitioner’s rights. The State further submits that pursuant to the settlement agreement the NDOC agreed to expunge the disciplinary violation arising from the incident of January 2, 2011, including the removal of various adverse consequences from this violation. The State also indicates that under the settlement agreement, the petitioner was awarded “240 statutory good time credits” which translated into a 144-day reduction in the petitioner’s sentence.</w:t>
      </w:r>
    </w:p>
    <w:p w14:paraId="0E54D806" w14:textId="387D96A3" w:rsidR="008701D6" w:rsidRPr="00791906" w:rsidRDefault="008701D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Further the State indicates that another term of the settlement agreement provided that the petitioner would be seen by a full Classification Committee within the Ely State Prison prior to a medical transfer to the High Desert State Prison.  The State also asserts that the settlement agreement stipulated that [the petitioner] “hereby releases and forever discharges the Defendants </w:t>
      </w:r>
      <w:r w:rsidR="005D5013" w:rsidRPr="00791906">
        <w:rPr>
          <w:rFonts w:asciiTheme="majorHAnsi" w:hAnsiTheme="majorHAnsi"/>
          <w:sz w:val="20"/>
          <w:szCs w:val="20"/>
        </w:rPr>
        <w:t>[</w:t>
      </w:r>
      <w:r w:rsidRPr="00791906">
        <w:rPr>
          <w:rFonts w:asciiTheme="majorHAnsi" w:hAnsiTheme="majorHAnsi"/>
          <w:sz w:val="20"/>
          <w:szCs w:val="20"/>
        </w:rPr>
        <w:t>…</w:t>
      </w:r>
      <w:r w:rsidR="005D5013" w:rsidRPr="00791906">
        <w:rPr>
          <w:rFonts w:asciiTheme="majorHAnsi" w:hAnsiTheme="majorHAnsi"/>
          <w:sz w:val="20"/>
          <w:szCs w:val="20"/>
        </w:rPr>
        <w:t>]</w:t>
      </w:r>
      <w:r w:rsidRPr="00791906">
        <w:rPr>
          <w:rFonts w:asciiTheme="majorHAnsi" w:hAnsiTheme="majorHAnsi"/>
          <w:sz w:val="20"/>
          <w:szCs w:val="20"/>
        </w:rPr>
        <w:t xml:space="preserve"> and all other persons </w:t>
      </w:r>
      <w:r w:rsidR="005D5013" w:rsidRPr="00791906">
        <w:rPr>
          <w:rFonts w:asciiTheme="majorHAnsi" w:hAnsiTheme="majorHAnsi"/>
          <w:sz w:val="20"/>
          <w:szCs w:val="20"/>
        </w:rPr>
        <w:t>[</w:t>
      </w:r>
      <w:r w:rsidRPr="00791906">
        <w:rPr>
          <w:rFonts w:asciiTheme="majorHAnsi" w:hAnsiTheme="majorHAnsi"/>
          <w:sz w:val="20"/>
          <w:szCs w:val="20"/>
        </w:rPr>
        <w:t>…</w:t>
      </w:r>
      <w:r w:rsidR="005D5013" w:rsidRPr="00791906">
        <w:rPr>
          <w:rFonts w:asciiTheme="majorHAnsi" w:hAnsiTheme="majorHAnsi"/>
          <w:sz w:val="20"/>
          <w:szCs w:val="20"/>
        </w:rPr>
        <w:t>]</w:t>
      </w:r>
      <w:r w:rsidRPr="00791906">
        <w:rPr>
          <w:rFonts w:asciiTheme="majorHAnsi" w:hAnsiTheme="majorHAnsi"/>
          <w:sz w:val="20"/>
          <w:szCs w:val="20"/>
        </w:rPr>
        <w:t xml:space="preserve"> from any and all liability relating to the claims asserted, or which could have been asserted, relating to the civil rights complaint”.  Further the State indicates that the settlement agreement stipulated that it “is entered into in good faith and fully settles all claims that [the petitioner] asserted against the Defendants” in the federal court case.  </w:t>
      </w:r>
    </w:p>
    <w:p w14:paraId="522498A1" w14:textId="77198605" w:rsidR="008701D6" w:rsidRPr="00791906" w:rsidRDefault="00EA5AC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According to the State, the settlement agreement and ensuing dismissal of the petitioner’s case in the U.S. District Court shows that the petitioner received adequate and effective remedies for his claims, to which he freely and fully agreed, through the process of exhausting remedies through the U.S. court system. The State submits that the settlement agreement effectively discharges all liability against the NDOC and its past, present, and future officials relating to the claims </w:t>
      </w:r>
      <w:r w:rsidR="00821B31" w:rsidRPr="00791906">
        <w:rPr>
          <w:rFonts w:asciiTheme="majorHAnsi" w:hAnsiTheme="majorHAnsi"/>
          <w:sz w:val="20"/>
          <w:szCs w:val="20"/>
        </w:rPr>
        <w:t xml:space="preserve">that the petitioner </w:t>
      </w:r>
      <w:r w:rsidRPr="00791906">
        <w:rPr>
          <w:rFonts w:asciiTheme="majorHAnsi" w:hAnsiTheme="majorHAnsi"/>
          <w:sz w:val="20"/>
          <w:szCs w:val="20"/>
        </w:rPr>
        <w:t>asserted, or could have asserted, in the federal court case. The State further submits that these claims include those asserted by the petitioner before the Commission. In this regard, the State asserts that the settlement agreement effectively precludes the petitioner from bringing these claims before the Commission; and that the petitioner cannot now assert that the United States violated his human rights with regard to the matters raised in his lawsuit, which he voluntarily settled and forever relinquished in a binding agreement.</w:t>
      </w:r>
    </w:p>
    <w:p w14:paraId="0FB67DE9" w14:textId="3A678BC1" w:rsidR="00C84D0A" w:rsidRPr="00791906" w:rsidRDefault="00DA65DF" w:rsidP="009027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The State submits that nothing in the principles established by the American Declaration or in the IACHR’s Rules would suggest that the Commission should intervene in a matter that has been voluntarily settled between a petitioner and the governmental authorities that he accuses of violating his rights. Further, the State submits that implicit in the requirement of exhaustion is the incontrovertible principle that if a petitioner has received an effective remedy in the domestic system, then his or her claim is not admissible before the international forum.  Based on the foregoing, the State concludes that the petition is manifestly groundless and therefore inadmissible.</w:t>
      </w:r>
    </w:p>
    <w:p w14:paraId="55505107" w14:textId="56189B4F" w:rsidR="00F621C3" w:rsidRPr="00791906" w:rsidRDefault="00F621C3" w:rsidP="00F621C3">
      <w:pPr>
        <w:spacing w:before="240" w:after="240"/>
        <w:ind w:firstLine="720"/>
        <w:jc w:val="both"/>
        <w:rPr>
          <w:rFonts w:asciiTheme="majorHAnsi" w:hAnsiTheme="majorHAnsi"/>
          <w:sz w:val="20"/>
          <w:szCs w:val="20"/>
        </w:rPr>
      </w:pPr>
      <w:r w:rsidRPr="00791906">
        <w:rPr>
          <w:rFonts w:asciiTheme="majorHAnsi" w:eastAsia="Cambria" w:hAnsiTheme="majorHAnsi" w:cs="Cambria"/>
          <w:b/>
          <w:bCs/>
          <w:color w:val="000000"/>
          <w:sz w:val="20"/>
          <w:szCs w:val="20"/>
          <w:u w:color="000000"/>
          <w:lang w:eastAsia="es-ES"/>
        </w:rPr>
        <w:t>VI.</w:t>
      </w:r>
      <w:r w:rsidRPr="00791906">
        <w:rPr>
          <w:rFonts w:asciiTheme="majorHAnsi" w:eastAsia="Cambria" w:hAnsiTheme="majorHAnsi" w:cs="Cambria"/>
          <w:b/>
          <w:bCs/>
          <w:color w:val="000000"/>
          <w:sz w:val="20"/>
          <w:szCs w:val="20"/>
          <w:u w:color="000000"/>
          <w:lang w:eastAsia="es-ES"/>
        </w:rPr>
        <w:tab/>
      </w:r>
      <w:r w:rsidR="006B53A9" w:rsidRPr="00791906">
        <w:rPr>
          <w:rFonts w:asciiTheme="majorHAnsi" w:hAnsiTheme="majorHAnsi"/>
          <w:b/>
          <w:bCs/>
          <w:sz w:val="20"/>
          <w:szCs w:val="20"/>
        </w:rPr>
        <w:t>ANALYSIS OF EXHAUSTION OF DOMESTIC REMEDIES AND COLORABLE CLAIM</w:t>
      </w:r>
      <w:r w:rsidRPr="00791906">
        <w:rPr>
          <w:rFonts w:asciiTheme="majorHAnsi" w:eastAsia="Cambria" w:hAnsiTheme="majorHAnsi" w:cs="Cambria"/>
          <w:b/>
          <w:bCs/>
          <w:color w:val="000000"/>
          <w:sz w:val="20"/>
          <w:szCs w:val="20"/>
          <w:u w:color="000000"/>
          <w:lang w:eastAsia="es-ES"/>
        </w:rPr>
        <w:t xml:space="preserve"> </w:t>
      </w:r>
    </w:p>
    <w:p w14:paraId="05415C74" w14:textId="22AC3D78" w:rsidR="00F621C3" w:rsidRPr="00791906" w:rsidRDefault="006B53A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Article 31 (1) of the Commission’s Rules of Procedure provides that for a petition to be admissible the Commission shall verify whether the remedies of the domestic legal system have been pursued and exhausted in accordance with the generally recognized principles of international law. This requirement ensures the State the opportunity to hear the alleged violation of a protected right and, if applicable, settle the issue before it is brought before an international body settle human rights complaints within its own system of justice before being addressed by an international body.</w:t>
      </w:r>
    </w:p>
    <w:p w14:paraId="44BEF07F" w14:textId="4DC2520C" w:rsidR="001F146F" w:rsidRPr="00791906" w:rsidRDefault="001F146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Based on the documents and information provided, it appears that the petitioner’s complaint was litigated primarily before the U.S. District Court for the District of Nevada between October 2011 and </w:t>
      </w:r>
      <w:r w:rsidRPr="00791906">
        <w:rPr>
          <w:rFonts w:asciiTheme="majorHAnsi" w:hAnsiTheme="majorHAnsi"/>
          <w:sz w:val="20"/>
          <w:szCs w:val="20"/>
        </w:rPr>
        <w:lastRenderedPageBreak/>
        <w:t xml:space="preserve">May 2013.  The petition appears to mention other judicial proceedings, but the information on this is largely illegible, and there is no clear mention of the results of these judicial proceedings.   </w:t>
      </w:r>
    </w:p>
    <w:p w14:paraId="41675F7D" w14:textId="0474260B" w:rsidR="00850E52" w:rsidRPr="00791906" w:rsidRDefault="00850E52" w:rsidP="00850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 Regarding the litigation before the U.S. District Court for the District of Nevada, the available information shows that the petitioner entered into a settlement agreement with the NDOC in May 2013, resulting in the resolution of the petitioner’s claims, as well as the (consensual) termination of the litigation by both parties.  Ultimately, it appears that the petitioner’s complaint was redressed domestically, and, in the circumstances, the Commission considers that issue of exhaustion of domestic remedies has now been rendered moot. Alternatively, the Commission considers that the petitioner has provided no other information upon which the Commission might (a) determine whether he was dissatisfied with the settlement/resolution; and/or (b) verify whether he pursued or exhausted any other available remedies to redress any such dissatisfaction.</w:t>
      </w:r>
      <w:r w:rsidR="00791906" w:rsidRPr="00791906">
        <w:rPr>
          <w:rFonts w:asciiTheme="majorHAnsi" w:hAnsiTheme="majorHAnsi"/>
          <w:sz w:val="20"/>
          <w:szCs w:val="20"/>
        </w:rPr>
        <w:t xml:space="preserve"> Moreover, As indicated before, the information in the petition on exhaustion of domestic remedies is largely illegible and incomplete.</w:t>
      </w:r>
    </w:p>
    <w:p w14:paraId="32D27FDC" w14:textId="4CAF5772" w:rsidR="001F146F" w:rsidRPr="00791906" w:rsidRDefault="00D1279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Based on the foregoing, the Commission further concludes that the petition fails to state facts that tend to establish a violation of any rights enshrined in the American Declaration, and is accordingly, inadmissible pursuant to Article 34 (a) of the Commission’s Rules of Procedure.</w:t>
      </w:r>
    </w:p>
    <w:p w14:paraId="5A70550C" w14:textId="7DBA8D22" w:rsidR="00F621C3" w:rsidRPr="00791906" w:rsidRDefault="00F621C3" w:rsidP="00F621C3">
      <w:pPr>
        <w:pStyle w:val="ListParagraph"/>
        <w:spacing w:before="240" w:after="240"/>
        <w:jc w:val="both"/>
        <w:rPr>
          <w:rFonts w:asciiTheme="majorHAnsi" w:hAnsiTheme="majorHAnsi"/>
          <w:b/>
          <w:bCs/>
          <w:sz w:val="20"/>
          <w:szCs w:val="20"/>
        </w:rPr>
      </w:pPr>
      <w:r w:rsidRPr="00791906">
        <w:rPr>
          <w:rFonts w:asciiTheme="majorHAnsi" w:hAnsiTheme="majorHAnsi"/>
          <w:b/>
          <w:bCs/>
          <w:sz w:val="20"/>
          <w:szCs w:val="20"/>
        </w:rPr>
        <w:t xml:space="preserve">VII. </w:t>
      </w:r>
      <w:r w:rsidRPr="00791906">
        <w:rPr>
          <w:rFonts w:asciiTheme="majorHAnsi" w:hAnsiTheme="majorHAnsi"/>
          <w:b/>
          <w:bCs/>
          <w:sz w:val="20"/>
          <w:szCs w:val="20"/>
        </w:rPr>
        <w:tab/>
        <w:t>DECISION</w:t>
      </w:r>
    </w:p>
    <w:p w14:paraId="7B069E47" w14:textId="2635D0AC" w:rsidR="00F621C3" w:rsidRPr="00791906" w:rsidRDefault="00F621C3" w:rsidP="00D1279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To find the instant petition </w:t>
      </w:r>
      <w:r w:rsidR="00D12794" w:rsidRPr="00791906">
        <w:rPr>
          <w:rFonts w:asciiTheme="majorHAnsi" w:hAnsiTheme="majorHAnsi"/>
          <w:sz w:val="20"/>
          <w:szCs w:val="20"/>
        </w:rPr>
        <w:t>in</w:t>
      </w:r>
      <w:r w:rsidRPr="00791906">
        <w:rPr>
          <w:rFonts w:asciiTheme="majorHAnsi" w:hAnsiTheme="majorHAnsi"/>
          <w:sz w:val="20"/>
          <w:szCs w:val="20"/>
        </w:rPr>
        <w:t>admissible;</w:t>
      </w:r>
      <w:r w:rsidR="00D12794" w:rsidRPr="00791906">
        <w:rPr>
          <w:rFonts w:asciiTheme="majorHAnsi" w:hAnsiTheme="majorHAnsi"/>
          <w:sz w:val="20"/>
          <w:szCs w:val="20"/>
        </w:rPr>
        <w:t xml:space="preserve"> </w:t>
      </w:r>
      <w:r w:rsidR="001F1902" w:rsidRPr="00791906">
        <w:rPr>
          <w:rFonts w:asciiTheme="majorHAnsi" w:hAnsiTheme="majorHAnsi"/>
          <w:sz w:val="20"/>
          <w:szCs w:val="20"/>
        </w:rPr>
        <w:t>and</w:t>
      </w:r>
    </w:p>
    <w:p w14:paraId="22CC8DDA" w14:textId="6FC6DEB6"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1906">
        <w:rPr>
          <w:rFonts w:asciiTheme="majorHAnsi" w:hAnsiTheme="majorHAnsi"/>
          <w:sz w:val="20"/>
          <w:szCs w:val="20"/>
        </w:rPr>
        <w:t xml:space="preserve">To notify the parties of this decision; and </w:t>
      </w:r>
      <w:r w:rsidR="001F1902" w:rsidRPr="00791906">
        <w:rPr>
          <w:rFonts w:asciiTheme="majorHAnsi" w:hAnsiTheme="majorHAnsi"/>
          <w:sz w:val="20"/>
          <w:szCs w:val="20"/>
        </w:rPr>
        <w:t>t</w:t>
      </w:r>
      <w:r w:rsidRPr="00791906">
        <w:rPr>
          <w:rFonts w:asciiTheme="majorHAnsi" w:hAnsiTheme="majorHAnsi"/>
          <w:sz w:val="20"/>
          <w:szCs w:val="20"/>
        </w:rPr>
        <w:t>o publish this decision and include it in its Annual Report to the General Assembly of the Organization of American States.</w:t>
      </w:r>
    </w:p>
    <w:p w14:paraId="1C6AA622" w14:textId="4EA00271" w:rsidR="00F621C3" w:rsidRPr="00A35D16" w:rsidRDefault="00E334F9" w:rsidP="00A35D16">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801651">
        <w:rPr>
          <w:rFonts w:ascii="Cambria" w:hAnsi="Cambria"/>
          <w:spacing w:val="-2"/>
          <w:sz w:val="20"/>
        </w:rPr>
        <w:t>20</w:t>
      </w:r>
      <w:r w:rsidR="00801651" w:rsidRPr="00801651">
        <w:rPr>
          <w:rFonts w:ascii="Cambria" w:hAnsi="Cambria"/>
          <w:spacing w:val="-2"/>
          <w:sz w:val="20"/>
          <w:vertAlign w:val="superscript"/>
        </w:rPr>
        <w:t>th</w:t>
      </w:r>
      <w:r w:rsidR="00801651">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801651">
        <w:rPr>
          <w:rFonts w:ascii="Cambria" w:hAnsi="Cambria"/>
          <w:spacing w:val="-2"/>
          <w:sz w:val="20"/>
        </w:rPr>
        <w:t>January</w:t>
      </w:r>
      <w:r>
        <w:rPr>
          <w:rFonts w:ascii="Cambria" w:hAnsi="Cambria"/>
          <w:spacing w:val="-2"/>
          <w:sz w:val="20"/>
        </w:rPr>
        <w:t>, 202</w:t>
      </w:r>
      <w:r w:rsidR="00801651">
        <w:rPr>
          <w:rFonts w:ascii="Cambria" w:hAnsi="Cambria"/>
          <w:spacing w:val="-2"/>
          <w:sz w:val="20"/>
        </w:rPr>
        <w:t>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Julissa Mantilla Falcón, President; Margarette May Macaulay,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resident; Joel Hernández</w:t>
      </w:r>
      <w:r w:rsidR="00801651">
        <w:rPr>
          <w:rStyle w:val="normaltextrun"/>
          <w:rFonts w:ascii="Cambria" w:hAnsi="Cambria" w:cs="Segoe UI"/>
          <w:sz w:val="20"/>
          <w:szCs w:val="20"/>
        </w:rPr>
        <w:t xml:space="preserve"> and</w:t>
      </w:r>
      <w:r w:rsidRPr="00CA3324">
        <w:rPr>
          <w:rStyle w:val="normaltextrun"/>
          <w:rFonts w:ascii="Cambria" w:hAnsi="Cambria" w:cs="Segoe UI"/>
          <w:sz w:val="20"/>
          <w:szCs w:val="20"/>
        </w:rPr>
        <w:t xml:space="preserve"> Roberta Clarke</w:t>
      </w:r>
      <w:r w:rsidR="00801651">
        <w:rPr>
          <w:rStyle w:val="normaltextrun"/>
          <w:rFonts w:ascii="Cambria" w:hAnsi="Cambria" w:cs="Segoe UI"/>
          <w:sz w:val="20"/>
          <w:szCs w:val="20"/>
        </w:rPr>
        <w:t xml:space="preserve">, </w:t>
      </w:r>
      <w:r w:rsidRPr="00CA3324">
        <w:rPr>
          <w:rStyle w:val="normaltextrun"/>
          <w:rFonts w:ascii="Cambria" w:hAnsi="Cambria" w:cs="Segoe UI"/>
          <w:sz w:val="20"/>
          <w:szCs w:val="20"/>
        </w:rPr>
        <w:t>Commissioners</w:t>
      </w:r>
      <w:r>
        <w:rPr>
          <w:rStyle w:val="normaltextrun"/>
          <w:rFonts w:ascii="Cambria" w:hAnsi="Cambria" w:cs="Segoe UI"/>
          <w:sz w:val="20"/>
          <w:szCs w:val="20"/>
        </w:rPr>
        <w:t>.</w:t>
      </w:r>
    </w:p>
    <w:p w14:paraId="42743A32" w14:textId="77777777" w:rsidR="00F621C3" w:rsidRPr="00A35D16"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A35D16"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A35D16" w:rsidRDefault="00F621C3" w:rsidP="00F621C3">
      <w:pPr>
        <w:rPr>
          <w:rFonts w:asciiTheme="majorHAnsi" w:hAnsiTheme="majorHAnsi" w:cs="Calibri"/>
          <w:sz w:val="20"/>
          <w:szCs w:val="20"/>
        </w:rPr>
      </w:pPr>
    </w:p>
    <w:p w14:paraId="2122B46A" w14:textId="77777777" w:rsidR="00C55560" w:rsidRPr="00A35D16" w:rsidRDefault="00C55560" w:rsidP="00230163">
      <w:pPr>
        <w:tabs>
          <w:tab w:val="left" w:pos="2820"/>
        </w:tabs>
        <w:suppressAutoHyphens/>
        <w:spacing w:line="276" w:lineRule="auto"/>
        <w:rPr>
          <w:rFonts w:asciiTheme="majorHAnsi" w:hAnsiTheme="majorHAnsi"/>
          <w:sz w:val="20"/>
          <w:szCs w:val="20"/>
        </w:rPr>
      </w:pPr>
    </w:p>
    <w:sectPr w:rsidR="00C55560" w:rsidRPr="00A35D16"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F1C3" w14:textId="77777777" w:rsidR="00C11188" w:rsidRDefault="00C11188" w:rsidP="00036A8A">
      <w:r>
        <w:separator/>
      </w:r>
    </w:p>
  </w:endnote>
  <w:endnote w:type="continuationSeparator" w:id="0">
    <w:p w14:paraId="19215924" w14:textId="77777777" w:rsidR="00C11188" w:rsidRDefault="00C1118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0A3F" w14:textId="77777777" w:rsidR="00C11188" w:rsidRPr="00036A8A" w:rsidRDefault="00C1118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87543B8" w14:textId="77777777" w:rsidR="00C11188" w:rsidRPr="00036A8A" w:rsidRDefault="00C11188" w:rsidP="00036A8A">
      <w:pPr>
        <w:rPr>
          <w:rFonts w:asciiTheme="majorHAnsi" w:hAnsiTheme="majorHAnsi"/>
          <w:sz w:val="16"/>
          <w:szCs w:val="16"/>
        </w:rPr>
      </w:pPr>
      <w:r w:rsidRPr="00036A8A">
        <w:rPr>
          <w:rFonts w:asciiTheme="majorHAnsi" w:hAnsiTheme="majorHAnsi"/>
          <w:sz w:val="16"/>
          <w:szCs w:val="16"/>
        </w:rPr>
        <w:separator/>
      </w:r>
    </w:p>
    <w:p w14:paraId="35B3AE72" w14:textId="77777777" w:rsidR="00C11188" w:rsidRPr="00036A8A" w:rsidRDefault="00C1118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67A9889" w14:textId="77777777" w:rsidR="00C11188" w:rsidRPr="0093441A" w:rsidRDefault="00C1118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E82D74E" w14:textId="7C9A3A8B" w:rsidR="005A793A" w:rsidRPr="007B5C1B" w:rsidRDefault="005A793A" w:rsidP="00F02BC3">
      <w:pPr>
        <w:pStyle w:val="FootnoteText"/>
        <w:ind w:firstLine="720"/>
        <w:rPr>
          <w:rFonts w:ascii="Cambria" w:hAnsi="Cambria"/>
          <w:sz w:val="16"/>
          <w:szCs w:val="16"/>
        </w:rPr>
      </w:pPr>
      <w:r w:rsidRPr="001275F7">
        <w:rPr>
          <w:rStyle w:val="FootnoteReference"/>
          <w:rFonts w:ascii="Cambria" w:hAnsi="Cambria"/>
          <w:sz w:val="16"/>
          <w:szCs w:val="16"/>
        </w:rPr>
        <w:footnoteRef/>
      </w:r>
      <w:r w:rsidRPr="001275F7">
        <w:rPr>
          <w:rFonts w:ascii="Cambria" w:hAnsi="Cambria"/>
          <w:sz w:val="16"/>
          <w:szCs w:val="16"/>
        </w:rPr>
        <w:t xml:space="preserve"> </w:t>
      </w:r>
      <w:r w:rsidR="001275F7" w:rsidRPr="001275F7">
        <w:rPr>
          <w:rFonts w:ascii="Cambria" w:hAnsi="Cambria"/>
          <w:sz w:val="16"/>
          <w:szCs w:val="16"/>
        </w:rPr>
        <w:t>Hereinafter “the United States”, “the US”, or “the State”.</w:t>
      </w:r>
    </w:p>
  </w:footnote>
  <w:footnote w:id="3">
    <w:p w14:paraId="6F51BDAF" w14:textId="5F4755E7" w:rsidR="00653EA6" w:rsidRPr="000B6B7A" w:rsidRDefault="00653EA6" w:rsidP="00F02BC3">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74654387" w14:textId="77777777" w:rsidR="00DF58C1" w:rsidRPr="009269E8" w:rsidRDefault="00DF58C1" w:rsidP="006D7B86">
      <w:pPr>
        <w:pStyle w:val="FootnoteText"/>
        <w:ind w:firstLine="720"/>
        <w:rPr>
          <w:rFonts w:ascii="Cambria" w:hAnsi="Cambria"/>
          <w:sz w:val="16"/>
          <w:szCs w:val="16"/>
        </w:rPr>
      </w:pPr>
      <w:r w:rsidRPr="009269E8">
        <w:rPr>
          <w:rStyle w:val="FootnoteReference"/>
          <w:rFonts w:ascii="Cambria" w:hAnsi="Cambria"/>
          <w:sz w:val="16"/>
          <w:szCs w:val="16"/>
        </w:rPr>
        <w:footnoteRef/>
      </w:r>
      <w:r w:rsidRPr="009269E8">
        <w:rPr>
          <w:rFonts w:ascii="Cambria" w:hAnsi="Cambria"/>
          <w:sz w:val="16"/>
          <w:szCs w:val="16"/>
        </w:rPr>
        <w:t xml:space="preserve"> This is a federal statute allowing for civil actions for deprivation of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21C5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7146938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15402522">
    <w:abstractNumId w:val="4"/>
  </w:num>
  <w:num w:numId="3" w16cid:durableId="357463538">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303853816">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31087126">
    <w:abstractNumId w:val="6"/>
  </w:num>
  <w:num w:numId="6" w16cid:durableId="109675576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845432225">
    <w:abstractNumId w:val="57"/>
  </w:num>
  <w:num w:numId="8" w16cid:durableId="1905873965">
    <w:abstractNumId w:val="22"/>
  </w:num>
  <w:num w:numId="9" w16cid:durableId="1741125912">
    <w:abstractNumId w:val="49"/>
  </w:num>
  <w:num w:numId="10" w16cid:durableId="501316502">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438478489">
    <w:abstractNumId w:val="28"/>
  </w:num>
  <w:num w:numId="12" w16cid:durableId="1928809164">
    <w:abstractNumId w:val="55"/>
  </w:num>
  <w:num w:numId="13" w16cid:durableId="50798434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35346150">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39073373">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0959712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719020393">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8053315">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393622944">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88621344">
    <w:abstractNumId w:val="7"/>
  </w:num>
  <w:num w:numId="21" w16cid:durableId="36752969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4490254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1592104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42777">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05920409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13019684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115854791">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4143738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73755876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3852834">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681977753">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65637185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92598950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36132466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559974628">
    <w:abstractNumId w:val="18"/>
  </w:num>
  <w:num w:numId="36" w16cid:durableId="157496739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9557974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377902656">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329531106">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1360353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3395070">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862738086">
    <w:abstractNumId w:val="39"/>
  </w:num>
  <w:num w:numId="43" w16cid:durableId="184354753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39481899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7829162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74404973">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4570071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1439340">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3483634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75238394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76513167">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34047518">
    <w:abstractNumId w:val="43"/>
  </w:num>
  <w:num w:numId="53" w16cid:durableId="1657688833">
    <w:abstractNumId w:val="0"/>
  </w:num>
  <w:num w:numId="54" w16cid:durableId="199905427">
    <w:abstractNumId w:val="38"/>
  </w:num>
  <w:num w:numId="55" w16cid:durableId="2037463501">
    <w:abstractNumId w:val="39"/>
  </w:num>
  <w:num w:numId="56" w16cid:durableId="380718163">
    <w:abstractNumId w:val="45"/>
  </w:num>
  <w:num w:numId="57" w16cid:durableId="30738494">
    <w:abstractNumId w:val="1"/>
  </w:num>
  <w:num w:numId="58" w16cid:durableId="1137722912">
    <w:abstractNumId w:val="2"/>
  </w:num>
  <w:num w:numId="59" w16cid:durableId="1915360401">
    <w:abstractNumId w:val="8"/>
  </w:num>
  <w:num w:numId="60" w16cid:durableId="274798069">
    <w:abstractNumId w:val="9"/>
  </w:num>
  <w:num w:numId="61" w16cid:durableId="646592012">
    <w:abstractNumId w:val="10"/>
  </w:num>
  <w:num w:numId="62" w16cid:durableId="1237589379">
    <w:abstractNumId w:val="12"/>
  </w:num>
  <w:num w:numId="63" w16cid:durableId="783814713">
    <w:abstractNumId w:val="13"/>
  </w:num>
  <w:num w:numId="64" w16cid:durableId="179053968">
    <w:abstractNumId w:val="14"/>
  </w:num>
  <w:num w:numId="65" w16cid:durableId="901603298">
    <w:abstractNumId w:val="15"/>
  </w:num>
  <w:num w:numId="66" w16cid:durableId="229509204">
    <w:abstractNumId w:val="16"/>
  </w:num>
  <w:num w:numId="67" w16cid:durableId="162933782">
    <w:abstractNumId w:val="17"/>
  </w:num>
  <w:num w:numId="68" w16cid:durableId="906383916">
    <w:abstractNumId w:val="19"/>
  </w:num>
  <w:num w:numId="69" w16cid:durableId="32314223">
    <w:abstractNumId w:val="20"/>
  </w:num>
  <w:num w:numId="70" w16cid:durableId="1711370160">
    <w:abstractNumId w:val="23"/>
  </w:num>
  <w:num w:numId="71" w16cid:durableId="1016155380">
    <w:abstractNumId w:val="24"/>
  </w:num>
  <w:num w:numId="72" w16cid:durableId="1033189156">
    <w:abstractNumId w:val="25"/>
  </w:num>
  <w:num w:numId="73" w16cid:durableId="2001734586">
    <w:abstractNumId w:val="27"/>
  </w:num>
  <w:num w:numId="74" w16cid:durableId="1024287631">
    <w:abstractNumId w:val="29"/>
  </w:num>
  <w:num w:numId="75" w16cid:durableId="1117335760">
    <w:abstractNumId w:val="30"/>
  </w:num>
  <w:num w:numId="76" w16cid:durableId="396706055">
    <w:abstractNumId w:val="31"/>
  </w:num>
  <w:num w:numId="77" w16cid:durableId="700938227">
    <w:abstractNumId w:val="32"/>
  </w:num>
  <w:num w:numId="78" w16cid:durableId="1235312204">
    <w:abstractNumId w:val="33"/>
  </w:num>
  <w:num w:numId="79" w16cid:durableId="101803401">
    <w:abstractNumId w:val="34"/>
  </w:num>
  <w:num w:numId="80" w16cid:durableId="968048492">
    <w:abstractNumId w:val="35"/>
  </w:num>
  <w:num w:numId="81" w16cid:durableId="1975520751">
    <w:abstractNumId w:val="36"/>
  </w:num>
  <w:num w:numId="82" w16cid:durableId="2105224317">
    <w:abstractNumId w:val="40"/>
  </w:num>
  <w:num w:numId="83" w16cid:durableId="630015465">
    <w:abstractNumId w:val="41"/>
  </w:num>
  <w:num w:numId="84" w16cid:durableId="1403719557">
    <w:abstractNumId w:val="47"/>
  </w:num>
  <w:num w:numId="85" w16cid:durableId="141316378">
    <w:abstractNumId w:val="50"/>
  </w:num>
  <w:num w:numId="86" w16cid:durableId="1839231303">
    <w:abstractNumId w:val="52"/>
  </w:num>
  <w:num w:numId="87" w16cid:durableId="1115826223">
    <w:abstractNumId w:val="54"/>
  </w:num>
  <w:num w:numId="88" w16cid:durableId="910971437">
    <w:abstractNumId w:val="56"/>
  </w:num>
  <w:num w:numId="89" w16cid:durableId="732045512">
    <w:abstractNumId w:val="58"/>
  </w:num>
  <w:num w:numId="90" w16cid:durableId="299187772">
    <w:abstractNumId w:val="59"/>
  </w:num>
  <w:num w:numId="91" w16cid:durableId="1082331771">
    <w:abstractNumId w:val="60"/>
  </w:num>
  <w:num w:numId="92" w16cid:durableId="1581406612">
    <w:abstractNumId w:val="61"/>
  </w:num>
  <w:num w:numId="93" w16cid:durableId="2133355375">
    <w:abstractNumId w:val="62"/>
  </w:num>
  <w:num w:numId="94" w16cid:durableId="2028482237">
    <w:abstractNumId w:val="21"/>
  </w:num>
  <w:num w:numId="95" w16cid:durableId="342125091">
    <w:abstractNumId w:val="42"/>
  </w:num>
  <w:num w:numId="96" w16cid:durableId="2032946276">
    <w:abstractNumId w:val="53"/>
  </w:num>
  <w:num w:numId="97" w16cid:durableId="178203994">
    <w:abstractNumId w:val="51"/>
  </w:num>
  <w:num w:numId="98" w16cid:durableId="2007587280">
    <w:abstractNumId w:val="46"/>
  </w:num>
  <w:num w:numId="99" w16cid:durableId="1798986435">
    <w:abstractNumId w:val="37"/>
  </w:num>
  <w:num w:numId="100" w16cid:durableId="71855186">
    <w:abstractNumId w:val="3"/>
  </w:num>
  <w:num w:numId="101" w16cid:durableId="269898671">
    <w:abstractNumId w:val="26"/>
  </w:num>
  <w:num w:numId="102" w16cid:durableId="728963804">
    <w:abstractNumId w:val="48"/>
  </w:num>
  <w:num w:numId="103" w16cid:durableId="217211961">
    <w:abstractNumId w:val="5"/>
  </w:num>
  <w:num w:numId="104" w16cid:durableId="192043168">
    <w:abstractNumId w:val="11"/>
  </w:num>
  <w:num w:numId="105" w16cid:durableId="1389650490">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2CF5"/>
    <w:rsid w:val="00036A8A"/>
    <w:rsid w:val="00040C3A"/>
    <w:rsid w:val="00051821"/>
    <w:rsid w:val="000535DF"/>
    <w:rsid w:val="000639C0"/>
    <w:rsid w:val="00070F3A"/>
    <w:rsid w:val="000716C5"/>
    <w:rsid w:val="00075E23"/>
    <w:rsid w:val="00092F32"/>
    <w:rsid w:val="0009344A"/>
    <w:rsid w:val="000A575F"/>
    <w:rsid w:val="000B15F3"/>
    <w:rsid w:val="000B2F51"/>
    <w:rsid w:val="000C4365"/>
    <w:rsid w:val="000D10DB"/>
    <w:rsid w:val="000D7BF5"/>
    <w:rsid w:val="0011240A"/>
    <w:rsid w:val="00124116"/>
    <w:rsid w:val="001275F7"/>
    <w:rsid w:val="0013104F"/>
    <w:rsid w:val="00137EBA"/>
    <w:rsid w:val="00145EDC"/>
    <w:rsid w:val="001512E4"/>
    <w:rsid w:val="00153084"/>
    <w:rsid w:val="00161C96"/>
    <w:rsid w:val="00167A34"/>
    <w:rsid w:val="001714B4"/>
    <w:rsid w:val="00177A6D"/>
    <w:rsid w:val="0018037F"/>
    <w:rsid w:val="001A5F27"/>
    <w:rsid w:val="001A65E4"/>
    <w:rsid w:val="001A7870"/>
    <w:rsid w:val="001B0928"/>
    <w:rsid w:val="001B27CC"/>
    <w:rsid w:val="001C1B41"/>
    <w:rsid w:val="001C2D88"/>
    <w:rsid w:val="001D4AF4"/>
    <w:rsid w:val="001E366B"/>
    <w:rsid w:val="001E53BE"/>
    <w:rsid w:val="001E5FF0"/>
    <w:rsid w:val="001F146F"/>
    <w:rsid w:val="001F1902"/>
    <w:rsid w:val="00210E0E"/>
    <w:rsid w:val="00210F4B"/>
    <w:rsid w:val="00230163"/>
    <w:rsid w:val="0023351C"/>
    <w:rsid w:val="00247403"/>
    <w:rsid w:val="00247542"/>
    <w:rsid w:val="00251FEE"/>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5293"/>
    <w:rsid w:val="00311A4F"/>
    <w:rsid w:val="00314078"/>
    <w:rsid w:val="00314615"/>
    <w:rsid w:val="00321AFD"/>
    <w:rsid w:val="00322450"/>
    <w:rsid w:val="003246B5"/>
    <w:rsid w:val="0033169F"/>
    <w:rsid w:val="003414AC"/>
    <w:rsid w:val="00356185"/>
    <w:rsid w:val="00360380"/>
    <w:rsid w:val="0036555F"/>
    <w:rsid w:val="003771A3"/>
    <w:rsid w:val="00386CF0"/>
    <w:rsid w:val="003908F0"/>
    <w:rsid w:val="003A4348"/>
    <w:rsid w:val="003B70CF"/>
    <w:rsid w:val="003C32BC"/>
    <w:rsid w:val="003D102A"/>
    <w:rsid w:val="003E3E03"/>
    <w:rsid w:val="003F1BBF"/>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F6B67"/>
    <w:rsid w:val="00501399"/>
    <w:rsid w:val="00504E11"/>
    <w:rsid w:val="00507BC4"/>
    <w:rsid w:val="005128E4"/>
    <w:rsid w:val="00520468"/>
    <w:rsid w:val="00525560"/>
    <w:rsid w:val="005357A6"/>
    <w:rsid w:val="00544C49"/>
    <w:rsid w:val="00563EF0"/>
    <w:rsid w:val="00566F19"/>
    <w:rsid w:val="0057402A"/>
    <w:rsid w:val="005771D0"/>
    <w:rsid w:val="005816E5"/>
    <w:rsid w:val="0059191A"/>
    <w:rsid w:val="005921FF"/>
    <w:rsid w:val="00592718"/>
    <w:rsid w:val="005A6D0E"/>
    <w:rsid w:val="005A793A"/>
    <w:rsid w:val="005B222D"/>
    <w:rsid w:val="005B52B0"/>
    <w:rsid w:val="005B6806"/>
    <w:rsid w:val="005C00F9"/>
    <w:rsid w:val="005C4225"/>
    <w:rsid w:val="005D5013"/>
    <w:rsid w:val="005F0F33"/>
    <w:rsid w:val="005F5DCA"/>
    <w:rsid w:val="00600DEB"/>
    <w:rsid w:val="00613027"/>
    <w:rsid w:val="0062171D"/>
    <w:rsid w:val="00627C9F"/>
    <w:rsid w:val="006311DA"/>
    <w:rsid w:val="006311E9"/>
    <w:rsid w:val="006318B2"/>
    <w:rsid w:val="00632354"/>
    <w:rsid w:val="00642810"/>
    <w:rsid w:val="00652333"/>
    <w:rsid w:val="00653EA6"/>
    <w:rsid w:val="0068009E"/>
    <w:rsid w:val="006A17D2"/>
    <w:rsid w:val="006A73E6"/>
    <w:rsid w:val="006B2D5C"/>
    <w:rsid w:val="006B53A9"/>
    <w:rsid w:val="006B60F5"/>
    <w:rsid w:val="006C4EB1"/>
    <w:rsid w:val="006D4707"/>
    <w:rsid w:val="006D7B86"/>
    <w:rsid w:val="006E0166"/>
    <w:rsid w:val="006E6DE6"/>
    <w:rsid w:val="006E7B34"/>
    <w:rsid w:val="006F1022"/>
    <w:rsid w:val="006F4458"/>
    <w:rsid w:val="00701B24"/>
    <w:rsid w:val="00706634"/>
    <w:rsid w:val="00706858"/>
    <w:rsid w:val="0071495F"/>
    <w:rsid w:val="0073798E"/>
    <w:rsid w:val="00740D6A"/>
    <w:rsid w:val="00745899"/>
    <w:rsid w:val="007607C4"/>
    <w:rsid w:val="0076643F"/>
    <w:rsid w:val="00781653"/>
    <w:rsid w:val="00791906"/>
    <w:rsid w:val="00792CC2"/>
    <w:rsid w:val="00797CA0"/>
    <w:rsid w:val="007A2F70"/>
    <w:rsid w:val="007A4E36"/>
    <w:rsid w:val="007B5C1B"/>
    <w:rsid w:val="007C1B8F"/>
    <w:rsid w:val="007C3334"/>
    <w:rsid w:val="007C52BB"/>
    <w:rsid w:val="007D2048"/>
    <w:rsid w:val="007D2B98"/>
    <w:rsid w:val="007E3DEF"/>
    <w:rsid w:val="007F425E"/>
    <w:rsid w:val="007F4853"/>
    <w:rsid w:val="00801651"/>
    <w:rsid w:val="00802E9F"/>
    <w:rsid w:val="00803F1C"/>
    <w:rsid w:val="0080600E"/>
    <w:rsid w:val="00810B0C"/>
    <w:rsid w:val="00814711"/>
    <w:rsid w:val="00817612"/>
    <w:rsid w:val="00821B31"/>
    <w:rsid w:val="00837C45"/>
    <w:rsid w:val="00850E52"/>
    <w:rsid w:val="00853419"/>
    <w:rsid w:val="008701D6"/>
    <w:rsid w:val="00891C23"/>
    <w:rsid w:val="00897E12"/>
    <w:rsid w:val="008D43BA"/>
    <w:rsid w:val="008E3759"/>
    <w:rsid w:val="008E40F5"/>
    <w:rsid w:val="008F6E08"/>
    <w:rsid w:val="00902720"/>
    <w:rsid w:val="009041DC"/>
    <w:rsid w:val="009104B4"/>
    <w:rsid w:val="00921C57"/>
    <w:rsid w:val="009228DA"/>
    <w:rsid w:val="00925FCD"/>
    <w:rsid w:val="009269E8"/>
    <w:rsid w:val="0093441A"/>
    <w:rsid w:val="00946ACE"/>
    <w:rsid w:val="00952D9B"/>
    <w:rsid w:val="00954BF7"/>
    <w:rsid w:val="0096706E"/>
    <w:rsid w:val="00981FBA"/>
    <w:rsid w:val="0098783D"/>
    <w:rsid w:val="009B381B"/>
    <w:rsid w:val="009B58F0"/>
    <w:rsid w:val="009D191C"/>
    <w:rsid w:val="009D73E7"/>
    <w:rsid w:val="009D7611"/>
    <w:rsid w:val="009E53DE"/>
    <w:rsid w:val="009E566A"/>
    <w:rsid w:val="009F26A3"/>
    <w:rsid w:val="00A12DBC"/>
    <w:rsid w:val="00A35D16"/>
    <w:rsid w:val="00A43458"/>
    <w:rsid w:val="00A528D1"/>
    <w:rsid w:val="00A5614D"/>
    <w:rsid w:val="00A66BE5"/>
    <w:rsid w:val="00A76C9A"/>
    <w:rsid w:val="00A90949"/>
    <w:rsid w:val="00AD37C1"/>
    <w:rsid w:val="00AE4758"/>
    <w:rsid w:val="00AE66EC"/>
    <w:rsid w:val="00AE6F91"/>
    <w:rsid w:val="00AF5571"/>
    <w:rsid w:val="00B06BB7"/>
    <w:rsid w:val="00B167E9"/>
    <w:rsid w:val="00B179ED"/>
    <w:rsid w:val="00B314DB"/>
    <w:rsid w:val="00B31EBE"/>
    <w:rsid w:val="00B34344"/>
    <w:rsid w:val="00B3718B"/>
    <w:rsid w:val="00B40C0A"/>
    <w:rsid w:val="00B42FFC"/>
    <w:rsid w:val="00B44B23"/>
    <w:rsid w:val="00B4632A"/>
    <w:rsid w:val="00B51474"/>
    <w:rsid w:val="00B62180"/>
    <w:rsid w:val="00B661A4"/>
    <w:rsid w:val="00B746B3"/>
    <w:rsid w:val="00B92E49"/>
    <w:rsid w:val="00BA276C"/>
    <w:rsid w:val="00BA7D26"/>
    <w:rsid w:val="00BB306F"/>
    <w:rsid w:val="00BD232B"/>
    <w:rsid w:val="00BD2E42"/>
    <w:rsid w:val="00BD4B89"/>
    <w:rsid w:val="00BE29C4"/>
    <w:rsid w:val="00C11188"/>
    <w:rsid w:val="00C16465"/>
    <w:rsid w:val="00C21762"/>
    <w:rsid w:val="00C21901"/>
    <w:rsid w:val="00C24543"/>
    <w:rsid w:val="00C256A2"/>
    <w:rsid w:val="00C3492D"/>
    <w:rsid w:val="00C55560"/>
    <w:rsid w:val="00C66B72"/>
    <w:rsid w:val="00C84D0A"/>
    <w:rsid w:val="00C9567A"/>
    <w:rsid w:val="00CA6577"/>
    <w:rsid w:val="00CB2660"/>
    <w:rsid w:val="00CC5E90"/>
    <w:rsid w:val="00CC7D2C"/>
    <w:rsid w:val="00CD046C"/>
    <w:rsid w:val="00CE5199"/>
    <w:rsid w:val="00CE66D5"/>
    <w:rsid w:val="00D10347"/>
    <w:rsid w:val="00D12794"/>
    <w:rsid w:val="00D12C22"/>
    <w:rsid w:val="00D34786"/>
    <w:rsid w:val="00D40A1E"/>
    <w:rsid w:val="00D533C0"/>
    <w:rsid w:val="00D712D3"/>
    <w:rsid w:val="00D71422"/>
    <w:rsid w:val="00D7145E"/>
    <w:rsid w:val="00D75084"/>
    <w:rsid w:val="00D7558D"/>
    <w:rsid w:val="00D81D92"/>
    <w:rsid w:val="00D92C1A"/>
    <w:rsid w:val="00D93446"/>
    <w:rsid w:val="00DA65DF"/>
    <w:rsid w:val="00DA7B5F"/>
    <w:rsid w:val="00DF078B"/>
    <w:rsid w:val="00DF350D"/>
    <w:rsid w:val="00DF58C1"/>
    <w:rsid w:val="00E227C1"/>
    <w:rsid w:val="00E334F9"/>
    <w:rsid w:val="00E365BB"/>
    <w:rsid w:val="00E43157"/>
    <w:rsid w:val="00E46451"/>
    <w:rsid w:val="00E47F3D"/>
    <w:rsid w:val="00E533FF"/>
    <w:rsid w:val="00E709B3"/>
    <w:rsid w:val="00E7177B"/>
    <w:rsid w:val="00E7588C"/>
    <w:rsid w:val="00E7797F"/>
    <w:rsid w:val="00E82455"/>
    <w:rsid w:val="00E850B6"/>
    <w:rsid w:val="00E8789F"/>
    <w:rsid w:val="00E943DE"/>
    <w:rsid w:val="00E96E02"/>
    <w:rsid w:val="00E97B71"/>
    <w:rsid w:val="00EA5ACD"/>
    <w:rsid w:val="00EB454D"/>
    <w:rsid w:val="00EB6643"/>
    <w:rsid w:val="00EB786F"/>
    <w:rsid w:val="00ED0D1B"/>
    <w:rsid w:val="00EE3522"/>
    <w:rsid w:val="00EF619B"/>
    <w:rsid w:val="00F00B55"/>
    <w:rsid w:val="00F02BC3"/>
    <w:rsid w:val="00F1380F"/>
    <w:rsid w:val="00F14F0E"/>
    <w:rsid w:val="00F15A3B"/>
    <w:rsid w:val="00F24C29"/>
    <w:rsid w:val="00F253CC"/>
    <w:rsid w:val="00F40F52"/>
    <w:rsid w:val="00F42B71"/>
    <w:rsid w:val="00F56BA5"/>
    <w:rsid w:val="00F621C3"/>
    <w:rsid w:val="00F644E6"/>
    <w:rsid w:val="00F93154"/>
    <w:rsid w:val="00F9653B"/>
    <w:rsid w:val="00FB62CF"/>
    <w:rsid w:val="00FC3EB4"/>
    <w:rsid w:val="00FC6C58"/>
    <w:rsid w:val="00FD4100"/>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normaltextrun">
    <w:name w:val="normaltextrun"/>
    <w:basedOn w:val="DefaultParagraphFont"/>
    <w:rsid w:val="00E334F9"/>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15EFB"/>
    <w:rsid w:val="001B3C1F"/>
    <w:rsid w:val="002F1DDB"/>
    <w:rsid w:val="003748EB"/>
    <w:rsid w:val="0037569C"/>
    <w:rsid w:val="004108B1"/>
    <w:rsid w:val="006A3012"/>
    <w:rsid w:val="00AB44F1"/>
    <w:rsid w:val="00AE54E1"/>
    <w:rsid w:val="00C74229"/>
    <w:rsid w:val="00D05A0F"/>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2023-03-24T18:16:00Z</dcterms:created>
  <dcterms:modified xsi:type="dcterms:W3CDTF">2023-03-24T18:16:00Z</dcterms:modified>
</cp:coreProperties>
</file>