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1BDBD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D19E4B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4141E">
                              <w:rPr>
                                <w:rFonts w:asciiTheme="majorHAnsi" w:hAnsiTheme="majorHAnsi" w:cs="Arial"/>
                                <w:b/>
                                <w:bCs/>
                                <w:color w:val="0D0D0D" w:themeColor="text1" w:themeTint="F2"/>
                                <w:sz w:val="36"/>
                                <w:szCs w:val="40"/>
                              </w:rPr>
                              <w:t>77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2D6C6B">
                              <w:rPr>
                                <w:rFonts w:asciiTheme="majorHAnsi" w:hAnsiTheme="majorHAnsi" w:cs="Arial"/>
                                <w:b/>
                                <w:bCs/>
                                <w:color w:val="0D0D0D" w:themeColor="text1" w:themeTint="F2"/>
                                <w:sz w:val="36"/>
                                <w:szCs w:val="40"/>
                              </w:rPr>
                              <w:t>3</w:t>
                            </w:r>
                          </w:p>
                          <w:p w14:paraId="081F51F3" w14:textId="4819CA0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97A8C" w:rsidRPr="00297A8C">
                              <w:rPr>
                                <w:rFonts w:asciiTheme="majorHAnsi" w:hAnsiTheme="majorHAnsi" w:cs="Arial"/>
                                <w:b/>
                                <w:bCs/>
                                <w:color w:val="0D0D0D" w:themeColor="text1" w:themeTint="F2"/>
                                <w:sz w:val="36"/>
                                <w:szCs w:val="40"/>
                              </w:rPr>
                              <w:t>2528</w:t>
                            </w:r>
                            <w:r w:rsidR="00F621C3">
                              <w:rPr>
                                <w:rFonts w:asciiTheme="majorHAnsi" w:hAnsiTheme="majorHAnsi" w:cs="Arial"/>
                                <w:b/>
                                <w:bCs/>
                                <w:color w:val="0D0D0D" w:themeColor="text1" w:themeTint="F2"/>
                                <w:sz w:val="36"/>
                                <w:szCs w:val="40"/>
                              </w:rPr>
                              <w:t>-</w:t>
                            </w:r>
                            <w:r w:rsidR="00297A8C">
                              <w:rPr>
                                <w:rFonts w:asciiTheme="majorHAnsi" w:hAnsiTheme="majorHAnsi" w:cs="Arial"/>
                                <w:b/>
                                <w:bCs/>
                                <w:color w:val="0D0D0D" w:themeColor="text1" w:themeTint="F2"/>
                                <w:sz w:val="36"/>
                                <w:szCs w:val="40"/>
                              </w:rPr>
                              <w:t>17</w:t>
                            </w:r>
                          </w:p>
                          <w:p w14:paraId="34978E5A" w14:textId="2918249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86363F">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EA6669C" w:rsidR="00F42B71" w:rsidRPr="004B625D" w:rsidRDefault="0086363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BRIDGET ALLEN </w:t>
                            </w:r>
                          </w:p>
                          <w:p w14:paraId="556B85F8" w14:textId="1D70E5E3" w:rsidR="0086363F" w:rsidRPr="004B625D" w:rsidRDefault="0086363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1D19E4B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4141E">
                        <w:rPr>
                          <w:rFonts w:asciiTheme="majorHAnsi" w:hAnsiTheme="majorHAnsi" w:cs="Arial"/>
                          <w:b/>
                          <w:bCs/>
                          <w:color w:val="0D0D0D" w:themeColor="text1" w:themeTint="F2"/>
                          <w:sz w:val="36"/>
                          <w:szCs w:val="40"/>
                        </w:rPr>
                        <w:t>77</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2D6C6B">
                        <w:rPr>
                          <w:rFonts w:asciiTheme="majorHAnsi" w:hAnsiTheme="majorHAnsi" w:cs="Arial"/>
                          <w:b/>
                          <w:bCs/>
                          <w:color w:val="0D0D0D" w:themeColor="text1" w:themeTint="F2"/>
                          <w:sz w:val="36"/>
                          <w:szCs w:val="40"/>
                        </w:rPr>
                        <w:t>3</w:t>
                      </w:r>
                    </w:p>
                    <w:p w14:paraId="081F51F3" w14:textId="4819CA0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97A8C" w:rsidRPr="00297A8C">
                        <w:rPr>
                          <w:rFonts w:asciiTheme="majorHAnsi" w:hAnsiTheme="majorHAnsi" w:cs="Arial"/>
                          <w:b/>
                          <w:bCs/>
                          <w:color w:val="0D0D0D" w:themeColor="text1" w:themeTint="F2"/>
                          <w:sz w:val="36"/>
                          <w:szCs w:val="40"/>
                        </w:rPr>
                        <w:t>2528</w:t>
                      </w:r>
                      <w:r w:rsidR="00F621C3">
                        <w:rPr>
                          <w:rFonts w:asciiTheme="majorHAnsi" w:hAnsiTheme="majorHAnsi" w:cs="Arial"/>
                          <w:b/>
                          <w:bCs/>
                          <w:color w:val="0D0D0D" w:themeColor="text1" w:themeTint="F2"/>
                          <w:sz w:val="36"/>
                          <w:szCs w:val="40"/>
                        </w:rPr>
                        <w:t>-</w:t>
                      </w:r>
                      <w:r w:rsidR="00297A8C">
                        <w:rPr>
                          <w:rFonts w:asciiTheme="majorHAnsi" w:hAnsiTheme="majorHAnsi" w:cs="Arial"/>
                          <w:b/>
                          <w:bCs/>
                          <w:color w:val="0D0D0D" w:themeColor="text1" w:themeTint="F2"/>
                          <w:sz w:val="36"/>
                          <w:szCs w:val="40"/>
                        </w:rPr>
                        <w:t>17</w:t>
                      </w:r>
                    </w:p>
                    <w:p w14:paraId="34978E5A" w14:textId="2918249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86363F">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EA6669C" w:rsidR="00F42B71" w:rsidRPr="004B625D" w:rsidRDefault="0086363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BRIDGET ALLEN </w:t>
                      </w:r>
                    </w:p>
                    <w:p w14:paraId="556B85F8" w14:textId="1D70E5E3" w:rsidR="0086363F" w:rsidRPr="004B625D" w:rsidRDefault="0086363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568E1DB" w:rsidR="00627C9F" w:rsidRPr="00A442E1" w:rsidRDefault="009E566A" w:rsidP="009E566A">
                            <w:pPr>
                              <w:jc w:val="right"/>
                              <w:rPr>
                                <w:rFonts w:asciiTheme="minorHAnsi" w:hAnsiTheme="minorHAnsi"/>
                                <w:color w:val="FFFFFF" w:themeColor="background1"/>
                                <w:sz w:val="22"/>
                                <w:lang w:val="es-AR"/>
                              </w:rPr>
                            </w:pPr>
                            <w:r w:rsidRPr="00A442E1">
                              <w:rPr>
                                <w:rFonts w:asciiTheme="minorHAnsi" w:hAnsiTheme="minorHAnsi"/>
                                <w:color w:val="FFFFFF" w:themeColor="background1"/>
                                <w:sz w:val="22"/>
                                <w:lang w:val="es-AR"/>
                              </w:rPr>
                              <w:t>OEA/Ser.L/V/II</w:t>
                            </w:r>
                          </w:p>
                          <w:p w14:paraId="4AA08A8C" w14:textId="03492148" w:rsidR="00627C9F" w:rsidRPr="00A442E1" w:rsidRDefault="00CA6577" w:rsidP="009E566A">
                            <w:pPr>
                              <w:jc w:val="right"/>
                              <w:rPr>
                                <w:rFonts w:asciiTheme="minorHAnsi" w:hAnsiTheme="minorHAnsi"/>
                                <w:color w:val="FFFFFF" w:themeColor="background1"/>
                                <w:sz w:val="22"/>
                                <w:lang w:val="es-AR"/>
                              </w:rPr>
                            </w:pPr>
                            <w:r w:rsidRPr="00A442E1">
                              <w:rPr>
                                <w:rFonts w:asciiTheme="minorHAnsi" w:hAnsiTheme="minorHAnsi"/>
                                <w:color w:val="FFFFFF" w:themeColor="background1"/>
                                <w:sz w:val="22"/>
                                <w:lang w:val="es-AR"/>
                              </w:rPr>
                              <w:t xml:space="preserve">Doc. </w:t>
                            </w:r>
                            <w:r w:rsidR="00F4141E" w:rsidRPr="00A442E1">
                              <w:rPr>
                                <w:rFonts w:asciiTheme="minorHAnsi" w:hAnsiTheme="minorHAnsi"/>
                                <w:color w:val="FFFFFF" w:themeColor="background1"/>
                                <w:sz w:val="22"/>
                                <w:lang w:val="es-AR"/>
                              </w:rPr>
                              <w:t>85</w:t>
                            </w:r>
                          </w:p>
                          <w:p w14:paraId="0BEFF61A" w14:textId="66D7AE19" w:rsidR="00627C9F" w:rsidRPr="00A442E1" w:rsidRDefault="00022CF5" w:rsidP="009E566A">
                            <w:pPr>
                              <w:jc w:val="right"/>
                              <w:rPr>
                                <w:rFonts w:asciiTheme="minorHAnsi" w:hAnsiTheme="minorHAnsi"/>
                                <w:color w:val="FFFFFF" w:themeColor="background1"/>
                                <w:sz w:val="22"/>
                                <w:lang w:val="es-AR"/>
                              </w:rPr>
                            </w:pPr>
                            <w:r w:rsidRPr="00A442E1">
                              <w:rPr>
                                <w:rFonts w:asciiTheme="minorHAnsi" w:hAnsiTheme="minorHAnsi"/>
                                <w:color w:val="FFFFFF" w:themeColor="background1"/>
                                <w:sz w:val="22"/>
                                <w:lang w:val="es-AR"/>
                              </w:rPr>
                              <w:t xml:space="preserve"> </w:t>
                            </w:r>
                            <w:r w:rsidR="00F4141E" w:rsidRPr="00A442E1">
                              <w:rPr>
                                <w:rFonts w:asciiTheme="minorHAnsi" w:hAnsiTheme="minorHAnsi"/>
                                <w:color w:val="FFFFFF" w:themeColor="background1"/>
                                <w:sz w:val="22"/>
                                <w:lang w:val="es-AR"/>
                              </w:rPr>
                              <w:t>7 June</w:t>
                            </w:r>
                            <w:r w:rsidR="000C4365" w:rsidRPr="00A442E1">
                              <w:rPr>
                                <w:rFonts w:asciiTheme="minorHAnsi" w:hAnsiTheme="minorHAnsi"/>
                                <w:color w:val="FFFFFF" w:themeColor="background1"/>
                                <w:sz w:val="22"/>
                                <w:lang w:val="es-AR"/>
                              </w:rPr>
                              <w:t xml:space="preserve"> </w:t>
                            </w:r>
                            <w:r w:rsidR="00F42B71" w:rsidRPr="00A442E1">
                              <w:rPr>
                                <w:rFonts w:asciiTheme="minorHAnsi" w:hAnsiTheme="minorHAnsi"/>
                                <w:color w:val="FFFFFF" w:themeColor="background1"/>
                                <w:sz w:val="22"/>
                                <w:lang w:val="es-AR"/>
                              </w:rPr>
                              <w:t>20</w:t>
                            </w:r>
                            <w:r w:rsidR="00F4141E" w:rsidRPr="00A442E1">
                              <w:rPr>
                                <w:rFonts w:asciiTheme="minorHAnsi" w:hAnsiTheme="minorHAnsi"/>
                                <w:color w:val="FFFFFF" w:themeColor="background1"/>
                                <w:sz w:val="22"/>
                                <w:lang w:val="es-AR"/>
                              </w:rPr>
                              <w:t>23</w:t>
                            </w:r>
                          </w:p>
                          <w:p w14:paraId="0FC103BD" w14:textId="7721ABBD" w:rsidR="00627C9F" w:rsidRPr="00E82A5B" w:rsidRDefault="00627C9F" w:rsidP="009E566A">
                            <w:pPr>
                              <w:jc w:val="right"/>
                              <w:rPr>
                                <w:rFonts w:asciiTheme="minorHAnsi" w:hAnsiTheme="minorHAnsi"/>
                                <w:color w:val="FFFFFF" w:themeColor="background1"/>
                                <w:sz w:val="22"/>
                              </w:rPr>
                            </w:pPr>
                            <w:r w:rsidRPr="00E82A5B">
                              <w:rPr>
                                <w:rFonts w:asciiTheme="minorHAnsi" w:hAnsiTheme="minorHAnsi"/>
                                <w:color w:val="FFFFFF" w:themeColor="background1"/>
                                <w:sz w:val="22"/>
                              </w:rPr>
                              <w:t>Original:</w:t>
                            </w:r>
                            <w:r w:rsidR="002C1641" w:rsidRPr="00E82A5B">
                              <w:rPr>
                                <w:rFonts w:asciiTheme="minorHAnsi" w:hAnsiTheme="minorHAnsi"/>
                                <w:color w:val="FFFFFF" w:themeColor="background1"/>
                                <w:sz w:val="22"/>
                              </w:rPr>
                              <w:t xml:space="preserve"> </w:t>
                            </w:r>
                            <w:r w:rsidR="000C4365" w:rsidRPr="00E82A5B">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568E1DB" w:rsidR="00627C9F" w:rsidRPr="00A442E1" w:rsidRDefault="009E566A" w:rsidP="009E566A">
                      <w:pPr>
                        <w:jc w:val="right"/>
                        <w:rPr>
                          <w:rFonts w:asciiTheme="minorHAnsi" w:hAnsiTheme="minorHAnsi"/>
                          <w:color w:val="FFFFFF" w:themeColor="background1"/>
                          <w:sz w:val="22"/>
                          <w:lang w:val="es-AR"/>
                        </w:rPr>
                      </w:pPr>
                      <w:r w:rsidRPr="00A442E1">
                        <w:rPr>
                          <w:rFonts w:asciiTheme="minorHAnsi" w:hAnsiTheme="minorHAnsi"/>
                          <w:color w:val="FFFFFF" w:themeColor="background1"/>
                          <w:sz w:val="22"/>
                          <w:lang w:val="es-AR"/>
                        </w:rPr>
                        <w:t>OEA/Ser.L/V/II</w:t>
                      </w:r>
                    </w:p>
                    <w:p w14:paraId="4AA08A8C" w14:textId="03492148" w:rsidR="00627C9F" w:rsidRPr="00A442E1" w:rsidRDefault="00CA6577" w:rsidP="009E566A">
                      <w:pPr>
                        <w:jc w:val="right"/>
                        <w:rPr>
                          <w:rFonts w:asciiTheme="minorHAnsi" w:hAnsiTheme="minorHAnsi"/>
                          <w:color w:val="FFFFFF" w:themeColor="background1"/>
                          <w:sz w:val="22"/>
                          <w:lang w:val="es-AR"/>
                        </w:rPr>
                      </w:pPr>
                      <w:r w:rsidRPr="00A442E1">
                        <w:rPr>
                          <w:rFonts w:asciiTheme="minorHAnsi" w:hAnsiTheme="minorHAnsi"/>
                          <w:color w:val="FFFFFF" w:themeColor="background1"/>
                          <w:sz w:val="22"/>
                          <w:lang w:val="es-AR"/>
                        </w:rPr>
                        <w:t xml:space="preserve">Doc. </w:t>
                      </w:r>
                      <w:r w:rsidR="00F4141E" w:rsidRPr="00A442E1">
                        <w:rPr>
                          <w:rFonts w:asciiTheme="minorHAnsi" w:hAnsiTheme="minorHAnsi"/>
                          <w:color w:val="FFFFFF" w:themeColor="background1"/>
                          <w:sz w:val="22"/>
                          <w:lang w:val="es-AR"/>
                        </w:rPr>
                        <w:t>85</w:t>
                      </w:r>
                    </w:p>
                    <w:p w14:paraId="0BEFF61A" w14:textId="66D7AE19" w:rsidR="00627C9F" w:rsidRPr="00A442E1" w:rsidRDefault="00022CF5" w:rsidP="009E566A">
                      <w:pPr>
                        <w:jc w:val="right"/>
                        <w:rPr>
                          <w:rFonts w:asciiTheme="minorHAnsi" w:hAnsiTheme="minorHAnsi"/>
                          <w:color w:val="FFFFFF" w:themeColor="background1"/>
                          <w:sz w:val="22"/>
                          <w:lang w:val="es-AR"/>
                        </w:rPr>
                      </w:pPr>
                      <w:r w:rsidRPr="00A442E1">
                        <w:rPr>
                          <w:rFonts w:asciiTheme="minorHAnsi" w:hAnsiTheme="minorHAnsi"/>
                          <w:color w:val="FFFFFF" w:themeColor="background1"/>
                          <w:sz w:val="22"/>
                          <w:lang w:val="es-AR"/>
                        </w:rPr>
                        <w:t xml:space="preserve"> </w:t>
                      </w:r>
                      <w:r w:rsidR="00F4141E" w:rsidRPr="00A442E1">
                        <w:rPr>
                          <w:rFonts w:asciiTheme="minorHAnsi" w:hAnsiTheme="minorHAnsi"/>
                          <w:color w:val="FFFFFF" w:themeColor="background1"/>
                          <w:sz w:val="22"/>
                          <w:lang w:val="es-AR"/>
                        </w:rPr>
                        <w:t>7 June</w:t>
                      </w:r>
                      <w:r w:rsidR="000C4365" w:rsidRPr="00A442E1">
                        <w:rPr>
                          <w:rFonts w:asciiTheme="minorHAnsi" w:hAnsiTheme="minorHAnsi"/>
                          <w:color w:val="FFFFFF" w:themeColor="background1"/>
                          <w:sz w:val="22"/>
                          <w:lang w:val="es-AR"/>
                        </w:rPr>
                        <w:t xml:space="preserve"> </w:t>
                      </w:r>
                      <w:r w:rsidR="00F42B71" w:rsidRPr="00A442E1">
                        <w:rPr>
                          <w:rFonts w:asciiTheme="minorHAnsi" w:hAnsiTheme="minorHAnsi"/>
                          <w:color w:val="FFFFFF" w:themeColor="background1"/>
                          <w:sz w:val="22"/>
                          <w:lang w:val="es-AR"/>
                        </w:rPr>
                        <w:t>20</w:t>
                      </w:r>
                      <w:r w:rsidR="00F4141E" w:rsidRPr="00A442E1">
                        <w:rPr>
                          <w:rFonts w:asciiTheme="minorHAnsi" w:hAnsiTheme="minorHAnsi"/>
                          <w:color w:val="FFFFFF" w:themeColor="background1"/>
                          <w:sz w:val="22"/>
                          <w:lang w:val="es-AR"/>
                        </w:rPr>
                        <w:t>23</w:t>
                      </w:r>
                    </w:p>
                    <w:p w14:paraId="0FC103BD" w14:textId="7721ABBD" w:rsidR="00627C9F" w:rsidRPr="00E82A5B" w:rsidRDefault="00627C9F" w:rsidP="009E566A">
                      <w:pPr>
                        <w:jc w:val="right"/>
                        <w:rPr>
                          <w:rFonts w:asciiTheme="minorHAnsi" w:hAnsiTheme="minorHAnsi"/>
                          <w:color w:val="FFFFFF" w:themeColor="background1"/>
                          <w:sz w:val="22"/>
                        </w:rPr>
                      </w:pPr>
                      <w:r w:rsidRPr="00E82A5B">
                        <w:rPr>
                          <w:rFonts w:asciiTheme="minorHAnsi" w:hAnsiTheme="minorHAnsi"/>
                          <w:color w:val="FFFFFF" w:themeColor="background1"/>
                          <w:sz w:val="22"/>
                        </w:rPr>
                        <w:t>Original:</w:t>
                      </w:r>
                      <w:r w:rsidR="002C1641" w:rsidRPr="00E82A5B">
                        <w:rPr>
                          <w:rFonts w:asciiTheme="minorHAnsi" w:hAnsiTheme="minorHAnsi"/>
                          <w:color w:val="FFFFFF" w:themeColor="background1"/>
                          <w:sz w:val="22"/>
                        </w:rPr>
                        <w:t xml:space="preserve"> </w:t>
                      </w:r>
                      <w:r w:rsidR="000C4365" w:rsidRPr="00E82A5B">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10D1DF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3312A8" w:rsidRPr="003312A8">
                              <w:rPr>
                                <w:rFonts w:asciiTheme="majorHAnsi" w:hAnsiTheme="majorHAnsi"/>
                                <w:color w:val="0D0D0D" w:themeColor="text1" w:themeTint="F2"/>
                                <w:sz w:val="18"/>
                                <w:szCs w:val="20"/>
                              </w:rPr>
                              <w:t xml:space="preserve"> </w:t>
                            </w:r>
                            <w:r w:rsidR="003312A8">
                              <w:rPr>
                                <w:rFonts w:asciiTheme="majorHAnsi" w:hAnsiTheme="majorHAnsi"/>
                                <w:color w:val="0D0D0D" w:themeColor="text1" w:themeTint="F2"/>
                                <w:sz w:val="18"/>
                                <w:szCs w:val="20"/>
                              </w:rPr>
                              <w:t>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3312A8">
                              <w:rPr>
                                <w:rFonts w:asciiTheme="majorHAnsi" w:hAnsiTheme="majorHAnsi"/>
                                <w:color w:val="0D0D0D" w:themeColor="text1" w:themeTint="F2"/>
                                <w:sz w:val="18"/>
                                <w:szCs w:val="20"/>
                              </w:rPr>
                              <w:t>June 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510D1DF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3312A8" w:rsidRPr="003312A8">
                        <w:rPr>
                          <w:rFonts w:asciiTheme="majorHAnsi" w:hAnsiTheme="majorHAnsi"/>
                          <w:color w:val="0D0D0D" w:themeColor="text1" w:themeTint="F2"/>
                          <w:sz w:val="18"/>
                          <w:szCs w:val="20"/>
                        </w:rPr>
                        <w:t xml:space="preserve"> </w:t>
                      </w:r>
                      <w:r w:rsidR="003312A8">
                        <w:rPr>
                          <w:rFonts w:asciiTheme="majorHAnsi" w:hAnsiTheme="majorHAnsi"/>
                          <w:color w:val="0D0D0D" w:themeColor="text1" w:themeTint="F2"/>
                          <w:sz w:val="18"/>
                          <w:szCs w:val="20"/>
                        </w:rPr>
                        <w:t>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3312A8">
                        <w:rPr>
                          <w:rFonts w:asciiTheme="majorHAnsi" w:hAnsiTheme="majorHAnsi"/>
                          <w:color w:val="0D0D0D" w:themeColor="text1" w:themeTint="F2"/>
                          <w:sz w:val="18"/>
                          <w:szCs w:val="20"/>
                        </w:rPr>
                        <w:t>June 7,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136C83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312A8">
                              <w:rPr>
                                <w:rFonts w:asciiTheme="majorHAnsi" w:hAnsiTheme="majorHAnsi"/>
                                <w:color w:val="595959" w:themeColor="text1" w:themeTint="A6"/>
                                <w:sz w:val="18"/>
                              </w:rPr>
                              <w:t>77</w:t>
                            </w:r>
                            <w:r w:rsidR="00022CF5">
                              <w:rPr>
                                <w:rFonts w:asciiTheme="majorHAnsi" w:hAnsiTheme="majorHAnsi"/>
                                <w:color w:val="595959" w:themeColor="text1" w:themeTint="A6"/>
                                <w:sz w:val="18"/>
                              </w:rPr>
                              <w:t>/</w:t>
                            </w:r>
                            <w:r w:rsidR="003312A8">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312A8">
                              <w:rPr>
                                <w:rFonts w:asciiTheme="majorHAnsi" w:hAnsiTheme="majorHAnsi"/>
                                <w:color w:val="595959" w:themeColor="text1" w:themeTint="A6"/>
                                <w:sz w:val="18"/>
                              </w:rPr>
                              <w:t>2528</w:t>
                            </w:r>
                            <w:r w:rsidR="00F621C3">
                              <w:rPr>
                                <w:rFonts w:asciiTheme="majorHAnsi" w:hAnsiTheme="majorHAnsi"/>
                                <w:color w:val="595959" w:themeColor="text1" w:themeTint="A6"/>
                                <w:sz w:val="18"/>
                              </w:rPr>
                              <w:t>-</w:t>
                            </w:r>
                            <w:r w:rsidR="003312A8">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3312A8">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3312A8">
                              <w:rPr>
                                <w:rFonts w:asciiTheme="majorHAnsi" w:hAnsiTheme="majorHAnsi"/>
                                <w:color w:val="595959" w:themeColor="text1" w:themeTint="A6"/>
                                <w:sz w:val="18"/>
                              </w:rPr>
                              <w:t>Bridget Allen</w:t>
                            </w:r>
                            <w:r w:rsidRPr="003C32BC">
                              <w:rPr>
                                <w:rFonts w:asciiTheme="majorHAnsi" w:hAnsiTheme="majorHAnsi"/>
                                <w:color w:val="595959" w:themeColor="text1" w:themeTint="A6"/>
                                <w:sz w:val="18"/>
                              </w:rPr>
                              <w:t xml:space="preserve">. </w:t>
                            </w:r>
                            <w:r w:rsidR="003312A8">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3312A8">
                              <w:rPr>
                                <w:rFonts w:asciiTheme="majorHAnsi" w:hAnsiTheme="majorHAnsi"/>
                                <w:color w:val="595959" w:themeColor="text1" w:themeTint="A6"/>
                                <w:sz w:val="18"/>
                              </w:rPr>
                              <w:t>June 7,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5136C83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312A8">
                        <w:rPr>
                          <w:rFonts w:asciiTheme="majorHAnsi" w:hAnsiTheme="majorHAnsi"/>
                          <w:color w:val="595959" w:themeColor="text1" w:themeTint="A6"/>
                          <w:sz w:val="18"/>
                        </w:rPr>
                        <w:t>77</w:t>
                      </w:r>
                      <w:r w:rsidR="00022CF5">
                        <w:rPr>
                          <w:rFonts w:asciiTheme="majorHAnsi" w:hAnsiTheme="majorHAnsi"/>
                          <w:color w:val="595959" w:themeColor="text1" w:themeTint="A6"/>
                          <w:sz w:val="18"/>
                        </w:rPr>
                        <w:t>/</w:t>
                      </w:r>
                      <w:r w:rsidR="003312A8">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312A8">
                        <w:rPr>
                          <w:rFonts w:asciiTheme="majorHAnsi" w:hAnsiTheme="majorHAnsi"/>
                          <w:color w:val="595959" w:themeColor="text1" w:themeTint="A6"/>
                          <w:sz w:val="18"/>
                        </w:rPr>
                        <w:t>2528</w:t>
                      </w:r>
                      <w:r w:rsidR="00F621C3">
                        <w:rPr>
                          <w:rFonts w:asciiTheme="majorHAnsi" w:hAnsiTheme="majorHAnsi"/>
                          <w:color w:val="595959" w:themeColor="text1" w:themeTint="A6"/>
                          <w:sz w:val="18"/>
                        </w:rPr>
                        <w:t>-</w:t>
                      </w:r>
                      <w:r w:rsidR="003312A8">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3312A8">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3312A8">
                        <w:rPr>
                          <w:rFonts w:asciiTheme="majorHAnsi" w:hAnsiTheme="majorHAnsi"/>
                          <w:color w:val="595959" w:themeColor="text1" w:themeTint="A6"/>
                          <w:sz w:val="18"/>
                        </w:rPr>
                        <w:t>Bridget Allen</w:t>
                      </w:r>
                      <w:r w:rsidRPr="003C32BC">
                        <w:rPr>
                          <w:rFonts w:asciiTheme="majorHAnsi" w:hAnsiTheme="majorHAnsi"/>
                          <w:color w:val="595959" w:themeColor="text1" w:themeTint="A6"/>
                          <w:sz w:val="18"/>
                        </w:rPr>
                        <w:t xml:space="preserve">. </w:t>
                      </w:r>
                      <w:r w:rsidR="003312A8">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3312A8">
                        <w:rPr>
                          <w:rFonts w:asciiTheme="majorHAnsi" w:hAnsiTheme="majorHAnsi"/>
                          <w:color w:val="595959" w:themeColor="text1" w:themeTint="A6"/>
                          <w:sz w:val="18"/>
                        </w:rPr>
                        <w:t>June 7,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002016"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002016">
        <w:rPr>
          <w:rFonts w:asciiTheme="majorHAnsi" w:hAnsiTheme="majorHAnsi"/>
          <w:b/>
          <w:bCs/>
          <w:sz w:val="20"/>
          <w:szCs w:val="20"/>
        </w:rPr>
        <w:t>INFORMATION ABOUT THE PETITION</w:t>
      </w:r>
      <w:r w:rsidRPr="00002016">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02016"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02016" w:rsidRDefault="003771A3" w:rsidP="009163FC">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Petitioner</w:t>
            </w:r>
            <w:r w:rsidR="00F621C3" w:rsidRPr="00002016">
              <w:rPr>
                <w:rFonts w:asciiTheme="majorHAnsi" w:hAnsiTheme="majorHAnsi"/>
                <w:b/>
                <w:bCs/>
                <w:color w:val="FFFFFF" w:themeColor="background1"/>
                <w:sz w:val="20"/>
                <w:szCs w:val="20"/>
              </w:rPr>
              <w:t>:</w:t>
            </w:r>
          </w:p>
        </w:tc>
        <w:tc>
          <w:tcPr>
            <w:tcW w:w="5670" w:type="dxa"/>
            <w:vAlign w:val="center"/>
          </w:tcPr>
          <w:p w14:paraId="0674C7B8" w14:textId="68BEA113" w:rsidR="00F621C3" w:rsidRPr="00002016" w:rsidRDefault="0086363F" w:rsidP="009163FC">
            <w:pPr>
              <w:jc w:val="both"/>
              <w:rPr>
                <w:rFonts w:asciiTheme="majorHAnsi" w:hAnsiTheme="majorHAnsi"/>
                <w:bCs/>
                <w:sz w:val="20"/>
                <w:szCs w:val="20"/>
              </w:rPr>
            </w:pPr>
            <w:r w:rsidRPr="00002016">
              <w:rPr>
                <w:rFonts w:asciiTheme="majorHAnsi" w:hAnsiTheme="majorHAnsi"/>
                <w:bCs/>
                <w:sz w:val="20"/>
                <w:szCs w:val="20"/>
              </w:rPr>
              <w:t>Bridget Allen</w:t>
            </w:r>
          </w:p>
        </w:tc>
      </w:tr>
      <w:tr w:rsidR="00F621C3" w:rsidRPr="00002016"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02016" w:rsidRDefault="003418AC" w:rsidP="009163FC">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002016">
                  <w:rPr>
                    <w:rFonts w:asciiTheme="majorHAnsi" w:hAnsiTheme="majorHAnsi"/>
                    <w:b/>
                    <w:bCs/>
                    <w:color w:val="FFFFFF" w:themeColor="background1"/>
                    <w:sz w:val="20"/>
                    <w:szCs w:val="20"/>
                  </w:rPr>
                  <w:t>Alleged victim</w:t>
                </w:r>
              </w:sdtContent>
            </w:sdt>
            <w:r w:rsidR="00F621C3" w:rsidRPr="00002016">
              <w:rPr>
                <w:rFonts w:asciiTheme="majorHAnsi" w:hAnsiTheme="majorHAnsi"/>
                <w:b/>
                <w:bCs/>
                <w:color w:val="FFFFFF" w:themeColor="background1"/>
                <w:sz w:val="20"/>
                <w:szCs w:val="20"/>
              </w:rPr>
              <w:t>:</w:t>
            </w:r>
          </w:p>
        </w:tc>
        <w:tc>
          <w:tcPr>
            <w:tcW w:w="5670" w:type="dxa"/>
            <w:vAlign w:val="center"/>
          </w:tcPr>
          <w:p w14:paraId="60895337" w14:textId="7118B4F8" w:rsidR="00F621C3" w:rsidRPr="00002016" w:rsidRDefault="0086363F" w:rsidP="009163FC">
            <w:pPr>
              <w:jc w:val="both"/>
              <w:rPr>
                <w:rFonts w:asciiTheme="majorHAnsi" w:hAnsiTheme="majorHAnsi"/>
                <w:bCs/>
                <w:sz w:val="20"/>
                <w:szCs w:val="20"/>
              </w:rPr>
            </w:pPr>
            <w:r w:rsidRPr="00002016">
              <w:rPr>
                <w:rFonts w:asciiTheme="majorHAnsi" w:hAnsiTheme="majorHAnsi"/>
                <w:bCs/>
                <w:sz w:val="20"/>
                <w:szCs w:val="20"/>
              </w:rPr>
              <w:t xml:space="preserve">Bridget Allen </w:t>
            </w:r>
          </w:p>
        </w:tc>
      </w:tr>
      <w:tr w:rsidR="00F621C3" w:rsidRPr="00002016"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02016" w:rsidRDefault="005816E5" w:rsidP="005816E5">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 xml:space="preserve">Respondent </w:t>
            </w:r>
            <w:r w:rsidR="00F621C3" w:rsidRPr="00002016">
              <w:rPr>
                <w:rFonts w:asciiTheme="majorHAnsi" w:hAnsiTheme="majorHAnsi"/>
                <w:b/>
                <w:bCs/>
                <w:color w:val="FFFFFF" w:themeColor="background1"/>
                <w:sz w:val="20"/>
                <w:szCs w:val="20"/>
              </w:rPr>
              <w:t>State:</w:t>
            </w:r>
          </w:p>
        </w:tc>
        <w:tc>
          <w:tcPr>
            <w:tcW w:w="5670" w:type="dxa"/>
            <w:vAlign w:val="center"/>
          </w:tcPr>
          <w:p w14:paraId="3539D391" w14:textId="322F9E17" w:rsidR="00F621C3" w:rsidRPr="00002016" w:rsidRDefault="0086363F" w:rsidP="009163FC">
            <w:pPr>
              <w:jc w:val="both"/>
              <w:rPr>
                <w:rFonts w:asciiTheme="majorHAnsi" w:hAnsiTheme="majorHAnsi"/>
                <w:bCs/>
                <w:sz w:val="20"/>
                <w:szCs w:val="20"/>
              </w:rPr>
            </w:pPr>
            <w:r w:rsidRPr="00002016">
              <w:rPr>
                <w:rFonts w:asciiTheme="majorHAnsi" w:hAnsiTheme="majorHAnsi"/>
                <w:bCs/>
                <w:sz w:val="20"/>
                <w:szCs w:val="20"/>
              </w:rPr>
              <w:t>United States of America</w:t>
            </w:r>
            <w:r w:rsidR="0080751D" w:rsidRPr="00002016">
              <w:rPr>
                <w:rStyle w:val="FootnoteReference"/>
                <w:rFonts w:asciiTheme="majorHAnsi" w:hAnsiTheme="majorHAnsi"/>
                <w:bCs/>
                <w:sz w:val="20"/>
                <w:szCs w:val="20"/>
              </w:rPr>
              <w:footnoteReference w:id="2"/>
            </w:r>
            <w:r w:rsidRPr="00002016">
              <w:rPr>
                <w:rFonts w:asciiTheme="majorHAnsi" w:hAnsiTheme="majorHAnsi"/>
                <w:bCs/>
                <w:sz w:val="20"/>
                <w:szCs w:val="20"/>
              </w:rPr>
              <w:t xml:space="preserve"> </w:t>
            </w:r>
          </w:p>
        </w:tc>
      </w:tr>
      <w:tr w:rsidR="00E47F3D" w:rsidRPr="00002016"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02016" w:rsidRDefault="00E47F3D" w:rsidP="00E7588C">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 xml:space="preserve">Rights </w:t>
            </w:r>
            <w:r w:rsidR="00E7588C" w:rsidRPr="00002016">
              <w:rPr>
                <w:rFonts w:asciiTheme="majorHAnsi" w:hAnsiTheme="majorHAnsi"/>
                <w:b/>
                <w:bCs/>
                <w:color w:val="FFFFFF" w:themeColor="background1"/>
                <w:sz w:val="20"/>
                <w:szCs w:val="20"/>
              </w:rPr>
              <w:t>invoked:</w:t>
            </w:r>
          </w:p>
        </w:tc>
        <w:tc>
          <w:tcPr>
            <w:tcW w:w="5670" w:type="dxa"/>
            <w:vAlign w:val="center"/>
          </w:tcPr>
          <w:p w14:paraId="51EEF9D2" w14:textId="224B24D6" w:rsidR="00E47F3D" w:rsidRPr="00002016" w:rsidRDefault="00D1289A" w:rsidP="009163FC">
            <w:pPr>
              <w:jc w:val="both"/>
              <w:rPr>
                <w:rFonts w:asciiTheme="majorHAnsi" w:hAnsiTheme="majorHAnsi"/>
                <w:bCs/>
                <w:sz w:val="20"/>
                <w:szCs w:val="20"/>
              </w:rPr>
            </w:pPr>
            <w:r w:rsidRPr="00002016">
              <w:rPr>
                <w:rFonts w:asciiTheme="majorHAnsi" w:hAnsiTheme="majorHAnsi"/>
                <w:bCs/>
                <w:sz w:val="20"/>
                <w:szCs w:val="20"/>
              </w:rPr>
              <w:t xml:space="preserve">No provisions cited of </w:t>
            </w:r>
            <w:r w:rsidR="00572A6B" w:rsidRPr="00002016">
              <w:rPr>
                <w:rFonts w:asciiTheme="majorHAnsi" w:hAnsiTheme="majorHAnsi"/>
                <w:bCs/>
                <w:sz w:val="20"/>
                <w:szCs w:val="20"/>
              </w:rPr>
              <w:t xml:space="preserve">the </w:t>
            </w:r>
            <w:r w:rsidRPr="00002016">
              <w:rPr>
                <w:rFonts w:asciiTheme="majorHAnsi" w:hAnsiTheme="majorHAnsi"/>
                <w:bCs/>
                <w:sz w:val="20"/>
                <w:szCs w:val="20"/>
              </w:rPr>
              <w:t xml:space="preserve">American </w:t>
            </w:r>
            <w:r w:rsidR="00110563" w:rsidRPr="00002016">
              <w:rPr>
                <w:rFonts w:asciiTheme="majorHAnsi" w:hAnsiTheme="majorHAnsi"/>
                <w:bCs/>
                <w:sz w:val="20"/>
                <w:szCs w:val="20"/>
              </w:rPr>
              <w:t>Declaration on the Rights and Duties of Man</w:t>
            </w:r>
            <w:r w:rsidR="00962A01" w:rsidRPr="00002016">
              <w:rPr>
                <w:rStyle w:val="FootnoteReference"/>
                <w:rFonts w:asciiTheme="majorHAnsi" w:hAnsiTheme="majorHAnsi"/>
                <w:bCs/>
                <w:sz w:val="20"/>
                <w:szCs w:val="20"/>
              </w:rPr>
              <w:footnoteReference w:id="3"/>
            </w:r>
          </w:p>
        </w:tc>
      </w:tr>
    </w:tbl>
    <w:p w14:paraId="006E8D49" w14:textId="1C646C41" w:rsidR="00F621C3" w:rsidRPr="00002016" w:rsidRDefault="00F621C3" w:rsidP="00F621C3">
      <w:pPr>
        <w:spacing w:before="240" w:after="240"/>
        <w:ind w:firstLine="720"/>
        <w:jc w:val="both"/>
        <w:rPr>
          <w:rFonts w:asciiTheme="majorHAnsi" w:hAnsiTheme="majorHAnsi"/>
          <w:b/>
          <w:bCs/>
          <w:sz w:val="20"/>
          <w:szCs w:val="20"/>
        </w:rPr>
      </w:pPr>
      <w:r w:rsidRPr="00002016">
        <w:rPr>
          <w:rFonts w:asciiTheme="majorHAnsi" w:hAnsiTheme="majorHAnsi"/>
          <w:b/>
          <w:bCs/>
          <w:sz w:val="20"/>
          <w:szCs w:val="20"/>
        </w:rPr>
        <w:t>II.</w:t>
      </w:r>
      <w:r w:rsidRPr="00002016">
        <w:rPr>
          <w:rFonts w:asciiTheme="majorHAnsi" w:hAnsiTheme="majorHAnsi"/>
          <w:b/>
          <w:bCs/>
          <w:sz w:val="20"/>
          <w:szCs w:val="20"/>
        </w:rPr>
        <w:tab/>
        <w:t>PROCE</w:t>
      </w:r>
      <w:r w:rsidR="00321AFD" w:rsidRPr="00002016">
        <w:rPr>
          <w:rFonts w:asciiTheme="majorHAnsi" w:hAnsiTheme="majorHAnsi"/>
          <w:b/>
          <w:bCs/>
          <w:sz w:val="20"/>
          <w:szCs w:val="20"/>
        </w:rPr>
        <w:t>EDINGS</w:t>
      </w:r>
      <w:r w:rsidRPr="00002016">
        <w:rPr>
          <w:rFonts w:asciiTheme="majorHAnsi" w:hAnsiTheme="majorHAnsi"/>
          <w:b/>
          <w:bCs/>
          <w:sz w:val="20"/>
          <w:szCs w:val="20"/>
        </w:rPr>
        <w:t xml:space="preserve"> BEFORE THE IACHR</w:t>
      </w:r>
      <w:r w:rsidR="00653EA6" w:rsidRPr="00002016">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02016"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02016" w:rsidRDefault="00B06BB7" w:rsidP="00B06BB7">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Filing of the petition</w:t>
            </w:r>
            <w:r w:rsidR="00F621C3" w:rsidRPr="00002016">
              <w:rPr>
                <w:rFonts w:asciiTheme="majorHAnsi" w:hAnsiTheme="majorHAnsi"/>
                <w:b/>
                <w:bCs/>
                <w:color w:val="FFFFFF" w:themeColor="background1"/>
                <w:sz w:val="20"/>
                <w:szCs w:val="20"/>
              </w:rPr>
              <w:t>:</w:t>
            </w:r>
          </w:p>
        </w:tc>
        <w:tc>
          <w:tcPr>
            <w:tcW w:w="5670" w:type="dxa"/>
            <w:vAlign w:val="center"/>
          </w:tcPr>
          <w:p w14:paraId="1C0C3DE2" w14:textId="7A81DAF8" w:rsidR="00F621C3" w:rsidRPr="00002016" w:rsidRDefault="00110563" w:rsidP="009163FC">
            <w:pPr>
              <w:jc w:val="both"/>
              <w:rPr>
                <w:rFonts w:asciiTheme="majorHAnsi" w:hAnsiTheme="majorHAnsi"/>
                <w:bCs/>
                <w:sz w:val="20"/>
                <w:szCs w:val="20"/>
              </w:rPr>
            </w:pPr>
            <w:r w:rsidRPr="00002016">
              <w:rPr>
                <w:rFonts w:asciiTheme="majorHAnsi" w:hAnsiTheme="majorHAnsi"/>
                <w:bCs/>
                <w:sz w:val="20"/>
                <w:szCs w:val="20"/>
              </w:rPr>
              <w:t>December 22, 2017</w:t>
            </w:r>
          </w:p>
        </w:tc>
      </w:tr>
      <w:tr w:rsidR="00F621C3" w:rsidRPr="00002016"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02016" w:rsidRDefault="00F621C3" w:rsidP="003771A3">
            <w:pPr>
              <w:jc w:val="center"/>
              <w:rPr>
                <w:rFonts w:asciiTheme="majorHAnsi" w:hAnsiTheme="majorHAnsi"/>
                <w:b/>
                <w:color w:val="FFFFFF" w:themeColor="background1"/>
                <w:sz w:val="20"/>
                <w:szCs w:val="20"/>
              </w:rPr>
            </w:pPr>
            <w:r w:rsidRPr="00002016">
              <w:rPr>
                <w:rFonts w:asciiTheme="majorHAnsi" w:hAnsiTheme="majorHAnsi"/>
                <w:b/>
                <w:color w:val="FFFFFF" w:themeColor="background1"/>
                <w:sz w:val="20"/>
                <w:szCs w:val="20"/>
              </w:rPr>
              <w:t xml:space="preserve">Additional information received at the </w:t>
            </w:r>
            <w:r w:rsidR="003771A3" w:rsidRPr="00002016">
              <w:rPr>
                <w:rFonts w:asciiTheme="majorHAnsi" w:hAnsiTheme="majorHAnsi"/>
                <w:b/>
                <w:color w:val="FFFFFF" w:themeColor="background1"/>
                <w:sz w:val="20"/>
                <w:szCs w:val="20"/>
              </w:rPr>
              <w:t>s</w:t>
            </w:r>
            <w:r w:rsidRPr="00002016">
              <w:rPr>
                <w:rFonts w:asciiTheme="majorHAnsi" w:hAnsiTheme="majorHAnsi"/>
                <w:b/>
                <w:color w:val="FFFFFF" w:themeColor="background1"/>
                <w:sz w:val="20"/>
                <w:szCs w:val="20"/>
              </w:rPr>
              <w:t>tage</w:t>
            </w:r>
            <w:r w:rsidR="003771A3" w:rsidRPr="00002016">
              <w:rPr>
                <w:rFonts w:asciiTheme="majorHAnsi" w:hAnsiTheme="majorHAnsi"/>
                <w:b/>
                <w:color w:val="FFFFFF" w:themeColor="background1"/>
                <w:sz w:val="20"/>
                <w:szCs w:val="20"/>
              </w:rPr>
              <w:t xml:space="preserve"> of initial review</w:t>
            </w:r>
            <w:r w:rsidRPr="00002016">
              <w:rPr>
                <w:rFonts w:asciiTheme="majorHAnsi" w:hAnsiTheme="majorHAnsi"/>
                <w:b/>
                <w:color w:val="FFFFFF" w:themeColor="background1"/>
                <w:sz w:val="20"/>
                <w:szCs w:val="20"/>
              </w:rPr>
              <w:t>:</w:t>
            </w:r>
          </w:p>
        </w:tc>
        <w:tc>
          <w:tcPr>
            <w:tcW w:w="5670" w:type="dxa"/>
            <w:vAlign w:val="center"/>
          </w:tcPr>
          <w:p w14:paraId="499B90CB" w14:textId="2C274160" w:rsidR="00F621C3" w:rsidRPr="00002016" w:rsidRDefault="00D02618" w:rsidP="009163FC">
            <w:pPr>
              <w:jc w:val="both"/>
              <w:rPr>
                <w:rFonts w:asciiTheme="majorHAnsi" w:hAnsiTheme="majorHAnsi"/>
                <w:bCs/>
                <w:sz w:val="20"/>
                <w:szCs w:val="20"/>
              </w:rPr>
            </w:pPr>
            <w:r w:rsidRPr="00002016">
              <w:rPr>
                <w:rFonts w:asciiTheme="majorHAnsi" w:hAnsiTheme="majorHAnsi"/>
                <w:bCs/>
                <w:sz w:val="20"/>
                <w:szCs w:val="20"/>
              </w:rPr>
              <w:t>July 26, 2018</w:t>
            </w:r>
            <w:r w:rsidR="00D63910" w:rsidRPr="00002016">
              <w:rPr>
                <w:rFonts w:asciiTheme="majorHAnsi" w:hAnsiTheme="majorHAnsi"/>
                <w:bCs/>
                <w:sz w:val="20"/>
                <w:szCs w:val="20"/>
              </w:rPr>
              <w:t>, August 31, 2018</w:t>
            </w:r>
            <w:r w:rsidR="007B631A" w:rsidRPr="00002016">
              <w:rPr>
                <w:rFonts w:asciiTheme="majorHAnsi" w:hAnsiTheme="majorHAnsi"/>
                <w:bCs/>
                <w:sz w:val="20"/>
                <w:szCs w:val="20"/>
              </w:rPr>
              <w:t>, May 2, 2019</w:t>
            </w:r>
          </w:p>
        </w:tc>
      </w:tr>
      <w:tr w:rsidR="00F621C3" w:rsidRPr="00002016"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02016" w:rsidRDefault="00B06BB7" w:rsidP="00B06BB7">
            <w:pPr>
              <w:jc w:val="center"/>
              <w:rPr>
                <w:rFonts w:asciiTheme="majorHAnsi" w:hAnsiTheme="majorHAnsi"/>
                <w:b/>
                <w:bCs/>
                <w:color w:val="FFFFFF" w:themeColor="background1"/>
                <w:sz w:val="20"/>
                <w:szCs w:val="20"/>
              </w:rPr>
            </w:pPr>
            <w:r w:rsidRPr="00002016">
              <w:rPr>
                <w:rFonts w:asciiTheme="majorHAnsi" w:hAnsiTheme="majorHAnsi"/>
                <w:b/>
                <w:color w:val="FFFFFF" w:themeColor="background1"/>
                <w:sz w:val="20"/>
                <w:szCs w:val="20"/>
              </w:rPr>
              <w:t>Notification of the petition to</w:t>
            </w:r>
            <w:r w:rsidR="00F621C3" w:rsidRPr="00002016">
              <w:rPr>
                <w:rFonts w:asciiTheme="majorHAnsi" w:hAnsiTheme="majorHAnsi"/>
                <w:b/>
                <w:color w:val="FFFFFF" w:themeColor="background1"/>
                <w:sz w:val="20"/>
                <w:szCs w:val="20"/>
              </w:rPr>
              <w:t xml:space="preserve"> the State:</w:t>
            </w:r>
          </w:p>
        </w:tc>
        <w:tc>
          <w:tcPr>
            <w:tcW w:w="5670" w:type="dxa"/>
            <w:vAlign w:val="center"/>
          </w:tcPr>
          <w:p w14:paraId="22ADBFFE" w14:textId="6E5F854F" w:rsidR="00F621C3" w:rsidRPr="00002016" w:rsidRDefault="001603A8" w:rsidP="009163FC">
            <w:pPr>
              <w:jc w:val="both"/>
              <w:rPr>
                <w:rFonts w:asciiTheme="majorHAnsi" w:hAnsiTheme="majorHAnsi"/>
                <w:bCs/>
                <w:sz w:val="20"/>
                <w:szCs w:val="20"/>
              </w:rPr>
            </w:pPr>
            <w:r w:rsidRPr="00002016">
              <w:rPr>
                <w:rFonts w:asciiTheme="majorHAnsi" w:hAnsiTheme="majorHAnsi"/>
                <w:bCs/>
                <w:sz w:val="20"/>
                <w:szCs w:val="20"/>
              </w:rPr>
              <w:t>May 12, 2020</w:t>
            </w:r>
          </w:p>
        </w:tc>
      </w:tr>
      <w:tr w:rsidR="00F621C3" w:rsidRPr="00002016"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02016" w:rsidRDefault="00F621C3" w:rsidP="009163FC">
            <w:pPr>
              <w:jc w:val="center"/>
              <w:rPr>
                <w:rFonts w:asciiTheme="majorHAnsi" w:hAnsiTheme="majorHAnsi"/>
                <w:b/>
                <w:bCs/>
                <w:color w:val="FFFFFF" w:themeColor="background1"/>
                <w:sz w:val="20"/>
                <w:szCs w:val="20"/>
              </w:rPr>
            </w:pPr>
            <w:r w:rsidRPr="00002016">
              <w:rPr>
                <w:rFonts w:asciiTheme="majorHAnsi" w:hAnsiTheme="majorHAnsi"/>
                <w:b/>
                <w:color w:val="FFFFFF" w:themeColor="background1"/>
                <w:sz w:val="20"/>
                <w:szCs w:val="20"/>
              </w:rPr>
              <w:t>State’s first response:</w:t>
            </w:r>
          </w:p>
        </w:tc>
        <w:tc>
          <w:tcPr>
            <w:tcW w:w="5670" w:type="dxa"/>
            <w:vAlign w:val="center"/>
          </w:tcPr>
          <w:p w14:paraId="19C5DA57" w14:textId="25807FB4" w:rsidR="00F621C3" w:rsidRPr="00002016" w:rsidRDefault="00217CB6" w:rsidP="009163FC">
            <w:pPr>
              <w:jc w:val="both"/>
              <w:rPr>
                <w:rFonts w:asciiTheme="majorHAnsi" w:hAnsiTheme="majorHAnsi"/>
                <w:bCs/>
                <w:sz w:val="20"/>
                <w:szCs w:val="20"/>
              </w:rPr>
            </w:pPr>
            <w:r w:rsidRPr="00002016">
              <w:rPr>
                <w:rFonts w:asciiTheme="majorHAnsi" w:hAnsiTheme="majorHAnsi"/>
                <w:bCs/>
                <w:sz w:val="20"/>
                <w:szCs w:val="20"/>
              </w:rPr>
              <w:t>September 4, 2020</w:t>
            </w:r>
          </w:p>
        </w:tc>
      </w:tr>
    </w:tbl>
    <w:p w14:paraId="7F88B361" w14:textId="77777777" w:rsidR="00F621C3" w:rsidRPr="00002016" w:rsidRDefault="00F621C3" w:rsidP="00F621C3">
      <w:pPr>
        <w:spacing w:before="240" w:after="240"/>
        <w:ind w:firstLine="720"/>
        <w:jc w:val="both"/>
        <w:rPr>
          <w:rFonts w:asciiTheme="majorHAnsi" w:hAnsiTheme="majorHAnsi"/>
          <w:b/>
          <w:bCs/>
          <w:sz w:val="20"/>
          <w:szCs w:val="20"/>
        </w:rPr>
      </w:pPr>
      <w:r w:rsidRPr="00002016">
        <w:rPr>
          <w:rFonts w:asciiTheme="majorHAnsi" w:hAnsiTheme="majorHAnsi"/>
          <w:b/>
          <w:bCs/>
          <w:sz w:val="20"/>
          <w:szCs w:val="20"/>
        </w:rPr>
        <w:t xml:space="preserve">III. </w:t>
      </w:r>
      <w:r w:rsidRPr="00002016">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02016" w14:paraId="2F81CC8B" w14:textId="77777777" w:rsidTr="0044352D">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002016" w:rsidRDefault="00F621C3" w:rsidP="009163FC">
            <w:pPr>
              <w:jc w:val="center"/>
              <w:rPr>
                <w:rFonts w:asciiTheme="majorHAnsi" w:hAnsiTheme="majorHAnsi"/>
                <w:b/>
                <w:bCs/>
                <w:i/>
                <w:color w:val="FFFFFF" w:themeColor="background1"/>
                <w:sz w:val="20"/>
                <w:szCs w:val="20"/>
              </w:rPr>
            </w:pPr>
            <w:r w:rsidRPr="00002016">
              <w:rPr>
                <w:rFonts w:asciiTheme="majorHAnsi" w:hAnsiTheme="majorHAnsi"/>
                <w:b/>
                <w:bCs/>
                <w:color w:val="FFFFFF" w:themeColor="background1"/>
                <w:sz w:val="20"/>
                <w:szCs w:val="20"/>
              </w:rPr>
              <w:t>Competence</w:t>
            </w:r>
            <w:r w:rsidRPr="00002016">
              <w:rPr>
                <w:rFonts w:asciiTheme="majorHAnsi" w:hAnsiTheme="majorHAnsi"/>
                <w:b/>
                <w:bCs/>
                <w:i/>
                <w:color w:val="FFFFFF" w:themeColor="background1"/>
                <w:sz w:val="20"/>
                <w:szCs w:val="20"/>
              </w:rPr>
              <w:t xml:space="preserve"> Ratione personae:</w:t>
            </w:r>
          </w:p>
        </w:tc>
        <w:tc>
          <w:tcPr>
            <w:tcW w:w="5688" w:type="dxa"/>
            <w:vAlign w:val="center"/>
          </w:tcPr>
          <w:p w14:paraId="237A8D0C" w14:textId="5FC392DD" w:rsidR="00F621C3" w:rsidRPr="00002016" w:rsidRDefault="00792E4C" w:rsidP="009163FC">
            <w:pPr>
              <w:rPr>
                <w:rFonts w:asciiTheme="majorHAnsi" w:hAnsiTheme="majorHAnsi"/>
                <w:bCs/>
                <w:sz w:val="20"/>
                <w:szCs w:val="20"/>
              </w:rPr>
            </w:pPr>
            <w:r w:rsidRPr="00002016">
              <w:rPr>
                <w:rFonts w:asciiTheme="majorHAnsi" w:hAnsiTheme="majorHAnsi"/>
                <w:bCs/>
                <w:sz w:val="20"/>
                <w:szCs w:val="20"/>
              </w:rPr>
              <w:t>Yes</w:t>
            </w:r>
          </w:p>
        </w:tc>
      </w:tr>
      <w:tr w:rsidR="00F621C3" w:rsidRPr="00002016" w14:paraId="5FE56D1B" w14:textId="77777777" w:rsidTr="0044352D">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002016" w:rsidRDefault="00F621C3" w:rsidP="009163FC">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Competence</w:t>
            </w:r>
            <w:r w:rsidRPr="00002016">
              <w:rPr>
                <w:rFonts w:asciiTheme="majorHAnsi" w:hAnsiTheme="majorHAnsi"/>
                <w:b/>
                <w:bCs/>
                <w:i/>
                <w:color w:val="FFFFFF" w:themeColor="background1"/>
                <w:sz w:val="20"/>
                <w:szCs w:val="20"/>
              </w:rPr>
              <w:t xml:space="preserve"> Ratione loci</w:t>
            </w:r>
            <w:r w:rsidRPr="00002016">
              <w:rPr>
                <w:rFonts w:asciiTheme="majorHAnsi" w:hAnsiTheme="majorHAnsi"/>
                <w:b/>
                <w:bCs/>
                <w:color w:val="FFFFFF" w:themeColor="background1"/>
                <w:sz w:val="20"/>
                <w:szCs w:val="20"/>
              </w:rPr>
              <w:t>:</w:t>
            </w:r>
          </w:p>
        </w:tc>
        <w:tc>
          <w:tcPr>
            <w:tcW w:w="5688" w:type="dxa"/>
            <w:vAlign w:val="center"/>
          </w:tcPr>
          <w:p w14:paraId="48257424" w14:textId="41D6A305" w:rsidR="00F621C3" w:rsidRPr="00002016" w:rsidRDefault="00792E4C" w:rsidP="009163FC">
            <w:pPr>
              <w:rPr>
                <w:rFonts w:asciiTheme="majorHAnsi" w:hAnsiTheme="majorHAnsi"/>
                <w:bCs/>
                <w:sz w:val="20"/>
                <w:szCs w:val="20"/>
              </w:rPr>
            </w:pPr>
            <w:r w:rsidRPr="00002016">
              <w:rPr>
                <w:rFonts w:asciiTheme="majorHAnsi" w:hAnsiTheme="majorHAnsi"/>
                <w:bCs/>
                <w:sz w:val="20"/>
                <w:szCs w:val="20"/>
              </w:rPr>
              <w:t>Yes</w:t>
            </w:r>
          </w:p>
        </w:tc>
      </w:tr>
      <w:tr w:rsidR="00F621C3" w:rsidRPr="00002016" w14:paraId="372B5DD8" w14:textId="77777777" w:rsidTr="0044352D">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002016" w:rsidRDefault="00F621C3" w:rsidP="009163FC">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Competence</w:t>
            </w:r>
            <w:r w:rsidRPr="00002016">
              <w:rPr>
                <w:rFonts w:asciiTheme="majorHAnsi" w:hAnsiTheme="majorHAnsi"/>
                <w:b/>
                <w:bCs/>
                <w:i/>
                <w:color w:val="FFFFFF" w:themeColor="background1"/>
                <w:sz w:val="20"/>
                <w:szCs w:val="20"/>
              </w:rPr>
              <w:t xml:space="preserve"> Ratione temporis</w:t>
            </w:r>
            <w:r w:rsidRPr="00002016">
              <w:rPr>
                <w:rFonts w:asciiTheme="majorHAnsi" w:hAnsiTheme="majorHAnsi"/>
                <w:b/>
                <w:bCs/>
                <w:color w:val="FFFFFF" w:themeColor="background1"/>
                <w:sz w:val="20"/>
                <w:szCs w:val="20"/>
              </w:rPr>
              <w:t>:</w:t>
            </w:r>
          </w:p>
        </w:tc>
        <w:tc>
          <w:tcPr>
            <w:tcW w:w="5688" w:type="dxa"/>
            <w:vAlign w:val="center"/>
          </w:tcPr>
          <w:p w14:paraId="74B3F783" w14:textId="3A673DBC" w:rsidR="00F621C3" w:rsidRPr="00002016" w:rsidRDefault="00792E4C" w:rsidP="009163FC">
            <w:pPr>
              <w:rPr>
                <w:rFonts w:asciiTheme="majorHAnsi" w:hAnsiTheme="majorHAnsi"/>
                <w:bCs/>
                <w:sz w:val="20"/>
                <w:szCs w:val="20"/>
              </w:rPr>
            </w:pPr>
            <w:r w:rsidRPr="00002016">
              <w:rPr>
                <w:rFonts w:asciiTheme="majorHAnsi" w:hAnsiTheme="majorHAnsi"/>
                <w:bCs/>
                <w:sz w:val="20"/>
                <w:szCs w:val="20"/>
              </w:rPr>
              <w:t>Yes</w:t>
            </w:r>
          </w:p>
        </w:tc>
      </w:tr>
      <w:tr w:rsidR="00F621C3" w:rsidRPr="00002016" w14:paraId="6648704B" w14:textId="77777777" w:rsidTr="0044352D">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002016" w:rsidRDefault="00F621C3" w:rsidP="009163FC">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Competence</w:t>
            </w:r>
            <w:r w:rsidRPr="00002016">
              <w:rPr>
                <w:rFonts w:asciiTheme="majorHAnsi" w:hAnsiTheme="majorHAnsi"/>
                <w:b/>
                <w:bCs/>
                <w:i/>
                <w:color w:val="FFFFFF" w:themeColor="background1"/>
                <w:sz w:val="20"/>
                <w:szCs w:val="20"/>
              </w:rPr>
              <w:t xml:space="preserve"> Ratione materiae</w:t>
            </w:r>
            <w:r w:rsidRPr="00002016">
              <w:rPr>
                <w:rFonts w:asciiTheme="majorHAnsi" w:hAnsiTheme="majorHAnsi"/>
                <w:b/>
                <w:bCs/>
                <w:color w:val="FFFFFF" w:themeColor="background1"/>
                <w:sz w:val="20"/>
                <w:szCs w:val="20"/>
              </w:rPr>
              <w:t>:</w:t>
            </w:r>
          </w:p>
        </w:tc>
        <w:tc>
          <w:tcPr>
            <w:tcW w:w="5688" w:type="dxa"/>
            <w:vAlign w:val="center"/>
          </w:tcPr>
          <w:p w14:paraId="64B3F199" w14:textId="40F0699A" w:rsidR="00F621C3" w:rsidRPr="00002016" w:rsidRDefault="00792E4C" w:rsidP="009163FC">
            <w:pPr>
              <w:jc w:val="both"/>
              <w:rPr>
                <w:rFonts w:asciiTheme="majorHAnsi" w:hAnsiTheme="majorHAnsi"/>
                <w:bCs/>
                <w:sz w:val="20"/>
                <w:szCs w:val="20"/>
              </w:rPr>
            </w:pPr>
            <w:r w:rsidRPr="00002016">
              <w:rPr>
                <w:rFonts w:asciiTheme="majorHAnsi" w:hAnsiTheme="majorHAnsi"/>
                <w:bCs/>
                <w:sz w:val="20"/>
                <w:szCs w:val="20"/>
              </w:rPr>
              <w:t>Yes</w:t>
            </w:r>
            <w:r w:rsidR="009713DE" w:rsidRPr="00002016">
              <w:rPr>
                <w:rFonts w:asciiTheme="majorHAnsi" w:hAnsiTheme="majorHAnsi"/>
                <w:bCs/>
                <w:sz w:val="20"/>
                <w:szCs w:val="20"/>
              </w:rPr>
              <w:t>,</w:t>
            </w:r>
            <w:r w:rsidRPr="00002016">
              <w:rPr>
                <w:rFonts w:asciiTheme="majorHAnsi" w:hAnsiTheme="majorHAnsi"/>
                <w:bCs/>
                <w:sz w:val="20"/>
                <w:szCs w:val="20"/>
              </w:rPr>
              <w:t xml:space="preserve"> </w:t>
            </w:r>
            <w:r w:rsidR="009713DE" w:rsidRPr="00002016">
              <w:rPr>
                <w:rFonts w:asciiTheme="majorHAnsi" w:hAnsiTheme="majorHAnsi"/>
                <w:bCs/>
                <w:sz w:val="20"/>
                <w:szCs w:val="20"/>
              </w:rPr>
              <w:t>American Declaration on the Rights and Duties of Man (ratification of the OAS Charter on June 19, 1951)</w:t>
            </w:r>
          </w:p>
        </w:tc>
      </w:tr>
    </w:tbl>
    <w:p w14:paraId="0408D4CD" w14:textId="54A61356" w:rsidR="00F621C3" w:rsidRPr="00002016" w:rsidRDefault="00F621C3" w:rsidP="00F621C3">
      <w:pPr>
        <w:spacing w:before="240" w:after="240"/>
        <w:ind w:firstLine="720"/>
        <w:jc w:val="both"/>
        <w:rPr>
          <w:rFonts w:asciiTheme="majorHAnsi" w:hAnsiTheme="majorHAnsi"/>
          <w:b/>
          <w:bCs/>
          <w:sz w:val="20"/>
          <w:szCs w:val="20"/>
        </w:rPr>
      </w:pPr>
      <w:r w:rsidRPr="00002016">
        <w:rPr>
          <w:rFonts w:asciiTheme="majorHAnsi" w:hAnsiTheme="majorHAnsi"/>
          <w:b/>
          <w:bCs/>
          <w:sz w:val="20"/>
          <w:szCs w:val="20"/>
        </w:rPr>
        <w:t xml:space="preserve">IV. </w:t>
      </w:r>
      <w:r w:rsidRPr="00002016">
        <w:rPr>
          <w:rFonts w:asciiTheme="majorHAnsi" w:hAnsiTheme="majorHAnsi"/>
          <w:b/>
          <w:bCs/>
          <w:sz w:val="20"/>
          <w:szCs w:val="20"/>
        </w:rPr>
        <w:tab/>
        <w:t xml:space="preserve">DUPLICATION OF PROCEDURES AND INTERNATIONAL </w:t>
      </w:r>
      <w:r w:rsidRPr="00002016">
        <w:rPr>
          <w:rFonts w:asciiTheme="majorHAnsi" w:hAnsiTheme="majorHAnsi"/>
          <w:b/>
          <w:bCs/>
          <w:i/>
          <w:sz w:val="20"/>
          <w:szCs w:val="20"/>
        </w:rPr>
        <w:t>RES JUDICATA</w:t>
      </w:r>
      <w:r w:rsidRPr="00002016">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3"/>
        <w:gridCol w:w="5684"/>
      </w:tblGrid>
      <w:tr w:rsidR="00F621C3" w:rsidRPr="00002016" w14:paraId="4091A423" w14:textId="77777777" w:rsidTr="0044352D">
        <w:trPr>
          <w:cantSplit/>
        </w:trPr>
        <w:tc>
          <w:tcPr>
            <w:tcW w:w="3653" w:type="dxa"/>
            <w:tcBorders>
              <w:top w:val="single" w:sz="4" w:space="0" w:color="auto"/>
              <w:bottom w:val="single" w:sz="6" w:space="0" w:color="auto"/>
            </w:tcBorders>
            <w:shd w:val="clear" w:color="auto" w:fill="67AE3C"/>
            <w:vAlign w:val="center"/>
          </w:tcPr>
          <w:p w14:paraId="61D870FF" w14:textId="77777777" w:rsidR="00F621C3" w:rsidRPr="00002016" w:rsidRDefault="00F621C3" w:rsidP="009163FC">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 xml:space="preserve">Duplication of procedures and International </w:t>
            </w:r>
            <w:r w:rsidRPr="00002016">
              <w:rPr>
                <w:rFonts w:asciiTheme="majorHAnsi" w:hAnsiTheme="majorHAnsi"/>
                <w:b/>
                <w:bCs/>
                <w:i/>
                <w:color w:val="FFFFFF" w:themeColor="background1"/>
                <w:sz w:val="20"/>
                <w:szCs w:val="20"/>
              </w:rPr>
              <w:t>res judicata</w:t>
            </w:r>
            <w:r w:rsidRPr="00002016">
              <w:rPr>
                <w:rFonts w:asciiTheme="majorHAnsi" w:hAnsiTheme="majorHAnsi"/>
                <w:b/>
                <w:bCs/>
                <w:color w:val="FFFFFF" w:themeColor="background1"/>
                <w:sz w:val="20"/>
                <w:szCs w:val="20"/>
              </w:rPr>
              <w:t>:</w:t>
            </w:r>
          </w:p>
        </w:tc>
        <w:tc>
          <w:tcPr>
            <w:tcW w:w="5684" w:type="dxa"/>
            <w:vAlign w:val="center"/>
          </w:tcPr>
          <w:p w14:paraId="4773CD23" w14:textId="48EEB777" w:rsidR="00F621C3" w:rsidRPr="00002016" w:rsidRDefault="00D20CB0" w:rsidP="009163FC">
            <w:pPr>
              <w:jc w:val="both"/>
              <w:rPr>
                <w:rFonts w:asciiTheme="majorHAnsi" w:hAnsiTheme="majorHAnsi"/>
                <w:bCs/>
                <w:sz w:val="20"/>
                <w:szCs w:val="20"/>
              </w:rPr>
            </w:pPr>
            <w:r w:rsidRPr="00002016">
              <w:rPr>
                <w:rFonts w:asciiTheme="majorHAnsi" w:hAnsiTheme="majorHAnsi"/>
                <w:bCs/>
                <w:sz w:val="20"/>
                <w:szCs w:val="20"/>
              </w:rPr>
              <w:t>No</w:t>
            </w:r>
          </w:p>
        </w:tc>
      </w:tr>
      <w:tr w:rsidR="00F621C3" w:rsidRPr="00002016" w14:paraId="4DFB74FC" w14:textId="77777777" w:rsidTr="0044352D">
        <w:trPr>
          <w:cantSplit/>
        </w:trPr>
        <w:tc>
          <w:tcPr>
            <w:tcW w:w="3653" w:type="dxa"/>
            <w:tcBorders>
              <w:top w:val="single" w:sz="6" w:space="0" w:color="auto"/>
              <w:bottom w:val="single" w:sz="6" w:space="0" w:color="auto"/>
            </w:tcBorders>
            <w:shd w:val="clear" w:color="auto" w:fill="67AE3C"/>
            <w:vAlign w:val="center"/>
          </w:tcPr>
          <w:p w14:paraId="1D4CE924" w14:textId="77777777" w:rsidR="00F621C3" w:rsidRPr="00002016" w:rsidRDefault="00F621C3" w:rsidP="009163FC">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Exhaustion of domestic remedies or applicability of an exception to the rule:</w:t>
            </w:r>
          </w:p>
        </w:tc>
        <w:tc>
          <w:tcPr>
            <w:tcW w:w="5684" w:type="dxa"/>
            <w:vAlign w:val="center"/>
          </w:tcPr>
          <w:p w14:paraId="2A98CE44" w14:textId="57D3979A" w:rsidR="00F621C3" w:rsidRPr="00002016" w:rsidRDefault="00F621C3" w:rsidP="009163FC">
            <w:pPr>
              <w:rPr>
                <w:rFonts w:asciiTheme="majorHAnsi" w:hAnsiTheme="majorHAnsi"/>
                <w:bCs/>
                <w:sz w:val="20"/>
                <w:szCs w:val="20"/>
              </w:rPr>
            </w:pPr>
          </w:p>
          <w:p w14:paraId="432DC56B" w14:textId="63F52038" w:rsidR="00F621C3" w:rsidRPr="00002016" w:rsidRDefault="00AA4BC6" w:rsidP="009163FC">
            <w:pPr>
              <w:rPr>
                <w:rFonts w:asciiTheme="majorHAnsi" w:hAnsiTheme="majorHAnsi"/>
                <w:bCs/>
                <w:sz w:val="20"/>
                <w:szCs w:val="20"/>
              </w:rPr>
            </w:pPr>
            <w:r>
              <w:rPr>
                <w:rFonts w:asciiTheme="majorHAnsi" w:hAnsiTheme="majorHAnsi"/>
                <w:bCs/>
                <w:sz w:val="20"/>
                <w:szCs w:val="20"/>
              </w:rPr>
              <w:t>Partially</w:t>
            </w:r>
          </w:p>
        </w:tc>
      </w:tr>
      <w:tr w:rsidR="00F621C3" w:rsidRPr="00002016" w14:paraId="6D900199" w14:textId="77777777" w:rsidTr="0044352D">
        <w:trPr>
          <w:cantSplit/>
        </w:trPr>
        <w:tc>
          <w:tcPr>
            <w:tcW w:w="3653" w:type="dxa"/>
            <w:tcBorders>
              <w:top w:val="single" w:sz="6" w:space="0" w:color="auto"/>
              <w:bottom w:val="single" w:sz="6" w:space="0" w:color="auto"/>
            </w:tcBorders>
            <w:shd w:val="clear" w:color="auto" w:fill="67AE3C"/>
            <w:vAlign w:val="center"/>
          </w:tcPr>
          <w:p w14:paraId="42C3BC97" w14:textId="77777777" w:rsidR="00F621C3" w:rsidRPr="00002016" w:rsidRDefault="00F621C3" w:rsidP="009163FC">
            <w:pPr>
              <w:jc w:val="center"/>
              <w:rPr>
                <w:rFonts w:asciiTheme="majorHAnsi" w:hAnsiTheme="majorHAnsi"/>
                <w:b/>
                <w:bCs/>
                <w:color w:val="FFFFFF" w:themeColor="background1"/>
                <w:sz w:val="20"/>
                <w:szCs w:val="20"/>
              </w:rPr>
            </w:pPr>
            <w:r w:rsidRPr="00002016">
              <w:rPr>
                <w:rFonts w:asciiTheme="majorHAnsi" w:hAnsiTheme="majorHAnsi"/>
                <w:b/>
                <w:bCs/>
                <w:color w:val="FFFFFF" w:themeColor="background1"/>
                <w:sz w:val="20"/>
                <w:szCs w:val="20"/>
              </w:rPr>
              <w:t>Timeliness of the petition:</w:t>
            </w:r>
          </w:p>
        </w:tc>
        <w:tc>
          <w:tcPr>
            <w:tcW w:w="5684" w:type="dxa"/>
            <w:vAlign w:val="center"/>
          </w:tcPr>
          <w:p w14:paraId="6A26CCE9" w14:textId="03F67F43" w:rsidR="00F621C3" w:rsidRPr="00002016" w:rsidRDefault="00AA4BC6" w:rsidP="009163FC">
            <w:pPr>
              <w:rPr>
                <w:rFonts w:asciiTheme="majorHAnsi" w:hAnsiTheme="majorHAnsi"/>
                <w:bCs/>
                <w:sz w:val="20"/>
                <w:szCs w:val="20"/>
              </w:rPr>
            </w:pPr>
            <w:r>
              <w:rPr>
                <w:rFonts w:asciiTheme="majorHAnsi" w:hAnsiTheme="majorHAnsi"/>
                <w:bCs/>
                <w:sz w:val="20"/>
                <w:szCs w:val="20"/>
              </w:rPr>
              <w:t>No</w:t>
            </w:r>
          </w:p>
        </w:tc>
      </w:tr>
    </w:tbl>
    <w:p w14:paraId="629E2DE8" w14:textId="2B15650D" w:rsidR="00F621C3" w:rsidRPr="00657B2C" w:rsidRDefault="00F621C3" w:rsidP="00D75E31">
      <w:pPr>
        <w:spacing w:before="240" w:after="240"/>
        <w:ind w:firstLine="720"/>
        <w:jc w:val="both"/>
        <w:rPr>
          <w:rFonts w:asciiTheme="majorHAnsi" w:hAnsiTheme="majorHAnsi"/>
          <w:b/>
          <w:sz w:val="20"/>
          <w:szCs w:val="20"/>
        </w:rPr>
      </w:pPr>
      <w:r w:rsidRPr="00002016">
        <w:rPr>
          <w:rFonts w:asciiTheme="majorHAnsi" w:hAnsiTheme="majorHAnsi"/>
          <w:b/>
          <w:sz w:val="20"/>
          <w:szCs w:val="20"/>
        </w:rPr>
        <w:t xml:space="preserve">V. </w:t>
      </w:r>
      <w:r w:rsidRPr="00002016">
        <w:rPr>
          <w:rFonts w:asciiTheme="majorHAnsi" w:hAnsiTheme="majorHAnsi"/>
          <w:b/>
          <w:sz w:val="20"/>
          <w:szCs w:val="20"/>
        </w:rPr>
        <w:tab/>
      </w:r>
      <w:r w:rsidR="00706858" w:rsidRPr="00657B2C">
        <w:rPr>
          <w:rFonts w:asciiTheme="majorHAnsi" w:hAnsiTheme="majorHAnsi"/>
          <w:b/>
          <w:sz w:val="20"/>
          <w:szCs w:val="20"/>
        </w:rPr>
        <w:t xml:space="preserve">ALLEGED </w:t>
      </w:r>
      <w:r w:rsidRPr="00657B2C">
        <w:rPr>
          <w:rFonts w:asciiTheme="majorHAnsi" w:hAnsiTheme="majorHAnsi"/>
          <w:b/>
          <w:sz w:val="20"/>
          <w:szCs w:val="20"/>
        </w:rPr>
        <w:t xml:space="preserve">FACTS </w:t>
      </w:r>
    </w:p>
    <w:p w14:paraId="3DB7C664" w14:textId="6ED70667" w:rsidR="00427C37" w:rsidRPr="00657B2C" w:rsidRDefault="00427C37" w:rsidP="00D75E31">
      <w:pPr>
        <w:spacing w:before="240" w:after="240"/>
        <w:ind w:firstLine="720"/>
        <w:jc w:val="both"/>
        <w:rPr>
          <w:rFonts w:asciiTheme="majorHAnsi" w:hAnsiTheme="majorHAnsi"/>
          <w:b/>
          <w:sz w:val="20"/>
          <w:szCs w:val="20"/>
        </w:rPr>
      </w:pPr>
      <w:r w:rsidRPr="00657B2C">
        <w:rPr>
          <w:rFonts w:asciiTheme="majorHAnsi" w:hAnsiTheme="majorHAnsi"/>
          <w:b/>
          <w:sz w:val="20"/>
          <w:szCs w:val="20"/>
        </w:rPr>
        <w:t>The petitioner</w:t>
      </w:r>
    </w:p>
    <w:p w14:paraId="7D56C0E7" w14:textId="795ED46D" w:rsidR="002067F6" w:rsidRPr="00657B2C" w:rsidRDefault="002067F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w:t>
      </w:r>
      <w:r w:rsidR="00370A98" w:rsidRPr="00657B2C">
        <w:rPr>
          <w:rFonts w:asciiTheme="majorHAnsi" w:hAnsiTheme="majorHAnsi"/>
          <w:sz w:val="20"/>
          <w:szCs w:val="20"/>
        </w:rPr>
        <w:t>e</w:t>
      </w:r>
      <w:r w:rsidRPr="00657B2C">
        <w:rPr>
          <w:rFonts w:asciiTheme="majorHAnsi" w:hAnsiTheme="majorHAnsi"/>
          <w:sz w:val="20"/>
          <w:szCs w:val="20"/>
        </w:rPr>
        <w:t xml:space="preserve"> petitioner, a</w:t>
      </w:r>
      <w:r w:rsidR="00370A98" w:rsidRPr="00657B2C">
        <w:rPr>
          <w:rFonts w:asciiTheme="majorHAnsi" w:hAnsiTheme="majorHAnsi"/>
          <w:sz w:val="20"/>
          <w:szCs w:val="20"/>
        </w:rPr>
        <w:t>n African American</w:t>
      </w:r>
      <w:r w:rsidR="00ED343A" w:rsidRPr="00657B2C">
        <w:rPr>
          <w:rFonts w:asciiTheme="majorHAnsi" w:hAnsiTheme="majorHAnsi"/>
          <w:sz w:val="20"/>
          <w:szCs w:val="20"/>
        </w:rPr>
        <w:t xml:space="preserve"> woman</w:t>
      </w:r>
      <w:r w:rsidRPr="00657B2C">
        <w:rPr>
          <w:rFonts w:asciiTheme="majorHAnsi" w:hAnsiTheme="majorHAnsi"/>
          <w:sz w:val="20"/>
          <w:szCs w:val="20"/>
        </w:rPr>
        <w:t xml:space="preserve">, alleges that the State has systematically violated her rights under the Civil Rights Act, as well as the rights of </w:t>
      </w:r>
      <w:r w:rsidR="002A1976" w:rsidRPr="00657B2C">
        <w:rPr>
          <w:rFonts w:asciiTheme="majorHAnsi" w:hAnsiTheme="majorHAnsi"/>
          <w:sz w:val="20"/>
          <w:szCs w:val="20"/>
        </w:rPr>
        <w:t>Black</w:t>
      </w:r>
      <w:r w:rsidRPr="00657B2C">
        <w:rPr>
          <w:rFonts w:asciiTheme="majorHAnsi" w:hAnsiTheme="majorHAnsi"/>
          <w:sz w:val="20"/>
          <w:szCs w:val="20"/>
        </w:rPr>
        <w:t xml:space="preserve"> Americans generally. </w:t>
      </w:r>
    </w:p>
    <w:p w14:paraId="734E677C" w14:textId="1FBD2396" w:rsidR="00C84D0A" w:rsidRPr="00657B2C" w:rsidRDefault="002C0121"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According to the petitioner, the State has covertly eliminated the protections offered by the Civil Rights </w:t>
      </w:r>
      <w:r w:rsidR="000418F3" w:rsidRPr="00657B2C">
        <w:rPr>
          <w:rFonts w:asciiTheme="majorHAnsi" w:hAnsiTheme="majorHAnsi"/>
          <w:sz w:val="20"/>
          <w:szCs w:val="20"/>
        </w:rPr>
        <w:t>Act (</w:t>
      </w:r>
      <w:r w:rsidRPr="00657B2C">
        <w:rPr>
          <w:rFonts w:asciiTheme="majorHAnsi" w:hAnsiTheme="majorHAnsi"/>
          <w:sz w:val="20"/>
          <w:szCs w:val="20"/>
        </w:rPr>
        <w:t>“</w:t>
      </w:r>
      <w:r w:rsidR="009C5A44" w:rsidRPr="00657B2C">
        <w:rPr>
          <w:rFonts w:asciiTheme="majorHAnsi" w:hAnsiTheme="majorHAnsi"/>
          <w:sz w:val="20"/>
          <w:szCs w:val="20"/>
        </w:rPr>
        <w:t xml:space="preserve">the </w:t>
      </w:r>
      <w:r w:rsidRPr="00657B2C">
        <w:rPr>
          <w:rFonts w:asciiTheme="majorHAnsi" w:hAnsiTheme="majorHAnsi"/>
          <w:sz w:val="20"/>
          <w:szCs w:val="20"/>
        </w:rPr>
        <w:t>CRA”)</w:t>
      </w:r>
      <w:r w:rsidR="002A1976" w:rsidRPr="00657B2C">
        <w:rPr>
          <w:rFonts w:asciiTheme="majorHAnsi" w:hAnsiTheme="majorHAnsi"/>
          <w:sz w:val="20"/>
          <w:szCs w:val="20"/>
        </w:rPr>
        <w:t xml:space="preserve"> Title VI</w:t>
      </w:r>
      <w:r w:rsidRPr="00657B2C">
        <w:rPr>
          <w:rFonts w:asciiTheme="majorHAnsi" w:hAnsiTheme="majorHAnsi"/>
          <w:sz w:val="20"/>
          <w:szCs w:val="20"/>
        </w:rPr>
        <w:t xml:space="preserve"> (of the CRA).  </w:t>
      </w:r>
      <w:r w:rsidR="00AB0235" w:rsidRPr="00657B2C">
        <w:rPr>
          <w:rFonts w:asciiTheme="majorHAnsi" w:hAnsiTheme="majorHAnsi"/>
          <w:sz w:val="20"/>
          <w:szCs w:val="20"/>
        </w:rPr>
        <w:t>She</w:t>
      </w:r>
      <w:r w:rsidRPr="00657B2C">
        <w:rPr>
          <w:rFonts w:asciiTheme="majorHAnsi" w:hAnsiTheme="majorHAnsi"/>
          <w:sz w:val="20"/>
          <w:szCs w:val="20"/>
        </w:rPr>
        <w:t xml:space="preserve"> indicates that Title VI serves to protect the rights of </w:t>
      </w:r>
      <w:r w:rsidR="002A1976" w:rsidRPr="00657B2C">
        <w:rPr>
          <w:rFonts w:asciiTheme="majorHAnsi" w:hAnsiTheme="majorHAnsi"/>
          <w:sz w:val="20"/>
          <w:szCs w:val="20"/>
        </w:rPr>
        <w:t>Black</w:t>
      </w:r>
      <w:r w:rsidRPr="00657B2C">
        <w:rPr>
          <w:rFonts w:asciiTheme="majorHAnsi" w:hAnsiTheme="majorHAnsi"/>
          <w:sz w:val="20"/>
          <w:szCs w:val="20"/>
        </w:rPr>
        <w:t xml:space="preserve"> persons and other minorities from racial discrimination and retaliation when seeking public services.</w:t>
      </w:r>
    </w:p>
    <w:p w14:paraId="4FB50042" w14:textId="59BADD03" w:rsidR="00701A17" w:rsidRPr="00657B2C" w:rsidRDefault="00701A17" w:rsidP="00701A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The petitioner submits that she has been subjected to multiple incidents of racial discrimination, which remain unremedied. From the record, it appears that her main complaint relates to the </w:t>
      </w:r>
      <w:r w:rsidRPr="00657B2C">
        <w:rPr>
          <w:rFonts w:asciiTheme="majorHAnsi" w:hAnsiTheme="majorHAnsi"/>
          <w:sz w:val="20"/>
          <w:szCs w:val="20"/>
        </w:rPr>
        <w:lastRenderedPageBreak/>
        <w:t>circumstances surrounding her eviction</w:t>
      </w:r>
      <w:r w:rsidRPr="00657B2C">
        <w:rPr>
          <w:rFonts w:asciiTheme="majorHAnsi" w:hAnsiTheme="majorHAnsi"/>
          <w:sz w:val="20"/>
          <w:szCs w:val="20"/>
          <w:vertAlign w:val="superscript"/>
        </w:rPr>
        <w:footnoteReference w:id="5"/>
      </w:r>
      <w:r w:rsidRPr="00657B2C">
        <w:rPr>
          <w:rFonts w:asciiTheme="majorHAnsi" w:hAnsiTheme="majorHAnsi"/>
          <w:sz w:val="20"/>
          <w:szCs w:val="20"/>
        </w:rPr>
        <w:t xml:space="preserve"> from her home in Alexandria, Virginia, and her subsequent unsuccessful attempts to obtain relief from various authorities, including the courts. For the petitioner, her experience was largely caused by racial discrimination by various parties, including the courts. The petitioner indicates that she lived in a condominium at a complex known as Park Place Condominiums. According to </w:t>
      </w:r>
      <w:r w:rsidR="00B05934" w:rsidRPr="00657B2C">
        <w:rPr>
          <w:rFonts w:asciiTheme="majorHAnsi" w:hAnsiTheme="majorHAnsi"/>
          <w:sz w:val="20"/>
          <w:szCs w:val="20"/>
        </w:rPr>
        <w:t>her</w:t>
      </w:r>
      <w:r w:rsidRPr="00657B2C">
        <w:rPr>
          <w:rFonts w:asciiTheme="majorHAnsi" w:hAnsiTheme="majorHAnsi"/>
          <w:sz w:val="20"/>
          <w:szCs w:val="20"/>
        </w:rPr>
        <w:t xml:space="preserve">, prior to her eviction, she was subjected to sexual harassment by </w:t>
      </w:r>
      <w:r w:rsidR="00C91210" w:rsidRPr="00657B2C">
        <w:rPr>
          <w:rFonts w:asciiTheme="majorHAnsi" w:hAnsiTheme="majorHAnsi"/>
          <w:sz w:val="20"/>
          <w:szCs w:val="20"/>
        </w:rPr>
        <w:t xml:space="preserve">a </w:t>
      </w:r>
      <w:r w:rsidRPr="00657B2C">
        <w:rPr>
          <w:rFonts w:asciiTheme="majorHAnsi" w:hAnsiTheme="majorHAnsi"/>
          <w:sz w:val="20"/>
          <w:szCs w:val="20"/>
        </w:rPr>
        <w:t>white employee of Park Place Condominiums</w:t>
      </w:r>
      <w:r w:rsidR="002A1976" w:rsidRPr="00657B2C">
        <w:rPr>
          <w:rFonts w:asciiTheme="majorHAnsi" w:hAnsiTheme="majorHAnsi"/>
          <w:sz w:val="20"/>
          <w:szCs w:val="20"/>
        </w:rPr>
        <w:t xml:space="preserve">. </w:t>
      </w:r>
      <w:r w:rsidRPr="00657B2C">
        <w:rPr>
          <w:rFonts w:asciiTheme="majorHAnsi" w:hAnsiTheme="majorHAnsi"/>
          <w:sz w:val="20"/>
          <w:szCs w:val="20"/>
        </w:rPr>
        <w:t>The petitioner claims that she reported this incident to the Alexandria Office of Human Rights (</w:t>
      </w:r>
      <w:r w:rsidR="00052C32" w:rsidRPr="00657B2C">
        <w:rPr>
          <w:rFonts w:asciiTheme="majorHAnsi" w:hAnsiTheme="majorHAnsi"/>
          <w:sz w:val="20"/>
          <w:szCs w:val="20"/>
        </w:rPr>
        <w:t>“</w:t>
      </w:r>
      <w:r w:rsidRPr="00657B2C">
        <w:rPr>
          <w:rFonts w:asciiTheme="majorHAnsi" w:hAnsiTheme="majorHAnsi"/>
          <w:sz w:val="20"/>
          <w:szCs w:val="20"/>
        </w:rPr>
        <w:t>AOHR</w:t>
      </w:r>
      <w:r w:rsidR="00052C32" w:rsidRPr="00657B2C">
        <w:rPr>
          <w:rFonts w:asciiTheme="majorHAnsi" w:hAnsiTheme="majorHAnsi"/>
          <w:sz w:val="20"/>
          <w:szCs w:val="20"/>
        </w:rPr>
        <w:t>”</w:t>
      </w:r>
      <w:r w:rsidRPr="00657B2C">
        <w:rPr>
          <w:rFonts w:asciiTheme="majorHAnsi" w:hAnsiTheme="majorHAnsi"/>
          <w:sz w:val="20"/>
          <w:szCs w:val="20"/>
        </w:rPr>
        <w:t>), but that the AOHR declined to investigate</w:t>
      </w:r>
      <w:r w:rsidR="002A1976" w:rsidRPr="00657B2C">
        <w:rPr>
          <w:rFonts w:asciiTheme="majorHAnsi" w:hAnsiTheme="majorHAnsi"/>
          <w:sz w:val="20"/>
          <w:szCs w:val="20"/>
        </w:rPr>
        <w:t xml:space="preserve">. </w:t>
      </w:r>
      <w:r w:rsidRPr="00657B2C">
        <w:rPr>
          <w:rFonts w:asciiTheme="majorHAnsi" w:hAnsiTheme="majorHAnsi"/>
          <w:sz w:val="20"/>
          <w:szCs w:val="20"/>
        </w:rPr>
        <w:t>The petitioner contends that this refusal was racially motivated</w:t>
      </w:r>
      <w:r w:rsidR="002A1976" w:rsidRPr="00657B2C">
        <w:rPr>
          <w:rFonts w:asciiTheme="majorHAnsi" w:hAnsiTheme="majorHAnsi"/>
          <w:sz w:val="20"/>
          <w:szCs w:val="20"/>
        </w:rPr>
        <w:t xml:space="preserve">. </w:t>
      </w:r>
    </w:p>
    <w:p w14:paraId="1EF365E8" w14:textId="64596B44" w:rsidR="002C0121" w:rsidRPr="00657B2C" w:rsidRDefault="00F70BD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The petitioner also claims that the US Department of Housing and Urban Development (HUD) also refused to investigate her claims involving her allegations of sexual </w:t>
      </w:r>
      <w:r w:rsidR="009B0D75" w:rsidRPr="00657B2C">
        <w:rPr>
          <w:rFonts w:asciiTheme="majorHAnsi" w:hAnsiTheme="majorHAnsi"/>
          <w:sz w:val="20"/>
          <w:szCs w:val="20"/>
        </w:rPr>
        <w:t>harassment (</w:t>
      </w:r>
      <w:r w:rsidRPr="00657B2C">
        <w:rPr>
          <w:rFonts w:asciiTheme="majorHAnsi" w:hAnsiTheme="majorHAnsi"/>
          <w:sz w:val="20"/>
          <w:szCs w:val="20"/>
        </w:rPr>
        <w:t>pursuant to the Fair Housing Act (</w:t>
      </w:r>
      <w:r w:rsidR="002A0DF4" w:rsidRPr="00657B2C">
        <w:rPr>
          <w:rFonts w:asciiTheme="majorHAnsi" w:hAnsiTheme="majorHAnsi"/>
          <w:sz w:val="20"/>
          <w:szCs w:val="20"/>
        </w:rPr>
        <w:t>“</w:t>
      </w:r>
      <w:r w:rsidRPr="00657B2C">
        <w:rPr>
          <w:rFonts w:asciiTheme="majorHAnsi" w:hAnsiTheme="majorHAnsi"/>
          <w:sz w:val="20"/>
          <w:szCs w:val="20"/>
        </w:rPr>
        <w:t>FHA</w:t>
      </w:r>
      <w:r w:rsidR="002A0DF4" w:rsidRPr="00657B2C">
        <w:rPr>
          <w:rFonts w:asciiTheme="majorHAnsi" w:hAnsiTheme="majorHAnsi"/>
          <w:sz w:val="20"/>
          <w:szCs w:val="20"/>
        </w:rPr>
        <w:t>”</w:t>
      </w:r>
      <w:r w:rsidR="009C5A44" w:rsidRPr="00657B2C">
        <w:rPr>
          <w:rFonts w:asciiTheme="majorHAnsi" w:hAnsiTheme="majorHAnsi"/>
          <w:sz w:val="20"/>
          <w:szCs w:val="20"/>
        </w:rPr>
        <w:t>)</w:t>
      </w:r>
      <w:r w:rsidRPr="00657B2C">
        <w:rPr>
          <w:rFonts w:asciiTheme="majorHAnsi" w:hAnsiTheme="majorHAnsi"/>
          <w:sz w:val="20"/>
          <w:szCs w:val="20"/>
        </w:rPr>
        <w:t xml:space="preserve"> </w:t>
      </w:r>
      <w:r w:rsidR="009C5A44" w:rsidRPr="00657B2C">
        <w:rPr>
          <w:rFonts w:asciiTheme="majorHAnsi" w:hAnsiTheme="majorHAnsi"/>
          <w:sz w:val="20"/>
          <w:szCs w:val="20"/>
        </w:rPr>
        <w:t>and Title</w:t>
      </w:r>
      <w:r w:rsidRPr="00657B2C">
        <w:rPr>
          <w:rFonts w:asciiTheme="majorHAnsi" w:hAnsiTheme="majorHAnsi"/>
          <w:sz w:val="20"/>
          <w:szCs w:val="20"/>
        </w:rPr>
        <w:t xml:space="preserve"> VI.</w:t>
      </w:r>
    </w:p>
    <w:p w14:paraId="0F58D89D" w14:textId="377D96FC" w:rsidR="00247DA7" w:rsidRPr="00657B2C" w:rsidRDefault="00052C3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The petitioner also claims that she was wrongly subjected to “illegal fines” levied against her by the Park Place Condominiums. The petitioner further alleges that these illegal fines constituted civil rights violations that affected not only her, but other </w:t>
      </w:r>
      <w:r w:rsidR="002A1976" w:rsidRPr="00657B2C">
        <w:rPr>
          <w:rFonts w:asciiTheme="majorHAnsi" w:hAnsiTheme="majorHAnsi"/>
          <w:sz w:val="20"/>
          <w:szCs w:val="20"/>
        </w:rPr>
        <w:t>Black</w:t>
      </w:r>
      <w:r w:rsidRPr="00657B2C">
        <w:rPr>
          <w:rFonts w:asciiTheme="majorHAnsi" w:hAnsiTheme="majorHAnsi"/>
          <w:sz w:val="20"/>
          <w:szCs w:val="20"/>
        </w:rPr>
        <w:t xml:space="preserve"> owners/residents of the Park Place Condominiums. The petitioner states that the imposition of these fines was the subject of litigation before the Alexandria Circuit Court (“ACC”) between 2009 and 2011. The petitioner indicates that the ACC ultimately upheld the imposition of these fines. The petitioner generally claims that she was treated differently because of her race, indicating, for example, that she was </w:t>
      </w:r>
      <w:r w:rsidR="00D20CB0" w:rsidRPr="00657B2C">
        <w:rPr>
          <w:rFonts w:asciiTheme="majorHAnsi" w:hAnsiTheme="majorHAnsi"/>
          <w:sz w:val="20"/>
          <w:szCs w:val="20"/>
        </w:rPr>
        <w:t>served</w:t>
      </w:r>
      <w:r w:rsidRPr="00657B2C">
        <w:rPr>
          <w:rFonts w:asciiTheme="majorHAnsi" w:hAnsiTheme="majorHAnsi"/>
          <w:sz w:val="20"/>
          <w:szCs w:val="20"/>
        </w:rPr>
        <w:t xml:space="preserve"> a summons to appear in only 24 hours.</w:t>
      </w:r>
    </w:p>
    <w:p w14:paraId="65E2C0E0" w14:textId="745B84D1" w:rsidR="00052C32" w:rsidRPr="00657B2C" w:rsidRDefault="00B36F1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Between 2013–2015, the petitioner appears to have challenged her eviction (and related claims) before the US Court of Federal Claims (“CFC”)</w:t>
      </w:r>
      <w:r w:rsidR="001F1571" w:rsidRPr="00657B2C">
        <w:rPr>
          <w:rFonts w:asciiTheme="majorHAnsi" w:hAnsiTheme="majorHAnsi"/>
          <w:sz w:val="20"/>
          <w:szCs w:val="20"/>
        </w:rPr>
        <w:t xml:space="preserve">. </w:t>
      </w:r>
      <w:r w:rsidRPr="00657B2C">
        <w:rPr>
          <w:rFonts w:asciiTheme="majorHAnsi" w:hAnsiTheme="majorHAnsi"/>
          <w:sz w:val="20"/>
          <w:szCs w:val="20"/>
        </w:rPr>
        <w:t xml:space="preserve">According to the petitioner the CFC ultimately denied her any redress. The petitioner further claims that she was denied due process. In this regard, </w:t>
      </w:r>
      <w:r w:rsidR="005A3B41" w:rsidRPr="00657B2C">
        <w:rPr>
          <w:rFonts w:asciiTheme="majorHAnsi" w:hAnsiTheme="majorHAnsi"/>
          <w:sz w:val="20"/>
          <w:szCs w:val="20"/>
        </w:rPr>
        <w:t>she</w:t>
      </w:r>
      <w:r w:rsidRPr="00657B2C">
        <w:rPr>
          <w:rFonts w:asciiTheme="majorHAnsi" w:hAnsiTheme="majorHAnsi"/>
          <w:sz w:val="20"/>
          <w:szCs w:val="20"/>
        </w:rPr>
        <w:t xml:space="preserve"> claims that the CFC refused to hold any pre-trial hearings and that this is contrary to the practice observed for other claimants. The petitioner also alleges that Chief Judge Patricia Campbell-Smith characterized the petitioner’s claims as “meritless</w:t>
      </w:r>
      <w:r w:rsidR="008C7AFF" w:rsidRPr="00657B2C">
        <w:rPr>
          <w:rFonts w:asciiTheme="majorHAnsi" w:hAnsiTheme="majorHAnsi"/>
          <w:sz w:val="20"/>
          <w:szCs w:val="20"/>
        </w:rPr>
        <w:t>” and</w:t>
      </w:r>
      <w:r w:rsidRPr="00657B2C">
        <w:rPr>
          <w:rFonts w:asciiTheme="majorHAnsi" w:hAnsiTheme="majorHAnsi"/>
          <w:sz w:val="20"/>
          <w:szCs w:val="20"/>
        </w:rPr>
        <w:t xml:space="preserve"> banned the petitioner from filing any additional cases with the CFC.</w:t>
      </w:r>
    </w:p>
    <w:p w14:paraId="31A6D0B7" w14:textId="760538F9" w:rsidR="00E11136" w:rsidRPr="00657B2C" w:rsidRDefault="00E1113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During this litigation, the petitioner also alleges that the CFC refused to provide information on how to file Title VI complaints</w:t>
      </w:r>
      <w:r w:rsidR="003E525A" w:rsidRPr="00657B2C">
        <w:rPr>
          <w:rFonts w:asciiTheme="majorHAnsi" w:hAnsiTheme="majorHAnsi"/>
          <w:sz w:val="20"/>
          <w:szCs w:val="20"/>
        </w:rPr>
        <w:t>;</w:t>
      </w:r>
      <w:r w:rsidRPr="00657B2C">
        <w:rPr>
          <w:rFonts w:asciiTheme="majorHAnsi" w:hAnsiTheme="majorHAnsi"/>
          <w:sz w:val="20"/>
          <w:szCs w:val="20"/>
        </w:rPr>
        <w:t xml:space="preserve"> and that court staff destroyed complaints that she had actually submitted to the CFC. The petitioner also claims that on at least three occasions (in 2013) the staff of the CFC prevented her from obtaining subpoenas that she needed to pursue her claims. The petitioner alleges that the treatment that she received from the CFC was largely prompted by racial discrimination. As a result of the eviction, the petitioner asserts that she is now homeless</w:t>
      </w:r>
      <w:r w:rsidR="001F1571" w:rsidRPr="00657B2C">
        <w:rPr>
          <w:rFonts w:asciiTheme="majorHAnsi" w:hAnsiTheme="majorHAnsi"/>
          <w:sz w:val="20"/>
          <w:szCs w:val="20"/>
        </w:rPr>
        <w:t xml:space="preserve">. </w:t>
      </w:r>
      <w:r w:rsidRPr="00657B2C">
        <w:rPr>
          <w:rFonts w:asciiTheme="majorHAnsi" w:hAnsiTheme="majorHAnsi"/>
          <w:sz w:val="20"/>
          <w:szCs w:val="20"/>
        </w:rPr>
        <w:t xml:space="preserve"> </w:t>
      </w:r>
    </w:p>
    <w:p w14:paraId="72B14B78" w14:textId="179B8AB5" w:rsidR="00E11136" w:rsidRPr="00657B2C" w:rsidRDefault="0096655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petitioner also mentions that in 2014, her Supplemental Nutrition Assistance Benefits (SNAP) benefits were terminated by the Alexandria Department of Human Services (ADHS) without notice, a hearing, or opportunity to appeal. The petitioner further submits that the US Department of Agriculture (USDA) refused to Investigate the termination of SNAP benefits. The petitioner claims that the termination of her SNAP benefits (and the subsequent refusal to investigate it) were racially motivated.</w:t>
      </w:r>
    </w:p>
    <w:p w14:paraId="45A1766A" w14:textId="33270C42" w:rsidR="0096655D" w:rsidRPr="00657B2C" w:rsidRDefault="007E6FD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According to the petitioner, while employed at a company called Goodwill Industries in 2014, she was verbally abused in racial terms by a manager; and suffered a workplace injury</w:t>
      </w:r>
      <w:r w:rsidR="00CD5413" w:rsidRPr="00657B2C">
        <w:rPr>
          <w:rFonts w:asciiTheme="majorHAnsi" w:hAnsiTheme="majorHAnsi"/>
          <w:sz w:val="20"/>
          <w:szCs w:val="20"/>
        </w:rPr>
        <w:t>,</w:t>
      </w:r>
      <w:r w:rsidRPr="00657B2C">
        <w:rPr>
          <w:rFonts w:asciiTheme="majorHAnsi" w:hAnsiTheme="majorHAnsi"/>
          <w:sz w:val="20"/>
          <w:szCs w:val="20"/>
        </w:rPr>
        <w:t xml:space="preserve"> which Goodwill Industries refused to take responsibility for</w:t>
      </w:r>
      <w:r w:rsidR="001F1571" w:rsidRPr="00657B2C">
        <w:rPr>
          <w:rFonts w:asciiTheme="majorHAnsi" w:hAnsiTheme="majorHAnsi"/>
          <w:sz w:val="20"/>
          <w:szCs w:val="20"/>
        </w:rPr>
        <w:t xml:space="preserve">. </w:t>
      </w:r>
      <w:r w:rsidRPr="00657B2C">
        <w:rPr>
          <w:rFonts w:asciiTheme="majorHAnsi" w:hAnsiTheme="majorHAnsi"/>
          <w:sz w:val="20"/>
          <w:szCs w:val="20"/>
        </w:rPr>
        <w:t xml:space="preserve">In relation to the workplace injury, the petitioner states that her injury required her to be transported to hospital by ambulance for emergency medical treatment. The petition alleges that the injury </w:t>
      </w:r>
      <w:r w:rsidR="001F1571" w:rsidRPr="00657B2C">
        <w:rPr>
          <w:rFonts w:asciiTheme="majorHAnsi" w:hAnsiTheme="majorHAnsi"/>
          <w:sz w:val="20"/>
          <w:szCs w:val="20"/>
        </w:rPr>
        <w:t>resulted</w:t>
      </w:r>
      <w:r w:rsidRPr="00657B2C">
        <w:rPr>
          <w:rFonts w:asciiTheme="majorHAnsi" w:hAnsiTheme="majorHAnsi"/>
          <w:sz w:val="20"/>
          <w:szCs w:val="20"/>
        </w:rPr>
        <w:t xml:space="preserve"> in numbness, and decreased mobility which made it impossible for her to return to work.</w:t>
      </w:r>
    </w:p>
    <w:p w14:paraId="678947E9" w14:textId="345B6A7C" w:rsidR="007E6FDA" w:rsidRPr="00657B2C" w:rsidRDefault="00D01A8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petitioner claims that her attempts to seek redress from Goodwill Industries were ignored. The petitioner states that she took her complaints to the US Department of Labor’s Office of Contract Compliance (</w:t>
      </w:r>
      <w:r w:rsidR="00553F98" w:rsidRPr="00657B2C">
        <w:rPr>
          <w:rFonts w:asciiTheme="majorHAnsi" w:hAnsiTheme="majorHAnsi"/>
          <w:sz w:val="20"/>
          <w:szCs w:val="20"/>
        </w:rPr>
        <w:t>“</w:t>
      </w:r>
      <w:r w:rsidRPr="00657B2C">
        <w:rPr>
          <w:rFonts w:asciiTheme="majorHAnsi" w:hAnsiTheme="majorHAnsi"/>
          <w:sz w:val="20"/>
          <w:szCs w:val="20"/>
        </w:rPr>
        <w:t>DOL-OFCCP</w:t>
      </w:r>
      <w:r w:rsidR="00553F98" w:rsidRPr="00657B2C">
        <w:rPr>
          <w:rFonts w:asciiTheme="majorHAnsi" w:hAnsiTheme="majorHAnsi"/>
          <w:sz w:val="20"/>
          <w:szCs w:val="20"/>
        </w:rPr>
        <w:t>”</w:t>
      </w:r>
      <w:r w:rsidRPr="00657B2C">
        <w:rPr>
          <w:rFonts w:asciiTheme="majorHAnsi" w:hAnsiTheme="majorHAnsi"/>
          <w:sz w:val="20"/>
          <w:szCs w:val="20"/>
        </w:rPr>
        <w:t>), but that the DOL-OFCCP refused to investigate. The petitioner claims that the DOL-</w:t>
      </w:r>
      <w:r w:rsidRPr="00657B2C">
        <w:rPr>
          <w:rFonts w:asciiTheme="majorHAnsi" w:hAnsiTheme="majorHAnsi"/>
          <w:sz w:val="20"/>
          <w:szCs w:val="20"/>
        </w:rPr>
        <w:lastRenderedPageBreak/>
        <w:t>OFCCP erroneously transferred the complaint to the Equal Employment Opportunities Commission</w:t>
      </w:r>
      <w:r w:rsidR="00553F98" w:rsidRPr="00657B2C">
        <w:rPr>
          <w:rFonts w:asciiTheme="majorHAnsi" w:hAnsiTheme="majorHAnsi"/>
          <w:sz w:val="20"/>
          <w:szCs w:val="20"/>
        </w:rPr>
        <w:t xml:space="preserve"> (“</w:t>
      </w:r>
      <w:r w:rsidRPr="00657B2C">
        <w:rPr>
          <w:rFonts w:asciiTheme="majorHAnsi" w:hAnsiTheme="majorHAnsi"/>
          <w:sz w:val="20"/>
          <w:szCs w:val="20"/>
        </w:rPr>
        <w:t>EEOC</w:t>
      </w:r>
      <w:r w:rsidR="00553F98" w:rsidRPr="00657B2C">
        <w:rPr>
          <w:rFonts w:asciiTheme="majorHAnsi" w:hAnsiTheme="majorHAnsi"/>
          <w:sz w:val="20"/>
          <w:szCs w:val="20"/>
        </w:rPr>
        <w:t>”)</w:t>
      </w:r>
      <w:r w:rsidRPr="00657B2C">
        <w:rPr>
          <w:rFonts w:asciiTheme="majorHAnsi" w:hAnsiTheme="majorHAnsi"/>
          <w:sz w:val="20"/>
          <w:szCs w:val="20"/>
        </w:rPr>
        <w:t>, which, according to the petitioner, had no jurisdiction to deal with her complaints.</w:t>
      </w:r>
    </w:p>
    <w:p w14:paraId="2EFE2919" w14:textId="4C87FC7F" w:rsidR="00BE2A38" w:rsidRPr="00657B2C" w:rsidRDefault="00C65C1B" w:rsidP="00BE2A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petitioner generally alleges that the State's failure to enforce Title IV of the Civil Rights Act has led to widespread violation of human rights of black Americans generally.</w:t>
      </w:r>
      <w:r w:rsidR="00BE2A38" w:rsidRPr="00657B2C">
        <w:rPr>
          <w:rFonts w:asciiTheme="majorHAnsi" w:hAnsiTheme="majorHAnsi"/>
          <w:sz w:val="20"/>
          <w:szCs w:val="20"/>
        </w:rPr>
        <w:t xml:space="preserve"> In support of her contention, </w:t>
      </w:r>
      <w:r w:rsidR="00DE092E" w:rsidRPr="00657B2C">
        <w:rPr>
          <w:rFonts w:asciiTheme="majorHAnsi" w:hAnsiTheme="majorHAnsi"/>
          <w:sz w:val="20"/>
          <w:szCs w:val="20"/>
        </w:rPr>
        <w:t>she</w:t>
      </w:r>
      <w:r w:rsidR="00BE2A38" w:rsidRPr="00657B2C">
        <w:rPr>
          <w:rFonts w:asciiTheme="majorHAnsi" w:hAnsiTheme="majorHAnsi"/>
          <w:sz w:val="20"/>
          <w:szCs w:val="20"/>
        </w:rPr>
        <w:t xml:space="preserve"> cites, as an example, the 2015 report of the US Department of Justice (“DOJ”) regarding the events that occurred in Ferguson, Missouri that led to the death of Michael Brown by a police officer. According to the petitioner, the report demonstrates that </w:t>
      </w:r>
      <w:r w:rsidR="00C21A48" w:rsidRPr="00657B2C">
        <w:rPr>
          <w:rFonts w:asciiTheme="majorHAnsi" w:hAnsiTheme="majorHAnsi"/>
          <w:sz w:val="20"/>
          <w:szCs w:val="20"/>
        </w:rPr>
        <w:t>Black</w:t>
      </w:r>
      <w:r w:rsidR="00BE2A38" w:rsidRPr="00657B2C">
        <w:rPr>
          <w:rFonts w:asciiTheme="majorHAnsi" w:hAnsiTheme="majorHAnsi"/>
          <w:sz w:val="20"/>
          <w:szCs w:val="20"/>
        </w:rPr>
        <w:t xml:space="preserve"> Americans are routinely targeted and forced into debtor’s prisons and other schemes to forcibly take their assets, restrict their freedom, and deprive them of rights.  </w:t>
      </w:r>
    </w:p>
    <w:p w14:paraId="64C5B64C" w14:textId="77E725EC" w:rsidR="00BE2A38" w:rsidRPr="00657B2C" w:rsidRDefault="00EF72D3" w:rsidP="00BE2A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petitioner contends that the DOJ generally does not monitor the Title VI activities of the courts or officials who are involved in the system of debtor’s prisons (throughout the US). The petitioner also argues that the DOJ continues to allow police forces unfettered discretion to monitor themselves.</w:t>
      </w:r>
    </w:p>
    <w:p w14:paraId="0AE11E10" w14:textId="04933147" w:rsidR="007E2981" w:rsidRPr="00657B2C" w:rsidRDefault="007E2981" w:rsidP="007E29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Generally, the petitioner argues that the non-enforcement of Title VI has caused black </w:t>
      </w:r>
      <w:r w:rsidR="00D2050E" w:rsidRPr="00657B2C">
        <w:rPr>
          <w:rFonts w:asciiTheme="majorHAnsi" w:hAnsiTheme="majorHAnsi"/>
          <w:sz w:val="20"/>
          <w:szCs w:val="20"/>
        </w:rPr>
        <w:t>Americans to</w:t>
      </w:r>
      <w:r w:rsidRPr="00657B2C">
        <w:rPr>
          <w:rFonts w:asciiTheme="majorHAnsi" w:hAnsiTheme="majorHAnsi"/>
          <w:sz w:val="20"/>
          <w:szCs w:val="20"/>
        </w:rPr>
        <w:t xml:space="preserve"> suffer human rights abuses including cruel, inhuman or degrading treatment; discrimination based on race; gender-based discrimination and other acts. The petition generally claims that US Federal Government Agencies are generally denying services to black Americans and retaliating against them for seeking to complain about racial discrimination. In this regard, the petitioner cites the example of a Ricardo Jones, a </w:t>
      </w:r>
      <w:r w:rsidR="00C21A48" w:rsidRPr="00657B2C">
        <w:rPr>
          <w:rFonts w:asciiTheme="majorHAnsi" w:hAnsiTheme="majorHAnsi"/>
          <w:sz w:val="20"/>
          <w:szCs w:val="20"/>
        </w:rPr>
        <w:t>Black</w:t>
      </w:r>
      <w:r w:rsidRPr="00657B2C">
        <w:rPr>
          <w:rFonts w:asciiTheme="majorHAnsi" w:hAnsiTheme="majorHAnsi"/>
          <w:sz w:val="20"/>
          <w:szCs w:val="20"/>
        </w:rPr>
        <w:t xml:space="preserve"> American who was an investigator with the </w:t>
      </w:r>
      <w:r w:rsidR="00790918" w:rsidRPr="00657B2C">
        <w:rPr>
          <w:rFonts w:asciiTheme="majorHAnsi" w:hAnsiTheme="majorHAnsi"/>
          <w:sz w:val="20"/>
          <w:szCs w:val="20"/>
        </w:rPr>
        <w:t>EEOC in</w:t>
      </w:r>
      <w:r w:rsidRPr="00657B2C">
        <w:rPr>
          <w:rFonts w:asciiTheme="majorHAnsi" w:hAnsiTheme="majorHAnsi"/>
          <w:sz w:val="20"/>
          <w:szCs w:val="20"/>
        </w:rPr>
        <w:t xml:space="preserve"> New York for nine years</w:t>
      </w:r>
      <w:r w:rsidRPr="00657B2C">
        <w:rPr>
          <w:rFonts w:asciiTheme="majorHAnsi" w:hAnsiTheme="majorHAnsi"/>
          <w:sz w:val="20"/>
          <w:szCs w:val="20"/>
          <w:vertAlign w:val="superscript"/>
        </w:rPr>
        <w:footnoteReference w:id="6"/>
      </w:r>
      <w:r w:rsidRPr="00657B2C">
        <w:rPr>
          <w:rFonts w:asciiTheme="majorHAnsi" w:hAnsiTheme="majorHAnsi"/>
          <w:sz w:val="20"/>
          <w:szCs w:val="20"/>
        </w:rPr>
        <w:t xml:space="preserve">.  According to the petitioner, Jones was a whistle-blower who exposed the erosion of civil and human rights faced by </w:t>
      </w:r>
      <w:r w:rsidR="00C21A48" w:rsidRPr="00657B2C">
        <w:rPr>
          <w:rFonts w:asciiTheme="majorHAnsi" w:hAnsiTheme="majorHAnsi"/>
          <w:sz w:val="20"/>
          <w:szCs w:val="20"/>
        </w:rPr>
        <w:t>Black</w:t>
      </w:r>
      <w:r w:rsidRPr="00657B2C">
        <w:rPr>
          <w:rFonts w:asciiTheme="majorHAnsi" w:hAnsiTheme="majorHAnsi"/>
          <w:sz w:val="20"/>
          <w:szCs w:val="20"/>
        </w:rPr>
        <w:t xml:space="preserve"> people in US at the hand of its own government, through the DOJ and EEOC. The petitioner claims that Ricardo Jones was denied any whistle-blower protection, and that he ultimately lost his job, his home and career</w:t>
      </w:r>
      <w:r w:rsidR="009A2BCB">
        <w:rPr>
          <w:rFonts w:asciiTheme="majorHAnsi" w:hAnsiTheme="majorHAnsi"/>
          <w:sz w:val="20"/>
          <w:szCs w:val="20"/>
        </w:rPr>
        <w:t>.</w:t>
      </w:r>
      <w:r w:rsidRPr="00657B2C">
        <w:rPr>
          <w:rFonts w:asciiTheme="majorHAnsi" w:hAnsiTheme="majorHAnsi"/>
          <w:sz w:val="20"/>
          <w:szCs w:val="20"/>
          <w:vertAlign w:val="superscript"/>
        </w:rPr>
        <w:footnoteReference w:id="7"/>
      </w:r>
      <w:r w:rsidRPr="00657B2C">
        <w:rPr>
          <w:rFonts w:asciiTheme="majorHAnsi" w:hAnsiTheme="majorHAnsi"/>
          <w:sz w:val="20"/>
          <w:szCs w:val="20"/>
        </w:rPr>
        <w:t xml:space="preserve">   </w:t>
      </w:r>
    </w:p>
    <w:p w14:paraId="36EE4B8C" w14:textId="648FBA74" w:rsidR="00950DCC" w:rsidRPr="00657B2C" w:rsidRDefault="0005095B" w:rsidP="00E844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petitioner generally claims that the domestic laws do not ensure due process for the protection of the rights allegedly violated; and that access to domestic remedies has not been permitted or exhausting them has been impeded.</w:t>
      </w:r>
      <w:r w:rsidR="002A122F" w:rsidRPr="00657B2C">
        <w:rPr>
          <w:rFonts w:asciiTheme="majorHAnsi" w:hAnsiTheme="majorHAnsi"/>
          <w:sz w:val="20"/>
          <w:szCs w:val="20"/>
        </w:rPr>
        <w:t xml:space="preserve"> </w:t>
      </w:r>
      <w:r w:rsidR="0047424B" w:rsidRPr="00657B2C">
        <w:rPr>
          <w:rFonts w:asciiTheme="majorHAnsi" w:hAnsiTheme="majorHAnsi"/>
          <w:sz w:val="20"/>
          <w:szCs w:val="20"/>
        </w:rPr>
        <w:t>–</w:t>
      </w:r>
      <w:r w:rsidR="002A122F" w:rsidRPr="00657B2C">
        <w:rPr>
          <w:rFonts w:asciiTheme="majorHAnsi" w:hAnsiTheme="majorHAnsi"/>
          <w:sz w:val="20"/>
          <w:szCs w:val="20"/>
        </w:rPr>
        <w:t>The petitioner does not provide any substantiating evidence</w:t>
      </w:r>
      <w:r w:rsidR="005B54E1" w:rsidRPr="00657B2C">
        <w:rPr>
          <w:rFonts w:asciiTheme="majorHAnsi" w:hAnsiTheme="majorHAnsi"/>
          <w:sz w:val="20"/>
          <w:szCs w:val="20"/>
        </w:rPr>
        <w:t xml:space="preserve"> or coherent argument</w:t>
      </w:r>
      <w:r w:rsidR="002A122F" w:rsidRPr="00657B2C">
        <w:rPr>
          <w:rFonts w:asciiTheme="majorHAnsi" w:hAnsiTheme="majorHAnsi"/>
          <w:sz w:val="20"/>
          <w:szCs w:val="20"/>
        </w:rPr>
        <w:t xml:space="preserve"> to </w:t>
      </w:r>
      <w:r w:rsidR="00CE0AB2" w:rsidRPr="00657B2C">
        <w:rPr>
          <w:rFonts w:asciiTheme="majorHAnsi" w:hAnsiTheme="majorHAnsi"/>
          <w:sz w:val="20"/>
          <w:szCs w:val="20"/>
        </w:rPr>
        <w:t>support this claim</w:t>
      </w:r>
      <w:r w:rsidR="0047424B" w:rsidRPr="00657B2C">
        <w:rPr>
          <w:rFonts w:asciiTheme="majorHAnsi" w:hAnsiTheme="majorHAnsi"/>
          <w:sz w:val="20"/>
          <w:szCs w:val="20"/>
        </w:rPr>
        <w:t>–</w:t>
      </w:r>
      <w:r w:rsidR="00CE0AB2" w:rsidRPr="00657B2C">
        <w:rPr>
          <w:rFonts w:asciiTheme="majorHAnsi" w:hAnsiTheme="majorHAnsi"/>
          <w:sz w:val="20"/>
          <w:szCs w:val="20"/>
        </w:rPr>
        <w:t xml:space="preserve">. </w:t>
      </w:r>
      <w:r w:rsidRPr="00657B2C">
        <w:rPr>
          <w:rFonts w:asciiTheme="majorHAnsi" w:hAnsiTheme="majorHAnsi"/>
          <w:sz w:val="20"/>
          <w:szCs w:val="20"/>
        </w:rPr>
        <w:t xml:space="preserve">According to information supplied by the petitioner, her claims (contained in the petition to the IACHR) have also been submitted to the United Nations human rights system by communication dated December 8, 2017. </w:t>
      </w:r>
      <w:r w:rsidR="00BF2F1A" w:rsidRPr="00657B2C">
        <w:rPr>
          <w:rFonts w:asciiTheme="majorHAnsi" w:hAnsiTheme="majorHAnsi"/>
          <w:sz w:val="20"/>
          <w:szCs w:val="20"/>
        </w:rPr>
        <w:t>The document is described as a “UN OHCHR Petition and Complaint</w:t>
      </w:r>
      <w:r w:rsidR="00C21A48" w:rsidRPr="00657B2C">
        <w:rPr>
          <w:rFonts w:asciiTheme="majorHAnsi" w:hAnsiTheme="majorHAnsi"/>
          <w:sz w:val="20"/>
          <w:szCs w:val="20"/>
        </w:rPr>
        <w:t>.”</w:t>
      </w:r>
      <w:r w:rsidR="00AD00CC" w:rsidRPr="00657B2C">
        <w:rPr>
          <w:rFonts w:asciiTheme="majorHAnsi" w:hAnsiTheme="majorHAnsi"/>
          <w:sz w:val="20"/>
          <w:szCs w:val="20"/>
        </w:rPr>
        <w:t xml:space="preserve"> </w:t>
      </w:r>
      <w:r w:rsidR="00102794" w:rsidRPr="00657B2C">
        <w:rPr>
          <w:rFonts w:asciiTheme="majorHAnsi" w:hAnsiTheme="majorHAnsi"/>
          <w:sz w:val="20"/>
          <w:szCs w:val="20"/>
        </w:rPr>
        <w:t>–However, t</w:t>
      </w:r>
      <w:r w:rsidR="00AD00CC" w:rsidRPr="00657B2C">
        <w:rPr>
          <w:rFonts w:asciiTheme="majorHAnsi" w:hAnsiTheme="majorHAnsi"/>
          <w:sz w:val="20"/>
          <w:szCs w:val="20"/>
        </w:rPr>
        <w:t xml:space="preserve">he petitioner does not </w:t>
      </w:r>
      <w:r w:rsidR="00C01A12" w:rsidRPr="00657B2C">
        <w:rPr>
          <w:rFonts w:asciiTheme="majorHAnsi" w:hAnsiTheme="majorHAnsi"/>
          <w:sz w:val="20"/>
          <w:szCs w:val="20"/>
        </w:rPr>
        <w:t>specify</w:t>
      </w:r>
      <w:r w:rsidR="00A242DA" w:rsidRPr="00657B2C">
        <w:rPr>
          <w:rFonts w:asciiTheme="majorHAnsi" w:hAnsiTheme="majorHAnsi"/>
          <w:sz w:val="20"/>
          <w:szCs w:val="20"/>
        </w:rPr>
        <w:t xml:space="preserve"> </w:t>
      </w:r>
      <w:r w:rsidR="00C01A12" w:rsidRPr="00657B2C">
        <w:rPr>
          <w:rFonts w:asciiTheme="majorHAnsi" w:hAnsiTheme="majorHAnsi"/>
          <w:sz w:val="20"/>
          <w:szCs w:val="20"/>
        </w:rPr>
        <w:t>which</w:t>
      </w:r>
      <w:r w:rsidR="002763FC" w:rsidRPr="00657B2C">
        <w:rPr>
          <w:rFonts w:asciiTheme="majorHAnsi" w:hAnsiTheme="majorHAnsi"/>
          <w:sz w:val="20"/>
          <w:szCs w:val="20"/>
        </w:rPr>
        <w:t xml:space="preserve"> procedure or</w:t>
      </w:r>
      <w:r w:rsidR="007F7BA4" w:rsidRPr="00657B2C">
        <w:rPr>
          <w:rFonts w:asciiTheme="majorHAnsi" w:hAnsiTheme="majorHAnsi"/>
          <w:sz w:val="20"/>
          <w:szCs w:val="20"/>
        </w:rPr>
        <w:t xml:space="preserve"> human rights body of </w:t>
      </w:r>
      <w:r w:rsidR="00913580" w:rsidRPr="00657B2C">
        <w:rPr>
          <w:rFonts w:asciiTheme="majorHAnsi" w:hAnsiTheme="majorHAnsi"/>
          <w:sz w:val="20"/>
          <w:szCs w:val="20"/>
        </w:rPr>
        <w:t>the</w:t>
      </w:r>
      <w:r w:rsidR="000547CF" w:rsidRPr="00657B2C">
        <w:rPr>
          <w:rFonts w:asciiTheme="majorHAnsi" w:hAnsiTheme="majorHAnsi"/>
          <w:sz w:val="20"/>
          <w:szCs w:val="20"/>
        </w:rPr>
        <w:t xml:space="preserve"> </w:t>
      </w:r>
      <w:r w:rsidR="007F7BA4" w:rsidRPr="00657B2C">
        <w:rPr>
          <w:rFonts w:asciiTheme="majorHAnsi" w:hAnsiTheme="majorHAnsi"/>
          <w:sz w:val="20"/>
          <w:szCs w:val="20"/>
        </w:rPr>
        <w:t xml:space="preserve">United Nations </w:t>
      </w:r>
      <w:r w:rsidR="002763FC" w:rsidRPr="00657B2C">
        <w:rPr>
          <w:rFonts w:asciiTheme="majorHAnsi" w:hAnsiTheme="majorHAnsi"/>
          <w:sz w:val="20"/>
          <w:szCs w:val="20"/>
        </w:rPr>
        <w:t>she submitted her</w:t>
      </w:r>
      <w:r w:rsidR="007B5D1C" w:rsidRPr="00657B2C">
        <w:rPr>
          <w:rFonts w:asciiTheme="majorHAnsi" w:hAnsiTheme="majorHAnsi"/>
          <w:sz w:val="20"/>
          <w:szCs w:val="20"/>
        </w:rPr>
        <w:t xml:space="preserve"> </w:t>
      </w:r>
      <w:r w:rsidR="00891D7A" w:rsidRPr="00657B2C">
        <w:rPr>
          <w:rFonts w:asciiTheme="majorHAnsi" w:hAnsiTheme="majorHAnsi"/>
          <w:sz w:val="20"/>
          <w:szCs w:val="20"/>
        </w:rPr>
        <w:t>document to</w:t>
      </w:r>
      <w:r w:rsidR="009B7198" w:rsidRPr="00657B2C">
        <w:rPr>
          <w:rFonts w:asciiTheme="majorHAnsi" w:hAnsiTheme="majorHAnsi"/>
          <w:sz w:val="20"/>
          <w:szCs w:val="20"/>
        </w:rPr>
        <w:t>–</w:t>
      </w:r>
      <w:r w:rsidR="00891D7A" w:rsidRPr="00657B2C">
        <w:rPr>
          <w:rFonts w:asciiTheme="majorHAnsi" w:hAnsiTheme="majorHAnsi"/>
          <w:sz w:val="20"/>
          <w:szCs w:val="20"/>
        </w:rPr>
        <w:t xml:space="preserve">. </w:t>
      </w:r>
    </w:p>
    <w:p w14:paraId="07E7C07E" w14:textId="1D007DFE" w:rsidR="008F5ABC" w:rsidRPr="00657B2C" w:rsidRDefault="008F5ABC" w:rsidP="008F5A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sidRPr="00657B2C">
        <w:rPr>
          <w:rFonts w:asciiTheme="majorHAnsi" w:hAnsiTheme="majorHAnsi"/>
          <w:b/>
          <w:bCs/>
          <w:sz w:val="20"/>
          <w:szCs w:val="20"/>
        </w:rPr>
        <w:t xml:space="preserve">The </w:t>
      </w:r>
      <w:r w:rsidR="00614AAC" w:rsidRPr="00657B2C">
        <w:rPr>
          <w:rFonts w:asciiTheme="majorHAnsi" w:hAnsiTheme="majorHAnsi"/>
          <w:b/>
          <w:bCs/>
          <w:sz w:val="20"/>
          <w:szCs w:val="20"/>
        </w:rPr>
        <w:t xml:space="preserve">United </w:t>
      </w:r>
      <w:r w:rsidRPr="00657B2C">
        <w:rPr>
          <w:rFonts w:asciiTheme="majorHAnsi" w:hAnsiTheme="majorHAnsi"/>
          <w:b/>
          <w:bCs/>
          <w:sz w:val="20"/>
          <w:szCs w:val="20"/>
        </w:rPr>
        <w:t>State</w:t>
      </w:r>
      <w:r w:rsidR="00614AAC" w:rsidRPr="00657B2C">
        <w:rPr>
          <w:rFonts w:asciiTheme="majorHAnsi" w:hAnsiTheme="majorHAnsi"/>
          <w:b/>
          <w:bCs/>
          <w:sz w:val="20"/>
          <w:szCs w:val="20"/>
        </w:rPr>
        <w:t>s of America</w:t>
      </w:r>
    </w:p>
    <w:p w14:paraId="09B2CAA9" w14:textId="4921DEC0" w:rsidR="00156074" w:rsidRPr="00657B2C" w:rsidRDefault="00D52FC1" w:rsidP="001D31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The State rejects the petition as inadmissible on </w:t>
      </w:r>
      <w:r w:rsidR="00180B57" w:rsidRPr="00657B2C">
        <w:rPr>
          <w:rFonts w:asciiTheme="majorHAnsi" w:hAnsiTheme="majorHAnsi"/>
          <w:sz w:val="20"/>
          <w:szCs w:val="20"/>
        </w:rPr>
        <w:t>several</w:t>
      </w:r>
      <w:r w:rsidRPr="00657B2C">
        <w:rPr>
          <w:rFonts w:asciiTheme="majorHAnsi" w:hAnsiTheme="majorHAnsi"/>
          <w:sz w:val="20"/>
          <w:szCs w:val="20"/>
        </w:rPr>
        <w:t xml:space="preserve"> grounds. The State contends that (a )</w:t>
      </w:r>
      <w:r w:rsidR="009B2AB8" w:rsidRPr="00657B2C">
        <w:rPr>
          <w:rFonts w:asciiTheme="majorHAnsi" w:hAnsiTheme="majorHAnsi"/>
          <w:sz w:val="20"/>
          <w:szCs w:val="20"/>
        </w:rPr>
        <w:t xml:space="preserve"> </w:t>
      </w:r>
      <w:r w:rsidRPr="00657B2C">
        <w:rPr>
          <w:rFonts w:asciiTheme="majorHAnsi" w:hAnsiTheme="majorHAnsi"/>
          <w:sz w:val="20"/>
          <w:szCs w:val="20"/>
        </w:rPr>
        <w:t xml:space="preserve">the  Claims presented in the petition are beyond the </w:t>
      </w:r>
      <w:r w:rsidRPr="00657B2C">
        <w:rPr>
          <w:rFonts w:asciiTheme="majorHAnsi" w:hAnsiTheme="majorHAnsi"/>
          <w:i/>
          <w:iCs/>
          <w:sz w:val="20"/>
          <w:szCs w:val="20"/>
        </w:rPr>
        <w:t>ratione personae</w:t>
      </w:r>
      <w:r w:rsidRPr="00657B2C">
        <w:rPr>
          <w:rFonts w:asciiTheme="majorHAnsi" w:hAnsiTheme="majorHAnsi"/>
          <w:sz w:val="20"/>
          <w:szCs w:val="20"/>
        </w:rPr>
        <w:t xml:space="preserve"> and </w:t>
      </w:r>
      <w:r w:rsidRPr="00657B2C">
        <w:rPr>
          <w:rFonts w:asciiTheme="majorHAnsi" w:hAnsiTheme="majorHAnsi"/>
          <w:i/>
          <w:iCs/>
          <w:sz w:val="20"/>
          <w:szCs w:val="20"/>
        </w:rPr>
        <w:t>ratione materiae</w:t>
      </w:r>
      <w:r w:rsidRPr="00657B2C">
        <w:rPr>
          <w:rFonts w:asciiTheme="majorHAnsi" w:hAnsiTheme="majorHAnsi"/>
          <w:sz w:val="20"/>
          <w:szCs w:val="20"/>
        </w:rPr>
        <w:t xml:space="preserve"> competence of the Commission; (b) the petitioner has not exhausted domestic remedies; (c) the petition is untimely; (d) the petition appears to be duplicative of other procedures (pursuant to Article 33 of the Commission’s  Rules of Procedure)</w:t>
      </w:r>
      <w:r w:rsidR="006F3E35" w:rsidRPr="00657B2C">
        <w:rPr>
          <w:rFonts w:asciiTheme="majorHAnsi" w:hAnsiTheme="majorHAnsi"/>
          <w:sz w:val="20"/>
          <w:szCs w:val="20"/>
        </w:rPr>
        <w:t xml:space="preserve"> </w:t>
      </w:r>
      <w:r w:rsidRPr="00657B2C">
        <w:rPr>
          <w:rFonts w:asciiTheme="majorHAnsi" w:hAnsiTheme="majorHAnsi"/>
          <w:sz w:val="20"/>
          <w:szCs w:val="20"/>
        </w:rPr>
        <w:t>and ( e) the petition  fails to state facts that tend to establish violations of rights set forth in the American Declaration and that the claims are otherwise it is manifestly groundless.</w:t>
      </w:r>
    </w:p>
    <w:p w14:paraId="1E83B8B7" w14:textId="5BC585CD" w:rsidR="001D3158" w:rsidRPr="00657B2C" w:rsidRDefault="001D3158" w:rsidP="00950DCC">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rPr>
      </w:pPr>
      <w:r w:rsidRPr="00657B2C">
        <w:rPr>
          <w:rFonts w:asciiTheme="majorHAnsi" w:hAnsiTheme="majorHAnsi"/>
          <w:i/>
          <w:iCs/>
          <w:sz w:val="20"/>
          <w:szCs w:val="20"/>
        </w:rPr>
        <w:t>Ratione materiae</w:t>
      </w:r>
      <w:r w:rsidR="000D029A" w:rsidRPr="00657B2C">
        <w:rPr>
          <w:rFonts w:asciiTheme="majorHAnsi" w:hAnsiTheme="majorHAnsi"/>
          <w:i/>
          <w:iCs/>
          <w:sz w:val="20"/>
          <w:szCs w:val="20"/>
        </w:rPr>
        <w:t xml:space="preserve"> and ratione personae</w:t>
      </w:r>
    </w:p>
    <w:p w14:paraId="26D43D21" w14:textId="28A35ED1" w:rsidR="00FC7C63" w:rsidRPr="00657B2C" w:rsidRDefault="001D3158" w:rsidP="00FC7C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The State submits that the petition does not allege violations of the American Declaration, but instead, violations of international instruments that are beyond the competence of the Commission. In this regard, the State notes that the petition alleges violations of United Nations instruments such as the Genocide Convention, the Optional Protocol to the International Covenant on Civil and Political Rights (ICCPR), the Convention on Torture (CAT), and the International Covenant on Economic, Social and Cultural Rights (ICESCR). The State submits that any claims made by the petitioner under these instruments are inadmissible </w:t>
      </w:r>
      <w:r w:rsidRPr="00657B2C">
        <w:rPr>
          <w:rFonts w:asciiTheme="majorHAnsi" w:hAnsiTheme="majorHAnsi"/>
          <w:sz w:val="20"/>
          <w:szCs w:val="20"/>
        </w:rPr>
        <w:lastRenderedPageBreak/>
        <w:t>because the Commission lacks competence (</w:t>
      </w:r>
      <w:r w:rsidRPr="00657B2C">
        <w:rPr>
          <w:rFonts w:asciiTheme="majorHAnsi" w:hAnsiTheme="majorHAnsi"/>
          <w:i/>
          <w:iCs/>
          <w:sz w:val="20"/>
          <w:szCs w:val="20"/>
        </w:rPr>
        <w:t>ratione materiae</w:t>
      </w:r>
      <w:r w:rsidRPr="00657B2C">
        <w:rPr>
          <w:rFonts w:asciiTheme="majorHAnsi" w:hAnsiTheme="majorHAnsi"/>
          <w:sz w:val="20"/>
          <w:szCs w:val="20"/>
        </w:rPr>
        <w:t>) to apply any instrument beyond the American Declaration with respect to the United States.</w:t>
      </w:r>
    </w:p>
    <w:p w14:paraId="7DF5AE4C" w14:textId="69B49546" w:rsidR="00967ED0" w:rsidRPr="00657B2C" w:rsidRDefault="00FC7C63" w:rsidP="00967E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The State </w:t>
      </w:r>
      <w:r w:rsidR="005D2BC4" w:rsidRPr="00657B2C">
        <w:rPr>
          <w:rFonts w:asciiTheme="majorHAnsi" w:hAnsiTheme="majorHAnsi"/>
          <w:sz w:val="20"/>
          <w:szCs w:val="20"/>
        </w:rPr>
        <w:t xml:space="preserve">also </w:t>
      </w:r>
      <w:r w:rsidRPr="00657B2C">
        <w:rPr>
          <w:rFonts w:asciiTheme="majorHAnsi" w:hAnsiTheme="majorHAnsi"/>
          <w:sz w:val="20"/>
          <w:szCs w:val="20"/>
        </w:rPr>
        <w:t xml:space="preserve">contends that, to the extent that petitioner articulates generalized allegations beyond those cognizable in relation to petitioner, that the petition should be dismissed because the Commission lacks competence </w:t>
      </w:r>
      <w:r w:rsidRPr="00657B2C">
        <w:rPr>
          <w:rFonts w:asciiTheme="majorHAnsi" w:hAnsiTheme="majorHAnsi"/>
          <w:i/>
          <w:iCs/>
          <w:sz w:val="20"/>
          <w:szCs w:val="20"/>
        </w:rPr>
        <w:t>ratione personae</w:t>
      </w:r>
      <w:r w:rsidRPr="00657B2C">
        <w:rPr>
          <w:rFonts w:asciiTheme="majorHAnsi" w:hAnsiTheme="majorHAnsi"/>
          <w:sz w:val="20"/>
          <w:szCs w:val="20"/>
        </w:rPr>
        <w:t xml:space="preserve"> to entertain such </w:t>
      </w:r>
      <w:r w:rsidR="0041333F" w:rsidRPr="00657B2C">
        <w:rPr>
          <w:rFonts w:asciiTheme="majorHAnsi" w:hAnsiTheme="majorHAnsi"/>
          <w:sz w:val="20"/>
          <w:szCs w:val="20"/>
        </w:rPr>
        <w:t xml:space="preserve">broad general </w:t>
      </w:r>
      <w:r w:rsidRPr="00657B2C">
        <w:rPr>
          <w:rFonts w:asciiTheme="majorHAnsi" w:hAnsiTheme="majorHAnsi"/>
          <w:sz w:val="20"/>
          <w:szCs w:val="20"/>
        </w:rPr>
        <w:t xml:space="preserve">claims based on a theory of actio </w:t>
      </w:r>
      <w:r w:rsidRPr="00657B2C">
        <w:rPr>
          <w:rFonts w:asciiTheme="majorHAnsi" w:hAnsiTheme="majorHAnsi"/>
          <w:i/>
          <w:iCs/>
          <w:sz w:val="20"/>
          <w:szCs w:val="20"/>
        </w:rPr>
        <w:t>popularis</w:t>
      </w:r>
      <w:r w:rsidRPr="00657B2C">
        <w:rPr>
          <w:rFonts w:asciiTheme="majorHAnsi" w:hAnsiTheme="majorHAnsi"/>
          <w:sz w:val="20"/>
          <w:szCs w:val="20"/>
        </w:rPr>
        <w:t xml:space="preserve">. In this regard, the State notes that the petition contains claims </w:t>
      </w:r>
      <w:r w:rsidR="00EB40EC" w:rsidRPr="00657B2C">
        <w:rPr>
          <w:rFonts w:asciiTheme="majorHAnsi" w:hAnsiTheme="majorHAnsi"/>
          <w:sz w:val="20"/>
          <w:szCs w:val="20"/>
        </w:rPr>
        <w:t>related to alleged</w:t>
      </w:r>
      <w:r w:rsidRPr="00657B2C">
        <w:rPr>
          <w:rFonts w:asciiTheme="majorHAnsi" w:hAnsiTheme="majorHAnsi"/>
          <w:sz w:val="20"/>
          <w:szCs w:val="20"/>
        </w:rPr>
        <w:t xml:space="preserve"> violations suffered </w:t>
      </w:r>
      <w:r w:rsidR="00653E0A" w:rsidRPr="00657B2C">
        <w:rPr>
          <w:rFonts w:asciiTheme="majorHAnsi" w:hAnsiTheme="majorHAnsi"/>
          <w:sz w:val="20"/>
          <w:szCs w:val="20"/>
        </w:rPr>
        <w:t>by</w:t>
      </w:r>
      <w:r w:rsidRPr="00657B2C">
        <w:rPr>
          <w:rFonts w:asciiTheme="majorHAnsi" w:hAnsiTheme="majorHAnsi"/>
          <w:sz w:val="20"/>
          <w:szCs w:val="20"/>
        </w:rPr>
        <w:t xml:space="preserve"> black persons in the US, (apart from the petitioner). The State also submits that the petitioner’s allegations relating to debtor’s prisons are also inadmissible, as the Commission’s governing instruments do not allow for an </w:t>
      </w:r>
      <w:r w:rsidRPr="00657B2C">
        <w:rPr>
          <w:rFonts w:asciiTheme="majorHAnsi" w:hAnsiTheme="majorHAnsi"/>
          <w:i/>
          <w:iCs/>
          <w:sz w:val="20"/>
          <w:szCs w:val="20"/>
        </w:rPr>
        <w:t>actio popularis</w:t>
      </w:r>
      <w:r w:rsidRPr="00657B2C">
        <w:rPr>
          <w:rFonts w:asciiTheme="majorHAnsi" w:hAnsiTheme="majorHAnsi"/>
          <w:sz w:val="20"/>
          <w:szCs w:val="20"/>
        </w:rPr>
        <w:t>.</w:t>
      </w:r>
    </w:p>
    <w:p w14:paraId="27636A71" w14:textId="4CD44949" w:rsidR="00967ED0" w:rsidRPr="00657B2C" w:rsidRDefault="00404E34" w:rsidP="00404E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sidRPr="00657B2C">
        <w:rPr>
          <w:rFonts w:asciiTheme="majorHAnsi" w:hAnsiTheme="majorHAnsi"/>
          <w:i/>
          <w:iCs/>
          <w:sz w:val="20"/>
          <w:szCs w:val="20"/>
        </w:rPr>
        <w:t xml:space="preserve">(b) </w:t>
      </w:r>
      <w:r w:rsidR="00967ED0" w:rsidRPr="00657B2C">
        <w:rPr>
          <w:rFonts w:asciiTheme="majorHAnsi" w:hAnsiTheme="majorHAnsi"/>
          <w:i/>
          <w:iCs/>
          <w:sz w:val="20"/>
          <w:szCs w:val="20"/>
        </w:rPr>
        <w:t>Exhaustion of domestic remedies</w:t>
      </w:r>
    </w:p>
    <w:p w14:paraId="36052CF4" w14:textId="24285017" w:rsidR="004D5A23" w:rsidRPr="00657B2C" w:rsidRDefault="00967ED0" w:rsidP="004D5A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The State argues that to the extent that the petitioner might allege violations of the American Declaration, the petition is inadmissible for failure to invoke and exhaust domestic remedies. In this regard, the State submits, for example, that the petitioner Section 42 U.S.C. § 1983 provides redress against government officials for alleged violations of human or constitutional rights. The State indicates that there is no indication that the petitioner availed herself of that remedy. The State notes that, instead, the petitioner unsuccessfully pursued a series of claims before the U.S. Court of Federal Claims, a court of special jurisdiction, </w:t>
      </w:r>
      <w:r w:rsidR="00653E0A" w:rsidRPr="00657B2C">
        <w:rPr>
          <w:rFonts w:asciiTheme="majorHAnsi" w:hAnsiTheme="majorHAnsi"/>
          <w:sz w:val="20"/>
          <w:szCs w:val="20"/>
        </w:rPr>
        <w:t>which</w:t>
      </w:r>
      <w:r w:rsidRPr="00657B2C">
        <w:rPr>
          <w:rFonts w:asciiTheme="majorHAnsi" w:hAnsiTheme="majorHAnsi"/>
          <w:sz w:val="20"/>
          <w:szCs w:val="20"/>
        </w:rPr>
        <w:t xml:space="preserve"> has no power to redress alleged violations of civil or constitutional rights. Accordingly, the State submits that even if the petitioner invoked and exhausted the jurisdiction of the U.S. Court of Federal Claims, this would not be sufficient to satisfy the Commission’s exhaustion requirements.</w:t>
      </w:r>
    </w:p>
    <w:p w14:paraId="718635DC" w14:textId="50BC87EF" w:rsidR="004D5A23" w:rsidRPr="00657B2C" w:rsidRDefault="00212A00" w:rsidP="00212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sidRPr="00657B2C">
        <w:rPr>
          <w:rFonts w:asciiTheme="majorHAnsi" w:hAnsiTheme="majorHAnsi"/>
          <w:i/>
          <w:iCs/>
          <w:sz w:val="20"/>
          <w:szCs w:val="20"/>
        </w:rPr>
        <w:t xml:space="preserve">(c) </w:t>
      </w:r>
      <w:r w:rsidR="004D5A23" w:rsidRPr="00657B2C">
        <w:rPr>
          <w:rFonts w:asciiTheme="majorHAnsi" w:hAnsiTheme="majorHAnsi"/>
          <w:i/>
          <w:iCs/>
          <w:sz w:val="20"/>
          <w:szCs w:val="20"/>
        </w:rPr>
        <w:t>Timeliness</w:t>
      </w:r>
    </w:p>
    <w:p w14:paraId="48BE4156" w14:textId="2BABC6F8" w:rsidR="0046501B" w:rsidRPr="00657B2C" w:rsidRDefault="004D5A23" w:rsidP="004650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State contends that even if the Commission determines that petitioner has exhausted her domestic remedies, the petition should be dismissed as untimely. In this regard, the State submits that the petition was received on December 22, 2017, more than six months after decisions were rendered by the U.S. Court of Federal Claims in 2013 and 2014 dismissing the petitioner’s claims.</w:t>
      </w:r>
      <w:r w:rsidR="000E4C77" w:rsidRPr="00657B2C">
        <w:rPr>
          <w:rFonts w:asciiTheme="majorHAnsi" w:hAnsiTheme="majorHAnsi"/>
          <w:sz w:val="20"/>
          <w:szCs w:val="20"/>
        </w:rPr>
        <w:tab/>
      </w:r>
    </w:p>
    <w:p w14:paraId="7D783242" w14:textId="5BE236DB" w:rsidR="0046501B" w:rsidRPr="00657B2C" w:rsidRDefault="000E4C77" w:rsidP="000E4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sidRPr="00657B2C">
        <w:rPr>
          <w:rFonts w:asciiTheme="majorHAnsi" w:hAnsiTheme="majorHAnsi"/>
          <w:i/>
          <w:iCs/>
          <w:sz w:val="20"/>
          <w:szCs w:val="20"/>
        </w:rPr>
        <w:t xml:space="preserve">(d) </w:t>
      </w:r>
      <w:r w:rsidR="0046501B" w:rsidRPr="00657B2C">
        <w:rPr>
          <w:rFonts w:asciiTheme="majorHAnsi" w:hAnsiTheme="majorHAnsi"/>
          <w:i/>
          <w:iCs/>
          <w:sz w:val="20"/>
          <w:szCs w:val="20"/>
        </w:rPr>
        <w:t>Duplication</w:t>
      </w:r>
    </w:p>
    <w:p w14:paraId="4958AD3A" w14:textId="2CF415E8" w:rsidR="00FB61D9" w:rsidRPr="00657B2C" w:rsidRDefault="0046501B" w:rsidP="00FB61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State contends that the petition violates the rule against duplication as prescribed by Article 33 of the Commission’s Rules of Procedure. In this respect, the State notes that the petition appears to have also been submitted to the United Nations human rights system as a document styled as a “UN OHCHR Petition and Complaint</w:t>
      </w:r>
      <w:r w:rsidR="00653E0A" w:rsidRPr="00657B2C">
        <w:rPr>
          <w:rFonts w:asciiTheme="majorHAnsi" w:hAnsiTheme="majorHAnsi"/>
          <w:sz w:val="20"/>
          <w:szCs w:val="20"/>
        </w:rPr>
        <w:t>.”</w:t>
      </w:r>
      <w:r w:rsidRPr="00657B2C">
        <w:rPr>
          <w:rFonts w:asciiTheme="majorHAnsi" w:hAnsiTheme="majorHAnsi"/>
          <w:sz w:val="20"/>
          <w:szCs w:val="20"/>
        </w:rPr>
        <w:t xml:space="preserve"> The State submits that this constitutes a duplication that renders the petition inadmissible.</w:t>
      </w:r>
    </w:p>
    <w:p w14:paraId="3F3C7987" w14:textId="6CAD0020" w:rsidR="00FB61D9" w:rsidRPr="00657B2C" w:rsidRDefault="00447FCA" w:rsidP="00447F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657B2C">
        <w:rPr>
          <w:rFonts w:asciiTheme="majorHAnsi" w:hAnsiTheme="majorHAnsi"/>
          <w:i/>
          <w:iCs/>
          <w:sz w:val="20"/>
          <w:szCs w:val="20"/>
        </w:rPr>
        <w:t>(e)</w:t>
      </w:r>
      <w:r w:rsidRPr="00657B2C">
        <w:rPr>
          <w:rFonts w:asciiTheme="majorHAnsi" w:hAnsiTheme="majorHAnsi"/>
          <w:i/>
          <w:iCs/>
          <w:sz w:val="20"/>
          <w:szCs w:val="20"/>
        </w:rPr>
        <w:tab/>
      </w:r>
      <w:r w:rsidR="00FB61D9" w:rsidRPr="00657B2C">
        <w:rPr>
          <w:rFonts w:asciiTheme="majorHAnsi" w:hAnsiTheme="majorHAnsi"/>
          <w:i/>
          <w:iCs/>
          <w:sz w:val="20"/>
          <w:szCs w:val="20"/>
        </w:rPr>
        <w:t>Failure to state facts/claims manifestly groundless</w:t>
      </w:r>
    </w:p>
    <w:p w14:paraId="14C255F1" w14:textId="327C6D89" w:rsidR="00F045EB" w:rsidRPr="00657B2C" w:rsidRDefault="00FB61D9" w:rsidP="00FB61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State contends that, pursuant to Article 34 of the Commission’s Rules of Procedure, the petition is inadmissible for failure to state facts that establish a violation of the American Declaration; and that the claims therein are manifestly groundless. In this regard, the State submits that the petitioner’s allegations that the Unites States has covertly eliminated the protections offered by the Title VI of the Civil Rights Act are manifestly groundless and do not establish any violations of the American Declaration</w:t>
      </w:r>
      <w:r w:rsidR="00653E0A" w:rsidRPr="00657B2C">
        <w:rPr>
          <w:rFonts w:asciiTheme="majorHAnsi" w:hAnsiTheme="majorHAnsi"/>
          <w:sz w:val="20"/>
          <w:szCs w:val="20"/>
        </w:rPr>
        <w:t xml:space="preserve">. </w:t>
      </w:r>
    </w:p>
    <w:p w14:paraId="48027A5B" w14:textId="1D05F35D" w:rsidR="00FB61D9" w:rsidRDefault="00921609" w:rsidP="00FB61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The State expressly rejects the petitioner’s claims that she was subjected to discrimination by the State of Virginia or the Federal government. The State contends that the petitioner has failed to state facts that tend to establish that she suffered from unequal treatment before the law based on race, sex, language, </w:t>
      </w:r>
      <w:r w:rsidR="0025651F" w:rsidRPr="00657B2C">
        <w:rPr>
          <w:rFonts w:asciiTheme="majorHAnsi" w:hAnsiTheme="majorHAnsi"/>
          <w:sz w:val="20"/>
          <w:szCs w:val="20"/>
        </w:rPr>
        <w:t>creed,</w:t>
      </w:r>
      <w:r w:rsidRPr="00657B2C">
        <w:rPr>
          <w:rFonts w:asciiTheme="majorHAnsi" w:hAnsiTheme="majorHAnsi"/>
          <w:sz w:val="20"/>
          <w:szCs w:val="20"/>
        </w:rPr>
        <w:t xml:space="preserve"> or any other factor within the meaning of Article II of the Declaration. The State concludes that the petitioner’s claims of discrimination are inadmissible because they are manifestly groundless and fail to state any facts to establish any violation of the American Declaration.</w:t>
      </w:r>
    </w:p>
    <w:p w14:paraId="1AAFCB9A" w14:textId="77777777" w:rsidR="003C08AE" w:rsidRPr="00657B2C" w:rsidRDefault="003C08AE" w:rsidP="003C08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3F451B43" w14:textId="06717964" w:rsidR="003B11CB" w:rsidRPr="00657B2C" w:rsidRDefault="00987ABC" w:rsidP="00657B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lastRenderedPageBreak/>
        <w:t xml:space="preserve">The State also contends that the petitioner’s claims of discrimination perpetrated by private entities are also manifestly groundless </w:t>
      </w:r>
      <w:r w:rsidR="0025651F" w:rsidRPr="00657B2C">
        <w:rPr>
          <w:rFonts w:asciiTheme="majorHAnsi" w:hAnsiTheme="majorHAnsi"/>
          <w:sz w:val="20"/>
          <w:szCs w:val="20"/>
        </w:rPr>
        <w:t>and</w:t>
      </w:r>
      <w:r w:rsidRPr="00657B2C">
        <w:rPr>
          <w:rFonts w:asciiTheme="majorHAnsi" w:hAnsiTheme="majorHAnsi"/>
          <w:sz w:val="20"/>
          <w:szCs w:val="20"/>
        </w:rPr>
        <w:t xml:space="preserve"> fail to demonstrate violations of the American Declaration. The State submits that for alleged private abuses to be attributable to the United States, the petitioner would have to show that such abuses occurred either as a result of control exercised or instructions given by the United States.  The State argues that the petitioner has shown nothing of the kind.</w:t>
      </w:r>
    </w:p>
    <w:p w14:paraId="20887134" w14:textId="72BB1304" w:rsidR="00D05353" w:rsidRPr="00657B2C" w:rsidRDefault="00D05353" w:rsidP="00657B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rPr>
      </w:pPr>
      <w:r w:rsidRPr="00657B2C">
        <w:rPr>
          <w:rFonts w:asciiTheme="majorHAnsi" w:hAnsiTheme="majorHAnsi"/>
          <w:b/>
          <w:bCs/>
          <w:sz w:val="20"/>
          <w:szCs w:val="20"/>
        </w:rPr>
        <w:t xml:space="preserve">VI. </w:t>
      </w:r>
      <w:r w:rsidR="00657B2C" w:rsidRPr="00657B2C">
        <w:rPr>
          <w:rFonts w:asciiTheme="majorHAnsi" w:hAnsiTheme="majorHAnsi"/>
          <w:b/>
          <w:bCs/>
          <w:sz w:val="20"/>
          <w:szCs w:val="20"/>
        </w:rPr>
        <w:tab/>
      </w:r>
      <w:r w:rsidRPr="00657B2C">
        <w:rPr>
          <w:rFonts w:asciiTheme="majorHAnsi" w:hAnsiTheme="majorHAnsi"/>
          <w:b/>
          <w:bCs/>
          <w:sz w:val="20"/>
          <w:szCs w:val="20"/>
        </w:rPr>
        <w:t>ANALYSIS OF EXHAUSTION OF DOMESTIC REMEDIES</w:t>
      </w:r>
      <w:r w:rsidR="00657B2C" w:rsidRPr="00657B2C">
        <w:rPr>
          <w:rFonts w:asciiTheme="majorHAnsi" w:hAnsiTheme="majorHAnsi"/>
          <w:b/>
          <w:bCs/>
          <w:sz w:val="20"/>
          <w:szCs w:val="20"/>
        </w:rPr>
        <w:t xml:space="preserve"> AND</w:t>
      </w:r>
      <w:r w:rsidRPr="00657B2C">
        <w:rPr>
          <w:rFonts w:asciiTheme="majorHAnsi" w:hAnsiTheme="majorHAnsi"/>
          <w:b/>
          <w:bCs/>
          <w:sz w:val="20"/>
          <w:szCs w:val="20"/>
        </w:rPr>
        <w:t xml:space="preserve"> TIMELINESS </w:t>
      </w:r>
    </w:p>
    <w:p w14:paraId="36DAA412" w14:textId="0E216085" w:rsidR="004853FB" w:rsidRPr="00657B2C" w:rsidRDefault="005C01E5" w:rsidP="007743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As a preliminary consideration, the Commission notes that the claims of the petitioner are mainly about various alleged acts of racial discrimination that the petitioner attributes largely to a failure of the State to enforce Title VI of the Civil Rights Act. However, the Commission observes that the submissions from the petitioner are largely disjointed and incoherent, making it difficult to clearly identify the scope or nature of the petitioner’s claims or to assess whether the petitioner has satisfied the requirement of exhaustion of domestic remedies. Given the interconnectedness of these issues, the Commission will analyze them concurrently in this section.</w:t>
      </w:r>
    </w:p>
    <w:p w14:paraId="006D614D" w14:textId="3842C33A" w:rsidR="00D05353" w:rsidRPr="00657B2C" w:rsidRDefault="00B86E54" w:rsidP="007743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Commission further notes that the petitioner has mentioned other (named and unnamed) parties as alleged victims</w:t>
      </w:r>
      <w:r w:rsidR="00761DE6" w:rsidRPr="00657B2C">
        <w:rPr>
          <w:rFonts w:asciiTheme="majorHAnsi" w:hAnsiTheme="majorHAnsi"/>
          <w:sz w:val="20"/>
          <w:szCs w:val="20"/>
        </w:rPr>
        <w:t xml:space="preserve">. </w:t>
      </w:r>
      <w:r w:rsidRPr="00657B2C">
        <w:rPr>
          <w:rFonts w:asciiTheme="majorHAnsi" w:hAnsiTheme="majorHAnsi"/>
          <w:sz w:val="20"/>
          <w:szCs w:val="20"/>
        </w:rPr>
        <w:t>However, the Commission has not identified any basis to consider claims other than those presented in relation to the petitioner herself. However, the Commission will consider the information presented in relation to these parties for the purpose of providing context to the petitioner’s claims relating to racial discrimination. The Commission will therefore only consider the allegations relating to the petitioner</w:t>
      </w:r>
      <w:r w:rsidR="009906E3" w:rsidRPr="00657B2C">
        <w:rPr>
          <w:rFonts w:asciiTheme="majorHAnsi" w:hAnsiTheme="majorHAnsi"/>
          <w:sz w:val="20"/>
          <w:szCs w:val="20"/>
        </w:rPr>
        <w:t xml:space="preserve"> herself</w:t>
      </w:r>
      <w:r w:rsidR="00761DE6" w:rsidRPr="00657B2C">
        <w:rPr>
          <w:rFonts w:asciiTheme="majorHAnsi" w:hAnsiTheme="majorHAnsi"/>
          <w:sz w:val="20"/>
          <w:szCs w:val="20"/>
        </w:rPr>
        <w:t xml:space="preserve">. </w:t>
      </w:r>
    </w:p>
    <w:p w14:paraId="4411CBDF" w14:textId="3D36D75B" w:rsidR="009906E3" w:rsidRPr="00657B2C" w:rsidRDefault="009D4549" w:rsidP="007743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Regarding the issue of domestic remedies, in keeping with the Commission’s Rules of Procedure (Article 31), and Article 20 (c) of its Statute, a petitioner is required to satisfy the rule of exhaustion of domestic remedies or otherwise demonstrate that an exception to this requirement is warranted. To satisfy this rule, a petitioner must exhaust the remedies that are suitable, i.e., those that are available and effective for remedying the situation denounced. If the State fulfills its burden to contest the exhaustion of domestic remedies, the petitioner must submit arguments about her compliance with the exhaustion of remedies.</w:t>
      </w:r>
    </w:p>
    <w:p w14:paraId="07D9B3C7" w14:textId="173707DB" w:rsidR="009D4549" w:rsidRPr="00657B2C" w:rsidRDefault="00F93732" w:rsidP="007743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The Commission will consider the claims of the petitioner relating to (a) the alleged eviction; (b) the alleged revocation of SNAP benefits; and (c) the alleged work injury suffered at Goodwill Industries.</w:t>
      </w:r>
    </w:p>
    <w:p w14:paraId="509AF098" w14:textId="035F44B7" w:rsidR="00F93732" w:rsidRPr="00657B2C" w:rsidRDefault="00290D42" w:rsidP="007743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As to</w:t>
      </w:r>
      <w:r w:rsidR="00C6555F" w:rsidRPr="00657B2C">
        <w:rPr>
          <w:rFonts w:asciiTheme="majorHAnsi" w:hAnsiTheme="majorHAnsi"/>
          <w:sz w:val="20"/>
          <w:szCs w:val="20"/>
        </w:rPr>
        <w:t xml:space="preserve"> the petitioner’s claim regarding the circumstances of her eviction, the Commission notes that between 2013 and 2015, the petitioner appears to have unsuccessfully challenged the eviction before the US Court of Federal Claims. The State contends that to the extent that the petitioner is claiming violations of her human rights, she was obligated to pursue an action under Section 42 U.S.C. § 1983 (which provides redress against government officials for alleged violations of human or constitutional rights). According to the State there is no indication that the </w:t>
      </w:r>
      <w:r w:rsidR="00707B3C" w:rsidRPr="00657B2C">
        <w:rPr>
          <w:rFonts w:asciiTheme="majorHAnsi" w:hAnsiTheme="majorHAnsi"/>
          <w:sz w:val="20"/>
          <w:szCs w:val="20"/>
        </w:rPr>
        <w:t>petitioner</w:t>
      </w:r>
      <w:r w:rsidR="00C6555F" w:rsidRPr="00657B2C">
        <w:rPr>
          <w:rFonts w:asciiTheme="majorHAnsi" w:hAnsiTheme="majorHAnsi"/>
          <w:sz w:val="20"/>
          <w:szCs w:val="20"/>
        </w:rPr>
        <w:t xml:space="preserve"> pursued or exhausted this remedy. The petitioner herself has not provided any arguments to demonstrate that she pursued or exhausted this remedy; or that she is entitled to an exception to the requirement to exhaust this remedy. Based on the record, the Commission concludes that the petitioner’s claim is inadmissible for failure to pursue or exhaust this remedy. Further, the Commission notes that the claim was not presented to the IACHR until 2017, at least two years after the petitioner had litigated her claim before the US Court of Federal Claims. Accordingly, the Commission also finds </w:t>
      </w:r>
      <w:r w:rsidR="009C0EEB" w:rsidRPr="00657B2C">
        <w:rPr>
          <w:rFonts w:asciiTheme="majorHAnsi" w:hAnsiTheme="majorHAnsi"/>
          <w:sz w:val="20"/>
          <w:szCs w:val="20"/>
        </w:rPr>
        <w:t xml:space="preserve">even </w:t>
      </w:r>
      <w:r w:rsidR="00BD5998" w:rsidRPr="00657B2C">
        <w:rPr>
          <w:rFonts w:asciiTheme="majorHAnsi" w:hAnsiTheme="majorHAnsi"/>
          <w:sz w:val="20"/>
          <w:szCs w:val="20"/>
        </w:rPr>
        <w:t>assuming</w:t>
      </w:r>
      <w:r w:rsidR="009C0EEB" w:rsidRPr="00657B2C">
        <w:rPr>
          <w:rFonts w:asciiTheme="majorHAnsi" w:hAnsiTheme="majorHAnsi"/>
          <w:sz w:val="20"/>
          <w:szCs w:val="20"/>
        </w:rPr>
        <w:t xml:space="preserve"> that the rights remedies</w:t>
      </w:r>
      <w:r w:rsidR="00BD5998" w:rsidRPr="00657B2C">
        <w:rPr>
          <w:rFonts w:asciiTheme="majorHAnsi" w:hAnsiTheme="majorHAnsi"/>
          <w:sz w:val="20"/>
          <w:szCs w:val="20"/>
        </w:rPr>
        <w:t xml:space="preserve"> were </w:t>
      </w:r>
      <w:r w:rsidR="00470B63" w:rsidRPr="00657B2C">
        <w:rPr>
          <w:rFonts w:asciiTheme="majorHAnsi" w:hAnsiTheme="majorHAnsi"/>
          <w:sz w:val="20"/>
          <w:szCs w:val="20"/>
        </w:rPr>
        <w:t>exhausted</w:t>
      </w:r>
      <w:r w:rsidR="009C0EEB" w:rsidRPr="00657B2C">
        <w:rPr>
          <w:rFonts w:asciiTheme="majorHAnsi" w:hAnsiTheme="majorHAnsi"/>
          <w:sz w:val="20"/>
          <w:szCs w:val="20"/>
        </w:rPr>
        <w:t>,</w:t>
      </w:r>
      <w:r w:rsidR="00C6555F" w:rsidRPr="00657B2C">
        <w:rPr>
          <w:rFonts w:asciiTheme="majorHAnsi" w:hAnsiTheme="majorHAnsi"/>
          <w:sz w:val="20"/>
          <w:szCs w:val="20"/>
        </w:rPr>
        <w:t xml:space="preserve"> this claim is untimely pursuant to Article 32 of its Rules of Procedure.</w:t>
      </w:r>
    </w:p>
    <w:p w14:paraId="7FD74881" w14:textId="4B6CA442" w:rsidR="00C6555F" w:rsidRPr="00657B2C" w:rsidRDefault="0004560E" w:rsidP="007743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Regarding the petitioner’s claim about the revocation of her SNAP benefits, the Commission notes that she has not provided any information to indicate that she pursued or exhausted any judicial domestic remedies (or that she is entitled to an exception to the requirement to exhaust domestic remedies).</w:t>
      </w:r>
      <w:r w:rsidR="00470B63" w:rsidRPr="00657B2C">
        <w:rPr>
          <w:rFonts w:asciiTheme="majorHAnsi" w:hAnsiTheme="majorHAnsi"/>
          <w:sz w:val="20"/>
          <w:szCs w:val="20"/>
        </w:rPr>
        <w:t xml:space="preserve"> </w:t>
      </w:r>
      <w:r w:rsidRPr="00657B2C">
        <w:rPr>
          <w:rFonts w:asciiTheme="majorHAnsi" w:hAnsiTheme="majorHAnsi"/>
          <w:sz w:val="20"/>
          <w:szCs w:val="20"/>
        </w:rPr>
        <w:t>The Commission notes that the petitioner has also not provided any similar information regarding her claims relating to her work injury at Goodwill Industries. Having regard for the foregoing, the Commission concludes that these claims by the petitioner are inadmissible for failure to exhaust domestic remedies</w:t>
      </w:r>
      <w:r w:rsidR="00985E9C" w:rsidRPr="00657B2C">
        <w:rPr>
          <w:rFonts w:asciiTheme="majorHAnsi" w:hAnsiTheme="majorHAnsi"/>
          <w:sz w:val="20"/>
          <w:szCs w:val="20"/>
        </w:rPr>
        <w:t>.</w:t>
      </w:r>
    </w:p>
    <w:p w14:paraId="118AC351" w14:textId="642EC711" w:rsidR="00521D29" w:rsidRPr="00657B2C" w:rsidRDefault="00521D29" w:rsidP="00521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As a supplemental observation, the Commission notes that the State has also contested the admissibility of the petition on the ground of duplication</w:t>
      </w:r>
      <w:r w:rsidR="00761DE6" w:rsidRPr="00657B2C">
        <w:rPr>
          <w:rFonts w:asciiTheme="majorHAnsi" w:hAnsiTheme="majorHAnsi"/>
          <w:sz w:val="20"/>
          <w:szCs w:val="20"/>
        </w:rPr>
        <w:t xml:space="preserve">. </w:t>
      </w:r>
      <w:r w:rsidRPr="00657B2C">
        <w:rPr>
          <w:rFonts w:asciiTheme="majorHAnsi" w:hAnsiTheme="majorHAnsi"/>
          <w:sz w:val="20"/>
          <w:szCs w:val="20"/>
        </w:rPr>
        <w:t xml:space="preserve">In this regard, the record indicates that the petitioner </w:t>
      </w:r>
      <w:r w:rsidRPr="00657B2C">
        <w:rPr>
          <w:rFonts w:asciiTheme="majorHAnsi" w:hAnsiTheme="majorHAnsi"/>
          <w:sz w:val="20"/>
          <w:szCs w:val="20"/>
        </w:rPr>
        <w:lastRenderedPageBreak/>
        <w:t>submissions include a document described as a “UN OHCHR Petition and Complaint” and dated December 8, 2017</w:t>
      </w:r>
      <w:r w:rsidR="00761DE6" w:rsidRPr="00657B2C">
        <w:rPr>
          <w:rFonts w:asciiTheme="majorHAnsi" w:hAnsiTheme="majorHAnsi"/>
          <w:sz w:val="20"/>
          <w:szCs w:val="20"/>
        </w:rPr>
        <w:t xml:space="preserve">. </w:t>
      </w:r>
    </w:p>
    <w:p w14:paraId="1373B027" w14:textId="77777777" w:rsidR="00521D29" w:rsidRPr="00657B2C" w:rsidRDefault="00521D29" w:rsidP="00521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Article 33 (1) of the Commission’s Rules of Procedure provides that the Commission “shall not consider a petition if its subject matter:</w:t>
      </w:r>
    </w:p>
    <w:p w14:paraId="583984B5" w14:textId="77777777" w:rsidR="00521D29" w:rsidRPr="00657B2C" w:rsidRDefault="00521D29" w:rsidP="007E7D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657B2C">
        <w:rPr>
          <w:rFonts w:asciiTheme="majorHAnsi" w:hAnsiTheme="majorHAnsi"/>
          <w:sz w:val="20"/>
          <w:szCs w:val="20"/>
        </w:rPr>
        <w:t>a.   is pending settlement pursuant to another procedure before an international governmental organization of which the State concerned is a member; or</w:t>
      </w:r>
    </w:p>
    <w:p w14:paraId="2C037EC9" w14:textId="31A50AF7" w:rsidR="005522DC" w:rsidRPr="00657B2C" w:rsidRDefault="00521D29" w:rsidP="007E7D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657B2C">
        <w:rPr>
          <w:rFonts w:asciiTheme="majorHAnsi" w:hAnsiTheme="majorHAnsi"/>
          <w:sz w:val="20"/>
          <w:szCs w:val="20"/>
        </w:rPr>
        <w:t>b.   essentially duplicates a petition pending or already examined and settled by the Commission or by another international governmental organization of which the State concerned is a member.</w:t>
      </w:r>
    </w:p>
    <w:p w14:paraId="325B1F8A" w14:textId="06DB08AD" w:rsidR="001C7830" w:rsidRPr="00657B2C" w:rsidRDefault="00115106" w:rsidP="00521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The Commission notes that there is no information in the record that clearly specifies the procedure or human rights body (of the United Nations) to which the petitioner </w:t>
      </w:r>
      <w:r w:rsidR="002214C2" w:rsidRPr="00657B2C">
        <w:rPr>
          <w:rFonts w:asciiTheme="majorHAnsi" w:hAnsiTheme="majorHAnsi"/>
          <w:sz w:val="20"/>
          <w:szCs w:val="20"/>
        </w:rPr>
        <w:t>submitted</w:t>
      </w:r>
      <w:r w:rsidRPr="00657B2C">
        <w:rPr>
          <w:rFonts w:asciiTheme="majorHAnsi" w:hAnsiTheme="majorHAnsi"/>
          <w:sz w:val="20"/>
          <w:szCs w:val="20"/>
        </w:rPr>
        <w:t xml:space="preserve"> the document. There is accordingly no information upon which the Commission might determine whether the petitioner’s document is either (a) pending settlement before another international governmental organization) or (b) reflects a duplication of the petition filed before the Commission</w:t>
      </w:r>
      <w:r w:rsidR="002214C2" w:rsidRPr="00657B2C">
        <w:rPr>
          <w:rFonts w:asciiTheme="majorHAnsi" w:hAnsiTheme="majorHAnsi"/>
          <w:sz w:val="20"/>
          <w:szCs w:val="20"/>
        </w:rPr>
        <w:t xml:space="preserve">. </w:t>
      </w:r>
      <w:r w:rsidRPr="00657B2C">
        <w:rPr>
          <w:rFonts w:asciiTheme="majorHAnsi" w:hAnsiTheme="majorHAnsi"/>
          <w:sz w:val="20"/>
          <w:szCs w:val="20"/>
        </w:rPr>
        <w:t xml:space="preserve">Having regard for these considerations, the Commission concludes that there is no ground for finding the petition inadmissible </w:t>
      </w:r>
      <w:r w:rsidR="008562E8" w:rsidRPr="00657B2C">
        <w:rPr>
          <w:rFonts w:asciiTheme="majorHAnsi" w:hAnsiTheme="majorHAnsi"/>
          <w:sz w:val="20"/>
          <w:szCs w:val="20"/>
        </w:rPr>
        <w:t>because of</w:t>
      </w:r>
      <w:r w:rsidRPr="00657B2C">
        <w:rPr>
          <w:rFonts w:asciiTheme="majorHAnsi" w:hAnsiTheme="majorHAnsi"/>
          <w:sz w:val="20"/>
          <w:szCs w:val="20"/>
        </w:rPr>
        <w:t xml:space="preserve"> duplication.</w:t>
      </w:r>
    </w:p>
    <w:p w14:paraId="72BA93EF" w14:textId="405E655F" w:rsidR="004853FB" w:rsidRPr="00657B2C" w:rsidRDefault="00D85A27" w:rsidP="000020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However, given the preceding analysis regarding exhaustion of domestic remedies and the failure </w:t>
      </w:r>
      <w:r w:rsidR="0020619D" w:rsidRPr="00657B2C">
        <w:rPr>
          <w:rFonts w:asciiTheme="majorHAnsi" w:hAnsiTheme="majorHAnsi"/>
          <w:sz w:val="20"/>
          <w:szCs w:val="20"/>
        </w:rPr>
        <w:t xml:space="preserve">to </w:t>
      </w:r>
      <w:r w:rsidR="00657B2C" w:rsidRPr="00657B2C">
        <w:rPr>
          <w:rFonts w:asciiTheme="majorHAnsi" w:hAnsiTheme="majorHAnsi"/>
          <w:sz w:val="20"/>
          <w:szCs w:val="20"/>
        </w:rPr>
        <w:t>submit</w:t>
      </w:r>
      <w:r w:rsidR="0020619D" w:rsidRPr="00657B2C">
        <w:rPr>
          <w:rFonts w:asciiTheme="majorHAnsi" w:hAnsiTheme="majorHAnsi"/>
          <w:sz w:val="20"/>
          <w:szCs w:val="20"/>
        </w:rPr>
        <w:t xml:space="preserve"> the petition in a timely manner according to </w:t>
      </w:r>
      <w:r w:rsidR="00657B2C" w:rsidRPr="00657B2C">
        <w:rPr>
          <w:rFonts w:asciiTheme="majorHAnsi" w:hAnsiTheme="majorHAnsi"/>
          <w:sz w:val="20"/>
          <w:szCs w:val="20"/>
        </w:rPr>
        <w:t>its</w:t>
      </w:r>
      <w:r w:rsidR="0020619D" w:rsidRPr="00657B2C">
        <w:rPr>
          <w:rFonts w:asciiTheme="majorHAnsi" w:hAnsiTheme="majorHAnsi"/>
          <w:sz w:val="20"/>
          <w:szCs w:val="20"/>
        </w:rPr>
        <w:t xml:space="preserve"> rules of procedure of the IACHR, </w:t>
      </w:r>
      <w:r w:rsidRPr="00657B2C">
        <w:rPr>
          <w:rFonts w:asciiTheme="majorHAnsi" w:hAnsiTheme="majorHAnsi"/>
          <w:sz w:val="20"/>
          <w:szCs w:val="20"/>
        </w:rPr>
        <w:t xml:space="preserve">the Commission </w:t>
      </w:r>
      <w:r w:rsidR="002214C2" w:rsidRPr="00657B2C">
        <w:rPr>
          <w:rFonts w:asciiTheme="majorHAnsi" w:hAnsiTheme="majorHAnsi"/>
          <w:sz w:val="20"/>
          <w:szCs w:val="20"/>
        </w:rPr>
        <w:t>concludes</w:t>
      </w:r>
      <w:r w:rsidRPr="00657B2C">
        <w:rPr>
          <w:rFonts w:asciiTheme="majorHAnsi" w:hAnsiTheme="majorHAnsi"/>
          <w:sz w:val="20"/>
          <w:szCs w:val="20"/>
        </w:rPr>
        <w:t xml:space="preserve"> that the petition is inadmissible.</w:t>
      </w:r>
    </w:p>
    <w:p w14:paraId="5A70550C" w14:textId="5DB9FA26" w:rsidR="00F621C3" w:rsidRPr="00657B2C" w:rsidRDefault="00F621C3" w:rsidP="00181708">
      <w:pPr>
        <w:pStyle w:val="ListParagraph"/>
        <w:spacing w:before="240" w:after="240"/>
        <w:jc w:val="both"/>
        <w:rPr>
          <w:rFonts w:asciiTheme="majorHAnsi" w:hAnsiTheme="majorHAnsi"/>
          <w:b/>
          <w:sz w:val="20"/>
          <w:szCs w:val="20"/>
        </w:rPr>
      </w:pPr>
      <w:r w:rsidRPr="00657B2C">
        <w:rPr>
          <w:rFonts w:asciiTheme="majorHAnsi" w:hAnsiTheme="majorHAnsi"/>
          <w:b/>
          <w:bCs/>
          <w:sz w:val="20"/>
          <w:szCs w:val="20"/>
        </w:rPr>
        <w:t>VII.</w:t>
      </w:r>
      <w:r w:rsidRPr="00657B2C">
        <w:rPr>
          <w:rFonts w:asciiTheme="majorHAnsi" w:hAnsiTheme="majorHAnsi"/>
          <w:b/>
          <w:bCs/>
          <w:sz w:val="20"/>
          <w:szCs w:val="20"/>
        </w:rPr>
        <w:tab/>
      </w:r>
      <w:r w:rsidRPr="00657B2C">
        <w:rPr>
          <w:rFonts w:asciiTheme="majorHAnsi" w:hAnsiTheme="majorHAnsi"/>
          <w:b/>
          <w:bCs/>
          <w:sz w:val="20"/>
          <w:szCs w:val="20"/>
        </w:rPr>
        <w:tab/>
        <w:t>DECISION</w:t>
      </w:r>
    </w:p>
    <w:p w14:paraId="47F30965" w14:textId="54F1DDFC" w:rsidR="00F621C3" w:rsidRPr="00657B2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To find the instant petition </w:t>
      </w:r>
      <w:r w:rsidR="00181708" w:rsidRPr="00657B2C">
        <w:rPr>
          <w:rFonts w:asciiTheme="majorHAnsi" w:hAnsiTheme="majorHAnsi"/>
          <w:sz w:val="20"/>
          <w:szCs w:val="20"/>
        </w:rPr>
        <w:t>in</w:t>
      </w:r>
      <w:r w:rsidRPr="00657B2C">
        <w:rPr>
          <w:rFonts w:asciiTheme="majorHAnsi" w:hAnsiTheme="majorHAnsi"/>
          <w:sz w:val="20"/>
          <w:szCs w:val="20"/>
        </w:rPr>
        <w:t>admissible;</w:t>
      </w:r>
      <w:r w:rsidR="001F1902" w:rsidRPr="00657B2C">
        <w:rPr>
          <w:rFonts w:asciiTheme="majorHAnsi" w:hAnsiTheme="majorHAnsi"/>
          <w:sz w:val="20"/>
          <w:szCs w:val="20"/>
        </w:rPr>
        <w:t xml:space="preserve"> and</w:t>
      </w:r>
    </w:p>
    <w:p w14:paraId="22CC8DDA" w14:textId="246EFA8E"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57B2C">
        <w:rPr>
          <w:rFonts w:asciiTheme="majorHAnsi" w:hAnsiTheme="majorHAnsi"/>
          <w:sz w:val="20"/>
          <w:szCs w:val="20"/>
        </w:rPr>
        <w:t xml:space="preserve">To notify the parties of this decision; and </w:t>
      </w:r>
      <w:r w:rsidR="001F1902" w:rsidRPr="00657B2C">
        <w:rPr>
          <w:rFonts w:asciiTheme="majorHAnsi" w:hAnsiTheme="majorHAnsi"/>
          <w:sz w:val="20"/>
          <w:szCs w:val="20"/>
        </w:rPr>
        <w:t>t</w:t>
      </w:r>
      <w:r w:rsidRPr="00657B2C">
        <w:rPr>
          <w:rFonts w:asciiTheme="majorHAnsi" w:hAnsiTheme="majorHAnsi"/>
          <w:sz w:val="20"/>
          <w:szCs w:val="20"/>
        </w:rPr>
        <w:t>o publish this decision and include it in its Annual Report to the General Assembly of the Organization of American States.</w:t>
      </w:r>
    </w:p>
    <w:p w14:paraId="64DE4D37" w14:textId="589AF3BC" w:rsidR="00C97933" w:rsidRPr="00A442E1" w:rsidRDefault="009D0762" w:rsidP="00A442E1">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7</w:t>
      </w:r>
      <w:r w:rsidRPr="00E609D1">
        <w:rPr>
          <w:rFonts w:ascii="Cambria" w:hAnsi="Cambria"/>
          <w:spacing w:val="-2"/>
          <w:sz w:val="20"/>
          <w:vertAlign w:val="superscript"/>
        </w:rPr>
        <w:t>h</w:t>
      </w:r>
      <w:r>
        <w:rPr>
          <w:rFonts w:ascii="Cambria" w:hAnsi="Cambria"/>
          <w:spacing w:val="-2"/>
          <w:sz w:val="20"/>
        </w:rPr>
        <w:t xml:space="preserve"> day of the month of </w:t>
      </w:r>
      <w:r w:rsidR="00A442E1">
        <w:rPr>
          <w:rFonts w:ascii="Cambria" w:hAnsi="Cambria"/>
          <w:spacing w:val="-2"/>
          <w:sz w:val="20"/>
        </w:rPr>
        <w:t>June</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 and</w:t>
      </w:r>
      <w:r w:rsidRPr="007B0A47">
        <w:rPr>
          <w:rStyle w:val="normaltextrun"/>
          <w:rFonts w:ascii="Cambria" w:hAnsi="Cambria" w:cs="Segoe UI"/>
          <w:sz w:val="20"/>
          <w:szCs w:val="20"/>
        </w:rPr>
        <w:t xml:space="preserve"> Julissa Mantilla Falcón, </w:t>
      </w:r>
      <w:r w:rsidRPr="00CA3324">
        <w:rPr>
          <w:rStyle w:val="normaltextrun"/>
          <w:rFonts w:ascii="Cambria" w:hAnsi="Cambria" w:cs="Segoe UI"/>
          <w:sz w:val="20"/>
          <w:szCs w:val="20"/>
        </w:rPr>
        <w:t>Commissioners</w:t>
      </w:r>
      <w:r>
        <w:rPr>
          <w:rStyle w:val="normaltextrun"/>
          <w:rFonts w:ascii="Cambria" w:hAnsi="Cambria" w:cs="Segoe UI"/>
          <w:sz w:val="20"/>
          <w:szCs w:val="20"/>
        </w:rPr>
        <w:t>.</w:t>
      </w:r>
    </w:p>
    <w:p w14:paraId="1C6AA622" w14:textId="77777777" w:rsidR="00F621C3" w:rsidRPr="00657B2C"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657B2C"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657B2C"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657B2C" w:rsidRDefault="00F621C3" w:rsidP="00F621C3">
      <w:pPr>
        <w:rPr>
          <w:rFonts w:asciiTheme="majorHAnsi" w:hAnsiTheme="majorHAnsi" w:cs="Calibri"/>
          <w:sz w:val="20"/>
          <w:szCs w:val="20"/>
        </w:rPr>
      </w:pPr>
    </w:p>
    <w:p w14:paraId="2122B46A" w14:textId="77777777" w:rsidR="00C55560" w:rsidRPr="00657B2C" w:rsidRDefault="00C55560" w:rsidP="00230163">
      <w:pPr>
        <w:tabs>
          <w:tab w:val="left" w:pos="2820"/>
        </w:tabs>
        <w:suppressAutoHyphens/>
        <w:spacing w:line="276" w:lineRule="auto"/>
        <w:rPr>
          <w:rFonts w:asciiTheme="majorHAnsi" w:hAnsiTheme="majorHAnsi"/>
          <w:sz w:val="20"/>
          <w:szCs w:val="20"/>
        </w:rPr>
      </w:pPr>
    </w:p>
    <w:sectPr w:rsidR="00C55560" w:rsidRPr="00657B2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CF1E" w14:textId="77777777" w:rsidR="000E1591" w:rsidRDefault="000E1591" w:rsidP="00036A8A">
      <w:r>
        <w:separator/>
      </w:r>
    </w:p>
  </w:endnote>
  <w:endnote w:type="continuationSeparator" w:id="0">
    <w:p w14:paraId="6C16719D" w14:textId="77777777" w:rsidR="000E1591" w:rsidRDefault="000E159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27EF" w14:textId="77777777" w:rsidR="000E1591" w:rsidRPr="00036A8A" w:rsidRDefault="000E159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2DA3F84" w14:textId="77777777" w:rsidR="000E1591" w:rsidRPr="00036A8A" w:rsidRDefault="000E1591" w:rsidP="00036A8A">
      <w:pPr>
        <w:rPr>
          <w:rFonts w:asciiTheme="majorHAnsi" w:hAnsiTheme="majorHAnsi"/>
          <w:sz w:val="16"/>
          <w:szCs w:val="16"/>
        </w:rPr>
      </w:pPr>
      <w:r w:rsidRPr="00036A8A">
        <w:rPr>
          <w:rFonts w:asciiTheme="majorHAnsi" w:hAnsiTheme="majorHAnsi"/>
          <w:sz w:val="16"/>
          <w:szCs w:val="16"/>
        </w:rPr>
        <w:separator/>
      </w:r>
    </w:p>
    <w:p w14:paraId="69C3858A" w14:textId="77777777" w:rsidR="000E1591" w:rsidRPr="00036A8A" w:rsidRDefault="000E159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296D22C" w14:textId="77777777" w:rsidR="000E1591" w:rsidRPr="0093441A" w:rsidRDefault="000E159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7D093C6" w14:textId="0E230209" w:rsidR="0080751D" w:rsidRPr="00D75E31" w:rsidRDefault="0080751D" w:rsidP="00D75E31">
      <w:pPr>
        <w:pStyle w:val="FootnoteText"/>
        <w:ind w:firstLine="720"/>
        <w:jc w:val="both"/>
        <w:rPr>
          <w:rFonts w:asciiTheme="majorHAnsi" w:hAnsiTheme="majorHAnsi"/>
          <w:sz w:val="16"/>
          <w:szCs w:val="16"/>
        </w:rPr>
      </w:pPr>
      <w:r w:rsidRPr="00D75E31">
        <w:rPr>
          <w:rStyle w:val="FootnoteReference"/>
          <w:rFonts w:asciiTheme="majorHAnsi" w:hAnsiTheme="majorHAnsi"/>
          <w:sz w:val="16"/>
          <w:szCs w:val="16"/>
        </w:rPr>
        <w:footnoteRef/>
      </w:r>
      <w:r w:rsidRPr="00D75E31">
        <w:rPr>
          <w:rFonts w:asciiTheme="majorHAnsi" w:hAnsiTheme="majorHAnsi"/>
          <w:sz w:val="16"/>
          <w:szCs w:val="16"/>
        </w:rPr>
        <w:t xml:space="preserve"> Hereinafter “the United States</w:t>
      </w:r>
      <w:r w:rsidR="002214C2" w:rsidRPr="00D75E31">
        <w:rPr>
          <w:rFonts w:asciiTheme="majorHAnsi" w:hAnsiTheme="majorHAnsi"/>
          <w:sz w:val="16"/>
          <w:szCs w:val="16"/>
        </w:rPr>
        <w:t>,”</w:t>
      </w:r>
      <w:r w:rsidRPr="00D75E31">
        <w:rPr>
          <w:rFonts w:asciiTheme="majorHAnsi" w:hAnsiTheme="majorHAnsi"/>
          <w:sz w:val="16"/>
          <w:szCs w:val="16"/>
        </w:rPr>
        <w:t xml:space="preserve"> “the US”, or “the State”</w:t>
      </w:r>
    </w:p>
  </w:footnote>
  <w:footnote w:id="3">
    <w:p w14:paraId="177CBFCF" w14:textId="76138123" w:rsidR="00962A01" w:rsidRPr="00D75E31" w:rsidRDefault="00962A01" w:rsidP="00D75E31">
      <w:pPr>
        <w:pStyle w:val="FootnoteText"/>
        <w:ind w:firstLine="720"/>
        <w:jc w:val="both"/>
        <w:rPr>
          <w:rFonts w:asciiTheme="majorHAnsi" w:hAnsiTheme="majorHAnsi"/>
          <w:sz w:val="16"/>
          <w:szCs w:val="16"/>
        </w:rPr>
      </w:pPr>
      <w:r w:rsidRPr="00D75E31">
        <w:rPr>
          <w:rStyle w:val="FootnoteReference"/>
          <w:rFonts w:asciiTheme="majorHAnsi" w:hAnsiTheme="majorHAnsi"/>
          <w:sz w:val="16"/>
          <w:szCs w:val="16"/>
        </w:rPr>
        <w:footnoteRef/>
      </w:r>
      <w:r w:rsidRPr="00D75E31">
        <w:rPr>
          <w:rFonts w:asciiTheme="majorHAnsi" w:hAnsiTheme="majorHAnsi"/>
          <w:sz w:val="16"/>
          <w:szCs w:val="16"/>
        </w:rPr>
        <w:t xml:space="preserve"> Hereafter “the American Declaration” or “the Declaration</w:t>
      </w:r>
      <w:r w:rsidR="002214C2" w:rsidRPr="00D75E31">
        <w:rPr>
          <w:rFonts w:asciiTheme="majorHAnsi" w:hAnsiTheme="majorHAnsi"/>
          <w:sz w:val="16"/>
          <w:szCs w:val="16"/>
        </w:rPr>
        <w:t>.”</w:t>
      </w:r>
      <w:r w:rsidRPr="00D75E31">
        <w:rPr>
          <w:rFonts w:asciiTheme="majorHAnsi" w:hAnsiTheme="majorHAnsi"/>
          <w:sz w:val="16"/>
          <w:szCs w:val="16"/>
        </w:rPr>
        <w:t xml:space="preserve"> The petitioner does however cite various United Nations instruments including </w:t>
      </w:r>
      <w:r w:rsidR="00887C86" w:rsidRPr="00D75E31">
        <w:rPr>
          <w:rFonts w:asciiTheme="majorHAnsi" w:hAnsiTheme="majorHAnsi"/>
          <w:sz w:val="16"/>
          <w:szCs w:val="16"/>
        </w:rPr>
        <w:t xml:space="preserve">the Convention on the Prevention and Punishment of </w:t>
      </w:r>
      <w:r w:rsidR="00B66312" w:rsidRPr="00D75E31">
        <w:rPr>
          <w:rFonts w:asciiTheme="majorHAnsi" w:hAnsiTheme="majorHAnsi"/>
          <w:sz w:val="16"/>
          <w:szCs w:val="16"/>
        </w:rPr>
        <w:t>Genocide, the</w:t>
      </w:r>
      <w:r w:rsidR="00887C86" w:rsidRPr="00D75E31">
        <w:rPr>
          <w:rFonts w:asciiTheme="majorHAnsi" w:hAnsiTheme="majorHAnsi"/>
          <w:sz w:val="16"/>
          <w:szCs w:val="16"/>
        </w:rPr>
        <w:t xml:space="preserve"> Optional Protocol to the International Covenant on Civil and Political Rights (OP ICCPR), </w:t>
      </w:r>
      <w:r w:rsidR="009C0596" w:rsidRPr="00D75E31">
        <w:rPr>
          <w:rFonts w:asciiTheme="majorHAnsi" w:hAnsiTheme="majorHAnsi"/>
          <w:sz w:val="16"/>
          <w:szCs w:val="16"/>
        </w:rPr>
        <w:t>and the</w:t>
      </w:r>
      <w:r w:rsidR="00887C86" w:rsidRPr="00D75E31">
        <w:rPr>
          <w:rFonts w:asciiTheme="majorHAnsi" w:hAnsiTheme="majorHAnsi"/>
          <w:sz w:val="16"/>
          <w:szCs w:val="16"/>
        </w:rPr>
        <w:t xml:space="preserve"> Convention against Torture and other Cruel, Inhumane or Degrading Treatment or Punishment (CAT) </w:t>
      </w:r>
      <w:r w:rsidR="00F71FF6" w:rsidRPr="00D75E31">
        <w:rPr>
          <w:rFonts w:asciiTheme="majorHAnsi" w:hAnsiTheme="majorHAnsi"/>
          <w:sz w:val="16"/>
          <w:szCs w:val="16"/>
        </w:rPr>
        <w:t>and the</w:t>
      </w:r>
      <w:r w:rsidR="00887C86" w:rsidRPr="00D75E31">
        <w:rPr>
          <w:rFonts w:asciiTheme="majorHAnsi" w:hAnsiTheme="majorHAnsi"/>
          <w:sz w:val="16"/>
          <w:szCs w:val="16"/>
        </w:rPr>
        <w:t xml:space="preserve"> Convention on Economic, Social and Cultural Rights</w:t>
      </w:r>
      <w:r w:rsidR="00B66312" w:rsidRPr="00D75E31">
        <w:rPr>
          <w:rFonts w:asciiTheme="majorHAnsi" w:hAnsiTheme="majorHAnsi"/>
          <w:sz w:val="16"/>
          <w:szCs w:val="16"/>
        </w:rPr>
        <w:t>.</w:t>
      </w:r>
    </w:p>
  </w:footnote>
  <w:footnote w:id="4">
    <w:p w14:paraId="6F51BDAF" w14:textId="5F4755E7" w:rsidR="00653EA6" w:rsidRPr="00D75E31" w:rsidRDefault="00653EA6" w:rsidP="00D75E31">
      <w:pPr>
        <w:pStyle w:val="FootnoteText"/>
        <w:ind w:firstLine="720"/>
        <w:jc w:val="both"/>
        <w:rPr>
          <w:rFonts w:asciiTheme="majorHAnsi" w:hAnsiTheme="majorHAnsi"/>
          <w:sz w:val="16"/>
          <w:szCs w:val="16"/>
        </w:rPr>
      </w:pPr>
      <w:r w:rsidRPr="00D75E31">
        <w:rPr>
          <w:rStyle w:val="FootnoteReference"/>
          <w:rFonts w:asciiTheme="majorHAnsi" w:hAnsiTheme="majorHAnsi"/>
          <w:sz w:val="16"/>
          <w:szCs w:val="16"/>
        </w:rPr>
        <w:footnoteRef/>
      </w:r>
      <w:r w:rsidRPr="00D75E31">
        <w:rPr>
          <w:rFonts w:asciiTheme="majorHAnsi" w:hAnsiTheme="majorHAnsi"/>
          <w:sz w:val="16"/>
          <w:szCs w:val="16"/>
        </w:rPr>
        <w:t xml:space="preserve"> The observations </w:t>
      </w:r>
      <w:r w:rsidR="00321AFD" w:rsidRPr="00D75E31">
        <w:rPr>
          <w:rFonts w:asciiTheme="majorHAnsi" w:hAnsiTheme="majorHAnsi"/>
          <w:sz w:val="16"/>
          <w:szCs w:val="16"/>
        </w:rPr>
        <w:t>submitted</w:t>
      </w:r>
      <w:r w:rsidRPr="00D75E31">
        <w:rPr>
          <w:rFonts w:asciiTheme="majorHAnsi" w:hAnsiTheme="majorHAnsi"/>
          <w:sz w:val="16"/>
          <w:szCs w:val="16"/>
        </w:rPr>
        <w:t xml:space="preserve"> by each party were duly transmitted to the opposing party.</w:t>
      </w:r>
    </w:p>
  </w:footnote>
  <w:footnote w:id="5">
    <w:p w14:paraId="097CE262" w14:textId="77777777" w:rsidR="00701A17" w:rsidRPr="00D75E31" w:rsidRDefault="00701A17" w:rsidP="00927C49">
      <w:pPr>
        <w:pStyle w:val="FootnoteText"/>
        <w:ind w:firstLine="720"/>
        <w:jc w:val="both"/>
        <w:rPr>
          <w:rFonts w:asciiTheme="majorHAnsi" w:hAnsiTheme="majorHAnsi"/>
          <w:sz w:val="16"/>
          <w:szCs w:val="16"/>
        </w:rPr>
      </w:pPr>
      <w:r w:rsidRPr="00D75E31">
        <w:rPr>
          <w:rStyle w:val="FootnoteReference"/>
          <w:rFonts w:asciiTheme="majorHAnsi" w:hAnsiTheme="majorHAnsi"/>
          <w:sz w:val="16"/>
          <w:szCs w:val="16"/>
        </w:rPr>
        <w:footnoteRef/>
      </w:r>
      <w:r w:rsidRPr="00D75E31">
        <w:rPr>
          <w:rFonts w:asciiTheme="majorHAnsi" w:hAnsiTheme="majorHAnsi"/>
          <w:sz w:val="16"/>
          <w:szCs w:val="16"/>
        </w:rPr>
        <w:t xml:space="preserve"> The petition does not specify a date on which the eviction occurred, but based on other information in the petition, it appears that the eviction took place sometime between 2009 and 2013. Generally, the petition is somewhat incoherent with numerous gaps in information supplied. </w:t>
      </w:r>
    </w:p>
  </w:footnote>
  <w:footnote w:id="6">
    <w:p w14:paraId="580347A2" w14:textId="7FC8A12B" w:rsidR="007E2981" w:rsidRPr="00D75E31" w:rsidRDefault="007E2981" w:rsidP="00460906">
      <w:pPr>
        <w:pStyle w:val="FootnoteText"/>
        <w:ind w:firstLine="720"/>
        <w:jc w:val="both"/>
        <w:rPr>
          <w:rFonts w:asciiTheme="majorHAnsi" w:hAnsiTheme="majorHAnsi"/>
          <w:sz w:val="16"/>
          <w:szCs w:val="16"/>
        </w:rPr>
      </w:pPr>
      <w:r w:rsidRPr="00D75E31">
        <w:rPr>
          <w:rStyle w:val="FootnoteReference"/>
          <w:rFonts w:asciiTheme="majorHAnsi" w:hAnsiTheme="majorHAnsi"/>
          <w:sz w:val="16"/>
          <w:szCs w:val="16"/>
        </w:rPr>
        <w:footnoteRef/>
      </w:r>
      <w:r w:rsidRPr="00D75E31">
        <w:rPr>
          <w:rFonts w:asciiTheme="majorHAnsi" w:hAnsiTheme="majorHAnsi"/>
          <w:sz w:val="16"/>
          <w:szCs w:val="16"/>
        </w:rPr>
        <w:t xml:space="preserve"> The petitioner also mentions the example of a person called Carl Robertson, a </w:t>
      </w:r>
      <w:r w:rsidR="002214C2" w:rsidRPr="00D75E31">
        <w:rPr>
          <w:rFonts w:asciiTheme="majorHAnsi" w:hAnsiTheme="majorHAnsi"/>
          <w:sz w:val="16"/>
          <w:szCs w:val="16"/>
        </w:rPr>
        <w:t>Black</w:t>
      </w:r>
      <w:r w:rsidRPr="00D75E31">
        <w:rPr>
          <w:rFonts w:asciiTheme="majorHAnsi" w:hAnsiTheme="majorHAnsi"/>
          <w:sz w:val="16"/>
          <w:szCs w:val="16"/>
        </w:rPr>
        <w:t xml:space="preserve"> veteran and his family who became homeless after being evicted in 2014. The petitioner claims that Carl Robertson subsequently made a Title VI complaint to the Department of Veterans Affairs (Office of the Inspector General) but so far has received no response.</w:t>
      </w:r>
    </w:p>
  </w:footnote>
  <w:footnote w:id="7">
    <w:p w14:paraId="10DFF536" w14:textId="77777777" w:rsidR="007E2981" w:rsidRPr="00D75E31" w:rsidRDefault="007E2981" w:rsidP="00460906">
      <w:pPr>
        <w:pStyle w:val="FootnoteText"/>
        <w:ind w:firstLine="720"/>
        <w:jc w:val="both"/>
        <w:rPr>
          <w:rFonts w:asciiTheme="majorHAnsi" w:hAnsiTheme="majorHAnsi"/>
          <w:sz w:val="16"/>
          <w:szCs w:val="16"/>
        </w:rPr>
      </w:pPr>
      <w:r w:rsidRPr="00D75E31">
        <w:rPr>
          <w:rStyle w:val="FootnoteReference"/>
          <w:rFonts w:asciiTheme="majorHAnsi" w:hAnsiTheme="majorHAnsi"/>
          <w:sz w:val="16"/>
          <w:szCs w:val="16"/>
        </w:rPr>
        <w:footnoteRef/>
      </w:r>
      <w:r w:rsidRPr="00D75E31">
        <w:rPr>
          <w:rFonts w:asciiTheme="majorHAnsi" w:hAnsiTheme="majorHAnsi"/>
          <w:sz w:val="16"/>
          <w:szCs w:val="16"/>
        </w:rPr>
        <w:t xml:space="preserve"> The petitioner provides no date (s) regarding the allegations relating to Ricardo Jones.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418A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AD6779"/>
    <w:multiLevelType w:val="hybridMultilevel"/>
    <w:tmpl w:val="4938751C"/>
    <w:lvl w:ilvl="0" w:tplc="68560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89148B0"/>
    <w:multiLevelType w:val="hybridMultilevel"/>
    <w:tmpl w:val="AE7C4C96"/>
    <w:lvl w:ilvl="0" w:tplc="78220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4364966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425349784">
    <w:abstractNumId w:val="4"/>
  </w:num>
  <w:num w:numId="3" w16cid:durableId="524058337">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803623083">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802623668">
    <w:abstractNumId w:val="6"/>
  </w:num>
  <w:num w:numId="6" w16cid:durableId="1461416888">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370301095">
    <w:abstractNumId w:val="59"/>
  </w:num>
  <w:num w:numId="8" w16cid:durableId="2112773364">
    <w:abstractNumId w:val="23"/>
  </w:num>
  <w:num w:numId="9" w16cid:durableId="369379533">
    <w:abstractNumId w:val="50"/>
  </w:num>
  <w:num w:numId="10" w16cid:durableId="189577833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80685909">
    <w:abstractNumId w:val="29"/>
  </w:num>
  <w:num w:numId="12" w16cid:durableId="471022953">
    <w:abstractNumId w:val="57"/>
  </w:num>
  <w:num w:numId="13" w16cid:durableId="42457454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1993508">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5947301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118529691">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89087250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3751592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1840751">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478034172">
    <w:abstractNumId w:val="7"/>
  </w:num>
  <w:num w:numId="21" w16cid:durableId="91431924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923953423">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92990866">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05072378">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0389834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20036388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889267268">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282298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14046754">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49356888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29905424">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408461060">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2125809347">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204012">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973628327">
    <w:abstractNumId w:val="19"/>
  </w:num>
  <w:num w:numId="36" w16cid:durableId="1790002992">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739863578">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602171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08746008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248483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738482522">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861943154">
    <w:abstractNumId w:val="40"/>
  </w:num>
  <w:num w:numId="43" w16cid:durableId="220213169">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831410616">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0520606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28942001">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46303791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873760350">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832645516">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2241790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77755571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758212688">
    <w:abstractNumId w:val="44"/>
  </w:num>
  <w:num w:numId="53" w16cid:durableId="594822394">
    <w:abstractNumId w:val="0"/>
  </w:num>
  <w:num w:numId="54" w16cid:durableId="57752627">
    <w:abstractNumId w:val="39"/>
  </w:num>
  <w:num w:numId="55" w16cid:durableId="635112699">
    <w:abstractNumId w:val="40"/>
  </w:num>
  <w:num w:numId="56" w16cid:durableId="844512441">
    <w:abstractNumId w:val="46"/>
  </w:num>
  <w:num w:numId="57" w16cid:durableId="2079328140">
    <w:abstractNumId w:val="1"/>
  </w:num>
  <w:num w:numId="58" w16cid:durableId="810173576">
    <w:abstractNumId w:val="2"/>
  </w:num>
  <w:num w:numId="59" w16cid:durableId="1428843613">
    <w:abstractNumId w:val="8"/>
  </w:num>
  <w:num w:numId="60" w16cid:durableId="1341397825">
    <w:abstractNumId w:val="9"/>
  </w:num>
  <w:num w:numId="61" w16cid:durableId="1623995011">
    <w:abstractNumId w:val="10"/>
  </w:num>
  <w:num w:numId="62" w16cid:durableId="1514564372">
    <w:abstractNumId w:val="12"/>
  </w:num>
  <w:num w:numId="63" w16cid:durableId="547570506">
    <w:abstractNumId w:val="13"/>
  </w:num>
  <w:num w:numId="64" w16cid:durableId="1420522428">
    <w:abstractNumId w:val="15"/>
  </w:num>
  <w:num w:numId="65" w16cid:durableId="1636325322">
    <w:abstractNumId w:val="16"/>
  </w:num>
  <w:num w:numId="66" w16cid:durableId="1431774629">
    <w:abstractNumId w:val="17"/>
  </w:num>
  <w:num w:numId="67" w16cid:durableId="115610826">
    <w:abstractNumId w:val="18"/>
  </w:num>
  <w:num w:numId="68" w16cid:durableId="1593195666">
    <w:abstractNumId w:val="20"/>
  </w:num>
  <w:num w:numId="69" w16cid:durableId="1582251871">
    <w:abstractNumId w:val="21"/>
  </w:num>
  <w:num w:numId="70" w16cid:durableId="1412460223">
    <w:abstractNumId w:val="24"/>
  </w:num>
  <w:num w:numId="71" w16cid:durableId="1635603231">
    <w:abstractNumId w:val="25"/>
  </w:num>
  <w:num w:numId="72" w16cid:durableId="547111631">
    <w:abstractNumId w:val="26"/>
  </w:num>
  <w:num w:numId="73" w16cid:durableId="1408917070">
    <w:abstractNumId w:val="28"/>
  </w:num>
  <w:num w:numId="74" w16cid:durableId="748114537">
    <w:abstractNumId w:val="30"/>
  </w:num>
  <w:num w:numId="75" w16cid:durableId="797530558">
    <w:abstractNumId w:val="31"/>
  </w:num>
  <w:num w:numId="76" w16cid:durableId="1832023179">
    <w:abstractNumId w:val="32"/>
  </w:num>
  <w:num w:numId="77" w16cid:durableId="115375114">
    <w:abstractNumId w:val="33"/>
  </w:num>
  <w:num w:numId="78" w16cid:durableId="1694188315">
    <w:abstractNumId w:val="34"/>
  </w:num>
  <w:num w:numId="79" w16cid:durableId="233047338">
    <w:abstractNumId w:val="35"/>
  </w:num>
  <w:num w:numId="80" w16cid:durableId="798646287">
    <w:abstractNumId w:val="36"/>
  </w:num>
  <w:num w:numId="81" w16cid:durableId="1114206871">
    <w:abstractNumId w:val="37"/>
  </w:num>
  <w:num w:numId="82" w16cid:durableId="712002083">
    <w:abstractNumId w:val="41"/>
  </w:num>
  <w:num w:numId="83" w16cid:durableId="1840267610">
    <w:abstractNumId w:val="42"/>
  </w:num>
  <w:num w:numId="84" w16cid:durableId="728066730">
    <w:abstractNumId w:val="48"/>
  </w:num>
  <w:num w:numId="85" w16cid:durableId="91245434">
    <w:abstractNumId w:val="52"/>
  </w:num>
  <w:num w:numId="86" w16cid:durableId="2050719001">
    <w:abstractNumId w:val="54"/>
  </w:num>
  <w:num w:numId="87" w16cid:durableId="1918510588">
    <w:abstractNumId w:val="56"/>
  </w:num>
  <w:num w:numId="88" w16cid:durableId="61682669">
    <w:abstractNumId w:val="58"/>
  </w:num>
  <w:num w:numId="89" w16cid:durableId="409422769">
    <w:abstractNumId w:val="60"/>
  </w:num>
  <w:num w:numId="90" w16cid:durableId="1531334590">
    <w:abstractNumId w:val="61"/>
  </w:num>
  <w:num w:numId="91" w16cid:durableId="1287662914">
    <w:abstractNumId w:val="62"/>
  </w:num>
  <w:num w:numId="92" w16cid:durableId="262762890">
    <w:abstractNumId w:val="63"/>
  </w:num>
  <w:num w:numId="93" w16cid:durableId="1030034224">
    <w:abstractNumId w:val="64"/>
  </w:num>
  <w:num w:numId="94" w16cid:durableId="1591351998">
    <w:abstractNumId w:val="22"/>
  </w:num>
  <w:num w:numId="95" w16cid:durableId="1444880274">
    <w:abstractNumId w:val="43"/>
  </w:num>
  <w:num w:numId="96" w16cid:durableId="1524318571">
    <w:abstractNumId w:val="55"/>
  </w:num>
  <w:num w:numId="97" w16cid:durableId="2114476289">
    <w:abstractNumId w:val="53"/>
  </w:num>
  <w:num w:numId="98" w16cid:durableId="1488861630">
    <w:abstractNumId w:val="47"/>
  </w:num>
  <w:num w:numId="99" w16cid:durableId="1376808836">
    <w:abstractNumId w:val="38"/>
  </w:num>
  <w:num w:numId="100" w16cid:durableId="1509753337">
    <w:abstractNumId w:val="3"/>
  </w:num>
  <w:num w:numId="101" w16cid:durableId="570190036">
    <w:abstractNumId w:val="27"/>
  </w:num>
  <w:num w:numId="102" w16cid:durableId="2089769144">
    <w:abstractNumId w:val="49"/>
  </w:num>
  <w:num w:numId="103" w16cid:durableId="1817255064">
    <w:abstractNumId w:val="5"/>
  </w:num>
  <w:num w:numId="104" w16cid:durableId="1310790285">
    <w:abstractNumId w:val="11"/>
  </w:num>
  <w:num w:numId="105" w16cid:durableId="1994605887">
    <w:abstractNumId w:val="45"/>
  </w:num>
  <w:num w:numId="106" w16cid:durableId="53549809">
    <w:abstractNumId w:val="14"/>
  </w:num>
  <w:num w:numId="107" w16cid:durableId="2047678710">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C09"/>
    <w:rsid w:val="00002016"/>
    <w:rsid w:val="000070D7"/>
    <w:rsid w:val="000111A8"/>
    <w:rsid w:val="0001788C"/>
    <w:rsid w:val="00022CF5"/>
    <w:rsid w:val="00036A8A"/>
    <w:rsid w:val="00040C3A"/>
    <w:rsid w:val="000418F3"/>
    <w:rsid w:val="000424F7"/>
    <w:rsid w:val="0004560E"/>
    <w:rsid w:val="0005095B"/>
    <w:rsid w:val="00052C32"/>
    <w:rsid w:val="000532A6"/>
    <w:rsid w:val="000547CF"/>
    <w:rsid w:val="000639C0"/>
    <w:rsid w:val="00070F3A"/>
    <w:rsid w:val="000716C5"/>
    <w:rsid w:val="00075E23"/>
    <w:rsid w:val="00092F32"/>
    <w:rsid w:val="0009344A"/>
    <w:rsid w:val="000A2F98"/>
    <w:rsid w:val="000A575F"/>
    <w:rsid w:val="000B2208"/>
    <w:rsid w:val="000B2F51"/>
    <w:rsid w:val="000C4365"/>
    <w:rsid w:val="000D029A"/>
    <w:rsid w:val="000D10DB"/>
    <w:rsid w:val="000D21B5"/>
    <w:rsid w:val="000E1591"/>
    <w:rsid w:val="000E4C77"/>
    <w:rsid w:val="00102794"/>
    <w:rsid w:val="001027E1"/>
    <w:rsid w:val="00110563"/>
    <w:rsid w:val="0011176B"/>
    <w:rsid w:val="00115106"/>
    <w:rsid w:val="00124116"/>
    <w:rsid w:val="0013104F"/>
    <w:rsid w:val="00131221"/>
    <w:rsid w:val="00137EBA"/>
    <w:rsid w:val="00140BF8"/>
    <w:rsid w:val="00145EDC"/>
    <w:rsid w:val="00153084"/>
    <w:rsid w:val="00156074"/>
    <w:rsid w:val="001603A8"/>
    <w:rsid w:val="00167A34"/>
    <w:rsid w:val="001714B4"/>
    <w:rsid w:val="0018037F"/>
    <w:rsid w:val="0018056B"/>
    <w:rsid w:val="00180B57"/>
    <w:rsid w:val="00181708"/>
    <w:rsid w:val="001A0CEE"/>
    <w:rsid w:val="001A5F27"/>
    <w:rsid w:val="001A65E4"/>
    <w:rsid w:val="001A6D32"/>
    <w:rsid w:val="001A7870"/>
    <w:rsid w:val="001B27CC"/>
    <w:rsid w:val="001C1B41"/>
    <w:rsid w:val="001C7830"/>
    <w:rsid w:val="001D3158"/>
    <w:rsid w:val="001E366B"/>
    <w:rsid w:val="001F1571"/>
    <w:rsid w:val="001F1902"/>
    <w:rsid w:val="0020619D"/>
    <w:rsid w:val="002067F6"/>
    <w:rsid w:val="00210E0E"/>
    <w:rsid w:val="00210F4B"/>
    <w:rsid w:val="00212A00"/>
    <w:rsid w:val="00217CB6"/>
    <w:rsid w:val="002214C2"/>
    <w:rsid w:val="00230163"/>
    <w:rsid w:val="0023351C"/>
    <w:rsid w:val="00247403"/>
    <w:rsid w:val="00247542"/>
    <w:rsid w:val="00247DA7"/>
    <w:rsid w:val="0025651F"/>
    <w:rsid w:val="00257893"/>
    <w:rsid w:val="00266092"/>
    <w:rsid w:val="00266B61"/>
    <w:rsid w:val="0026712A"/>
    <w:rsid w:val="002704DB"/>
    <w:rsid w:val="002760CE"/>
    <w:rsid w:val="002763FC"/>
    <w:rsid w:val="002822E0"/>
    <w:rsid w:val="00290D42"/>
    <w:rsid w:val="00297A8C"/>
    <w:rsid w:val="002A0DF4"/>
    <w:rsid w:val="002A122F"/>
    <w:rsid w:val="002A1976"/>
    <w:rsid w:val="002B7A85"/>
    <w:rsid w:val="002C0121"/>
    <w:rsid w:val="002C1641"/>
    <w:rsid w:val="002D6C6B"/>
    <w:rsid w:val="002D7EA2"/>
    <w:rsid w:val="002E15DF"/>
    <w:rsid w:val="002E187C"/>
    <w:rsid w:val="002E6E57"/>
    <w:rsid w:val="00301075"/>
    <w:rsid w:val="00302733"/>
    <w:rsid w:val="00305CED"/>
    <w:rsid w:val="00311A4F"/>
    <w:rsid w:val="00314078"/>
    <w:rsid w:val="00321AFD"/>
    <w:rsid w:val="00322450"/>
    <w:rsid w:val="003246B5"/>
    <w:rsid w:val="003312A8"/>
    <w:rsid w:val="0033169F"/>
    <w:rsid w:val="00333446"/>
    <w:rsid w:val="003414AC"/>
    <w:rsid w:val="003418AC"/>
    <w:rsid w:val="00345101"/>
    <w:rsid w:val="00356185"/>
    <w:rsid w:val="00360380"/>
    <w:rsid w:val="00370A98"/>
    <w:rsid w:val="003771A3"/>
    <w:rsid w:val="00386CF0"/>
    <w:rsid w:val="003A4348"/>
    <w:rsid w:val="003B027D"/>
    <w:rsid w:val="003B11CB"/>
    <w:rsid w:val="003C08AE"/>
    <w:rsid w:val="003C32BC"/>
    <w:rsid w:val="003D102A"/>
    <w:rsid w:val="003E3E03"/>
    <w:rsid w:val="003E525A"/>
    <w:rsid w:val="003F1BBF"/>
    <w:rsid w:val="003F72B9"/>
    <w:rsid w:val="00404E34"/>
    <w:rsid w:val="0041333F"/>
    <w:rsid w:val="00415F19"/>
    <w:rsid w:val="004162B1"/>
    <w:rsid w:val="004165C2"/>
    <w:rsid w:val="0041754C"/>
    <w:rsid w:val="00422629"/>
    <w:rsid w:val="00427C37"/>
    <w:rsid w:val="00432649"/>
    <w:rsid w:val="0044352D"/>
    <w:rsid w:val="00447FCA"/>
    <w:rsid w:val="00450A4A"/>
    <w:rsid w:val="00456C39"/>
    <w:rsid w:val="00460906"/>
    <w:rsid w:val="0046501B"/>
    <w:rsid w:val="004666FB"/>
    <w:rsid w:val="00466D0B"/>
    <w:rsid w:val="00467B7E"/>
    <w:rsid w:val="00470B63"/>
    <w:rsid w:val="0047424B"/>
    <w:rsid w:val="00476AF4"/>
    <w:rsid w:val="004853FB"/>
    <w:rsid w:val="0049419D"/>
    <w:rsid w:val="00497778"/>
    <w:rsid w:val="004B2762"/>
    <w:rsid w:val="004B3AE7"/>
    <w:rsid w:val="004B7EB6"/>
    <w:rsid w:val="004C41DE"/>
    <w:rsid w:val="004C4B62"/>
    <w:rsid w:val="004C7B51"/>
    <w:rsid w:val="004D0405"/>
    <w:rsid w:val="004D5A23"/>
    <w:rsid w:val="004D6025"/>
    <w:rsid w:val="004D72BC"/>
    <w:rsid w:val="004E08DB"/>
    <w:rsid w:val="004F6B67"/>
    <w:rsid w:val="00501399"/>
    <w:rsid w:val="00507BC4"/>
    <w:rsid w:val="005128E4"/>
    <w:rsid w:val="00520468"/>
    <w:rsid w:val="00521D29"/>
    <w:rsid w:val="00525560"/>
    <w:rsid w:val="005357A6"/>
    <w:rsid w:val="00544C49"/>
    <w:rsid w:val="005522DC"/>
    <w:rsid w:val="00553F98"/>
    <w:rsid w:val="00572A6B"/>
    <w:rsid w:val="005737CB"/>
    <w:rsid w:val="0057402A"/>
    <w:rsid w:val="005771D0"/>
    <w:rsid w:val="005816E5"/>
    <w:rsid w:val="0059191A"/>
    <w:rsid w:val="005921FF"/>
    <w:rsid w:val="00592718"/>
    <w:rsid w:val="00595955"/>
    <w:rsid w:val="005A3B41"/>
    <w:rsid w:val="005A6D0E"/>
    <w:rsid w:val="005B222D"/>
    <w:rsid w:val="005B52B0"/>
    <w:rsid w:val="005B54E1"/>
    <w:rsid w:val="005B6806"/>
    <w:rsid w:val="005C00F9"/>
    <w:rsid w:val="005C01E5"/>
    <w:rsid w:val="005C4225"/>
    <w:rsid w:val="005D2BC4"/>
    <w:rsid w:val="005E23E9"/>
    <w:rsid w:val="005F0F33"/>
    <w:rsid w:val="005F2F20"/>
    <w:rsid w:val="00600DEB"/>
    <w:rsid w:val="00607D00"/>
    <w:rsid w:val="00613027"/>
    <w:rsid w:val="00614AAC"/>
    <w:rsid w:val="00627C9F"/>
    <w:rsid w:val="006311DA"/>
    <w:rsid w:val="006311E9"/>
    <w:rsid w:val="006318B2"/>
    <w:rsid w:val="00632354"/>
    <w:rsid w:val="00642810"/>
    <w:rsid w:val="00652333"/>
    <w:rsid w:val="00653E0A"/>
    <w:rsid w:val="00653EA6"/>
    <w:rsid w:val="00657B2C"/>
    <w:rsid w:val="0068009E"/>
    <w:rsid w:val="006A17D2"/>
    <w:rsid w:val="006A73E6"/>
    <w:rsid w:val="006B1AAB"/>
    <w:rsid w:val="006B2D5C"/>
    <w:rsid w:val="006B7DC0"/>
    <w:rsid w:val="006C398A"/>
    <w:rsid w:val="006C4EB1"/>
    <w:rsid w:val="006C5E72"/>
    <w:rsid w:val="006D3598"/>
    <w:rsid w:val="006D4707"/>
    <w:rsid w:val="006E0166"/>
    <w:rsid w:val="006E1DED"/>
    <w:rsid w:val="006E7B34"/>
    <w:rsid w:val="006F0028"/>
    <w:rsid w:val="006F1022"/>
    <w:rsid w:val="006F3E35"/>
    <w:rsid w:val="006F4458"/>
    <w:rsid w:val="00701A17"/>
    <w:rsid w:val="00701B24"/>
    <w:rsid w:val="00706858"/>
    <w:rsid w:val="00707B3C"/>
    <w:rsid w:val="0071495F"/>
    <w:rsid w:val="00716A28"/>
    <w:rsid w:val="0073798E"/>
    <w:rsid w:val="00745899"/>
    <w:rsid w:val="00750308"/>
    <w:rsid w:val="007607C4"/>
    <w:rsid w:val="00761DE6"/>
    <w:rsid w:val="0076643F"/>
    <w:rsid w:val="00767939"/>
    <w:rsid w:val="00773A35"/>
    <w:rsid w:val="0077436D"/>
    <w:rsid w:val="00781653"/>
    <w:rsid w:val="00790918"/>
    <w:rsid w:val="007918D4"/>
    <w:rsid w:val="00792CC2"/>
    <w:rsid w:val="00792E4C"/>
    <w:rsid w:val="007A2F70"/>
    <w:rsid w:val="007A4E36"/>
    <w:rsid w:val="007B5D1C"/>
    <w:rsid w:val="007B631A"/>
    <w:rsid w:val="007C3334"/>
    <w:rsid w:val="007C52BB"/>
    <w:rsid w:val="007D2048"/>
    <w:rsid w:val="007D25CE"/>
    <w:rsid w:val="007D2B98"/>
    <w:rsid w:val="007E2981"/>
    <w:rsid w:val="007E438C"/>
    <w:rsid w:val="007E6FDA"/>
    <w:rsid w:val="007E7DFF"/>
    <w:rsid w:val="007F4853"/>
    <w:rsid w:val="007F79E0"/>
    <w:rsid w:val="007F7BA4"/>
    <w:rsid w:val="00803F1C"/>
    <w:rsid w:val="0080600E"/>
    <w:rsid w:val="0080751D"/>
    <w:rsid w:val="00814711"/>
    <w:rsid w:val="00817612"/>
    <w:rsid w:val="00837C45"/>
    <w:rsid w:val="008440D9"/>
    <w:rsid w:val="00853419"/>
    <w:rsid w:val="008562E8"/>
    <w:rsid w:val="0086363F"/>
    <w:rsid w:val="00887C86"/>
    <w:rsid w:val="00890191"/>
    <w:rsid w:val="00891D7A"/>
    <w:rsid w:val="00897E12"/>
    <w:rsid w:val="008B6DBB"/>
    <w:rsid w:val="008C7AFF"/>
    <w:rsid w:val="008D43BA"/>
    <w:rsid w:val="008E3759"/>
    <w:rsid w:val="008E40F5"/>
    <w:rsid w:val="008E7A3E"/>
    <w:rsid w:val="008F5ABC"/>
    <w:rsid w:val="009041DC"/>
    <w:rsid w:val="009104B4"/>
    <w:rsid w:val="00913580"/>
    <w:rsid w:val="00921609"/>
    <w:rsid w:val="009228DA"/>
    <w:rsid w:val="00925FCD"/>
    <w:rsid w:val="00927C49"/>
    <w:rsid w:val="0093441A"/>
    <w:rsid w:val="00946ACE"/>
    <w:rsid w:val="00950DCC"/>
    <w:rsid w:val="00954BF7"/>
    <w:rsid w:val="00962A01"/>
    <w:rsid w:val="0096655D"/>
    <w:rsid w:val="0096706E"/>
    <w:rsid w:val="00967ED0"/>
    <w:rsid w:val="009713DE"/>
    <w:rsid w:val="0097559D"/>
    <w:rsid w:val="00981FBA"/>
    <w:rsid w:val="00985E9C"/>
    <w:rsid w:val="0098783D"/>
    <w:rsid w:val="00987ABC"/>
    <w:rsid w:val="009906E3"/>
    <w:rsid w:val="00991581"/>
    <w:rsid w:val="009A2BCB"/>
    <w:rsid w:val="009B0D75"/>
    <w:rsid w:val="009B2AB8"/>
    <w:rsid w:val="009B381B"/>
    <w:rsid w:val="009B58F0"/>
    <w:rsid w:val="009B7198"/>
    <w:rsid w:val="009C0596"/>
    <w:rsid w:val="009C0EEB"/>
    <w:rsid w:val="009C5A44"/>
    <w:rsid w:val="009D0762"/>
    <w:rsid w:val="009D1E8B"/>
    <w:rsid w:val="009D4549"/>
    <w:rsid w:val="009D7611"/>
    <w:rsid w:val="009E53DE"/>
    <w:rsid w:val="009E566A"/>
    <w:rsid w:val="00A12DBC"/>
    <w:rsid w:val="00A242DA"/>
    <w:rsid w:val="00A43458"/>
    <w:rsid w:val="00A442E1"/>
    <w:rsid w:val="00A528D1"/>
    <w:rsid w:val="00A5614D"/>
    <w:rsid w:val="00A66BE5"/>
    <w:rsid w:val="00A86BCA"/>
    <w:rsid w:val="00A90EFE"/>
    <w:rsid w:val="00AA44A0"/>
    <w:rsid w:val="00AA4BC6"/>
    <w:rsid w:val="00AB0235"/>
    <w:rsid w:val="00AB7E86"/>
    <w:rsid w:val="00AC758E"/>
    <w:rsid w:val="00AD00CC"/>
    <w:rsid w:val="00AD37C1"/>
    <w:rsid w:val="00AE31A6"/>
    <w:rsid w:val="00AE66EC"/>
    <w:rsid w:val="00AE6F91"/>
    <w:rsid w:val="00AF5571"/>
    <w:rsid w:val="00B02EB0"/>
    <w:rsid w:val="00B05934"/>
    <w:rsid w:val="00B06BB7"/>
    <w:rsid w:val="00B130EE"/>
    <w:rsid w:val="00B1430D"/>
    <w:rsid w:val="00B1443E"/>
    <w:rsid w:val="00B167E9"/>
    <w:rsid w:val="00B179ED"/>
    <w:rsid w:val="00B2787E"/>
    <w:rsid w:val="00B314DB"/>
    <w:rsid w:val="00B31EBE"/>
    <w:rsid w:val="00B36F1F"/>
    <w:rsid w:val="00B3718B"/>
    <w:rsid w:val="00B44B23"/>
    <w:rsid w:val="00B4632A"/>
    <w:rsid w:val="00B66312"/>
    <w:rsid w:val="00B86E54"/>
    <w:rsid w:val="00B92E49"/>
    <w:rsid w:val="00B9328B"/>
    <w:rsid w:val="00BA276C"/>
    <w:rsid w:val="00BA37AA"/>
    <w:rsid w:val="00BB306F"/>
    <w:rsid w:val="00BD232B"/>
    <w:rsid w:val="00BD2E42"/>
    <w:rsid w:val="00BD4B89"/>
    <w:rsid w:val="00BD5998"/>
    <w:rsid w:val="00BE2A38"/>
    <w:rsid w:val="00BF2F1A"/>
    <w:rsid w:val="00BF509B"/>
    <w:rsid w:val="00C01A12"/>
    <w:rsid w:val="00C12E00"/>
    <w:rsid w:val="00C21762"/>
    <w:rsid w:val="00C21A48"/>
    <w:rsid w:val="00C24543"/>
    <w:rsid w:val="00C256A2"/>
    <w:rsid w:val="00C3492D"/>
    <w:rsid w:val="00C53026"/>
    <w:rsid w:val="00C55560"/>
    <w:rsid w:val="00C6555F"/>
    <w:rsid w:val="00C65C1B"/>
    <w:rsid w:val="00C66B72"/>
    <w:rsid w:val="00C836FD"/>
    <w:rsid w:val="00C84D0A"/>
    <w:rsid w:val="00C87BCB"/>
    <w:rsid w:val="00C91210"/>
    <w:rsid w:val="00C9567A"/>
    <w:rsid w:val="00C97933"/>
    <w:rsid w:val="00CA6577"/>
    <w:rsid w:val="00CB2660"/>
    <w:rsid w:val="00CC5E90"/>
    <w:rsid w:val="00CD046C"/>
    <w:rsid w:val="00CD5413"/>
    <w:rsid w:val="00CE0AB2"/>
    <w:rsid w:val="00CE5199"/>
    <w:rsid w:val="00CE55CB"/>
    <w:rsid w:val="00CE66D5"/>
    <w:rsid w:val="00D01A8F"/>
    <w:rsid w:val="00D02618"/>
    <w:rsid w:val="00D05353"/>
    <w:rsid w:val="00D07868"/>
    <w:rsid w:val="00D1289A"/>
    <w:rsid w:val="00D2050E"/>
    <w:rsid w:val="00D20CB0"/>
    <w:rsid w:val="00D247E3"/>
    <w:rsid w:val="00D34786"/>
    <w:rsid w:val="00D40A1E"/>
    <w:rsid w:val="00D52FC1"/>
    <w:rsid w:val="00D533C0"/>
    <w:rsid w:val="00D63910"/>
    <w:rsid w:val="00D64E1C"/>
    <w:rsid w:val="00D712D3"/>
    <w:rsid w:val="00D71422"/>
    <w:rsid w:val="00D7145E"/>
    <w:rsid w:val="00D75084"/>
    <w:rsid w:val="00D7558D"/>
    <w:rsid w:val="00D75E31"/>
    <w:rsid w:val="00D81D92"/>
    <w:rsid w:val="00D85A27"/>
    <w:rsid w:val="00D93446"/>
    <w:rsid w:val="00DA7B5F"/>
    <w:rsid w:val="00DB3EC5"/>
    <w:rsid w:val="00DC3D14"/>
    <w:rsid w:val="00DE092E"/>
    <w:rsid w:val="00DF078B"/>
    <w:rsid w:val="00DF350D"/>
    <w:rsid w:val="00E11136"/>
    <w:rsid w:val="00E165BE"/>
    <w:rsid w:val="00E227C1"/>
    <w:rsid w:val="00E337EA"/>
    <w:rsid w:val="00E43157"/>
    <w:rsid w:val="00E47F3D"/>
    <w:rsid w:val="00E533FF"/>
    <w:rsid w:val="00E56D9A"/>
    <w:rsid w:val="00E679CD"/>
    <w:rsid w:val="00E709B3"/>
    <w:rsid w:val="00E7588C"/>
    <w:rsid w:val="00E7797F"/>
    <w:rsid w:val="00E82A5B"/>
    <w:rsid w:val="00E84473"/>
    <w:rsid w:val="00E850B6"/>
    <w:rsid w:val="00E8789F"/>
    <w:rsid w:val="00E97B71"/>
    <w:rsid w:val="00EA00E8"/>
    <w:rsid w:val="00EB40EC"/>
    <w:rsid w:val="00EB454D"/>
    <w:rsid w:val="00EB786F"/>
    <w:rsid w:val="00EC1DA1"/>
    <w:rsid w:val="00ED0D1B"/>
    <w:rsid w:val="00ED343A"/>
    <w:rsid w:val="00EE3522"/>
    <w:rsid w:val="00EF619B"/>
    <w:rsid w:val="00EF72D3"/>
    <w:rsid w:val="00EF787A"/>
    <w:rsid w:val="00F00B55"/>
    <w:rsid w:val="00F045EB"/>
    <w:rsid w:val="00F1380F"/>
    <w:rsid w:val="00F14F0E"/>
    <w:rsid w:val="00F15A3B"/>
    <w:rsid w:val="00F17629"/>
    <w:rsid w:val="00F24C29"/>
    <w:rsid w:val="00F253CC"/>
    <w:rsid w:val="00F364DE"/>
    <w:rsid w:val="00F4141E"/>
    <w:rsid w:val="00F42B71"/>
    <w:rsid w:val="00F53510"/>
    <w:rsid w:val="00F56BA5"/>
    <w:rsid w:val="00F621C3"/>
    <w:rsid w:val="00F644E6"/>
    <w:rsid w:val="00F70BD2"/>
    <w:rsid w:val="00F71FF6"/>
    <w:rsid w:val="00F9077E"/>
    <w:rsid w:val="00F93732"/>
    <w:rsid w:val="00F9653B"/>
    <w:rsid w:val="00FB61D9"/>
    <w:rsid w:val="00FB62CF"/>
    <w:rsid w:val="00FC3EB4"/>
    <w:rsid w:val="00FC6C58"/>
    <w:rsid w:val="00FC7C63"/>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74"/>
      </w:numPr>
    </w:pPr>
  </w:style>
  <w:style w:type="numbering" w:customStyle="1" w:styleId="List1">
    <w:name w:val="List 1"/>
    <w:basedOn w:val="NoList"/>
    <w:pPr>
      <w:numPr>
        <w:numId w:val="2"/>
      </w:numPr>
    </w:pPr>
  </w:style>
  <w:style w:type="numbering" w:customStyle="1" w:styleId="List210">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basedOn w:val="NoList"/>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7918D4"/>
    <w:rPr>
      <w:sz w:val="16"/>
      <w:szCs w:val="16"/>
    </w:rPr>
  </w:style>
  <w:style w:type="paragraph" w:styleId="CommentText">
    <w:name w:val="annotation text"/>
    <w:basedOn w:val="Normal"/>
    <w:link w:val="CommentTextChar"/>
    <w:uiPriority w:val="99"/>
    <w:semiHidden/>
    <w:unhideWhenUsed/>
    <w:rsid w:val="007918D4"/>
    <w:rPr>
      <w:sz w:val="20"/>
      <w:szCs w:val="20"/>
    </w:rPr>
  </w:style>
  <w:style w:type="character" w:customStyle="1" w:styleId="CommentTextChar">
    <w:name w:val="Comment Text Char"/>
    <w:basedOn w:val="DefaultParagraphFont"/>
    <w:link w:val="CommentText"/>
    <w:uiPriority w:val="99"/>
    <w:semiHidden/>
    <w:rsid w:val="007918D4"/>
    <w:rPr>
      <w:lang w:val="en-US" w:eastAsia="en-US"/>
    </w:rPr>
  </w:style>
  <w:style w:type="paragraph" w:styleId="CommentSubject">
    <w:name w:val="annotation subject"/>
    <w:basedOn w:val="CommentText"/>
    <w:next w:val="CommentText"/>
    <w:link w:val="CommentSubjectChar"/>
    <w:uiPriority w:val="99"/>
    <w:semiHidden/>
    <w:unhideWhenUsed/>
    <w:rsid w:val="007918D4"/>
    <w:rPr>
      <w:b/>
      <w:bCs/>
    </w:rPr>
  </w:style>
  <w:style w:type="character" w:customStyle="1" w:styleId="CommentSubjectChar">
    <w:name w:val="Comment Subject Char"/>
    <w:basedOn w:val="CommentTextChar"/>
    <w:link w:val="CommentSubject"/>
    <w:uiPriority w:val="99"/>
    <w:semiHidden/>
    <w:rsid w:val="007918D4"/>
    <w:rPr>
      <w:b/>
      <w:bCs/>
      <w:lang w:val="en-US" w:eastAsia="en-US"/>
    </w:rPr>
  </w:style>
  <w:style w:type="character" w:customStyle="1" w:styleId="normaltextrun">
    <w:name w:val="normaltextrun"/>
    <w:basedOn w:val="DefaultParagraphFont"/>
    <w:rsid w:val="009D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61BB0"/>
    <w:rsid w:val="001B3C1F"/>
    <w:rsid w:val="002F1DDB"/>
    <w:rsid w:val="003748EB"/>
    <w:rsid w:val="0037569C"/>
    <w:rsid w:val="0039371D"/>
    <w:rsid w:val="004108B1"/>
    <w:rsid w:val="004643FD"/>
    <w:rsid w:val="006262C4"/>
    <w:rsid w:val="006A3012"/>
    <w:rsid w:val="00AB1D6C"/>
    <w:rsid w:val="00AB44F1"/>
    <w:rsid w:val="00AE54E1"/>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3109</Words>
  <Characters>17722</Characters>
  <Application>Microsoft Office Word</Application>
  <DocSecurity>0</DocSecurity>
  <Lines>147</Lines>
  <Paragraphs>41</Paragraphs>
  <ScaleCrop>false</ScaleCrop>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2023-07-10T21:34:00Z</dcterms:created>
  <dcterms:modified xsi:type="dcterms:W3CDTF">2023-07-10T21:34:00Z</dcterms:modified>
</cp:coreProperties>
</file>