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CB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23D70921">
                <wp:simplePos x="0" y="0"/>
                <wp:positionH relativeFrom="column">
                  <wp:posOffset>1209675</wp:posOffset>
                </wp:positionH>
                <wp:positionV relativeFrom="paragraph">
                  <wp:posOffset>78740</wp:posOffset>
                </wp:positionV>
                <wp:extent cx="397192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397192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3081EE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60CB3">
                              <w:rPr>
                                <w:rFonts w:asciiTheme="majorHAnsi" w:hAnsiTheme="majorHAnsi" w:cs="Arial"/>
                                <w:b/>
                                <w:bCs/>
                                <w:color w:val="0D0D0D" w:themeColor="text1" w:themeTint="F2"/>
                                <w:sz w:val="36"/>
                                <w:szCs w:val="40"/>
                              </w:rPr>
                              <w:t>349</w:t>
                            </w:r>
                            <w:r w:rsidR="00322450" w:rsidRPr="004B7EB6">
                              <w:rPr>
                                <w:rFonts w:asciiTheme="majorHAnsi" w:hAnsiTheme="majorHAnsi" w:cs="Arial"/>
                                <w:b/>
                                <w:bCs/>
                                <w:color w:val="0D0D0D" w:themeColor="text1" w:themeTint="F2"/>
                                <w:sz w:val="36"/>
                                <w:szCs w:val="40"/>
                              </w:rPr>
                              <w:t>/</w:t>
                            </w:r>
                            <w:r w:rsidR="002D5147">
                              <w:rPr>
                                <w:rFonts w:asciiTheme="majorHAnsi" w:hAnsiTheme="majorHAnsi" w:cs="Arial"/>
                                <w:b/>
                                <w:bCs/>
                                <w:color w:val="0D0D0D" w:themeColor="text1" w:themeTint="F2"/>
                                <w:sz w:val="36"/>
                                <w:szCs w:val="40"/>
                              </w:rPr>
                              <w:t>23</w:t>
                            </w:r>
                          </w:p>
                          <w:p w14:paraId="081F51F3" w14:textId="5F101DF3"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D5147">
                              <w:rPr>
                                <w:rFonts w:asciiTheme="majorHAnsi" w:hAnsiTheme="majorHAnsi" w:cs="Arial"/>
                                <w:b/>
                                <w:bCs/>
                                <w:color w:val="0D0D0D" w:themeColor="text1" w:themeTint="F2"/>
                                <w:sz w:val="36"/>
                                <w:szCs w:val="40"/>
                              </w:rPr>
                              <w:t>471</w:t>
                            </w:r>
                            <w:r w:rsidR="00F621C3">
                              <w:rPr>
                                <w:rFonts w:asciiTheme="majorHAnsi" w:hAnsiTheme="majorHAnsi" w:cs="Arial"/>
                                <w:b/>
                                <w:bCs/>
                                <w:color w:val="0D0D0D" w:themeColor="text1" w:themeTint="F2"/>
                                <w:sz w:val="36"/>
                                <w:szCs w:val="40"/>
                              </w:rPr>
                              <w:t>-</w:t>
                            </w:r>
                            <w:r w:rsidR="002D5147">
                              <w:rPr>
                                <w:rFonts w:asciiTheme="majorHAnsi" w:hAnsiTheme="majorHAnsi" w:cs="Arial"/>
                                <w:b/>
                                <w:bCs/>
                                <w:color w:val="0D0D0D" w:themeColor="text1" w:themeTint="F2"/>
                                <w:sz w:val="36"/>
                                <w:szCs w:val="40"/>
                              </w:rPr>
                              <w:t>13</w:t>
                            </w:r>
                          </w:p>
                          <w:p w14:paraId="34978E5A" w14:textId="468F45A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F621C3">
                              <w:rPr>
                                <w:rFonts w:asciiTheme="majorHAnsi" w:hAnsiTheme="majorHAnsi" w:cs="Arial"/>
                                <w:color w:val="0D0D0D" w:themeColor="text1" w:themeTint="F2"/>
                                <w:szCs w:val="22"/>
                              </w:rPr>
                              <w:t xml:space="preserve">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143F08A" w:rsidR="00F42B71" w:rsidRPr="002D5147" w:rsidRDefault="002D514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2D5147">
                              <w:rPr>
                                <w:rFonts w:ascii="Cambria" w:hAnsi="Cambria" w:cs="Arial"/>
                                <w:color w:val="0D0D0D"/>
                                <w:szCs w:val="22"/>
                              </w:rPr>
                              <w:t xml:space="preserve">CONSORCIO DEL URUGUAY </w:t>
                            </w:r>
                            <w:r w:rsidR="004228F2">
                              <w:rPr>
                                <w:rFonts w:ascii="Cambria" w:hAnsi="Cambria" w:cs="Arial"/>
                                <w:color w:val="0D0D0D"/>
                                <w:szCs w:val="22"/>
                              </w:rPr>
                              <w:t>S.A.</w:t>
                            </w:r>
                            <w:r w:rsidRPr="002D5147">
                              <w:rPr>
                                <w:rFonts w:ascii="Cambria" w:hAnsi="Cambria" w:cs="Arial"/>
                                <w:color w:val="0D0D0D"/>
                                <w:szCs w:val="22"/>
                              </w:rPr>
                              <w:t xml:space="preserve"> AND ITS ST</w:t>
                            </w:r>
                            <w:r>
                              <w:rPr>
                                <w:rFonts w:ascii="Cambria" w:hAnsi="Cambria" w:cs="Arial"/>
                                <w:color w:val="0D0D0D"/>
                                <w:szCs w:val="22"/>
                              </w:rPr>
                              <w:t>OCKHOLDERS AND REPRESENTATIVES</w:t>
                            </w:r>
                          </w:p>
                          <w:p w14:paraId="48EBC31A" w14:textId="40AFFAD9" w:rsidR="00F42B71" w:rsidRPr="004B625D" w:rsidRDefault="002D514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URUGUAY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pt;width:312.7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" filled="f" stroked="f" strokeweight=".5pt">
                <v:textbox>
                  <w:txbxContent>
                    <w:p w14:paraId="6F7C2188" w14:textId="43081EE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60CB3">
                        <w:rPr>
                          <w:rFonts w:asciiTheme="majorHAnsi" w:hAnsiTheme="majorHAnsi" w:cs="Arial"/>
                          <w:b/>
                          <w:bCs/>
                          <w:color w:val="0D0D0D" w:themeColor="text1" w:themeTint="F2"/>
                          <w:sz w:val="36"/>
                          <w:szCs w:val="40"/>
                        </w:rPr>
                        <w:t>349</w:t>
                      </w:r>
                      <w:r w:rsidR="00322450" w:rsidRPr="004B7EB6">
                        <w:rPr>
                          <w:rFonts w:asciiTheme="majorHAnsi" w:hAnsiTheme="majorHAnsi" w:cs="Arial"/>
                          <w:b/>
                          <w:bCs/>
                          <w:color w:val="0D0D0D" w:themeColor="text1" w:themeTint="F2"/>
                          <w:sz w:val="36"/>
                          <w:szCs w:val="40"/>
                        </w:rPr>
                        <w:t>/</w:t>
                      </w:r>
                      <w:r w:rsidR="002D5147">
                        <w:rPr>
                          <w:rFonts w:asciiTheme="majorHAnsi" w:hAnsiTheme="majorHAnsi" w:cs="Arial"/>
                          <w:b/>
                          <w:bCs/>
                          <w:color w:val="0D0D0D" w:themeColor="text1" w:themeTint="F2"/>
                          <w:sz w:val="36"/>
                          <w:szCs w:val="40"/>
                        </w:rPr>
                        <w:t>23</w:t>
                      </w:r>
                    </w:p>
                    <w:p w14:paraId="081F51F3" w14:textId="5F101DF3"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D5147">
                        <w:rPr>
                          <w:rFonts w:asciiTheme="majorHAnsi" w:hAnsiTheme="majorHAnsi" w:cs="Arial"/>
                          <w:b/>
                          <w:bCs/>
                          <w:color w:val="0D0D0D" w:themeColor="text1" w:themeTint="F2"/>
                          <w:sz w:val="36"/>
                          <w:szCs w:val="40"/>
                        </w:rPr>
                        <w:t>471</w:t>
                      </w:r>
                      <w:r w:rsidR="00F621C3">
                        <w:rPr>
                          <w:rFonts w:asciiTheme="majorHAnsi" w:hAnsiTheme="majorHAnsi" w:cs="Arial"/>
                          <w:b/>
                          <w:bCs/>
                          <w:color w:val="0D0D0D" w:themeColor="text1" w:themeTint="F2"/>
                          <w:sz w:val="36"/>
                          <w:szCs w:val="40"/>
                        </w:rPr>
                        <w:t>-</w:t>
                      </w:r>
                      <w:r w:rsidR="002D5147">
                        <w:rPr>
                          <w:rFonts w:asciiTheme="majorHAnsi" w:hAnsiTheme="majorHAnsi" w:cs="Arial"/>
                          <w:b/>
                          <w:bCs/>
                          <w:color w:val="0D0D0D" w:themeColor="text1" w:themeTint="F2"/>
                          <w:sz w:val="36"/>
                          <w:szCs w:val="40"/>
                        </w:rPr>
                        <w:t>13</w:t>
                      </w:r>
                    </w:p>
                    <w:p w14:paraId="34978E5A" w14:textId="468F45A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F621C3">
                        <w:rPr>
                          <w:rFonts w:asciiTheme="majorHAnsi" w:hAnsiTheme="majorHAnsi" w:cs="Arial"/>
                          <w:color w:val="0D0D0D" w:themeColor="text1" w:themeTint="F2"/>
                          <w:szCs w:val="22"/>
                        </w:rPr>
                        <w:t xml:space="preserve">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5143F08A" w:rsidR="00F42B71" w:rsidRPr="002D5147" w:rsidRDefault="002D514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2D5147">
                        <w:rPr>
                          <w:rFonts w:ascii="Cambria" w:hAnsi="Cambria" w:cs="Arial"/>
                          <w:color w:val="0D0D0D"/>
                          <w:szCs w:val="22"/>
                        </w:rPr>
                        <w:t xml:space="preserve">CONSORCIO DEL URUGUAY </w:t>
                      </w:r>
                      <w:r w:rsidR="004228F2">
                        <w:rPr>
                          <w:rFonts w:ascii="Cambria" w:hAnsi="Cambria" w:cs="Arial"/>
                          <w:color w:val="0D0D0D"/>
                          <w:szCs w:val="22"/>
                        </w:rPr>
                        <w:t>S.A.</w:t>
                      </w:r>
                      <w:r w:rsidRPr="002D5147">
                        <w:rPr>
                          <w:rFonts w:ascii="Cambria" w:hAnsi="Cambria" w:cs="Arial"/>
                          <w:color w:val="0D0D0D"/>
                          <w:szCs w:val="22"/>
                        </w:rPr>
                        <w:t xml:space="preserve"> AND ITS ST</w:t>
                      </w:r>
                      <w:r>
                        <w:rPr>
                          <w:rFonts w:ascii="Cambria" w:hAnsi="Cambria" w:cs="Arial"/>
                          <w:color w:val="0D0D0D"/>
                          <w:szCs w:val="22"/>
                        </w:rPr>
                        <w:t>OCKHOLDERS AND REPRESENTATIVES</w:t>
                      </w:r>
                    </w:p>
                    <w:p w14:paraId="48EBC31A" w14:textId="40AFFAD9" w:rsidR="00F42B71" w:rsidRPr="004B625D" w:rsidRDefault="002D514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URUGUAY</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9945D02" w:rsidR="00627C9F" w:rsidRPr="00FA7ED2" w:rsidRDefault="009E566A" w:rsidP="009E566A">
                            <w:pPr>
                              <w:jc w:val="right"/>
                              <w:rPr>
                                <w:rFonts w:asciiTheme="minorHAnsi" w:hAnsiTheme="minorHAnsi"/>
                                <w:color w:val="FFFFFF" w:themeColor="background1"/>
                                <w:sz w:val="22"/>
                              </w:rPr>
                            </w:pPr>
                            <w:r w:rsidRPr="00FA7ED2">
                              <w:rPr>
                                <w:rFonts w:asciiTheme="minorHAnsi" w:hAnsiTheme="minorHAnsi"/>
                                <w:color w:val="FFFFFF" w:themeColor="background1"/>
                                <w:sz w:val="22"/>
                              </w:rPr>
                              <w:t>OEA/Ser.L/V/II</w:t>
                            </w:r>
                          </w:p>
                          <w:p w14:paraId="4AA08A8C" w14:textId="23EBAC29" w:rsidR="00627C9F" w:rsidRPr="00FA7ED2" w:rsidRDefault="00CA6577" w:rsidP="009E566A">
                            <w:pPr>
                              <w:jc w:val="right"/>
                              <w:rPr>
                                <w:rFonts w:asciiTheme="minorHAnsi" w:hAnsiTheme="minorHAnsi"/>
                                <w:color w:val="FFFFFF" w:themeColor="background1"/>
                                <w:sz w:val="22"/>
                              </w:rPr>
                            </w:pPr>
                            <w:r w:rsidRPr="00FA7ED2">
                              <w:rPr>
                                <w:rFonts w:asciiTheme="minorHAnsi" w:hAnsiTheme="minorHAnsi"/>
                                <w:color w:val="FFFFFF" w:themeColor="background1"/>
                                <w:sz w:val="22"/>
                              </w:rPr>
                              <w:t xml:space="preserve">Doc. </w:t>
                            </w:r>
                            <w:r w:rsidR="005E19AA" w:rsidRPr="00FA7ED2">
                              <w:rPr>
                                <w:rFonts w:asciiTheme="minorHAnsi" w:hAnsiTheme="minorHAnsi"/>
                                <w:color w:val="FFFFFF" w:themeColor="background1"/>
                                <w:sz w:val="22"/>
                              </w:rPr>
                              <w:t>375</w:t>
                            </w:r>
                          </w:p>
                          <w:p w14:paraId="0BEFF61A" w14:textId="21DDCABE" w:rsidR="00627C9F" w:rsidRPr="005E19AA" w:rsidRDefault="00022CF5" w:rsidP="009E566A">
                            <w:pPr>
                              <w:jc w:val="right"/>
                              <w:rPr>
                                <w:rFonts w:asciiTheme="minorHAnsi" w:hAnsiTheme="minorHAnsi"/>
                                <w:color w:val="FFFFFF" w:themeColor="background1"/>
                                <w:sz w:val="22"/>
                              </w:rPr>
                            </w:pPr>
                            <w:r w:rsidRPr="00FA7ED2">
                              <w:rPr>
                                <w:rFonts w:asciiTheme="minorHAnsi" w:hAnsiTheme="minorHAnsi"/>
                                <w:color w:val="FFFFFF" w:themeColor="background1"/>
                                <w:sz w:val="22"/>
                              </w:rPr>
                              <w:t xml:space="preserve"> </w:t>
                            </w:r>
                            <w:r w:rsidR="005E19AA">
                              <w:rPr>
                                <w:rFonts w:asciiTheme="minorHAnsi" w:hAnsiTheme="minorHAnsi"/>
                                <w:color w:val="FFFFFF" w:themeColor="background1"/>
                                <w:sz w:val="22"/>
                              </w:rPr>
                              <w:t>29 December</w:t>
                            </w:r>
                            <w:r w:rsidR="000C4365" w:rsidRPr="005E19AA">
                              <w:rPr>
                                <w:rFonts w:asciiTheme="minorHAnsi" w:hAnsiTheme="minorHAnsi"/>
                                <w:color w:val="FFFFFF" w:themeColor="background1"/>
                                <w:sz w:val="22"/>
                              </w:rPr>
                              <w:t xml:space="preserve"> </w:t>
                            </w:r>
                            <w:r w:rsidR="006614CA" w:rsidRPr="005E19AA">
                              <w:rPr>
                                <w:rFonts w:asciiTheme="minorHAnsi" w:hAnsiTheme="minorHAnsi"/>
                                <w:color w:val="FFFFFF" w:themeColor="background1"/>
                                <w:sz w:val="22"/>
                              </w:rPr>
                              <w:t>202</w:t>
                            </w:r>
                            <w:r w:rsidR="002D5147" w:rsidRPr="005E19AA">
                              <w:rPr>
                                <w:rFonts w:asciiTheme="minorHAnsi" w:hAnsiTheme="minorHAnsi"/>
                                <w:color w:val="FFFFFF" w:themeColor="background1"/>
                                <w:sz w:val="22"/>
                              </w:rPr>
                              <w:t>3</w:t>
                            </w:r>
                          </w:p>
                          <w:p w14:paraId="0FC103BD" w14:textId="21BF1366" w:rsidR="00627C9F" w:rsidRPr="005E19AA" w:rsidRDefault="00627C9F" w:rsidP="009E566A">
                            <w:pPr>
                              <w:jc w:val="right"/>
                              <w:rPr>
                                <w:rFonts w:asciiTheme="minorHAnsi" w:hAnsiTheme="minorHAnsi"/>
                                <w:color w:val="FFFFFF" w:themeColor="background1"/>
                                <w:sz w:val="22"/>
                              </w:rPr>
                            </w:pPr>
                            <w:r w:rsidRPr="005E19AA">
                              <w:rPr>
                                <w:rFonts w:asciiTheme="minorHAnsi" w:hAnsiTheme="minorHAnsi"/>
                                <w:color w:val="FFFFFF" w:themeColor="background1"/>
                                <w:sz w:val="22"/>
                              </w:rPr>
                              <w:t>Original:</w:t>
                            </w:r>
                            <w:r w:rsidR="002C1641" w:rsidRPr="005E19AA">
                              <w:rPr>
                                <w:rFonts w:asciiTheme="minorHAnsi" w:hAnsiTheme="minorHAnsi"/>
                                <w:color w:val="FFFFFF" w:themeColor="background1"/>
                                <w:sz w:val="22"/>
                              </w:rPr>
                              <w:t xml:space="preserve"> </w:t>
                            </w:r>
                            <w:r w:rsidR="00F42B71" w:rsidRPr="005E19AA">
                              <w:rPr>
                                <w:rFonts w:asciiTheme="minorHAnsi" w:hAnsiTheme="minorHAnsi"/>
                                <w:color w:val="FFFFFF" w:themeColor="background1"/>
                                <w:sz w:val="22"/>
                              </w:rPr>
                              <w:t>Sp</w:t>
                            </w:r>
                            <w:r w:rsidR="002D5147" w:rsidRPr="005E19AA">
                              <w:rPr>
                                <w:rFonts w:asciiTheme="minorHAnsi" w:hAnsiTheme="minorHAnsi"/>
                                <w:color w:val="FFFFFF" w:themeColor="background1"/>
                                <w:sz w:val="22"/>
                              </w:rPr>
                              <w:t>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19945D02" w:rsidR="00627C9F" w:rsidRPr="00FA7ED2" w:rsidRDefault="009E566A" w:rsidP="009E566A">
                      <w:pPr>
                        <w:jc w:val="right"/>
                        <w:rPr>
                          <w:rFonts w:asciiTheme="minorHAnsi" w:hAnsiTheme="minorHAnsi"/>
                          <w:color w:val="FFFFFF" w:themeColor="background1"/>
                          <w:sz w:val="22"/>
                        </w:rPr>
                      </w:pPr>
                      <w:r w:rsidRPr="00FA7ED2">
                        <w:rPr>
                          <w:rFonts w:asciiTheme="minorHAnsi" w:hAnsiTheme="minorHAnsi"/>
                          <w:color w:val="FFFFFF" w:themeColor="background1"/>
                          <w:sz w:val="22"/>
                        </w:rPr>
                        <w:t>OEA/Ser.L/V/II</w:t>
                      </w:r>
                    </w:p>
                    <w:p w14:paraId="4AA08A8C" w14:textId="23EBAC29" w:rsidR="00627C9F" w:rsidRPr="00FA7ED2" w:rsidRDefault="00CA6577" w:rsidP="009E566A">
                      <w:pPr>
                        <w:jc w:val="right"/>
                        <w:rPr>
                          <w:rFonts w:asciiTheme="minorHAnsi" w:hAnsiTheme="minorHAnsi"/>
                          <w:color w:val="FFFFFF" w:themeColor="background1"/>
                          <w:sz w:val="22"/>
                        </w:rPr>
                      </w:pPr>
                      <w:r w:rsidRPr="00FA7ED2">
                        <w:rPr>
                          <w:rFonts w:asciiTheme="minorHAnsi" w:hAnsiTheme="minorHAnsi"/>
                          <w:color w:val="FFFFFF" w:themeColor="background1"/>
                          <w:sz w:val="22"/>
                        </w:rPr>
                        <w:t xml:space="preserve">Doc. </w:t>
                      </w:r>
                      <w:r w:rsidR="005E19AA" w:rsidRPr="00FA7ED2">
                        <w:rPr>
                          <w:rFonts w:asciiTheme="minorHAnsi" w:hAnsiTheme="minorHAnsi"/>
                          <w:color w:val="FFFFFF" w:themeColor="background1"/>
                          <w:sz w:val="22"/>
                        </w:rPr>
                        <w:t>375</w:t>
                      </w:r>
                    </w:p>
                    <w:p w14:paraId="0BEFF61A" w14:textId="21DDCABE" w:rsidR="00627C9F" w:rsidRPr="005E19AA" w:rsidRDefault="00022CF5" w:rsidP="009E566A">
                      <w:pPr>
                        <w:jc w:val="right"/>
                        <w:rPr>
                          <w:rFonts w:asciiTheme="minorHAnsi" w:hAnsiTheme="minorHAnsi"/>
                          <w:color w:val="FFFFFF" w:themeColor="background1"/>
                          <w:sz w:val="22"/>
                        </w:rPr>
                      </w:pPr>
                      <w:r w:rsidRPr="00FA7ED2">
                        <w:rPr>
                          <w:rFonts w:asciiTheme="minorHAnsi" w:hAnsiTheme="minorHAnsi"/>
                          <w:color w:val="FFFFFF" w:themeColor="background1"/>
                          <w:sz w:val="22"/>
                        </w:rPr>
                        <w:t xml:space="preserve"> </w:t>
                      </w:r>
                      <w:r w:rsidR="005E19AA">
                        <w:rPr>
                          <w:rFonts w:asciiTheme="minorHAnsi" w:hAnsiTheme="minorHAnsi"/>
                          <w:color w:val="FFFFFF" w:themeColor="background1"/>
                          <w:sz w:val="22"/>
                        </w:rPr>
                        <w:t>29 December</w:t>
                      </w:r>
                      <w:r w:rsidR="000C4365" w:rsidRPr="005E19AA">
                        <w:rPr>
                          <w:rFonts w:asciiTheme="minorHAnsi" w:hAnsiTheme="minorHAnsi"/>
                          <w:color w:val="FFFFFF" w:themeColor="background1"/>
                          <w:sz w:val="22"/>
                        </w:rPr>
                        <w:t xml:space="preserve"> </w:t>
                      </w:r>
                      <w:r w:rsidR="006614CA" w:rsidRPr="005E19AA">
                        <w:rPr>
                          <w:rFonts w:asciiTheme="minorHAnsi" w:hAnsiTheme="minorHAnsi"/>
                          <w:color w:val="FFFFFF" w:themeColor="background1"/>
                          <w:sz w:val="22"/>
                        </w:rPr>
                        <w:t>202</w:t>
                      </w:r>
                      <w:r w:rsidR="002D5147" w:rsidRPr="005E19AA">
                        <w:rPr>
                          <w:rFonts w:asciiTheme="minorHAnsi" w:hAnsiTheme="minorHAnsi"/>
                          <w:color w:val="FFFFFF" w:themeColor="background1"/>
                          <w:sz w:val="22"/>
                        </w:rPr>
                        <w:t>3</w:t>
                      </w:r>
                    </w:p>
                    <w:p w14:paraId="0FC103BD" w14:textId="21BF1366" w:rsidR="00627C9F" w:rsidRPr="005E19AA" w:rsidRDefault="00627C9F" w:rsidP="009E566A">
                      <w:pPr>
                        <w:jc w:val="right"/>
                        <w:rPr>
                          <w:rFonts w:asciiTheme="minorHAnsi" w:hAnsiTheme="minorHAnsi"/>
                          <w:color w:val="FFFFFF" w:themeColor="background1"/>
                          <w:sz w:val="22"/>
                        </w:rPr>
                      </w:pPr>
                      <w:r w:rsidRPr="005E19AA">
                        <w:rPr>
                          <w:rFonts w:asciiTheme="minorHAnsi" w:hAnsiTheme="minorHAnsi"/>
                          <w:color w:val="FFFFFF" w:themeColor="background1"/>
                          <w:sz w:val="22"/>
                        </w:rPr>
                        <w:t>Original:</w:t>
                      </w:r>
                      <w:r w:rsidR="002C1641" w:rsidRPr="005E19AA">
                        <w:rPr>
                          <w:rFonts w:asciiTheme="minorHAnsi" w:hAnsiTheme="minorHAnsi"/>
                          <w:color w:val="FFFFFF" w:themeColor="background1"/>
                          <w:sz w:val="22"/>
                        </w:rPr>
                        <w:t xml:space="preserve"> </w:t>
                      </w:r>
                      <w:r w:rsidR="00F42B71" w:rsidRPr="005E19AA">
                        <w:rPr>
                          <w:rFonts w:asciiTheme="minorHAnsi" w:hAnsiTheme="minorHAnsi"/>
                          <w:color w:val="FFFFFF" w:themeColor="background1"/>
                          <w:sz w:val="22"/>
                        </w:rPr>
                        <w:t>Sp</w:t>
                      </w:r>
                      <w:r w:rsidR="002D5147" w:rsidRPr="005E19AA">
                        <w:rPr>
                          <w:rFonts w:asciiTheme="minorHAnsi" w:hAnsiTheme="minorHAnsi"/>
                          <w:color w:val="FFFFFF" w:themeColor="background1"/>
                          <w:sz w:val="22"/>
                        </w:rPr>
                        <w:t>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31D210F0">
                <wp:simplePos x="0" y="0"/>
                <wp:positionH relativeFrom="column">
                  <wp:posOffset>1209822</wp:posOffset>
                </wp:positionH>
                <wp:positionV relativeFrom="paragraph">
                  <wp:posOffset>66332</wp:posOffset>
                </wp:positionV>
                <wp:extent cx="4595495" cy="696351"/>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63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C09849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D90BED">
                              <w:rPr>
                                <w:rFonts w:asciiTheme="majorHAnsi" w:hAnsiTheme="majorHAnsi"/>
                                <w:color w:val="0D0D0D" w:themeColor="text1" w:themeTint="F2"/>
                                <w:sz w:val="18"/>
                                <w:szCs w:val="20"/>
                              </w:rPr>
                              <w:t>December 29</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2D5147">
                              <w:rPr>
                                <w:rFonts w:asciiTheme="majorHAnsi" w:hAnsiTheme="majorHAnsi"/>
                                <w:color w:val="0D0D0D" w:themeColor="text1" w:themeTint="F2"/>
                                <w:sz w:val="18"/>
                                <w:szCs w:val="20"/>
                              </w:rPr>
                              <w:t>3</w:t>
                            </w:r>
                            <w:r w:rsidR="00D90BED">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25pt;margin-top:5.2pt;width:361.85pt;height:5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" filled="f" stroked="f" strokeweight=".5pt">
                <v:textbox>
                  <w:txbxContent>
                    <w:p w14:paraId="29BF637A" w14:textId="7C09849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D90BED">
                        <w:rPr>
                          <w:rFonts w:asciiTheme="majorHAnsi" w:hAnsiTheme="majorHAnsi"/>
                          <w:color w:val="0D0D0D" w:themeColor="text1" w:themeTint="F2"/>
                          <w:sz w:val="18"/>
                          <w:szCs w:val="20"/>
                        </w:rPr>
                        <w:t>December 29</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2D5147">
                        <w:rPr>
                          <w:rFonts w:asciiTheme="majorHAnsi" w:hAnsiTheme="majorHAnsi"/>
                          <w:color w:val="0D0D0D" w:themeColor="text1" w:themeTint="F2"/>
                          <w:sz w:val="18"/>
                          <w:szCs w:val="20"/>
                        </w:rPr>
                        <w:t>3</w:t>
                      </w:r>
                      <w:r w:rsidR="00D90BED">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6DD61D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90BED">
                              <w:rPr>
                                <w:rFonts w:asciiTheme="majorHAnsi" w:hAnsiTheme="majorHAnsi"/>
                                <w:color w:val="595959" w:themeColor="text1" w:themeTint="A6"/>
                                <w:sz w:val="18"/>
                              </w:rPr>
                              <w:t>349</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2D5147">
                              <w:rPr>
                                <w:rFonts w:asciiTheme="majorHAnsi" w:hAnsiTheme="majorHAnsi"/>
                                <w:color w:val="595959" w:themeColor="text1" w:themeTint="A6"/>
                                <w:sz w:val="18"/>
                              </w:rPr>
                              <w:t>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D5147">
                              <w:rPr>
                                <w:rFonts w:asciiTheme="majorHAnsi" w:hAnsiTheme="majorHAnsi"/>
                                <w:color w:val="595959" w:themeColor="text1" w:themeTint="A6"/>
                                <w:sz w:val="18"/>
                              </w:rPr>
                              <w:t>471</w:t>
                            </w:r>
                            <w:r w:rsidR="00F621C3">
                              <w:rPr>
                                <w:rFonts w:asciiTheme="majorHAnsi" w:hAnsiTheme="majorHAnsi"/>
                                <w:color w:val="595959" w:themeColor="text1" w:themeTint="A6"/>
                                <w:sz w:val="18"/>
                              </w:rPr>
                              <w:t>-</w:t>
                            </w:r>
                            <w:r w:rsidR="002D5147">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w:t>
                            </w:r>
                            <w:r w:rsidR="002D5147">
                              <w:rPr>
                                <w:rFonts w:asciiTheme="majorHAnsi" w:hAnsiTheme="majorHAnsi"/>
                                <w:color w:val="595959" w:themeColor="text1" w:themeTint="A6"/>
                                <w:sz w:val="18"/>
                              </w:rPr>
                              <w:t>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w:t>
                            </w:r>
                            <w:r w:rsidR="002D5147">
                              <w:rPr>
                                <w:rFonts w:asciiTheme="majorHAnsi" w:hAnsiTheme="majorHAnsi"/>
                                <w:color w:val="595959" w:themeColor="text1" w:themeTint="A6"/>
                                <w:sz w:val="18"/>
                              </w:rPr>
                              <w:t xml:space="preserve"> Consorcio del Uruguay S.A. and its stockholders and representatives</w:t>
                            </w:r>
                            <w:r w:rsidRPr="003C32BC">
                              <w:rPr>
                                <w:rFonts w:asciiTheme="majorHAnsi" w:hAnsiTheme="majorHAnsi"/>
                                <w:color w:val="595959" w:themeColor="text1" w:themeTint="A6"/>
                                <w:sz w:val="18"/>
                              </w:rPr>
                              <w:t xml:space="preserve">. </w:t>
                            </w:r>
                            <w:r w:rsidR="00AF59FB">
                              <w:rPr>
                                <w:rFonts w:asciiTheme="majorHAnsi" w:hAnsiTheme="majorHAnsi"/>
                                <w:color w:val="595959" w:themeColor="text1" w:themeTint="A6"/>
                                <w:sz w:val="18"/>
                              </w:rPr>
                              <w:t>Uruguay</w:t>
                            </w:r>
                            <w:r w:rsidR="00022CF5">
                              <w:rPr>
                                <w:rFonts w:asciiTheme="majorHAnsi" w:hAnsiTheme="majorHAnsi"/>
                                <w:color w:val="595959" w:themeColor="text1" w:themeTint="A6"/>
                                <w:sz w:val="18"/>
                              </w:rPr>
                              <w:t xml:space="preserve">. </w:t>
                            </w:r>
                            <w:r w:rsidR="00D90BED">
                              <w:rPr>
                                <w:rFonts w:asciiTheme="majorHAnsi" w:hAnsiTheme="majorHAnsi"/>
                                <w:color w:val="595959" w:themeColor="text1" w:themeTint="A6"/>
                                <w:sz w:val="18"/>
                              </w:rPr>
                              <w:t>December 29, 2023</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76DD61D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90BED">
                        <w:rPr>
                          <w:rFonts w:asciiTheme="majorHAnsi" w:hAnsiTheme="majorHAnsi"/>
                          <w:color w:val="595959" w:themeColor="text1" w:themeTint="A6"/>
                          <w:sz w:val="18"/>
                        </w:rPr>
                        <w:t>349</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2D5147">
                        <w:rPr>
                          <w:rFonts w:asciiTheme="majorHAnsi" w:hAnsiTheme="majorHAnsi"/>
                          <w:color w:val="595959" w:themeColor="text1" w:themeTint="A6"/>
                          <w:sz w:val="18"/>
                        </w:rPr>
                        <w:t>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D5147">
                        <w:rPr>
                          <w:rFonts w:asciiTheme="majorHAnsi" w:hAnsiTheme="majorHAnsi"/>
                          <w:color w:val="595959" w:themeColor="text1" w:themeTint="A6"/>
                          <w:sz w:val="18"/>
                        </w:rPr>
                        <w:t>471</w:t>
                      </w:r>
                      <w:r w:rsidR="00F621C3">
                        <w:rPr>
                          <w:rFonts w:asciiTheme="majorHAnsi" w:hAnsiTheme="majorHAnsi"/>
                          <w:color w:val="595959" w:themeColor="text1" w:themeTint="A6"/>
                          <w:sz w:val="18"/>
                        </w:rPr>
                        <w:t>-</w:t>
                      </w:r>
                      <w:r w:rsidR="002D5147">
                        <w:rPr>
                          <w:rFonts w:asciiTheme="majorHAnsi" w:hAnsiTheme="majorHAnsi"/>
                          <w:color w:val="595959" w:themeColor="text1" w:themeTint="A6"/>
                          <w:sz w:val="18"/>
                        </w:rPr>
                        <w:t>13</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w:t>
                      </w:r>
                      <w:r w:rsidR="002D5147">
                        <w:rPr>
                          <w:rFonts w:asciiTheme="majorHAnsi" w:hAnsiTheme="majorHAnsi"/>
                          <w:color w:val="595959" w:themeColor="text1" w:themeTint="A6"/>
                          <w:sz w:val="18"/>
                        </w:rPr>
                        <w:t>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w:t>
                      </w:r>
                      <w:r w:rsidR="002D5147">
                        <w:rPr>
                          <w:rFonts w:asciiTheme="majorHAnsi" w:hAnsiTheme="majorHAnsi"/>
                          <w:color w:val="595959" w:themeColor="text1" w:themeTint="A6"/>
                          <w:sz w:val="18"/>
                        </w:rPr>
                        <w:t xml:space="preserve"> Consorcio del Uruguay S.A. and its stockholders and representatives</w:t>
                      </w:r>
                      <w:r w:rsidRPr="003C32BC">
                        <w:rPr>
                          <w:rFonts w:asciiTheme="majorHAnsi" w:hAnsiTheme="majorHAnsi"/>
                          <w:color w:val="595959" w:themeColor="text1" w:themeTint="A6"/>
                          <w:sz w:val="18"/>
                        </w:rPr>
                        <w:t xml:space="preserve">. </w:t>
                      </w:r>
                      <w:r w:rsidR="00AF59FB">
                        <w:rPr>
                          <w:rFonts w:asciiTheme="majorHAnsi" w:hAnsiTheme="majorHAnsi"/>
                          <w:color w:val="595959" w:themeColor="text1" w:themeTint="A6"/>
                          <w:sz w:val="18"/>
                        </w:rPr>
                        <w:t>Uruguay</w:t>
                      </w:r>
                      <w:r w:rsidR="00022CF5">
                        <w:rPr>
                          <w:rFonts w:asciiTheme="majorHAnsi" w:hAnsiTheme="majorHAnsi"/>
                          <w:color w:val="595959" w:themeColor="text1" w:themeTint="A6"/>
                          <w:sz w:val="18"/>
                        </w:rPr>
                        <w:t xml:space="preserve">. </w:t>
                      </w:r>
                      <w:r w:rsidR="00D90BED">
                        <w:rPr>
                          <w:rFonts w:asciiTheme="majorHAnsi" w:hAnsiTheme="majorHAnsi"/>
                          <w:color w:val="595959" w:themeColor="text1" w:themeTint="A6"/>
                          <w:sz w:val="18"/>
                        </w:rPr>
                        <w:t>December 29, 2023</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369B66A"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90BED">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5369B66A"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90BED">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4228F2"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557" w:type="dxa"/>
            <w:vAlign w:val="center"/>
          </w:tcPr>
          <w:p w14:paraId="0674C7B8" w14:textId="32B98700" w:rsidR="00F621C3" w:rsidRPr="00AF59FB" w:rsidRDefault="00AF59FB" w:rsidP="009163FC">
            <w:pPr>
              <w:jc w:val="both"/>
              <w:rPr>
                <w:rFonts w:ascii="Cambria" w:hAnsi="Cambria"/>
                <w:bCs/>
                <w:sz w:val="20"/>
                <w:szCs w:val="20"/>
                <w:lang w:val="es-ES"/>
              </w:rPr>
            </w:pPr>
            <w:r>
              <w:rPr>
                <w:rFonts w:asciiTheme="majorHAnsi" w:hAnsiTheme="majorHAnsi"/>
                <w:bCs/>
                <w:sz w:val="20"/>
                <w:szCs w:val="20"/>
                <w:lang w:val="es-ES"/>
              </w:rPr>
              <w:t>Juan José Scandroglio Quintana, Eduardo Bertoni and Stefanía Garrido</w:t>
            </w:r>
            <w:r>
              <w:rPr>
                <w:rStyle w:val="FootnoteReference"/>
                <w:rFonts w:asciiTheme="majorHAnsi" w:hAnsiTheme="majorHAnsi"/>
                <w:bCs/>
                <w:sz w:val="20"/>
                <w:szCs w:val="20"/>
                <w:lang w:val="es-ES"/>
              </w:rPr>
              <w:footnoteReference w:id="2"/>
            </w:r>
          </w:p>
        </w:tc>
      </w:tr>
      <w:tr w:rsidR="00F621C3" w:rsidRPr="004228F2"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E75F9D"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557" w:type="dxa"/>
            <w:vAlign w:val="center"/>
          </w:tcPr>
          <w:p w14:paraId="60895337" w14:textId="0432D097" w:rsidR="00F621C3" w:rsidRPr="00416086" w:rsidRDefault="00416086" w:rsidP="009163FC">
            <w:pPr>
              <w:jc w:val="both"/>
              <w:rPr>
                <w:rFonts w:ascii="Cambria" w:hAnsi="Cambria"/>
                <w:bCs/>
                <w:sz w:val="20"/>
                <w:szCs w:val="20"/>
                <w:lang w:val="es-ES"/>
              </w:rPr>
            </w:pPr>
            <w:r>
              <w:rPr>
                <w:rFonts w:asciiTheme="majorHAnsi" w:hAnsiTheme="majorHAnsi"/>
                <w:bCs/>
                <w:sz w:val="20"/>
                <w:szCs w:val="20"/>
                <w:lang w:val="es-ES"/>
              </w:rPr>
              <w:t xml:space="preserve">The Consorcio del Uruguay S.A. and </w:t>
            </w:r>
            <w:r w:rsidRPr="00DC0561">
              <w:rPr>
                <w:rFonts w:asciiTheme="majorHAnsi" w:hAnsiTheme="majorHAnsi"/>
                <w:bCs/>
                <w:sz w:val="20"/>
                <w:szCs w:val="20"/>
                <w:lang w:val="es-ES"/>
              </w:rPr>
              <w:t>Juan José Scandroglio Quintana, Cecilia Artagaveytia, Álvaro Macedo</w:t>
            </w:r>
          </w:p>
        </w:tc>
      </w:tr>
      <w:tr w:rsidR="00F621C3"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557" w:type="dxa"/>
            <w:vAlign w:val="center"/>
          </w:tcPr>
          <w:p w14:paraId="3539D391" w14:textId="6386324B" w:rsidR="00F621C3" w:rsidRPr="000B6B7A" w:rsidRDefault="00416086" w:rsidP="009163FC">
            <w:pPr>
              <w:jc w:val="both"/>
              <w:rPr>
                <w:rFonts w:ascii="Cambria" w:hAnsi="Cambria"/>
                <w:bCs/>
                <w:sz w:val="20"/>
                <w:szCs w:val="20"/>
              </w:rPr>
            </w:pPr>
            <w:r>
              <w:rPr>
                <w:rFonts w:ascii="Cambria" w:hAnsi="Cambria"/>
                <w:bCs/>
                <w:sz w:val="20"/>
                <w:szCs w:val="20"/>
              </w:rPr>
              <w:t>Uruguay</w:t>
            </w:r>
          </w:p>
        </w:tc>
      </w:tr>
      <w:tr w:rsidR="00E47F3D"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557" w:type="dxa"/>
            <w:vAlign w:val="center"/>
          </w:tcPr>
          <w:p w14:paraId="51EEF9D2" w14:textId="14EFE726" w:rsidR="00E47F3D" w:rsidRPr="000B6B7A" w:rsidRDefault="00416086" w:rsidP="009163FC">
            <w:pPr>
              <w:jc w:val="both"/>
              <w:rPr>
                <w:rFonts w:ascii="Cambria" w:hAnsi="Cambria"/>
                <w:bCs/>
                <w:sz w:val="20"/>
                <w:szCs w:val="20"/>
              </w:rPr>
            </w:pPr>
            <w:r>
              <w:rPr>
                <w:rFonts w:ascii="Cambria" w:hAnsi="Cambria"/>
                <w:bCs/>
                <w:sz w:val="20"/>
                <w:szCs w:val="20"/>
              </w:rPr>
              <w:t>Articles 13 (freedom of thought and of expression) and 25 (right to judicial protection) of the American Convention of Hu</w:t>
            </w:r>
            <w:r w:rsidR="00086FC9">
              <w:rPr>
                <w:rFonts w:ascii="Cambria" w:hAnsi="Cambria"/>
                <w:bCs/>
                <w:sz w:val="20"/>
                <w:szCs w:val="20"/>
              </w:rPr>
              <w:t>ma</w:t>
            </w:r>
            <w:r>
              <w:rPr>
                <w:rFonts w:ascii="Cambria" w:hAnsi="Cambria"/>
                <w:bCs/>
                <w:sz w:val="20"/>
                <w:szCs w:val="20"/>
              </w:rPr>
              <w:t>n Rights</w:t>
            </w:r>
            <w:r w:rsidR="00086FC9">
              <w:rPr>
                <w:rStyle w:val="FootnoteReference"/>
                <w:rFonts w:ascii="Cambria" w:hAnsi="Cambria"/>
                <w:bCs/>
                <w:sz w:val="20"/>
                <w:szCs w:val="20"/>
                <w:lang w:val="es-ES"/>
              </w:rPr>
              <w:footnoteReference w:id="3"/>
            </w:r>
            <w:r>
              <w:rPr>
                <w:rFonts w:ascii="Cambria" w:hAnsi="Cambria"/>
                <w:bCs/>
                <w:sz w:val="20"/>
                <w:szCs w:val="20"/>
              </w:rPr>
              <w:t>, in relation to articles 1.1 (obligation to respect rights) and 2 (domestic legal effects)</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5A3B8594" w:rsidR="00F621C3" w:rsidRPr="000B6B7A" w:rsidRDefault="00416086" w:rsidP="009163FC">
            <w:pPr>
              <w:jc w:val="both"/>
              <w:rPr>
                <w:rFonts w:ascii="Cambria" w:hAnsi="Cambria"/>
                <w:bCs/>
                <w:sz w:val="20"/>
                <w:szCs w:val="20"/>
              </w:rPr>
            </w:pPr>
            <w:r>
              <w:rPr>
                <w:rFonts w:ascii="Cambria" w:hAnsi="Cambria"/>
                <w:bCs/>
                <w:sz w:val="20"/>
                <w:szCs w:val="20"/>
              </w:rPr>
              <w:t>March 22, 2013</w:t>
            </w:r>
          </w:p>
        </w:tc>
      </w:tr>
      <w:tr w:rsidR="00F621C3"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030FCD20" w:rsidR="00F621C3" w:rsidRPr="000B6B7A" w:rsidRDefault="00416086" w:rsidP="009163FC">
            <w:pPr>
              <w:jc w:val="both"/>
              <w:rPr>
                <w:rFonts w:ascii="Cambria" w:hAnsi="Cambria"/>
                <w:bCs/>
                <w:sz w:val="20"/>
                <w:szCs w:val="20"/>
              </w:rPr>
            </w:pPr>
            <w:r>
              <w:rPr>
                <w:rFonts w:ascii="Cambria" w:hAnsi="Cambria"/>
                <w:bCs/>
                <w:sz w:val="20"/>
                <w:szCs w:val="20"/>
              </w:rPr>
              <w:t xml:space="preserve">November 3, </w:t>
            </w:r>
            <w:r w:rsidR="00FA7ED2">
              <w:rPr>
                <w:rFonts w:ascii="Cambria" w:hAnsi="Cambria"/>
                <w:bCs/>
                <w:sz w:val="20"/>
                <w:szCs w:val="20"/>
              </w:rPr>
              <w:t>2015,</w:t>
            </w:r>
            <w:r>
              <w:rPr>
                <w:rFonts w:ascii="Cambria" w:hAnsi="Cambria"/>
                <w:bCs/>
                <w:sz w:val="20"/>
                <w:szCs w:val="20"/>
              </w:rPr>
              <w:t xml:space="preserve"> and May 30, 2019</w:t>
            </w:r>
          </w:p>
        </w:tc>
      </w:tr>
      <w:tr w:rsidR="00F621C3"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4478AFFE" w:rsidR="00F621C3" w:rsidRPr="000B6B7A" w:rsidRDefault="00416086" w:rsidP="009163FC">
            <w:pPr>
              <w:jc w:val="both"/>
              <w:rPr>
                <w:rFonts w:ascii="Cambria" w:hAnsi="Cambria"/>
                <w:bCs/>
                <w:sz w:val="20"/>
                <w:szCs w:val="20"/>
              </w:rPr>
            </w:pPr>
            <w:r>
              <w:rPr>
                <w:rFonts w:ascii="Cambria" w:hAnsi="Cambria"/>
                <w:bCs/>
                <w:sz w:val="20"/>
                <w:szCs w:val="20"/>
              </w:rPr>
              <w:t>June 10, 2019</w:t>
            </w:r>
          </w:p>
        </w:tc>
      </w:tr>
      <w:tr w:rsidR="00F621C3"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1F1E5CE7" w:rsidR="00F621C3" w:rsidRPr="000B6B7A" w:rsidRDefault="00416086" w:rsidP="009163FC">
            <w:pPr>
              <w:jc w:val="both"/>
              <w:rPr>
                <w:rFonts w:ascii="Cambria" w:hAnsi="Cambria"/>
                <w:bCs/>
                <w:sz w:val="20"/>
                <w:szCs w:val="20"/>
              </w:rPr>
            </w:pPr>
            <w:r>
              <w:rPr>
                <w:rFonts w:ascii="Cambria" w:hAnsi="Cambria"/>
                <w:bCs/>
                <w:sz w:val="20"/>
                <w:szCs w:val="20"/>
              </w:rPr>
              <w:t>August 30, 2019</w:t>
            </w:r>
          </w:p>
        </w:tc>
      </w:tr>
      <w:tr w:rsidR="003771A3" w:rsidRPr="000B6B7A" w14:paraId="7A8A8A3C" w14:textId="77777777" w:rsidTr="00AE31E9">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557" w:type="dxa"/>
            <w:vAlign w:val="center"/>
          </w:tcPr>
          <w:p w14:paraId="2A863ACD" w14:textId="092FE4A6" w:rsidR="003771A3" w:rsidRPr="000B6B7A" w:rsidRDefault="00416086" w:rsidP="009163FC">
            <w:pPr>
              <w:jc w:val="both"/>
              <w:rPr>
                <w:rFonts w:ascii="Cambria" w:hAnsi="Cambria"/>
                <w:bCs/>
                <w:sz w:val="20"/>
                <w:szCs w:val="20"/>
              </w:rPr>
            </w:pPr>
            <w:r>
              <w:rPr>
                <w:rFonts w:ascii="Cambria" w:hAnsi="Cambria"/>
                <w:bCs/>
                <w:sz w:val="20"/>
                <w:szCs w:val="20"/>
              </w:rPr>
              <w:t>July 22, 2020, April 21 and December 17</w:t>
            </w:r>
            <w:r w:rsidR="00FA7ED2">
              <w:rPr>
                <w:rFonts w:ascii="Cambria" w:hAnsi="Cambria"/>
                <w:bCs/>
                <w:sz w:val="20"/>
                <w:szCs w:val="20"/>
              </w:rPr>
              <w:t>, 2021,</w:t>
            </w:r>
            <w:r>
              <w:rPr>
                <w:rFonts w:ascii="Cambria" w:hAnsi="Cambria"/>
                <w:bCs/>
                <w:sz w:val="20"/>
                <w:szCs w:val="20"/>
              </w:rPr>
              <w:t xml:space="preserve"> and May 2, 2023</w:t>
            </w:r>
          </w:p>
        </w:tc>
      </w:tr>
      <w:tr w:rsidR="003771A3" w:rsidRPr="000B6B7A" w14:paraId="3D79AA57" w14:textId="77777777" w:rsidTr="00AE31E9">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557" w:type="dxa"/>
            <w:vAlign w:val="center"/>
          </w:tcPr>
          <w:p w14:paraId="27F6ADE3" w14:textId="670D62E5" w:rsidR="003771A3" w:rsidRPr="000B6B7A" w:rsidRDefault="00416086" w:rsidP="009163FC">
            <w:pPr>
              <w:jc w:val="both"/>
              <w:rPr>
                <w:rFonts w:ascii="Cambria" w:hAnsi="Cambria"/>
                <w:bCs/>
                <w:sz w:val="20"/>
                <w:szCs w:val="20"/>
              </w:rPr>
            </w:pPr>
            <w:r>
              <w:rPr>
                <w:rFonts w:ascii="Cambria" w:hAnsi="Cambria"/>
                <w:bCs/>
                <w:sz w:val="20"/>
                <w:szCs w:val="20"/>
              </w:rPr>
              <w:t xml:space="preserve">January 16 and November 15, </w:t>
            </w:r>
            <w:r w:rsidR="00FA7ED2">
              <w:rPr>
                <w:rFonts w:ascii="Cambria" w:hAnsi="Cambria"/>
                <w:bCs/>
                <w:sz w:val="20"/>
                <w:szCs w:val="20"/>
              </w:rPr>
              <w:t>2021,</w:t>
            </w:r>
            <w:r>
              <w:rPr>
                <w:rFonts w:ascii="Cambria" w:hAnsi="Cambria"/>
                <w:bCs/>
                <w:sz w:val="20"/>
                <w:szCs w:val="20"/>
              </w:rPr>
              <w:t xml:space="preserve"> and October 7, 2022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22C4758A" w:rsidR="00F621C3" w:rsidRPr="000B6B7A" w:rsidRDefault="00416086" w:rsidP="009163FC">
            <w:pPr>
              <w:rPr>
                <w:rFonts w:asciiTheme="majorHAnsi" w:hAnsiTheme="majorHAnsi"/>
                <w:bCs/>
                <w:sz w:val="20"/>
                <w:szCs w:val="20"/>
              </w:rPr>
            </w:pPr>
            <w:r>
              <w:rPr>
                <w:rFonts w:asciiTheme="majorHAnsi" w:hAnsiTheme="majorHAnsi"/>
                <w:bCs/>
                <w:sz w:val="20"/>
                <w:szCs w:val="20"/>
              </w:rPr>
              <w:t>No</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254F7909" w:rsidR="00F621C3" w:rsidRPr="000B6B7A" w:rsidRDefault="00416086" w:rsidP="009163FC">
            <w:pPr>
              <w:rPr>
                <w:rFonts w:asciiTheme="majorHAnsi" w:hAnsiTheme="majorHAnsi"/>
                <w:bCs/>
                <w:sz w:val="20"/>
                <w:szCs w:val="20"/>
              </w:rPr>
            </w:pPr>
            <w:r>
              <w:rPr>
                <w:rFonts w:asciiTheme="majorHAnsi" w:hAnsiTheme="majorHAnsi"/>
                <w:bCs/>
                <w:sz w:val="20"/>
                <w:szCs w:val="20"/>
              </w:rPr>
              <w:t>N/A</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4DE3A840" w:rsidR="00F621C3" w:rsidRPr="000B6B7A" w:rsidRDefault="00416086" w:rsidP="009163FC">
            <w:pPr>
              <w:rPr>
                <w:rFonts w:asciiTheme="majorHAnsi" w:hAnsiTheme="majorHAnsi"/>
                <w:bCs/>
                <w:sz w:val="20"/>
                <w:szCs w:val="20"/>
              </w:rPr>
            </w:pPr>
            <w:r>
              <w:rPr>
                <w:rFonts w:asciiTheme="majorHAnsi" w:hAnsiTheme="majorHAnsi"/>
                <w:bCs/>
                <w:sz w:val="20"/>
                <w:szCs w:val="20"/>
              </w:rPr>
              <w:t>N/A</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7BB15A38" w:rsidR="00F621C3" w:rsidRPr="000B6B7A" w:rsidRDefault="00416086" w:rsidP="009163FC">
            <w:pPr>
              <w:jc w:val="both"/>
              <w:rPr>
                <w:rFonts w:asciiTheme="majorHAnsi" w:hAnsiTheme="majorHAnsi"/>
                <w:bCs/>
                <w:sz w:val="20"/>
                <w:szCs w:val="20"/>
              </w:rPr>
            </w:pPr>
            <w:r>
              <w:rPr>
                <w:rFonts w:asciiTheme="majorHAnsi" w:hAnsiTheme="majorHAnsi"/>
                <w:bCs/>
                <w:sz w:val="20"/>
                <w:szCs w:val="20"/>
              </w:rPr>
              <w:t>N/A</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4"/>
        <w:gridCol w:w="5588"/>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5151578A" w:rsidR="00F621C3" w:rsidRPr="000B6B7A" w:rsidRDefault="00416086"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6A77761E" w:rsidR="00F621C3" w:rsidRPr="000B6B7A" w:rsidRDefault="00416086" w:rsidP="009163FC">
            <w:pPr>
              <w:jc w:val="both"/>
              <w:rPr>
                <w:rFonts w:ascii="Cambria" w:hAnsi="Cambria"/>
                <w:bCs/>
                <w:sz w:val="20"/>
                <w:szCs w:val="20"/>
              </w:rPr>
            </w:pPr>
            <w:r>
              <w:rPr>
                <w:rFonts w:ascii="Cambria" w:hAnsi="Cambria"/>
                <w:bCs/>
                <w:sz w:val="20"/>
                <w:szCs w:val="20"/>
              </w:rPr>
              <w:t>N/A</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2A104110" w:rsidR="00F621C3" w:rsidRPr="000B6B7A" w:rsidRDefault="00416086" w:rsidP="009163FC">
            <w:pPr>
              <w:rPr>
                <w:rFonts w:ascii="Cambria" w:hAnsi="Cambria"/>
                <w:bCs/>
                <w:sz w:val="20"/>
                <w:szCs w:val="20"/>
              </w:rPr>
            </w:pPr>
            <w:r>
              <w:rPr>
                <w:rFonts w:ascii="Cambria" w:hAnsi="Cambria"/>
                <w:bCs/>
                <w:sz w:val="20"/>
                <w:szCs w:val="20"/>
              </w:rPr>
              <w:t>N/A</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B3695DA" w:rsidR="00F621C3" w:rsidRPr="000B6B7A" w:rsidRDefault="00416086" w:rsidP="009163FC">
            <w:pPr>
              <w:rPr>
                <w:rFonts w:asciiTheme="majorHAnsi" w:hAnsiTheme="majorHAnsi"/>
                <w:bCs/>
                <w:sz w:val="20"/>
                <w:szCs w:val="20"/>
              </w:rPr>
            </w:pPr>
            <w:r>
              <w:rPr>
                <w:rFonts w:asciiTheme="majorHAnsi" w:hAnsiTheme="majorHAnsi"/>
                <w:bCs/>
                <w:sz w:val="20"/>
                <w:szCs w:val="20"/>
              </w:rPr>
              <w:t>N/A</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54172C4F" w14:textId="77777777" w:rsidR="00B06BB7" w:rsidRDefault="00B06BB7">
      <w:pPr>
        <w:rPr>
          <w:rFonts w:asciiTheme="majorHAnsi" w:hAnsiTheme="majorHAnsi"/>
          <w:b/>
          <w:sz w:val="20"/>
          <w:szCs w:val="20"/>
        </w:rPr>
      </w:pPr>
      <w:r>
        <w:rPr>
          <w:rFonts w:asciiTheme="majorHAnsi" w:hAnsiTheme="majorHAnsi"/>
          <w:b/>
          <w:sz w:val="20"/>
          <w:szCs w:val="20"/>
        </w:rPr>
        <w:br w:type="page"/>
      </w:r>
    </w:p>
    <w:p w14:paraId="629E2DE8" w14:textId="62D32F02" w:rsidR="00F621C3"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40A77F26" w14:textId="6463E228" w:rsidR="00416086" w:rsidRPr="00AB7311" w:rsidRDefault="00AB7311" w:rsidP="00F621C3">
      <w:pPr>
        <w:spacing w:before="240" w:after="240"/>
        <w:ind w:firstLine="720"/>
        <w:jc w:val="both"/>
        <w:rPr>
          <w:rFonts w:asciiTheme="majorHAnsi" w:hAnsiTheme="majorHAnsi"/>
          <w:bCs/>
          <w:i/>
          <w:iCs/>
          <w:sz w:val="20"/>
          <w:szCs w:val="20"/>
        </w:rPr>
      </w:pPr>
      <w:r w:rsidRPr="00AB7311">
        <w:rPr>
          <w:rFonts w:asciiTheme="majorHAnsi" w:hAnsiTheme="majorHAnsi"/>
          <w:bCs/>
          <w:i/>
          <w:iCs/>
          <w:sz w:val="20"/>
          <w:szCs w:val="20"/>
        </w:rPr>
        <w:t>Allegations of the p</w:t>
      </w:r>
      <w:r w:rsidR="00416086" w:rsidRPr="00AB7311">
        <w:rPr>
          <w:rFonts w:asciiTheme="majorHAnsi" w:hAnsiTheme="majorHAnsi"/>
          <w:bCs/>
          <w:i/>
          <w:iCs/>
          <w:sz w:val="20"/>
          <w:szCs w:val="20"/>
        </w:rPr>
        <w:t>etitioner party</w:t>
      </w:r>
    </w:p>
    <w:p w14:paraId="6953F7A4" w14:textId="25677F11" w:rsidR="00F621C3"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AB7311" w:rsidRPr="00AB7311">
        <w:rPr>
          <w:rFonts w:ascii="Cambria" w:hAnsi="Cambria"/>
          <w:sz w:val="20"/>
          <w:szCs w:val="20"/>
        </w:rPr>
        <w:t xml:space="preserve">The petition alleges that the Central Bank of Uruguay (hereinafter "the </w:t>
      </w:r>
      <w:r w:rsidR="00FC5EA0">
        <w:rPr>
          <w:rFonts w:ascii="Cambria" w:hAnsi="Cambria"/>
          <w:sz w:val="20"/>
          <w:szCs w:val="20"/>
        </w:rPr>
        <w:t>CBU</w:t>
      </w:r>
      <w:r w:rsidR="00AB7311" w:rsidRPr="00AB7311">
        <w:rPr>
          <w:rFonts w:ascii="Cambria" w:hAnsi="Cambria"/>
          <w:sz w:val="20"/>
          <w:szCs w:val="20"/>
        </w:rPr>
        <w:t>") issued orders against a company related to the alleged victims, subjecting it to prior censorship with respect to the dissemination of "true factual information" relevant to a competing company. It also claims that although the acts of censorship were judicially declared null and void, the State has not fully redressed the human rights violation</w:t>
      </w:r>
      <w:r w:rsidR="00EB1D78">
        <w:rPr>
          <w:rFonts w:ascii="Cambria" w:hAnsi="Cambria"/>
          <w:sz w:val="20"/>
          <w:szCs w:val="20"/>
        </w:rPr>
        <w:t xml:space="preserve"> it caused</w:t>
      </w:r>
      <w:r w:rsidR="00AB7311" w:rsidRPr="00AB7311">
        <w:rPr>
          <w:rFonts w:ascii="Cambria" w:hAnsi="Cambria"/>
          <w:sz w:val="20"/>
          <w:szCs w:val="20"/>
        </w:rPr>
        <w:t>.</w:t>
      </w:r>
    </w:p>
    <w:p w14:paraId="76D088C4" w14:textId="318B49BD" w:rsidR="00FC5EA0" w:rsidRPr="00FC5EA0" w:rsidRDefault="00FC5EA0" w:rsidP="00086FC9">
      <w:pPr>
        <w:pStyle w:val="ListParagraph"/>
        <w:numPr>
          <w:ilvl w:val="0"/>
          <w:numId w:val="103"/>
        </w:numPr>
        <w:tabs>
          <w:tab w:val="clear" w:pos="720"/>
        </w:tabs>
        <w:spacing w:before="240" w:after="240"/>
        <w:jc w:val="both"/>
        <w:rPr>
          <w:rFonts w:asciiTheme="majorHAnsi" w:hAnsiTheme="majorHAnsi"/>
          <w:sz w:val="20"/>
          <w:szCs w:val="20"/>
        </w:rPr>
      </w:pPr>
      <w:r w:rsidRPr="00FC5EA0">
        <w:rPr>
          <w:rFonts w:asciiTheme="majorHAnsi" w:hAnsiTheme="majorHAnsi"/>
          <w:sz w:val="20"/>
          <w:szCs w:val="20"/>
        </w:rPr>
        <w:t xml:space="preserve">The petitioner explains that Consorcio del Uruguay S.A. (hereinafter "the </w:t>
      </w:r>
      <w:r>
        <w:rPr>
          <w:rFonts w:asciiTheme="majorHAnsi" w:hAnsiTheme="majorHAnsi"/>
          <w:sz w:val="20"/>
          <w:szCs w:val="20"/>
        </w:rPr>
        <w:t>Consortium</w:t>
      </w:r>
      <w:r w:rsidRPr="00FC5EA0">
        <w:rPr>
          <w:rFonts w:asciiTheme="majorHAnsi" w:hAnsiTheme="majorHAnsi"/>
          <w:sz w:val="20"/>
          <w:szCs w:val="20"/>
        </w:rPr>
        <w:t>") is a legal entity that operates within the framework of the</w:t>
      </w:r>
      <w:r>
        <w:rPr>
          <w:rFonts w:asciiTheme="majorHAnsi" w:hAnsiTheme="majorHAnsi"/>
          <w:sz w:val="20"/>
          <w:szCs w:val="20"/>
        </w:rPr>
        <w:t xml:space="preserve"> </w:t>
      </w:r>
      <w:r w:rsidRPr="00FC5EA0">
        <w:rPr>
          <w:rFonts w:asciiTheme="majorHAnsi" w:hAnsiTheme="majorHAnsi"/>
          <w:sz w:val="20"/>
          <w:szCs w:val="20"/>
        </w:rPr>
        <w:t xml:space="preserve">financial system </w:t>
      </w:r>
      <w:r>
        <w:rPr>
          <w:rFonts w:asciiTheme="majorHAnsi" w:hAnsiTheme="majorHAnsi"/>
          <w:sz w:val="20"/>
          <w:szCs w:val="20"/>
        </w:rPr>
        <w:t xml:space="preserve">which is </w:t>
      </w:r>
      <w:r w:rsidRPr="00FC5EA0">
        <w:rPr>
          <w:rFonts w:asciiTheme="majorHAnsi" w:hAnsiTheme="majorHAnsi"/>
          <w:sz w:val="20"/>
          <w:szCs w:val="20"/>
        </w:rPr>
        <w:t xml:space="preserve">regulated, controlled and supervised by the </w:t>
      </w:r>
      <w:r>
        <w:rPr>
          <w:rFonts w:asciiTheme="majorHAnsi" w:hAnsiTheme="majorHAnsi"/>
          <w:sz w:val="20"/>
          <w:szCs w:val="20"/>
        </w:rPr>
        <w:t>CBU</w:t>
      </w:r>
      <w:r w:rsidRPr="00FC5EA0">
        <w:rPr>
          <w:rFonts w:asciiTheme="majorHAnsi" w:hAnsiTheme="majorHAnsi"/>
          <w:sz w:val="20"/>
          <w:szCs w:val="20"/>
        </w:rPr>
        <w:t xml:space="preserve">. It also indicates that in 2009 a new company (hereinafter "the competitor") entered the Uruguayan market for the collection of pre-savings for the acquisition of real estate. Unlike the </w:t>
      </w:r>
      <w:r>
        <w:rPr>
          <w:rFonts w:asciiTheme="majorHAnsi" w:hAnsiTheme="majorHAnsi"/>
          <w:sz w:val="20"/>
          <w:szCs w:val="20"/>
        </w:rPr>
        <w:t>Consortium</w:t>
      </w:r>
      <w:r w:rsidRPr="00FC5EA0">
        <w:rPr>
          <w:rFonts w:asciiTheme="majorHAnsi" w:hAnsiTheme="majorHAnsi"/>
          <w:sz w:val="20"/>
          <w:szCs w:val="20"/>
        </w:rPr>
        <w:t>, which was subject to regulations similar to those of banks, the competitor company was not subject to any type of control because it operated under the unregulated figure of "management trust".</w:t>
      </w:r>
    </w:p>
    <w:p w14:paraId="26EEEED7" w14:textId="6025F16D" w:rsidR="00FC5EA0" w:rsidRPr="00FC5EA0" w:rsidRDefault="00FC5EA0"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FC5EA0">
        <w:rPr>
          <w:rFonts w:asciiTheme="majorHAnsi" w:hAnsiTheme="majorHAnsi"/>
          <w:sz w:val="20"/>
          <w:szCs w:val="20"/>
        </w:rPr>
        <w:t xml:space="preserve">According to the petition, the competing company had engaged in an intensive advertising campaign of a misleading nature. Among other things, the competitor's website indicated that its participation certificates were "investor grade", when they were not. Thus, when the competing company's certificates were finally rated at the Consortium's insistence before the </w:t>
      </w:r>
      <w:r>
        <w:rPr>
          <w:rFonts w:asciiTheme="majorHAnsi" w:hAnsiTheme="majorHAnsi"/>
          <w:sz w:val="20"/>
          <w:szCs w:val="20"/>
        </w:rPr>
        <w:t>CB</w:t>
      </w:r>
      <w:r w:rsidRPr="00FC5EA0">
        <w:rPr>
          <w:rFonts w:asciiTheme="majorHAnsi" w:hAnsiTheme="majorHAnsi"/>
          <w:sz w:val="20"/>
          <w:szCs w:val="20"/>
        </w:rPr>
        <w:t>U authorities, the private rating agency CARE rated them as "medium speculative, medium risk". The petition alleges that the competing company concealed from the public the rating they had received from CARE, depriving the holders of their certificates and potential investors of important information about the degree of risk they would face. It also points out that the competitor's offering was directed to families and small savers and not to professional or institutional investors.</w:t>
      </w:r>
    </w:p>
    <w:p w14:paraId="18F8CB68" w14:textId="55A3BD0A" w:rsidR="00FC5EA0" w:rsidRPr="00FC5EA0" w:rsidRDefault="00FC5EA0"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FC5EA0">
        <w:rPr>
          <w:rFonts w:asciiTheme="majorHAnsi" w:hAnsiTheme="majorHAnsi"/>
          <w:sz w:val="20"/>
          <w:szCs w:val="20"/>
        </w:rPr>
        <w:t xml:space="preserve">According to the </w:t>
      </w:r>
      <w:r>
        <w:rPr>
          <w:rFonts w:asciiTheme="majorHAnsi" w:hAnsiTheme="majorHAnsi"/>
          <w:sz w:val="20"/>
          <w:szCs w:val="20"/>
        </w:rPr>
        <w:t>information provided</w:t>
      </w:r>
      <w:r w:rsidRPr="00FC5EA0">
        <w:rPr>
          <w:rFonts w:asciiTheme="majorHAnsi" w:hAnsiTheme="majorHAnsi"/>
          <w:sz w:val="20"/>
          <w:szCs w:val="20"/>
        </w:rPr>
        <w:t xml:space="preserve">, on June 5 and 14, 2012, the Consortium filed two complaints before the </w:t>
      </w:r>
      <w:r>
        <w:rPr>
          <w:rFonts w:asciiTheme="majorHAnsi" w:hAnsiTheme="majorHAnsi"/>
          <w:sz w:val="20"/>
          <w:szCs w:val="20"/>
        </w:rPr>
        <w:t>CB</w:t>
      </w:r>
      <w:r w:rsidRPr="00FC5EA0">
        <w:rPr>
          <w:rFonts w:asciiTheme="majorHAnsi" w:hAnsiTheme="majorHAnsi"/>
          <w:sz w:val="20"/>
          <w:szCs w:val="20"/>
        </w:rPr>
        <w:t xml:space="preserve">U so that the latter would take action to stop the misleading advertising of the competitor company. It explains that such complaints were rejected in the first instance by the legal advisors of the </w:t>
      </w:r>
      <w:r>
        <w:rPr>
          <w:rFonts w:asciiTheme="majorHAnsi" w:hAnsiTheme="majorHAnsi"/>
          <w:sz w:val="20"/>
          <w:szCs w:val="20"/>
        </w:rPr>
        <w:t>CB</w:t>
      </w:r>
      <w:r w:rsidRPr="00FC5EA0">
        <w:rPr>
          <w:rFonts w:asciiTheme="majorHAnsi" w:hAnsiTheme="majorHAnsi"/>
          <w:sz w:val="20"/>
          <w:szCs w:val="20"/>
        </w:rPr>
        <w:t xml:space="preserve">U and the Superintendency of Financial Services. It argues that in such context of inaction by the </w:t>
      </w:r>
      <w:r>
        <w:rPr>
          <w:rFonts w:asciiTheme="majorHAnsi" w:hAnsiTheme="majorHAnsi"/>
          <w:sz w:val="20"/>
          <w:szCs w:val="20"/>
        </w:rPr>
        <w:t>CB</w:t>
      </w:r>
      <w:r w:rsidRPr="00FC5EA0">
        <w:rPr>
          <w:rFonts w:asciiTheme="majorHAnsi" w:hAnsiTheme="majorHAnsi"/>
          <w:sz w:val="20"/>
          <w:szCs w:val="20"/>
        </w:rPr>
        <w:t>U, and because the misleading advertising persisted, the Consor</w:t>
      </w:r>
      <w:r>
        <w:rPr>
          <w:rFonts w:asciiTheme="majorHAnsi" w:hAnsiTheme="majorHAnsi"/>
          <w:sz w:val="20"/>
          <w:szCs w:val="20"/>
        </w:rPr>
        <w:t>tium</w:t>
      </w:r>
      <w:r w:rsidRPr="00FC5EA0">
        <w:rPr>
          <w:rFonts w:asciiTheme="majorHAnsi" w:hAnsiTheme="majorHAnsi"/>
          <w:sz w:val="20"/>
          <w:szCs w:val="20"/>
        </w:rPr>
        <w:t xml:space="preserve"> decided to publish in the media between June 18 and July 5,</w:t>
      </w:r>
      <w:r w:rsidR="00F67E2D">
        <w:rPr>
          <w:rFonts w:asciiTheme="majorHAnsi" w:hAnsiTheme="majorHAnsi"/>
          <w:sz w:val="20"/>
          <w:szCs w:val="20"/>
        </w:rPr>
        <w:t xml:space="preserve"> </w:t>
      </w:r>
      <w:r w:rsidR="00FA7ED2" w:rsidRPr="00FC5EA0">
        <w:rPr>
          <w:rFonts w:asciiTheme="majorHAnsi" w:hAnsiTheme="majorHAnsi"/>
          <w:sz w:val="20"/>
          <w:szCs w:val="20"/>
        </w:rPr>
        <w:t>2012,</w:t>
      </w:r>
      <w:r w:rsidRPr="00FC5EA0">
        <w:rPr>
          <w:rFonts w:asciiTheme="majorHAnsi" w:hAnsiTheme="majorHAnsi"/>
          <w:sz w:val="20"/>
          <w:szCs w:val="20"/>
        </w:rPr>
        <w:t xml:space="preserve"> four </w:t>
      </w:r>
      <w:r w:rsidR="00353589">
        <w:rPr>
          <w:rFonts w:asciiTheme="majorHAnsi" w:hAnsiTheme="majorHAnsi"/>
          <w:sz w:val="20"/>
          <w:szCs w:val="20"/>
        </w:rPr>
        <w:t>notices</w:t>
      </w:r>
      <w:r w:rsidRPr="00FC5EA0">
        <w:rPr>
          <w:rFonts w:asciiTheme="majorHAnsi" w:hAnsiTheme="majorHAnsi"/>
          <w:sz w:val="20"/>
          <w:szCs w:val="20"/>
        </w:rPr>
        <w:t xml:space="preserve"> informing the public about the omissions of the competing company and the risk rating it had received. The competitor also published media releases responding to the Consortium's </w:t>
      </w:r>
      <w:r w:rsidR="00353589">
        <w:rPr>
          <w:rFonts w:asciiTheme="majorHAnsi" w:hAnsiTheme="majorHAnsi"/>
          <w:sz w:val="20"/>
          <w:szCs w:val="20"/>
        </w:rPr>
        <w:t>notices</w:t>
      </w:r>
      <w:r w:rsidRPr="00FC5EA0">
        <w:rPr>
          <w:rFonts w:asciiTheme="majorHAnsi" w:hAnsiTheme="majorHAnsi"/>
          <w:sz w:val="20"/>
          <w:szCs w:val="20"/>
        </w:rPr>
        <w:t>. Following these events, on July 7, 2012, the BCU issued an administrative act in which it ordered the following.</w:t>
      </w:r>
    </w:p>
    <w:p w14:paraId="3A1A1E11" w14:textId="70100E35" w:rsidR="00FC5EA0" w:rsidRPr="00FC5EA0" w:rsidRDefault="00FC5EA0" w:rsidP="00086FC9">
      <w:pPr>
        <w:pStyle w:val="ListParagraph"/>
        <w:spacing w:before="240" w:after="240"/>
        <w:ind w:right="720"/>
        <w:jc w:val="both"/>
        <w:rPr>
          <w:rFonts w:asciiTheme="majorHAnsi" w:hAnsiTheme="majorHAnsi"/>
          <w:sz w:val="20"/>
          <w:szCs w:val="20"/>
        </w:rPr>
      </w:pPr>
      <w:r w:rsidRPr="00FC5EA0">
        <w:rPr>
          <w:rFonts w:asciiTheme="majorHAnsi" w:hAnsiTheme="majorHAnsi"/>
          <w:sz w:val="20"/>
          <w:szCs w:val="20"/>
        </w:rPr>
        <w:t xml:space="preserve">To instruct Consorcio del Uruguay S.A. to absolutely refrain from making public communications in any media - press, radio, television, </w:t>
      </w:r>
      <w:r w:rsidR="00FA7ED2" w:rsidRPr="00FC5EA0">
        <w:rPr>
          <w:rFonts w:asciiTheme="majorHAnsi" w:hAnsiTheme="majorHAnsi"/>
          <w:sz w:val="20"/>
          <w:szCs w:val="20"/>
        </w:rPr>
        <w:t>internet,</w:t>
      </w:r>
      <w:r w:rsidRPr="00FC5EA0">
        <w:rPr>
          <w:rFonts w:asciiTheme="majorHAnsi" w:hAnsiTheme="majorHAnsi"/>
          <w:sz w:val="20"/>
          <w:szCs w:val="20"/>
        </w:rPr>
        <w:t xml:space="preserve"> and any other media - in which reference is made directly or indirectly to [</w:t>
      </w:r>
      <w:r w:rsidRPr="00FC5EA0">
        <w:rPr>
          <w:rFonts w:asciiTheme="majorHAnsi" w:hAnsiTheme="majorHAnsi"/>
          <w:i/>
          <w:iCs/>
          <w:sz w:val="20"/>
          <w:szCs w:val="20"/>
        </w:rPr>
        <w:t>the competing company, the characteristics of the Trust managed by it</w:t>
      </w:r>
      <w:r w:rsidRPr="00FC5EA0">
        <w:rPr>
          <w:rFonts w:asciiTheme="majorHAnsi" w:hAnsiTheme="majorHAnsi"/>
          <w:sz w:val="20"/>
          <w:szCs w:val="20"/>
        </w:rPr>
        <w:t>] and the participation certificates and debt securities issued by said trust. This instruction includes the prohibition of quoting or paraphrasing the constituent documents of said business and the opinions expressed by third parties on said financial instruments and the business to which they refer.</w:t>
      </w:r>
    </w:p>
    <w:p w14:paraId="61F70645" w14:textId="5AE4728C" w:rsidR="00FC5EA0" w:rsidRPr="00FC5EA0" w:rsidRDefault="00FC5EA0"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FC5EA0">
        <w:rPr>
          <w:rFonts w:asciiTheme="majorHAnsi" w:hAnsiTheme="majorHAnsi"/>
          <w:sz w:val="20"/>
          <w:szCs w:val="20"/>
        </w:rPr>
        <w:t xml:space="preserve">The petition explains that five days after the issuance of such act, the Consortium informed the CBU that a Federal Court of Argentina had declared that the activity of the competing company in that country was being carried out in an irregular manner and had </w:t>
      </w:r>
      <w:r>
        <w:rPr>
          <w:rFonts w:asciiTheme="majorHAnsi" w:hAnsiTheme="majorHAnsi"/>
          <w:sz w:val="20"/>
          <w:szCs w:val="20"/>
        </w:rPr>
        <w:t>demanded</w:t>
      </w:r>
      <w:r w:rsidRPr="00FC5EA0">
        <w:rPr>
          <w:rFonts w:asciiTheme="majorHAnsi" w:hAnsiTheme="majorHAnsi"/>
          <w:sz w:val="20"/>
          <w:szCs w:val="20"/>
        </w:rPr>
        <w:t xml:space="preserve"> it to cease the solicitation of new contracts. The Consortium also asked the </w:t>
      </w:r>
      <w:r>
        <w:rPr>
          <w:rFonts w:asciiTheme="majorHAnsi" w:hAnsiTheme="majorHAnsi"/>
          <w:sz w:val="20"/>
          <w:szCs w:val="20"/>
        </w:rPr>
        <w:t>CB</w:t>
      </w:r>
      <w:r w:rsidRPr="00FC5EA0">
        <w:rPr>
          <w:rFonts w:asciiTheme="majorHAnsi" w:hAnsiTheme="majorHAnsi"/>
          <w:sz w:val="20"/>
          <w:szCs w:val="20"/>
        </w:rPr>
        <w:t xml:space="preserve">U whether the order it had been given included a prohibition to publicize the Argentine court's ruling, to which the </w:t>
      </w:r>
      <w:r>
        <w:rPr>
          <w:rFonts w:asciiTheme="majorHAnsi" w:hAnsiTheme="majorHAnsi"/>
          <w:sz w:val="20"/>
          <w:szCs w:val="20"/>
        </w:rPr>
        <w:t>CB</w:t>
      </w:r>
      <w:r w:rsidRPr="00FC5EA0">
        <w:rPr>
          <w:rFonts w:asciiTheme="majorHAnsi" w:hAnsiTheme="majorHAnsi"/>
          <w:sz w:val="20"/>
          <w:szCs w:val="20"/>
        </w:rPr>
        <w:t>U issued a second administrative act on July 20, 2012, in which it stated:</w:t>
      </w:r>
    </w:p>
    <w:p w14:paraId="43101478" w14:textId="5485EC30" w:rsidR="00FC5EA0" w:rsidRPr="00FC5EA0" w:rsidRDefault="00FC5EA0" w:rsidP="00086FC9">
      <w:pPr>
        <w:pStyle w:val="ListParagraph"/>
        <w:spacing w:before="240" w:after="240"/>
        <w:ind w:right="720"/>
        <w:jc w:val="both"/>
        <w:rPr>
          <w:rFonts w:asciiTheme="majorHAnsi" w:hAnsiTheme="majorHAnsi"/>
          <w:sz w:val="20"/>
          <w:szCs w:val="20"/>
        </w:rPr>
      </w:pPr>
      <w:r w:rsidRPr="00FC5EA0">
        <w:rPr>
          <w:rFonts w:asciiTheme="majorHAnsi" w:hAnsiTheme="majorHAnsi"/>
          <w:sz w:val="20"/>
          <w:szCs w:val="20"/>
        </w:rPr>
        <w:t xml:space="preserve">In this regard, we confirm that such instruction also includes the absolute prohibition of making public communications in any media -press, radio, television, </w:t>
      </w:r>
      <w:r w:rsidR="00FA7ED2" w:rsidRPr="00FC5EA0">
        <w:rPr>
          <w:rFonts w:asciiTheme="majorHAnsi" w:hAnsiTheme="majorHAnsi"/>
          <w:sz w:val="20"/>
          <w:szCs w:val="20"/>
        </w:rPr>
        <w:t>Internet,</w:t>
      </w:r>
      <w:r w:rsidRPr="00FC5EA0">
        <w:rPr>
          <w:rFonts w:asciiTheme="majorHAnsi" w:hAnsiTheme="majorHAnsi"/>
          <w:sz w:val="20"/>
          <w:szCs w:val="20"/>
        </w:rPr>
        <w:t xml:space="preserve"> and any other media- in which reference is made to the shareholders of [</w:t>
      </w:r>
      <w:r w:rsidRPr="00FC5EA0">
        <w:rPr>
          <w:rFonts w:asciiTheme="majorHAnsi" w:hAnsiTheme="majorHAnsi"/>
          <w:i/>
          <w:iCs/>
          <w:sz w:val="20"/>
          <w:szCs w:val="20"/>
        </w:rPr>
        <w:t>the competing company</w:t>
      </w:r>
      <w:r w:rsidRPr="00FC5EA0">
        <w:rPr>
          <w:rFonts w:asciiTheme="majorHAnsi" w:hAnsiTheme="majorHAnsi"/>
          <w:sz w:val="20"/>
          <w:szCs w:val="20"/>
        </w:rPr>
        <w:t xml:space="preserve">], the </w:t>
      </w:r>
      <w:r w:rsidRPr="00FC5EA0">
        <w:rPr>
          <w:rFonts w:asciiTheme="majorHAnsi" w:hAnsiTheme="majorHAnsi"/>
          <w:sz w:val="20"/>
          <w:szCs w:val="20"/>
        </w:rPr>
        <w:lastRenderedPageBreak/>
        <w:t>companies related to the latter, the shareholders of such related companies and the business carried out by such companies.</w:t>
      </w:r>
    </w:p>
    <w:p w14:paraId="2C047A01" w14:textId="6008E6D5" w:rsidR="00FC5EA0" w:rsidRPr="00FC5EA0" w:rsidRDefault="00FC5EA0"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FC5EA0">
        <w:rPr>
          <w:rFonts w:asciiTheme="majorHAnsi" w:hAnsiTheme="majorHAnsi"/>
          <w:sz w:val="20"/>
          <w:szCs w:val="20"/>
        </w:rPr>
        <w:t xml:space="preserve">The petitioner considers that the administrative actions taken by the CBU against the Consortium constituted a form of </w:t>
      </w:r>
      <w:r>
        <w:rPr>
          <w:rFonts w:asciiTheme="majorHAnsi" w:hAnsiTheme="majorHAnsi"/>
          <w:sz w:val="20"/>
          <w:szCs w:val="20"/>
        </w:rPr>
        <w:t>“</w:t>
      </w:r>
      <w:r w:rsidRPr="00FC5EA0">
        <w:rPr>
          <w:rFonts w:asciiTheme="majorHAnsi" w:hAnsiTheme="majorHAnsi"/>
          <w:sz w:val="20"/>
          <w:szCs w:val="20"/>
        </w:rPr>
        <w:t>prior censorship</w:t>
      </w:r>
      <w:r>
        <w:rPr>
          <w:rFonts w:asciiTheme="majorHAnsi" w:hAnsiTheme="majorHAnsi"/>
          <w:sz w:val="20"/>
          <w:szCs w:val="20"/>
        </w:rPr>
        <w:t>”</w:t>
      </w:r>
      <w:r w:rsidRPr="00FC5EA0">
        <w:rPr>
          <w:rFonts w:asciiTheme="majorHAnsi" w:hAnsiTheme="majorHAnsi"/>
          <w:sz w:val="20"/>
          <w:szCs w:val="20"/>
        </w:rPr>
        <w:t xml:space="preserve"> incompatible with the American Convention. It further explains that the </w:t>
      </w:r>
      <w:r>
        <w:rPr>
          <w:rFonts w:asciiTheme="majorHAnsi" w:hAnsiTheme="majorHAnsi"/>
          <w:sz w:val="20"/>
          <w:szCs w:val="20"/>
        </w:rPr>
        <w:t>CB</w:t>
      </w:r>
      <w:r w:rsidRPr="00FC5EA0">
        <w:rPr>
          <w:rFonts w:asciiTheme="majorHAnsi" w:hAnsiTheme="majorHAnsi"/>
          <w:sz w:val="20"/>
          <w:szCs w:val="20"/>
        </w:rPr>
        <w:t>U justified the measures taken against the Consortium on the grounds that its publications about the competing company encouraged uncertainty and distrust and undermined the stability and functioning of the Uruguayan financial system. However, in the petitioner's opinion, the stability of the financial system is not a legal right superior to freedom of expression that can be invoked to justify acts of censorship.</w:t>
      </w:r>
    </w:p>
    <w:p w14:paraId="0D041ACB" w14:textId="1F21133F" w:rsidR="00461E46" w:rsidRPr="00461E46" w:rsidRDefault="00461E46"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461E46">
        <w:rPr>
          <w:rFonts w:asciiTheme="majorHAnsi" w:hAnsiTheme="majorHAnsi"/>
          <w:sz w:val="20"/>
          <w:szCs w:val="20"/>
        </w:rPr>
        <w:t xml:space="preserve">The petitioner also argues that the publications that motivated the censorship were limited to disseminating </w:t>
      </w:r>
      <w:r>
        <w:rPr>
          <w:rFonts w:asciiTheme="majorHAnsi" w:hAnsiTheme="majorHAnsi"/>
          <w:sz w:val="20"/>
          <w:szCs w:val="20"/>
        </w:rPr>
        <w:t>“</w:t>
      </w:r>
      <w:r w:rsidRPr="00461E46">
        <w:rPr>
          <w:rFonts w:asciiTheme="majorHAnsi" w:hAnsiTheme="majorHAnsi"/>
          <w:sz w:val="20"/>
          <w:szCs w:val="20"/>
        </w:rPr>
        <w:t>true</w:t>
      </w:r>
      <w:r>
        <w:rPr>
          <w:rFonts w:asciiTheme="majorHAnsi" w:hAnsiTheme="majorHAnsi"/>
          <w:sz w:val="20"/>
          <w:szCs w:val="20"/>
        </w:rPr>
        <w:t>”</w:t>
      </w:r>
      <w:r w:rsidRPr="00461E46">
        <w:rPr>
          <w:rFonts w:asciiTheme="majorHAnsi" w:hAnsiTheme="majorHAnsi"/>
          <w:sz w:val="20"/>
          <w:szCs w:val="20"/>
        </w:rPr>
        <w:t xml:space="preserve"> information in a descriptive form without added </w:t>
      </w:r>
      <w:r>
        <w:rPr>
          <w:rFonts w:asciiTheme="majorHAnsi" w:hAnsiTheme="majorHAnsi"/>
          <w:sz w:val="20"/>
          <w:szCs w:val="20"/>
        </w:rPr>
        <w:t>value judgments</w:t>
      </w:r>
      <w:r w:rsidRPr="00461E46">
        <w:rPr>
          <w:rFonts w:asciiTheme="majorHAnsi" w:hAnsiTheme="majorHAnsi"/>
          <w:sz w:val="20"/>
          <w:szCs w:val="20"/>
        </w:rPr>
        <w:t xml:space="preserve">; therefore, far from generating uncertainty or distrust, what they did was to provide more elements that investors could evaluate in order to make a decision. </w:t>
      </w:r>
      <w:r>
        <w:rPr>
          <w:rFonts w:asciiTheme="majorHAnsi" w:hAnsiTheme="majorHAnsi"/>
          <w:sz w:val="20"/>
          <w:szCs w:val="20"/>
        </w:rPr>
        <w:t>It</w:t>
      </w:r>
      <w:r w:rsidRPr="00461E46">
        <w:rPr>
          <w:rFonts w:asciiTheme="majorHAnsi" w:hAnsiTheme="majorHAnsi"/>
          <w:sz w:val="20"/>
          <w:szCs w:val="20"/>
        </w:rPr>
        <w:t xml:space="preserve"> considers that, on the contrary, what threatened the stability of the financial system was the misleading advertising that the competitor had been carrying out; speculating that the real motivation of the act of censorship was to prevent the errors committed by the </w:t>
      </w:r>
      <w:r>
        <w:rPr>
          <w:rFonts w:asciiTheme="majorHAnsi" w:hAnsiTheme="majorHAnsi"/>
          <w:sz w:val="20"/>
          <w:szCs w:val="20"/>
        </w:rPr>
        <w:t>CB</w:t>
      </w:r>
      <w:r w:rsidRPr="00461E46">
        <w:rPr>
          <w:rFonts w:asciiTheme="majorHAnsi" w:hAnsiTheme="majorHAnsi"/>
          <w:sz w:val="20"/>
          <w:szCs w:val="20"/>
        </w:rPr>
        <w:t>U in tolerating such misleading advertising from coming to light.</w:t>
      </w:r>
    </w:p>
    <w:p w14:paraId="48D80E47" w14:textId="508CDC01" w:rsidR="00461E46" w:rsidRPr="00461E46" w:rsidRDefault="00461E46"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461E46">
        <w:rPr>
          <w:rFonts w:asciiTheme="majorHAnsi" w:hAnsiTheme="majorHAnsi"/>
          <w:sz w:val="20"/>
          <w:szCs w:val="20"/>
        </w:rPr>
        <w:t xml:space="preserve">To the above, it adds that the </w:t>
      </w:r>
      <w:r>
        <w:rPr>
          <w:rFonts w:asciiTheme="majorHAnsi" w:hAnsiTheme="majorHAnsi"/>
          <w:sz w:val="20"/>
          <w:szCs w:val="20"/>
        </w:rPr>
        <w:t>CB</w:t>
      </w:r>
      <w:r w:rsidRPr="00461E46">
        <w:rPr>
          <w:rFonts w:asciiTheme="majorHAnsi" w:hAnsiTheme="majorHAnsi"/>
          <w:sz w:val="20"/>
          <w:szCs w:val="20"/>
        </w:rPr>
        <w:t>U justified the prohibition to disseminate the judgment against the competitor in Argentina with the argument that such judgment lacked relevance for the Uruguayan market. The petition questions the logic of prohibiting in a democracy the publication of a true fact based on an alleged lack of relevance; adding that, in any case, it was clearly relevant for investors in Uruguay to know that a financial company had been suspended in its country of origin for acting outside the law.</w:t>
      </w:r>
    </w:p>
    <w:p w14:paraId="40FA1439" w14:textId="4F823AFF" w:rsidR="00461E46" w:rsidRPr="00461E46" w:rsidRDefault="00461E46"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461E46">
        <w:rPr>
          <w:rFonts w:asciiTheme="majorHAnsi" w:hAnsiTheme="majorHAnsi"/>
          <w:sz w:val="20"/>
          <w:szCs w:val="20"/>
        </w:rPr>
        <w:t>In the petitioner's opinion, restrictions on freedom of expression such as those imposed in the acts issued by the BCU required a regulation issued by law governing advertising aimed at promoting financial products</w:t>
      </w:r>
      <w:r w:rsidR="00BA7988">
        <w:rPr>
          <w:rFonts w:asciiTheme="majorHAnsi" w:hAnsiTheme="majorHAnsi"/>
          <w:sz w:val="20"/>
          <w:szCs w:val="20"/>
        </w:rPr>
        <w:t>.</w:t>
      </w:r>
      <w:r w:rsidRPr="00E06DDF">
        <w:rPr>
          <w:rStyle w:val="FootnoteReference"/>
          <w:rFonts w:asciiTheme="majorHAnsi" w:hAnsiTheme="majorHAnsi"/>
          <w:sz w:val="20"/>
          <w:szCs w:val="20"/>
          <w:lang w:val="es-ES_tradnl"/>
        </w:rPr>
        <w:footnoteReference w:id="5"/>
      </w:r>
      <w:r w:rsidRPr="00461E46">
        <w:rPr>
          <w:rFonts w:asciiTheme="majorHAnsi" w:hAnsiTheme="majorHAnsi"/>
          <w:sz w:val="20"/>
          <w:szCs w:val="20"/>
        </w:rPr>
        <w:t xml:space="preserve"> In this sense, it emphasizes that the legal opinion issued by the </w:t>
      </w:r>
      <w:r>
        <w:rPr>
          <w:rFonts w:asciiTheme="majorHAnsi" w:hAnsiTheme="majorHAnsi"/>
          <w:sz w:val="20"/>
          <w:szCs w:val="20"/>
        </w:rPr>
        <w:t>CB</w:t>
      </w:r>
      <w:r w:rsidRPr="00461E46">
        <w:rPr>
          <w:rFonts w:asciiTheme="majorHAnsi" w:hAnsiTheme="majorHAnsi"/>
          <w:sz w:val="20"/>
          <w:szCs w:val="20"/>
        </w:rPr>
        <w:t xml:space="preserve">U, which preceded the first of the acts denounced as censorship, acknowledged the </w:t>
      </w:r>
      <w:r>
        <w:rPr>
          <w:rFonts w:asciiTheme="majorHAnsi" w:hAnsiTheme="majorHAnsi"/>
          <w:sz w:val="20"/>
          <w:szCs w:val="20"/>
        </w:rPr>
        <w:t>lack</w:t>
      </w:r>
      <w:r w:rsidRPr="00461E46">
        <w:rPr>
          <w:rFonts w:asciiTheme="majorHAnsi" w:hAnsiTheme="majorHAnsi"/>
          <w:sz w:val="20"/>
          <w:szCs w:val="20"/>
        </w:rPr>
        <w:t xml:space="preserve"> of regulations on the matter by referring to the </w:t>
      </w:r>
      <w:r>
        <w:rPr>
          <w:rFonts w:asciiTheme="majorHAnsi" w:hAnsiTheme="majorHAnsi"/>
          <w:sz w:val="20"/>
          <w:szCs w:val="20"/>
        </w:rPr>
        <w:t>“</w:t>
      </w:r>
      <w:r w:rsidRPr="00461E46">
        <w:rPr>
          <w:rFonts w:asciiTheme="majorHAnsi" w:hAnsiTheme="majorHAnsi"/>
          <w:sz w:val="20"/>
          <w:szCs w:val="20"/>
        </w:rPr>
        <w:t xml:space="preserve">future possibility of issuing regulatory norms to channel conduct in this </w:t>
      </w:r>
      <w:r w:rsidR="00353589">
        <w:rPr>
          <w:rFonts w:asciiTheme="majorHAnsi" w:hAnsiTheme="majorHAnsi"/>
          <w:sz w:val="20"/>
          <w:szCs w:val="20"/>
        </w:rPr>
        <w:t>area</w:t>
      </w:r>
      <w:r>
        <w:rPr>
          <w:rFonts w:asciiTheme="majorHAnsi" w:hAnsiTheme="majorHAnsi"/>
          <w:sz w:val="20"/>
          <w:szCs w:val="20"/>
        </w:rPr>
        <w:t>”</w:t>
      </w:r>
      <w:r w:rsidRPr="00461E46">
        <w:rPr>
          <w:rFonts w:asciiTheme="majorHAnsi" w:hAnsiTheme="majorHAnsi"/>
          <w:sz w:val="20"/>
          <w:szCs w:val="20"/>
        </w:rPr>
        <w:t xml:space="preserve">. The petition explains that, after the aforementioned opinion, but before the resolutions against the Consortium, the </w:t>
      </w:r>
      <w:r>
        <w:rPr>
          <w:rFonts w:asciiTheme="majorHAnsi" w:hAnsiTheme="majorHAnsi"/>
          <w:sz w:val="20"/>
          <w:szCs w:val="20"/>
        </w:rPr>
        <w:t>CB</w:t>
      </w:r>
      <w:r w:rsidRPr="00461E46">
        <w:rPr>
          <w:rFonts w:asciiTheme="majorHAnsi" w:hAnsiTheme="majorHAnsi"/>
          <w:sz w:val="20"/>
          <w:szCs w:val="20"/>
        </w:rPr>
        <w:t xml:space="preserve">U issued a </w:t>
      </w:r>
      <w:r>
        <w:rPr>
          <w:rFonts w:asciiTheme="majorHAnsi" w:hAnsiTheme="majorHAnsi"/>
          <w:sz w:val="20"/>
          <w:szCs w:val="20"/>
        </w:rPr>
        <w:t>note</w:t>
      </w:r>
      <w:r w:rsidRPr="00461E46">
        <w:rPr>
          <w:rFonts w:asciiTheme="majorHAnsi" w:hAnsiTheme="majorHAnsi"/>
          <w:sz w:val="20"/>
          <w:szCs w:val="20"/>
        </w:rPr>
        <w:t xml:space="preserve"> to regulate financial advertising in which it established the possibility of advertising risk ratings by complying with certain requirements. In spite of this, the measures against the Consortium were issued without indicating that the publications made by the Consortium had violated the limits established by that </w:t>
      </w:r>
      <w:r>
        <w:rPr>
          <w:rFonts w:asciiTheme="majorHAnsi" w:hAnsiTheme="majorHAnsi"/>
          <w:sz w:val="20"/>
          <w:szCs w:val="20"/>
        </w:rPr>
        <w:t>note</w:t>
      </w:r>
      <w:r w:rsidRPr="00461E46">
        <w:rPr>
          <w:rFonts w:asciiTheme="majorHAnsi" w:hAnsiTheme="majorHAnsi"/>
          <w:sz w:val="20"/>
          <w:szCs w:val="20"/>
        </w:rPr>
        <w:t>.</w:t>
      </w:r>
    </w:p>
    <w:p w14:paraId="5271A57C" w14:textId="57604EE6" w:rsidR="00461E46" w:rsidRPr="00461E46" w:rsidRDefault="00461E46"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461E46">
        <w:rPr>
          <w:rFonts w:asciiTheme="majorHAnsi" w:hAnsiTheme="majorHAnsi"/>
          <w:sz w:val="20"/>
          <w:szCs w:val="20"/>
        </w:rPr>
        <w:t xml:space="preserve">The petitioner considers that the orders issued by the </w:t>
      </w:r>
      <w:r>
        <w:rPr>
          <w:rFonts w:asciiTheme="majorHAnsi" w:hAnsiTheme="majorHAnsi"/>
          <w:sz w:val="20"/>
          <w:szCs w:val="20"/>
        </w:rPr>
        <w:t>CB</w:t>
      </w:r>
      <w:r w:rsidRPr="00461E46">
        <w:rPr>
          <w:rFonts w:asciiTheme="majorHAnsi" w:hAnsiTheme="majorHAnsi"/>
          <w:sz w:val="20"/>
          <w:szCs w:val="20"/>
        </w:rPr>
        <w:t>U were particularly drastic for radically suppressing any message related to the competing company, in any media and regardless of its content or context. This, despite the fact that the Consortium could have been subject</w:t>
      </w:r>
      <w:r w:rsidR="00CF3A30">
        <w:rPr>
          <w:rFonts w:asciiTheme="majorHAnsi" w:hAnsiTheme="majorHAnsi"/>
          <w:sz w:val="20"/>
          <w:szCs w:val="20"/>
        </w:rPr>
        <w:t>ed</w:t>
      </w:r>
      <w:r w:rsidRPr="00461E46">
        <w:rPr>
          <w:rFonts w:asciiTheme="majorHAnsi" w:hAnsiTheme="majorHAnsi"/>
          <w:sz w:val="20"/>
          <w:szCs w:val="20"/>
        </w:rPr>
        <w:t xml:space="preserve"> to subsequent sanctions if it had violated the duty of truthfulness; and any dispute for damages caused by the Consortium's publications could have been left to be resolved between the particular companies involved.</w:t>
      </w:r>
    </w:p>
    <w:p w14:paraId="65A30B64" w14:textId="3B8C132E" w:rsidR="00461E46" w:rsidRPr="00461E46" w:rsidRDefault="00461E46"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461E46">
        <w:rPr>
          <w:rFonts w:asciiTheme="majorHAnsi" w:hAnsiTheme="majorHAnsi"/>
          <w:sz w:val="20"/>
          <w:szCs w:val="20"/>
        </w:rPr>
        <w:t xml:space="preserve">The petitioner also argues that although the orders of the </w:t>
      </w:r>
      <w:r>
        <w:rPr>
          <w:rFonts w:asciiTheme="majorHAnsi" w:hAnsiTheme="majorHAnsi"/>
          <w:sz w:val="20"/>
          <w:szCs w:val="20"/>
        </w:rPr>
        <w:t>CB</w:t>
      </w:r>
      <w:r w:rsidRPr="00461E46">
        <w:rPr>
          <w:rFonts w:asciiTheme="majorHAnsi" w:hAnsiTheme="majorHAnsi"/>
          <w:sz w:val="20"/>
          <w:szCs w:val="20"/>
        </w:rPr>
        <w:t xml:space="preserve">U were directed against the Consortium, they affected the rights of the three individuals listed as alleged victims in the petition. In this regard, it indicates </w:t>
      </w:r>
      <w:r>
        <w:rPr>
          <w:rFonts w:asciiTheme="majorHAnsi" w:hAnsiTheme="majorHAnsi"/>
          <w:sz w:val="20"/>
          <w:szCs w:val="20"/>
        </w:rPr>
        <w:t>“</w:t>
      </w:r>
      <w:r w:rsidRPr="00461E46">
        <w:rPr>
          <w:rFonts w:asciiTheme="majorHAnsi" w:hAnsiTheme="majorHAnsi"/>
          <w:i/>
          <w:iCs/>
          <w:sz w:val="20"/>
          <w:szCs w:val="20"/>
        </w:rPr>
        <w:t xml:space="preserve">[s]ince the three complainants are the owners of the shares of the affected company and its then director, it is an unquestionable point </w:t>
      </w:r>
      <w:r>
        <w:rPr>
          <w:rFonts w:asciiTheme="majorHAnsi" w:hAnsiTheme="majorHAnsi"/>
          <w:i/>
          <w:iCs/>
          <w:sz w:val="20"/>
          <w:szCs w:val="20"/>
        </w:rPr>
        <w:t>‘</w:t>
      </w:r>
      <w:r w:rsidRPr="00461E46">
        <w:rPr>
          <w:rFonts w:asciiTheme="majorHAnsi" w:hAnsiTheme="majorHAnsi"/>
          <w:i/>
          <w:iCs/>
          <w:sz w:val="20"/>
          <w:szCs w:val="20"/>
        </w:rPr>
        <w:t>... the effective injury to the right of the referred natural persons...</w:t>
      </w:r>
      <w:r>
        <w:rPr>
          <w:rFonts w:asciiTheme="majorHAnsi" w:hAnsiTheme="majorHAnsi"/>
          <w:i/>
          <w:iCs/>
          <w:sz w:val="20"/>
          <w:szCs w:val="20"/>
        </w:rPr>
        <w:t>’</w:t>
      </w:r>
      <w:r w:rsidRPr="00461E46">
        <w:rPr>
          <w:rFonts w:asciiTheme="majorHAnsi" w:hAnsiTheme="majorHAnsi"/>
          <w:sz w:val="20"/>
          <w:szCs w:val="20"/>
        </w:rPr>
        <w:t xml:space="preserve"> (in the </w:t>
      </w:r>
      <w:r>
        <w:rPr>
          <w:rFonts w:asciiTheme="majorHAnsi" w:hAnsiTheme="majorHAnsi"/>
          <w:sz w:val="20"/>
          <w:szCs w:val="20"/>
        </w:rPr>
        <w:t>explicit</w:t>
      </w:r>
      <w:r w:rsidRPr="00461E46">
        <w:rPr>
          <w:rFonts w:asciiTheme="majorHAnsi" w:hAnsiTheme="majorHAnsi"/>
          <w:sz w:val="20"/>
          <w:szCs w:val="20"/>
        </w:rPr>
        <w:t xml:space="preserve"> terms used by Advisory Opinion no. 22/2016)</w:t>
      </w:r>
      <w:r>
        <w:rPr>
          <w:rFonts w:asciiTheme="majorHAnsi" w:hAnsiTheme="majorHAnsi"/>
          <w:sz w:val="20"/>
          <w:szCs w:val="20"/>
        </w:rPr>
        <w:t>”</w:t>
      </w:r>
      <w:r w:rsidRPr="00461E46">
        <w:rPr>
          <w:rFonts w:asciiTheme="majorHAnsi" w:hAnsiTheme="majorHAnsi"/>
          <w:sz w:val="20"/>
          <w:szCs w:val="20"/>
        </w:rPr>
        <w:t>.</w:t>
      </w:r>
    </w:p>
    <w:p w14:paraId="06E16BE0" w14:textId="21557366" w:rsidR="00D2741A" w:rsidRPr="00D2741A" w:rsidRDefault="00D2741A"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D2741A">
        <w:rPr>
          <w:rFonts w:asciiTheme="majorHAnsi" w:hAnsiTheme="majorHAnsi"/>
          <w:sz w:val="20"/>
          <w:szCs w:val="20"/>
        </w:rPr>
        <w:t>To th</w:t>
      </w:r>
      <w:r>
        <w:rPr>
          <w:rFonts w:asciiTheme="majorHAnsi" w:hAnsiTheme="majorHAnsi"/>
          <w:sz w:val="20"/>
          <w:szCs w:val="20"/>
        </w:rPr>
        <w:t>is</w:t>
      </w:r>
      <w:r w:rsidRPr="00D2741A">
        <w:rPr>
          <w:rFonts w:asciiTheme="majorHAnsi" w:hAnsiTheme="majorHAnsi"/>
          <w:sz w:val="20"/>
          <w:szCs w:val="20"/>
        </w:rPr>
        <w:t xml:space="preserve">, </w:t>
      </w:r>
      <w:r>
        <w:rPr>
          <w:rFonts w:asciiTheme="majorHAnsi" w:hAnsiTheme="majorHAnsi"/>
          <w:sz w:val="20"/>
          <w:szCs w:val="20"/>
        </w:rPr>
        <w:t>it</w:t>
      </w:r>
      <w:r w:rsidRPr="00D2741A">
        <w:rPr>
          <w:rFonts w:asciiTheme="majorHAnsi" w:hAnsiTheme="majorHAnsi"/>
          <w:sz w:val="20"/>
          <w:szCs w:val="20"/>
        </w:rPr>
        <w:t xml:space="preserve"> adds that the acts of censorship also affected the workers and directors of the Consor</w:t>
      </w:r>
      <w:r>
        <w:rPr>
          <w:rFonts w:asciiTheme="majorHAnsi" w:hAnsiTheme="majorHAnsi"/>
          <w:sz w:val="20"/>
          <w:szCs w:val="20"/>
        </w:rPr>
        <w:t>tium</w:t>
      </w:r>
      <w:r w:rsidRPr="00D2741A">
        <w:rPr>
          <w:rFonts w:asciiTheme="majorHAnsi" w:hAnsiTheme="majorHAnsi"/>
          <w:sz w:val="20"/>
          <w:szCs w:val="20"/>
        </w:rPr>
        <w:t xml:space="preserve">, and the population of Uruguay in general, who </w:t>
      </w:r>
      <w:r>
        <w:rPr>
          <w:rFonts w:asciiTheme="majorHAnsi" w:hAnsiTheme="majorHAnsi"/>
          <w:sz w:val="20"/>
          <w:szCs w:val="20"/>
        </w:rPr>
        <w:t>were allegedly</w:t>
      </w:r>
      <w:r w:rsidRPr="00D2741A">
        <w:rPr>
          <w:rFonts w:asciiTheme="majorHAnsi" w:hAnsiTheme="majorHAnsi"/>
          <w:sz w:val="20"/>
          <w:szCs w:val="20"/>
        </w:rPr>
        <w:t xml:space="preserve"> affected by the radical suppression of information relevant to decision-making in </w:t>
      </w:r>
      <w:r w:rsidR="00044014">
        <w:rPr>
          <w:rFonts w:asciiTheme="majorHAnsi" w:hAnsiTheme="majorHAnsi"/>
          <w:sz w:val="20"/>
          <w:szCs w:val="20"/>
        </w:rPr>
        <w:t>a matter of</w:t>
      </w:r>
      <w:r w:rsidRPr="00D2741A">
        <w:rPr>
          <w:rFonts w:asciiTheme="majorHAnsi" w:hAnsiTheme="majorHAnsi"/>
          <w:sz w:val="20"/>
          <w:szCs w:val="20"/>
        </w:rPr>
        <w:t xml:space="preserve"> public interest. It further alleges that it would be contrary to the jurisprudence of the Inter-American System, and of other international systems for the </w:t>
      </w:r>
      <w:r w:rsidRPr="00D2741A">
        <w:rPr>
          <w:rFonts w:asciiTheme="majorHAnsi" w:hAnsiTheme="majorHAnsi"/>
          <w:sz w:val="20"/>
          <w:szCs w:val="20"/>
        </w:rPr>
        <w:lastRenderedPageBreak/>
        <w:t xml:space="preserve">protection of human rights, to </w:t>
      </w:r>
      <w:r w:rsidR="00044014">
        <w:rPr>
          <w:rFonts w:asciiTheme="majorHAnsi" w:hAnsiTheme="majorHAnsi"/>
          <w:sz w:val="20"/>
          <w:szCs w:val="20"/>
        </w:rPr>
        <w:t>condone</w:t>
      </w:r>
      <w:r w:rsidRPr="00D2741A">
        <w:rPr>
          <w:rFonts w:asciiTheme="majorHAnsi" w:hAnsiTheme="majorHAnsi"/>
          <w:sz w:val="20"/>
          <w:szCs w:val="20"/>
        </w:rPr>
        <w:t xml:space="preserve"> the violation of human rights such as freedom of expression by invoking a fictitious figure such as legal persons.</w:t>
      </w:r>
    </w:p>
    <w:p w14:paraId="3D567B4E" w14:textId="51E4A084" w:rsidR="00D2741A" w:rsidRPr="00D2741A" w:rsidRDefault="00D2741A"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D2741A">
        <w:rPr>
          <w:rFonts w:asciiTheme="majorHAnsi" w:hAnsiTheme="majorHAnsi"/>
          <w:sz w:val="20"/>
          <w:szCs w:val="20"/>
        </w:rPr>
        <w:t xml:space="preserve">The petitioner also points out that it was eight months after the Consortium filed its complaints that the </w:t>
      </w:r>
      <w:r>
        <w:rPr>
          <w:rFonts w:asciiTheme="majorHAnsi" w:hAnsiTheme="majorHAnsi"/>
          <w:sz w:val="20"/>
          <w:szCs w:val="20"/>
        </w:rPr>
        <w:t>CB</w:t>
      </w:r>
      <w:r w:rsidRPr="00D2741A">
        <w:rPr>
          <w:rFonts w:asciiTheme="majorHAnsi" w:hAnsiTheme="majorHAnsi"/>
          <w:sz w:val="20"/>
          <w:szCs w:val="20"/>
        </w:rPr>
        <w:t xml:space="preserve">U finally ordered the competitor and CARE to publish on their respective websites a corrected report incorporating the phrase </w:t>
      </w:r>
      <w:r>
        <w:rPr>
          <w:rFonts w:asciiTheme="majorHAnsi" w:hAnsiTheme="majorHAnsi"/>
          <w:sz w:val="20"/>
          <w:szCs w:val="20"/>
        </w:rPr>
        <w:t>“</w:t>
      </w:r>
      <w:r w:rsidRPr="00D2741A">
        <w:rPr>
          <w:rFonts w:asciiTheme="majorHAnsi" w:hAnsiTheme="majorHAnsi"/>
          <w:sz w:val="20"/>
          <w:szCs w:val="20"/>
        </w:rPr>
        <w:t>medium speculative</w:t>
      </w:r>
      <w:r>
        <w:rPr>
          <w:rFonts w:asciiTheme="majorHAnsi" w:hAnsiTheme="majorHAnsi"/>
          <w:sz w:val="20"/>
          <w:szCs w:val="20"/>
        </w:rPr>
        <w:t>”</w:t>
      </w:r>
      <w:r w:rsidRPr="00D2741A">
        <w:rPr>
          <w:rFonts w:asciiTheme="majorHAnsi" w:hAnsiTheme="majorHAnsi"/>
          <w:sz w:val="20"/>
          <w:szCs w:val="20"/>
        </w:rPr>
        <w:t xml:space="preserve">. The meaning of the note "medium speculative grade" was also published on the websites of </w:t>
      </w:r>
      <w:r>
        <w:rPr>
          <w:rFonts w:asciiTheme="majorHAnsi" w:hAnsiTheme="majorHAnsi"/>
          <w:sz w:val="20"/>
          <w:szCs w:val="20"/>
        </w:rPr>
        <w:t>CB</w:t>
      </w:r>
      <w:r w:rsidRPr="00D2741A">
        <w:rPr>
          <w:rFonts w:asciiTheme="majorHAnsi" w:hAnsiTheme="majorHAnsi"/>
          <w:sz w:val="20"/>
          <w:szCs w:val="20"/>
        </w:rPr>
        <w:t xml:space="preserve">U, CARE and the competitor. It indicates that such publications did not have any consequence on the stability of the financial system, arguing that this evidences that the publications that the </w:t>
      </w:r>
      <w:r>
        <w:rPr>
          <w:rFonts w:asciiTheme="majorHAnsi" w:hAnsiTheme="majorHAnsi"/>
          <w:sz w:val="20"/>
          <w:szCs w:val="20"/>
        </w:rPr>
        <w:t>C</w:t>
      </w:r>
      <w:r w:rsidRPr="00D2741A">
        <w:rPr>
          <w:rFonts w:asciiTheme="majorHAnsi" w:hAnsiTheme="majorHAnsi"/>
          <w:sz w:val="20"/>
          <w:szCs w:val="20"/>
        </w:rPr>
        <w:t>onsortium had made and that motivated the censorship did not represent any threat to that system. It further explains that, although such publications were made, the administrative acts of censorship issued against the Consortium remained in force.</w:t>
      </w:r>
    </w:p>
    <w:p w14:paraId="47AC7677" w14:textId="7237394C" w:rsidR="00D2741A" w:rsidRPr="00D2741A" w:rsidRDefault="00D2741A"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D2741A">
        <w:rPr>
          <w:rFonts w:asciiTheme="majorHAnsi" w:hAnsiTheme="majorHAnsi"/>
          <w:sz w:val="20"/>
          <w:szCs w:val="20"/>
        </w:rPr>
        <w:t xml:space="preserve">The petitioner also reports that on August 6, 2012, the Consortium filed an action </w:t>
      </w:r>
      <w:r>
        <w:rPr>
          <w:rFonts w:asciiTheme="majorHAnsi" w:hAnsiTheme="majorHAnsi"/>
          <w:sz w:val="20"/>
          <w:szCs w:val="20"/>
        </w:rPr>
        <w:t xml:space="preserve">for the protection of constitutional rights </w:t>
      </w:r>
      <w:r w:rsidRPr="00D2741A">
        <w:rPr>
          <w:rFonts w:asciiTheme="majorHAnsi" w:hAnsiTheme="majorHAnsi"/>
          <w:sz w:val="20"/>
          <w:szCs w:val="20"/>
        </w:rPr>
        <w:t xml:space="preserve">against the acts of the </w:t>
      </w:r>
      <w:r>
        <w:rPr>
          <w:rFonts w:asciiTheme="majorHAnsi" w:hAnsiTheme="majorHAnsi"/>
          <w:sz w:val="20"/>
          <w:szCs w:val="20"/>
        </w:rPr>
        <w:t>CB</w:t>
      </w:r>
      <w:r w:rsidRPr="00D2741A">
        <w:rPr>
          <w:rFonts w:asciiTheme="majorHAnsi" w:hAnsiTheme="majorHAnsi"/>
          <w:sz w:val="20"/>
          <w:szCs w:val="20"/>
        </w:rPr>
        <w:t>U, which was rejected. The Court of First Instance for Administrative</w:t>
      </w:r>
      <w:r>
        <w:rPr>
          <w:rFonts w:asciiTheme="majorHAnsi" w:hAnsiTheme="majorHAnsi"/>
          <w:sz w:val="20"/>
          <w:szCs w:val="20"/>
        </w:rPr>
        <w:t xml:space="preserve"> Litigation</w:t>
      </w:r>
      <w:r w:rsidRPr="00D2741A">
        <w:rPr>
          <w:rFonts w:asciiTheme="majorHAnsi" w:hAnsiTheme="majorHAnsi"/>
          <w:sz w:val="20"/>
          <w:szCs w:val="20"/>
        </w:rPr>
        <w:t xml:space="preserve"> Matters reportedly considered the action to be in</w:t>
      </w:r>
      <w:r>
        <w:rPr>
          <w:rFonts w:asciiTheme="majorHAnsi" w:hAnsiTheme="majorHAnsi"/>
          <w:sz w:val="20"/>
          <w:szCs w:val="20"/>
        </w:rPr>
        <w:t>admissible</w:t>
      </w:r>
      <w:r w:rsidRPr="00D2741A">
        <w:rPr>
          <w:rFonts w:asciiTheme="majorHAnsi" w:hAnsiTheme="majorHAnsi"/>
          <w:sz w:val="20"/>
          <w:szCs w:val="20"/>
        </w:rPr>
        <w:t xml:space="preserve"> because it had not </w:t>
      </w:r>
      <w:r w:rsidR="00044014">
        <w:rPr>
          <w:rFonts w:asciiTheme="majorHAnsi" w:hAnsiTheme="majorHAnsi"/>
          <w:sz w:val="20"/>
          <w:szCs w:val="20"/>
        </w:rPr>
        <w:t xml:space="preserve">been </w:t>
      </w:r>
      <w:r w:rsidRPr="00D2741A">
        <w:rPr>
          <w:rFonts w:asciiTheme="majorHAnsi" w:hAnsiTheme="majorHAnsi"/>
          <w:sz w:val="20"/>
          <w:szCs w:val="20"/>
        </w:rPr>
        <w:t xml:space="preserve">exhausted </w:t>
      </w:r>
      <w:r w:rsidR="00044014">
        <w:rPr>
          <w:rFonts w:asciiTheme="majorHAnsi" w:hAnsiTheme="majorHAnsi"/>
          <w:sz w:val="20"/>
          <w:szCs w:val="20"/>
        </w:rPr>
        <w:t>n</w:t>
      </w:r>
      <w:r w:rsidRPr="00D2741A">
        <w:rPr>
          <w:rFonts w:asciiTheme="majorHAnsi" w:hAnsiTheme="majorHAnsi"/>
          <w:sz w:val="20"/>
          <w:szCs w:val="20"/>
        </w:rPr>
        <w:t>or demonstrated the ineffectiveness of the ordinary challenge channel (administrative challenge and annulment action before the Court of Administrative</w:t>
      </w:r>
      <w:r>
        <w:rPr>
          <w:rFonts w:asciiTheme="majorHAnsi" w:hAnsiTheme="majorHAnsi"/>
          <w:sz w:val="20"/>
          <w:szCs w:val="20"/>
        </w:rPr>
        <w:t xml:space="preserve"> Litigation</w:t>
      </w:r>
      <w:r w:rsidRPr="00D2741A">
        <w:rPr>
          <w:rFonts w:asciiTheme="majorHAnsi" w:hAnsiTheme="majorHAnsi"/>
          <w:sz w:val="20"/>
          <w:szCs w:val="20"/>
        </w:rPr>
        <w:t xml:space="preserve"> Matters). This decision was appealed by the Consortium and the decision was confirmed on October 3, 2012</w:t>
      </w:r>
      <w:r>
        <w:rPr>
          <w:rFonts w:asciiTheme="majorHAnsi" w:hAnsiTheme="majorHAnsi"/>
          <w:sz w:val="20"/>
          <w:szCs w:val="20"/>
        </w:rPr>
        <w:t>,</w:t>
      </w:r>
      <w:r w:rsidRPr="00D2741A">
        <w:rPr>
          <w:rFonts w:asciiTheme="majorHAnsi" w:hAnsiTheme="majorHAnsi"/>
          <w:sz w:val="20"/>
          <w:szCs w:val="20"/>
        </w:rPr>
        <w:t xml:space="preserve"> by the Fourth Civil Court of Appeals.</w:t>
      </w:r>
    </w:p>
    <w:p w14:paraId="242C532A" w14:textId="60F55F9C" w:rsidR="00081BA2" w:rsidRPr="00081BA2" w:rsidRDefault="00081BA2"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081BA2">
        <w:rPr>
          <w:rFonts w:asciiTheme="majorHAnsi" w:hAnsiTheme="majorHAnsi"/>
          <w:sz w:val="20"/>
          <w:szCs w:val="20"/>
        </w:rPr>
        <w:t>The petitioner argues that the rejection of the action</w:t>
      </w:r>
      <w:r>
        <w:rPr>
          <w:rFonts w:asciiTheme="majorHAnsi" w:hAnsiTheme="majorHAnsi"/>
          <w:sz w:val="20"/>
          <w:szCs w:val="20"/>
        </w:rPr>
        <w:t xml:space="preserve"> for the protection of constitutional rights</w:t>
      </w:r>
      <w:r w:rsidRPr="00081BA2">
        <w:rPr>
          <w:rFonts w:asciiTheme="majorHAnsi" w:hAnsiTheme="majorHAnsi"/>
          <w:sz w:val="20"/>
          <w:szCs w:val="20"/>
        </w:rPr>
        <w:t xml:space="preserve">, without a ruling on whether the </w:t>
      </w:r>
      <w:r>
        <w:rPr>
          <w:rFonts w:asciiTheme="majorHAnsi" w:hAnsiTheme="majorHAnsi"/>
          <w:sz w:val="20"/>
          <w:szCs w:val="20"/>
        </w:rPr>
        <w:t>CB</w:t>
      </w:r>
      <w:r w:rsidRPr="00081BA2">
        <w:rPr>
          <w:rFonts w:asciiTheme="majorHAnsi" w:hAnsiTheme="majorHAnsi"/>
          <w:sz w:val="20"/>
          <w:szCs w:val="20"/>
        </w:rPr>
        <w:t>U violated human rights, demonstrates that the alleged victims did not have access to an effective remedy. It adds that the action was the only remedy available for the expeditious protection of fundamental and human rights, since the other jurisdictional channels to challenge the acts in question could lead to a process of more than five years and did not provide an adequate and effective remedy to elucidate an urgent matter such as an ongoing situation of radical censorship.</w:t>
      </w:r>
    </w:p>
    <w:p w14:paraId="055EC656" w14:textId="7F687FE7" w:rsidR="00081BA2" w:rsidRPr="00081BA2" w:rsidRDefault="00081BA2"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081BA2">
        <w:rPr>
          <w:rFonts w:asciiTheme="majorHAnsi" w:hAnsiTheme="majorHAnsi"/>
          <w:sz w:val="20"/>
          <w:szCs w:val="20"/>
        </w:rPr>
        <w:t>After the final rejection of its action</w:t>
      </w:r>
      <w:r>
        <w:rPr>
          <w:rFonts w:asciiTheme="majorHAnsi" w:hAnsiTheme="majorHAnsi"/>
          <w:sz w:val="20"/>
          <w:szCs w:val="20"/>
        </w:rPr>
        <w:t xml:space="preserve"> for the protection of constitutional rights</w:t>
      </w:r>
      <w:r w:rsidRPr="00081BA2">
        <w:rPr>
          <w:rFonts w:asciiTheme="majorHAnsi" w:hAnsiTheme="majorHAnsi"/>
          <w:sz w:val="20"/>
          <w:szCs w:val="20"/>
        </w:rPr>
        <w:t xml:space="preserve">, the Consortium filed, unsuccessfully, administrative challenges against the acts of the </w:t>
      </w:r>
      <w:r>
        <w:rPr>
          <w:rFonts w:asciiTheme="majorHAnsi" w:hAnsiTheme="majorHAnsi"/>
          <w:sz w:val="20"/>
          <w:szCs w:val="20"/>
        </w:rPr>
        <w:t>CB</w:t>
      </w:r>
      <w:r w:rsidRPr="00081BA2">
        <w:rPr>
          <w:rFonts w:asciiTheme="majorHAnsi" w:hAnsiTheme="majorHAnsi"/>
          <w:sz w:val="20"/>
          <w:szCs w:val="20"/>
        </w:rPr>
        <w:t xml:space="preserve">U. Then, it judicially petitioned for the nullity of the administrative act. Finally, on June 1, 2017, the Court of Administrative Litigation (hereinafter "the </w:t>
      </w:r>
      <w:r>
        <w:rPr>
          <w:rFonts w:asciiTheme="majorHAnsi" w:hAnsiTheme="majorHAnsi"/>
          <w:sz w:val="20"/>
          <w:szCs w:val="20"/>
        </w:rPr>
        <w:t>CAL</w:t>
      </w:r>
      <w:r w:rsidRPr="00081BA2">
        <w:rPr>
          <w:rFonts w:asciiTheme="majorHAnsi" w:hAnsiTheme="majorHAnsi"/>
          <w:sz w:val="20"/>
          <w:szCs w:val="20"/>
        </w:rPr>
        <w:t>") ruled in favor of the Consortium, decreeing the nullity of the act.</w:t>
      </w:r>
    </w:p>
    <w:p w14:paraId="7C8F54C8" w14:textId="63AAD182" w:rsidR="00081BA2" w:rsidRPr="00081BA2" w:rsidRDefault="00081BA2"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081BA2">
        <w:rPr>
          <w:rFonts w:asciiTheme="majorHAnsi" w:hAnsiTheme="majorHAnsi"/>
          <w:sz w:val="20"/>
          <w:szCs w:val="20"/>
        </w:rPr>
        <w:t>The petitioner considers that the judgment of the CAL, although important, does not satisfy the claim of the petition nor does it exhaust its object</w:t>
      </w:r>
      <w:r w:rsidR="00424463">
        <w:rPr>
          <w:rFonts w:asciiTheme="majorHAnsi" w:hAnsiTheme="majorHAnsi"/>
          <w:sz w:val="20"/>
          <w:szCs w:val="20"/>
        </w:rPr>
        <w:t>, I</w:t>
      </w:r>
      <w:r w:rsidRPr="00081BA2">
        <w:rPr>
          <w:rFonts w:asciiTheme="majorHAnsi" w:hAnsiTheme="majorHAnsi"/>
          <w:sz w:val="20"/>
          <w:szCs w:val="20"/>
        </w:rPr>
        <w:t>t argues that</w:t>
      </w:r>
      <w:r w:rsidR="00424463">
        <w:rPr>
          <w:rFonts w:asciiTheme="majorHAnsi" w:hAnsiTheme="majorHAnsi"/>
          <w:sz w:val="20"/>
          <w:szCs w:val="20"/>
        </w:rPr>
        <w:t xml:space="preserve"> the judgment</w:t>
      </w:r>
      <w:r w:rsidRPr="00081BA2">
        <w:rPr>
          <w:rFonts w:asciiTheme="majorHAnsi" w:hAnsiTheme="majorHAnsi"/>
          <w:sz w:val="20"/>
          <w:szCs w:val="20"/>
        </w:rPr>
        <w:t xml:space="preserve"> does not constitute a</w:t>
      </w:r>
      <w:r>
        <w:rPr>
          <w:rFonts w:asciiTheme="majorHAnsi" w:hAnsiTheme="majorHAnsi"/>
          <w:sz w:val="20"/>
          <w:szCs w:val="20"/>
        </w:rPr>
        <w:t xml:space="preserve"> comprehensive</w:t>
      </w:r>
      <w:r w:rsidRPr="00081BA2">
        <w:rPr>
          <w:rFonts w:asciiTheme="majorHAnsi" w:hAnsiTheme="majorHAnsi"/>
          <w:sz w:val="20"/>
          <w:szCs w:val="20"/>
        </w:rPr>
        <w:t xml:space="preserve"> reparation,</w:t>
      </w:r>
      <w:r w:rsidR="00424463">
        <w:rPr>
          <w:rFonts w:asciiTheme="majorHAnsi" w:hAnsiTheme="majorHAnsi"/>
          <w:sz w:val="20"/>
          <w:szCs w:val="20"/>
        </w:rPr>
        <w:t xml:space="preserve"> among other reasons, because </w:t>
      </w:r>
      <w:r w:rsidRPr="00081BA2">
        <w:rPr>
          <w:rFonts w:asciiTheme="majorHAnsi" w:hAnsiTheme="majorHAnsi"/>
          <w:sz w:val="20"/>
          <w:szCs w:val="20"/>
        </w:rPr>
        <w:t xml:space="preserve">the judgments of the </w:t>
      </w:r>
      <w:r>
        <w:rPr>
          <w:rFonts w:asciiTheme="majorHAnsi" w:hAnsiTheme="majorHAnsi"/>
          <w:sz w:val="20"/>
          <w:szCs w:val="20"/>
        </w:rPr>
        <w:t>CAL</w:t>
      </w:r>
      <w:r w:rsidRPr="00081BA2">
        <w:rPr>
          <w:rFonts w:asciiTheme="majorHAnsi" w:hAnsiTheme="majorHAnsi"/>
          <w:sz w:val="20"/>
          <w:szCs w:val="20"/>
        </w:rPr>
        <w:t xml:space="preserve"> constitute a simple declaration of abstract nullity and do not establish any type of reparation for those affected by the annulled act. Therefore, the only way left for the Consortium would be to request patrimonial reparation in a separate judicial proceeding. In addition, it indicates that there was no domestic remedy that could have been exhausted by the individuals affected by the acts of the </w:t>
      </w:r>
      <w:r>
        <w:rPr>
          <w:rFonts w:asciiTheme="majorHAnsi" w:hAnsiTheme="majorHAnsi"/>
          <w:sz w:val="20"/>
          <w:szCs w:val="20"/>
        </w:rPr>
        <w:t>CB</w:t>
      </w:r>
      <w:r w:rsidRPr="00081BA2">
        <w:rPr>
          <w:rFonts w:asciiTheme="majorHAnsi" w:hAnsiTheme="majorHAnsi"/>
          <w:sz w:val="20"/>
          <w:szCs w:val="20"/>
        </w:rPr>
        <w:t xml:space="preserve">U, and that they were forced to file domestic remedies through the Consortium. In this sense, it indicates that the individuals </w:t>
      </w:r>
      <w:r>
        <w:rPr>
          <w:rFonts w:asciiTheme="majorHAnsi" w:hAnsiTheme="majorHAnsi"/>
          <w:sz w:val="20"/>
          <w:szCs w:val="20"/>
        </w:rPr>
        <w:t>“</w:t>
      </w:r>
      <w:r w:rsidRPr="00081BA2">
        <w:rPr>
          <w:rFonts w:asciiTheme="majorHAnsi" w:hAnsiTheme="majorHAnsi"/>
          <w:i/>
          <w:iCs/>
          <w:sz w:val="20"/>
          <w:szCs w:val="20"/>
        </w:rPr>
        <w:t>could not invoke a legitimate interest or personal right aggrieved by the CBU's censure, beyond the fact that they were its ultimate addressees. Therefore, they cannot be required to have availed themselves of those administrative and judicial remedies, since the domestic legislation prevents them from having access to them</w:t>
      </w:r>
      <w:r>
        <w:rPr>
          <w:rFonts w:asciiTheme="majorHAnsi" w:hAnsiTheme="majorHAnsi"/>
          <w:sz w:val="20"/>
          <w:szCs w:val="20"/>
        </w:rPr>
        <w:t>”</w:t>
      </w:r>
      <w:r w:rsidRPr="00081BA2">
        <w:rPr>
          <w:rFonts w:asciiTheme="majorHAnsi" w:hAnsiTheme="majorHAnsi"/>
          <w:sz w:val="20"/>
          <w:szCs w:val="20"/>
        </w:rPr>
        <w:t>.</w:t>
      </w:r>
    </w:p>
    <w:p w14:paraId="0AA8C1BD" w14:textId="62BD05AD" w:rsidR="00086FC9" w:rsidRPr="00081BA2" w:rsidRDefault="00081BA2" w:rsidP="00086FC9">
      <w:pPr>
        <w:pStyle w:val="ListParagraph"/>
        <w:spacing w:before="240" w:after="240"/>
        <w:ind w:left="810"/>
        <w:jc w:val="both"/>
        <w:rPr>
          <w:rFonts w:asciiTheme="majorHAnsi" w:hAnsiTheme="majorHAnsi"/>
          <w:i/>
          <w:iCs/>
          <w:sz w:val="20"/>
          <w:szCs w:val="20"/>
        </w:rPr>
      </w:pPr>
      <w:r w:rsidRPr="00081BA2">
        <w:rPr>
          <w:rFonts w:asciiTheme="majorHAnsi" w:hAnsiTheme="majorHAnsi"/>
          <w:i/>
          <w:iCs/>
          <w:sz w:val="20"/>
          <w:szCs w:val="20"/>
        </w:rPr>
        <w:t>Position of the Uruguayan S</w:t>
      </w:r>
      <w:r>
        <w:rPr>
          <w:rFonts w:asciiTheme="majorHAnsi" w:hAnsiTheme="majorHAnsi"/>
          <w:i/>
          <w:iCs/>
          <w:sz w:val="20"/>
          <w:szCs w:val="20"/>
        </w:rPr>
        <w:t>tate</w:t>
      </w:r>
    </w:p>
    <w:p w14:paraId="095EB9BB" w14:textId="207DEDFB" w:rsidR="00081BA2" w:rsidRPr="00081BA2" w:rsidRDefault="00081BA2"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081BA2">
        <w:rPr>
          <w:rFonts w:asciiTheme="majorHAnsi" w:hAnsiTheme="majorHAnsi"/>
          <w:sz w:val="20"/>
          <w:szCs w:val="20"/>
        </w:rPr>
        <w:t xml:space="preserve">The State, for its part, considers that the petition should be inadmissible because it refers to the rights of a legal person; because it was filed without the exhaustion of domestic remedies; and because it </w:t>
      </w:r>
      <w:r>
        <w:rPr>
          <w:rFonts w:asciiTheme="majorHAnsi" w:hAnsiTheme="majorHAnsi"/>
          <w:sz w:val="20"/>
          <w:szCs w:val="20"/>
        </w:rPr>
        <w:t>became moot</w:t>
      </w:r>
      <w:r w:rsidRPr="00081BA2">
        <w:rPr>
          <w:rFonts w:asciiTheme="majorHAnsi" w:hAnsiTheme="majorHAnsi"/>
          <w:sz w:val="20"/>
          <w:szCs w:val="20"/>
        </w:rPr>
        <w:t xml:space="preserve"> as a result of events subsequent to the petitioner</w:t>
      </w:r>
      <w:r>
        <w:rPr>
          <w:rFonts w:asciiTheme="majorHAnsi" w:hAnsiTheme="majorHAnsi"/>
          <w:sz w:val="20"/>
          <w:szCs w:val="20"/>
        </w:rPr>
        <w:t>’</w:t>
      </w:r>
      <w:r w:rsidRPr="00081BA2">
        <w:rPr>
          <w:rFonts w:asciiTheme="majorHAnsi" w:hAnsiTheme="majorHAnsi"/>
          <w:sz w:val="20"/>
          <w:szCs w:val="20"/>
        </w:rPr>
        <w:t>s initial brief,</w:t>
      </w:r>
    </w:p>
    <w:p w14:paraId="446CCFD0" w14:textId="3667DEF6" w:rsidR="00081BA2" w:rsidRPr="00081BA2" w:rsidRDefault="00081BA2"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081BA2">
        <w:rPr>
          <w:rFonts w:asciiTheme="majorHAnsi" w:hAnsiTheme="majorHAnsi"/>
          <w:sz w:val="20"/>
          <w:szCs w:val="20"/>
        </w:rPr>
        <w:t xml:space="preserve">Uruguay argues that the petition is directly related to the actions of the </w:t>
      </w:r>
      <w:r>
        <w:rPr>
          <w:rFonts w:asciiTheme="majorHAnsi" w:hAnsiTheme="majorHAnsi"/>
          <w:sz w:val="20"/>
          <w:szCs w:val="20"/>
        </w:rPr>
        <w:t>CB</w:t>
      </w:r>
      <w:r w:rsidRPr="00081BA2">
        <w:rPr>
          <w:rFonts w:asciiTheme="majorHAnsi" w:hAnsiTheme="majorHAnsi"/>
          <w:sz w:val="20"/>
          <w:szCs w:val="20"/>
        </w:rPr>
        <w:t xml:space="preserve">U with respect to a legal person supervised by the </w:t>
      </w:r>
      <w:r>
        <w:rPr>
          <w:rFonts w:asciiTheme="majorHAnsi" w:hAnsiTheme="majorHAnsi"/>
          <w:sz w:val="20"/>
          <w:szCs w:val="20"/>
        </w:rPr>
        <w:t>CB</w:t>
      </w:r>
      <w:r w:rsidRPr="00081BA2">
        <w:rPr>
          <w:rFonts w:asciiTheme="majorHAnsi" w:hAnsiTheme="majorHAnsi"/>
          <w:sz w:val="20"/>
          <w:szCs w:val="20"/>
        </w:rPr>
        <w:t xml:space="preserve">U; the natural persons referred to as victims in the petition are presented as </w:t>
      </w:r>
      <w:r>
        <w:rPr>
          <w:rFonts w:asciiTheme="majorHAnsi" w:hAnsiTheme="majorHAnsi"/>
          <w:sz w:val="20"/>
          <w:szCs w:val="20"/>
        </w:rPr>
        <w:t>“</w:t>
      </w:r>
      <w:r w:rsidRPr="00081BA2">
        <w:rPr>
          <w:rFonts w:asciiTheme="majorHAnsi" w:hAnsiTheme="majorHAnsi"/>
          <w:sz w:val="20"/>
          <w:szCs w:val="20"/>
        </w:rPr>
        <w:t>representatives and owners</w:t>
      </w:r>
      <w:r>
        <w:rPr>
          <w:rFonts w:asciiTheme="majorHAnsi" w:hAnsiTheme="majorHAnsi"/>
          <w:sz w:val="20"/>
          <w:szCs w:val="20"/>
        </w:rPr>
        <w:t>”</w:t>
      </w:r>
      <w:r w:rsidRPr="00081BA2">
        <w:rPr>
          <w:rFonts w:asciiTheme="majorHAnsi" w:hAnsiTheme="majorHAnsi"/>
          <w:sz w:val="20"/>
          <w:szCs w:val="20"/>
        </w:rPr>
        <w:t xml:space="preserve"> of that legal person. Therefore, the petition would be inadmissible under the jurisprudence of the Inter-American Court according to which the American Convention only establishes rights in favor of natural and not legal persons. In this regard, the State emphasizes that none of the </w:t>
      </w:r>
      <w:r>
        <w:rPr>
          <w:rFonts w:asciiTheme="majorHAnsi" w:hAnsiTheme="majorHAnsi"/>
          <w:sz w:val="20"/>
          <w:szCs w:val="20"/>
        </w:rPr>
        <w:t>physical</w:t>
      </w:r>
      <w:r w:rsidRPr="00081BA2">
        <w:rPr>
          <w:rFonts w:asciiTheme="majorHAnsi" w:hAnsiTheme="majorHAnsi"/>
          <w:sz w:val="20"/>
          <w:szCs w:val="20"/>
        </w:rPr>
        <w:t xml:space="preserve"> or natural </w:t>
      </w:r>
      <w:r w:rsidRPr="00081BA2">
        <w:rPr>
          <w:rFonts w:asciiTheme="majorHAnsi" w:hAnsiTheme="majorHAnsi"/>
          <w:sz w:val="20"/>
          <w:szCs w:val="20"/>
        </w:rPr>
        <w:lastRenderedPageBreak/>
        <w:t>persons who present themselves as alleged victims have filed any lawsuit or claim at the domestic level for the facts set forth in the petition.</w:t>
      </w:r>
    </w:p>
    <w:p w14:paraId="6448FCDE" w14:textId="2EE26EA1" w:rsidR="00081BA2" w:rsidRPr="00081BA2" w:rsidRDefault="00081BA2"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081BA2">
        <w:rPr>
          <w:rFonts w:asciiTheme="majorHAnsi" w:hAnsiTheme="majorHAnsi"/>
          <w:sz w:val="20"/>
          <w:szCs w:val="20"/>
        </w:rPr>
        <w:t xml:space="preserve">The State also indicates that the claims of the petitioner were finally resolved in favor of its interests after the </w:t>
      </w:r>
      <w:r>
        <w:rPr>
          <w:rFonts w:asciiTheme="majorHAnsi" w:hAnsiTheme="majorHAnsi"/>
          <w:sz w:val="20"/>
          <w:szCs w:val="20"/>
        </w:rPr>
        <w:t>CAL</w:t>
      </w:r>
      <w:r w:rsidRPr="00081BA2">
        <w:rPr>
          <w:rFonts w:asciiTheme="majorHAnsi" w:hAnsiTheme="majorHAnsi"/>
          <w:sz w:val="20"/>
          <w:szCs w:val="20"/>
        </w:rPr>
        <w:t xml:space="preserve"> issued a judgment in favor of the Consortium. The State provides a copy of the judgment in which it is noted that the </w:t>
      </w:r>
      <w:r>
        <w:rPr>
          <w:rFonts w:asciiTheme="majorHAnsi" w:hAnsiTheme="majorHAnsi"/>
          <w:sz w:val="20"/>
          <w:szCs w:val="20"/>
        </w:rPr>
        <w:t>CAL</w:t>
      </w:r>
      <w:r w:rsidRPr="00081BA2">
        <w:rPr>
          <w:rFonts w:asciiTheme="majorHAnsi" w:hAnsiTheme="majorHAnsi"/>
          <w:sz w:val="20"/>
          <w:szCs w:val="20"/>
        </w:rPr>
        <w:t xml:space="preserve"> concluded that:</w:t>
      </w:r>
    </w:p>
    <w:p w14:paraId="7621E1EF" w14:textId="3DAF1397" w:rsidR="00081BA2" w:rsidRPr="00081BA2" w:rsidRDefault="00081BA2" w:rsidP="00081BA2">
      <w:pPr>
        <w:autoSpaceDE w:val="0"/>
        <w:autoSpaceDN w:val="0"/>
        <w:spacing w:before="240" w:after="240"/>
        <w:ind w:left="720" w:right="720"/>
        <w:jc w:val="both"/>
        <w:rPr>
          <w:rFonts w:asciiTheme="majorHAnsi" w:hAnsiTheme="majorHAnsi"/>
          <w:sz w:val="20"/>
          <w:szCs w:val="20"/>
        </w:rPr>
      </w:pPr>
      <w:r w:rsidRPr="00081BA2">
        <w:rPr>
          <w:rFonts w:asciiTheme="majorHAnsi" w:hAnsiTheme="majorHAnsi"/>
          <w:sz w:val="20"/>
          <w:szCs w:val="20"/>
        </w:rPr>
        <w:t>The assumption on which the adopted decisions are based is not acceptable, that is, that the powers granted to the C</w:t>
      </w:r>
      <w:r>
        <w:rPr>
          <w:rFonts w:asciiTheme="majorHAnsi" w:hAnsiTheme="majorHAnsi"/>
          <w:sz w:val="20"/>
          <w:szCs w:val="20"/>
        </w:rPr>
        <w:t>B</w:t>
      </w:r>
      <w:r w:rsidRPr="00081BA2">
        <w:rPr>
          <w:rFonts w:asciiTheme="majorHAnsi" w:hAnsiTheme="majorHAnsi"/>
          <w:sz w:val="20"/>
          <w:szCs w:val="20"/>
        </w:rPr>
        <w:t>U imply conferring powers to curtail or place limits on constitutionally protected rights, whether it is understood that what is affected is the freedom of enterprise and not the freedom of expression of thought. [...]</w:t>
      </w:r>
    </w:p>
    <w:p w14:paraId="62F9976D" w14:textId="73AF1908" w:rsidR="00081BA2" w:rsidRPr="00081BA2" w:rsidRDefault="00081BA2" w:rsidP="00081BA2">
      <w:pPr>
        <w:autoSpaceDE w:val="0"/>
        <w:autoSpaceDN w:val="0"/>
        <w:spacing w:before="240" w:after="240"/>
        <w:ind w:left="720" w:right="720"/>
        <w:jc w:val="both"/>
        <w:rPr>
          <w:rFonts w:asciiTheme="majorHAnsi" w:hAnsiTheme="majorHAnsi"/>
          <w:sz w:val="20"/>
          <w:szCs w:val="20"/>
        </w:rPr>
      </w:pPr>
      <w:r w:rsidRPr="00081BA2">
        <w:rPr>
          <w:rFonts w:asciiTheme="majorHAnsi" w:hAnsiTheme="majorHAnsi"/>
          <w:sz w:val="20"/>
          <w:szCs w:val="20"/>
        </w:rPr>
        <w:t xml:space="preserve">Second, directly related to the foregoing and without prejudice to </w:t>
      </w:r>
      <w:r>
        <w:rPr>
          <w:rFonts w:asciiTheme="majorHAnsi" w:hAnsiTheme="majorHAnsi"/>
          <w:sz w:val="20"/>
          <w:szCs w:val="20"/>
        </w:rPr>
        <w:t>it</w:t>
      </w:r>
      <w:r w:rsidRPr="00081BA2">
        <w:rPr>
          <w:rFonts w:asciiTheme="majorHAnsi" w:hAnsiTheme="majorHAnsi"/>
          <w:sz w:val="20"/>
          <w:szCs w:val="20"/>
        </w:rPr>
        <w:t>, the restrictions imposed by law on constitutionally recognized rights must be interpreted restrictively, especially when their exercise is directly related to the functioning of the model of democratic society enshrined in the Charter.</w:t>
      </w:r>
    </w:p>
    <w:p w14:paraId="0F43B931" w14:textId="0824B43B" w:rsidR="00081BA2" w:rsidRPr="00081BA2" w:rsidRDefault="00081BA2" w:rsidP="00081BA2">
      <w:pPr>
        <w:autoSpaceDE w:val="0"/>
        <w:autoSpaceDN w:val="0"/>
        <w:spacing w:before="240" w:after="240"/>
        <w:ind w:left="720" w:right="720"/>
        <w:jc w:val="both"/>
        <w:rPr>
          <w:rFonts w:asciiTheme="majorHAnsi" w:hAnsiTheme="majorHAnsi"/>
          <w:sz w:val="20"/>
          <w:szCs w:val="20"/>
        </w:rPr>
      </w:pPr>
      <w:r w:rsidRPr="00081BA2">
        <w:rPr>
          <w:rFonts w:asciiTheme="majorHAnsi" w:hAnsiTheme="majorHAnsi"/>
          <w:sz w:val="20"/>
          <w:szCs w:val="20"/>
        </w:rPr>
        <w:t>And, in this sense, the attitude adopted by the Regulatory Entity has apparently been the opposite, and, by means of the instruction, it has attributed to itself powers limiting fundamental rights in clear ignorance of the scope of the legislator</w:t>
      </w:r>
      <w:r>
        <w:rPr>
          <w:rFonts w:asciiTheme="majorHAnsi" w:hAnsiTheme="majorHAnsi"/>
          <w:sz w:val="20"/>
          <w:szCs w:val="20"/>
        </w:rPr>
        <w:t>’</w:t>
      </w:r>
      <w:r w:rsidRPr="00081BA2">
        <w:rPr>
          <w:rFonts w:asciiTheme="majorHAnsi" w:hAnsiTheme="majorHAnsi"/>
          <w:sz w:val="20"/>
          <w:szCs w:val="20"/>
        </w:rPr>
        <w:t>s attribution and, in short, of the express limits within which the legislator delimited the scope of action of the Central Bank. [...]</w:t>
      </w:r>
    </w:p>
    <w:p w14:paraId="4CA29178" w14:textId="3424564E" w:rsidR="00081BA2" w:rsidRDefault="00081BA2" w:rsidP="00081BA2">
      <w:pPr>
        <w:autoSpaceDE w:val="0"/>
        <w:autoSpaceDN w:val="0"/>
        <w:spacing w:before="240" w:after="240"/>
        <w:ind w:left="720" w:right="720"/>
        <w:jc w:val="both"/>
        <w:rPr>
          <w:rFonts w:asciiTheme="majorHAnsi" w:hAnsiTheme="majorHAnsi"/>
          <w:sz w:val="20"/>
          <w:szCs w:val="20"/>
          <w:lang w:val="es-ES_tradnl"/>
        </w:rPr>
      </w:pPr>
      <w:r w:rsidRPr="00081BA2">
        <w:rPr>
          <w:rFonts w:asciiTheme="majorHAnsi" w:hAnsiTheme="majorHAnsi"/>
          <w:sz w:val="20"/>
          <w:szCs w:val="20"/>
        </w:rPr>
        <w:t xml:space="preserve">None of the norms mentioned by the respondent, either in the acts appealed against or in its answer to the complaint, confer on it the power to restrict rights whose limitation is the exclusive competence of laws enacted for reasons of general interest. </w:t>
      </w:r>
      <w:r w:rsidRPr="00081BA2">
        <w:rPr>
          <w:rFonts w:asciiTheme="majorHAnsi" w:hAnsiTheme="majorHAnsi"/>
          <w:sz w:val="20"/>
          <w:szCs w:val="20"/>
          <w:lang w:val="es-ES_tradnl"/>
        </w:rPr>
        <w:t>[...]</w:t>
      </w:r>
    </w:p>
    <w:p w14:paraId="44A256F5" w14:textId="675119D7" w:rsidR="007B5F05" w:rsidRPr="007B5F05" w:rsidRDefault="007B5F05"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7B5F05">
        <w:rPr>
          <w:rFonts w:asciiTheme="majorHAnsi" w:hAnsiTheme="majorHAnsi"/>
          <w:sz w:val="20"/>
          <w:szCs w:val="20"/>
        </w:rPr>
        <w:t xml:space="preserve">The State considers that the aforementioned decision put an end to the subject matter of the petition, and that it </w:t>
      </w:r>
      <w:r>
        <w:rPr>
          <w:rFonts w:asciiTheme="majorHAnsi" w:hAnsiTheme="majorHAnsi"/>
          <w:sz w:val="20"/>
          <w:szCs w:val="20"/>
        </w:rPr>
        <w:t>evidences</w:t>
      </w:r>
      <w:r w:rsidRPr="007B5F05">
        <w:rPr>
          <w:rFonts w:asciiTheme="majorHAnsi" w:hAnsiTheme="majorHAnsi"/>
          <w:sz w:val="20"/>
          <w:szCs w:val="20"/>
        </w:rPr>
        <w:t xml:space="preserve"> that domestic remedies had not been exhausted at the time the petition was presented to the Commission. It also emphasizes that the decision of the </w:t>
      </w:r>
      <w:r>
        <w:rPr>
          <w:rFonts w:asciiTheme="majorHAnsi" w:hAnsiTheme="majorHAnsi"/>
          <w:sz w:val="20"/>
          <w:szCs w:val="20"/>
        </w:rPr>
        <w:t>CAL</w:t>
      </w:r>
      <w:r w:rsidRPr="007B5F05">
        <w:rPr>
          <w:rFonts w:asciiTheme="majorHAnsi" w:hAnsiTheme="majorHAnsi"/>
          <w:sz w:val="20"/>
          <w:szCs w:val="20"/>
        </w:rPr>
        <w:t xml:space="preserve"> extinguished the administrative act of the </w:t>
      </w:r>
      <w:r>
        <w:rPr>
          <w:rFonts w:asciiTheme="majorHAnsi" w:hAnsiTheme="majorHAnsi"/>
          <w:sz w:val="20"/>
          <w:szCs w:val="20"/>
        </w:rPr>
        <w:t>CB</w:t>
      </w:r>
      <w:r w:rsidRPr="007B5F05">
        <w:rPr>
          <w:rFonts w:asciiTheme="majorHAnsi" w:hAnsiTheme="majorHAnsi"/>
          <w:sz w:val="20"/>
          <w:szCs w:val="20"/>
        </w:rPr>
        <w:t xml:space="preserve">U; that the judgment of the </w:t>
      </w:r>
      <w:r>
        <w:rPr>
          <w:rFonts w:asciiTheme="majorHAnsi" w:hAnsiTheme="majorHAnsi"/>
          <w:sz w:val="20"/>
          <w:szCs w:val="20"/>
        </w:rPr>
        <w:t>CAL</w:t>
      </w:r>
      <w:r w:rsidRPr="007B5F05">
        <w:rPr>
          <w:rFonts w:asciiTheme="majorHAnsi" w:hAnsiTheme="majorHAnsi"/>
          <w:sz w:val="20"/>
          <w:szCs w:val="20"/>
        </w:rPr>
        <w:t xml:space="preserve"> has been complied with by the </w:t>
      </w:r>
      <w:r>
        <w:rPr>
          <w:rFonts w:asciiTheme="majorHAnsi" w:hAnsiTheme="majorHAnsi"/>
          <w:sz w:val="20"/>
          <w:szCs w:val="20"/>
        </w:rPr>
        <w:t>CB</w:t>
      </w:r>
      <w:r w:rsidRPr="007B5F05">
        <w:rPr>
          <w:rFonts w:asciiTheme="majorHAnsi" w:hAnsiTheme="majorHAnsi"/>
          <w:sz w:val="20"/>
          <w:szCs w:val="20"/>
        </w:rPr>
        <w:t xml:space="preserve">U and has not been resisted by the State. Furthermore, that since the issuance of the </w:t>
      </w:r>
      <w:r>
        <w:rPr>
          <w:rFonts w:asciiTheme="majorHAnsi" w:hAnsiTheme="majorHAnsi"/>
          <w:sz w:val="20"/>
          <w:szCs w:val="20"/>
        </w:rPr>
        <w:t>CAL</w:t>
      </w:r>
      <w:r w:rsidRPr="007B5F05">
        <w:rPr>
          <w:rFonts w:asciiTheme="majorHAnsi" w:hAnsiTheme="majorHAnsi"/>
          <w:sz w:val="20"/>
          <w:szCs w:val="20"/>
        </w:rPr>
        <w:t xml:space="preserve">'s judgment, the alleged victims have had the right to file a reparation action before the relevant judicial authorities if they wish to recover damages that the annulled act may have caused them; and that it was only in February 2022 that the Consortium filed a claim for damages against the </w:t>
      </w:r>
      <w:r>
        <w:rPr>
          <w:rFonts w:asciiTheme="majorHAnsi" w:hAnsiTheme="majorHAnsi"/>
          <w:sz w:val="20"/>
          <w:szCs w:val="20"/>
        </w:rPr>
        <w:t>CB</w:t>
      </w:r>
      <w:r w:rsidRPr="007B5F05">
        <w:rPr>
          <w:rFonts w:asciiTheme="majorHAnsi" w:hAnsiTheme="majorHAnsi"/>
          <w:sz w:val="20"/>
          <w:szCs w:val="20"/>
        </w:rPr>
        <w:t>U requesting compensation in excess of 21 million dollars for damages allegedly caused by the limitation to their freedom of expression.</w:t>
      </w:r>
    </w:p>
    <w:p w14:paraId="55ACFA36" w14:textId="59ACBA65" w:rsidR="007B5F05" w:rsidRPr="007B5F05" w:rsidRDefault="007B5F05"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7B5F05">
        <w:rPr>
          <w:rFonts w:asciiTheme="majorHAnsi" w:hAnsiTheme="majorHAnsi"/>
          <w:sz w:val="20"/>
          <w:szCs w:val="20"/>
        </w:rPr>
        <w:t xml:space="preserve">The State has also transmitted to the Commission a report submitted by the </w:t>
      </w:r>
      <w:r>
        <w:rPr>
          <w:rFonts w:asciiTheme="majorHAnsi" w:hAnsiTheme="majorHAnsi"/>
          <w:sz w:val="20"/>
          <w:szCs w:val="20"/>
        </w:rPr>
        <w:t>CB</w:t>
      </w:r>
      <w:r w:rsidRPr="007B5F05">
        <w:rPr>
          <w:rFonts w:asciiTheme="majorHAnsi" w:hAnsiTheme="majorHAnsi"/>
          <w:sz w:val="20"/>
          <w:szCs w:val="20"/>
        </w:rPr>
        <w:t xml:space="preserve">U, in which it emphasizes that the alleged victims had at their disposal (and did not use) legal mechanisms to request the administrative authorities or the </w:t>
      </w:r>
      <w:r>
        <w:rPr>
          <w:rFonts w:asciiTheme="majorHAnsi" w:hAnsiTheme="majorHAnsi"/>
          <w:sz w:val="20"/>
          <w:szCs w:val="20"/>
        </w:rPr>
        <w:t>CAL</w:t>
      </w:r>
      <w:r w:rsidRPr="007B5F05">
        <w:rPr>
          <w:rFonts w:asciiTheme="majorHAnsi" w:hAnsiTheme="majorHAnsi"/>
          <w:sz w:val="20"/>
          <w:szCs w:val="20"/>
        </w:rPr>
        <w:t xml:space="preserve"> to suspend the administrative act that they considered violated their rights. In this report, the </w:t>
      </w:r>
      <w:r>
        <w:rPr>
          <w:rFonts w:asciiTheme="majorHAnsi" w:hAnsiTheme="majorHAnsi"/>
          <w:sz w:val="20"/>
          <w:szCs w:val="20"/>
        </w:rPr>
        <w:t>CB</w:t>
      </w:r>
      <w:r w:rsidRPr="007B5F05">
        <w:rPr>
          <w:rFonts w:asciiTheme="majorHAnsi" w:hAnsiTheme="majorHAnsi"/>
          <w:sz w:val="20"/>
          <w:szCs w:val="20"/>
        </w:rPr>
        <w:t xml:space="preserve">U also noted that the administrative acts issued in relation to the Consortium did not involve prior censorship or a violation of freedom of expression. The report also states that the </w:t>
      </w:r>
      <w:r>
        <w:rPr>
          <w:rFonts w:asciiTheme="majorHAnsi" w:hAnsiTheme="majorHAnsi"/>
          <w:sz w:val="20"/>
          <w:szCs w:val="20"/>
        </w:rPr>
        <w:t>CB</w:t>
      </w:r>
      <w:r w:rsidRPr="007B5F05">
        <w:rPr>
          <w:rFonts w:asciiTheme="majorHAnsi" w:hAnsiTheme="majorHAnsi"/>
          <w:sz w:val="20"/>
          <w:szCs w:val="20"/>
        </w:rPr>
        <w:t>U acted in accordance with the law in force and within the limits of its competence and powers to regulate the activity of the financial system. The report also states that the Consortium</w:t>
      </w:r>
      <w:r>
        <w:rPr>
          <w:rFonts w:asciiTheme="majorHAnsi" w:hAnsiTheme="majorHAnsi"/>
          <w:sz w:val="20"/>
          <w:szCs w:val="20"/>
        </w:rPr>
        <w:t>’</w:t>
      </w:r>
      <w:r w:rsidRPr="007B5F05">
        <w:rPr>
          <w:rFonts w:asciiTheme="majorHAnsi" w:hAnsiTheme="majorHAnsi"/>
          <w:sz w:val="20"/>
          <w:szCs w:val="20"/>
        </w:rPr>
        <w:t>s advertising activity was focused on obtaining greater economic benefits, and therefore the information provided by the Consortium was biased and self-serving. It also indicates that the Consortium and the competitor had engaged in a media war consisting of biased communications, affecting the national financial system as a whole. For these reasons, the report argues that the limitation of certain aspects of the freedom of expression of companies that make up a financial system is admissible given the particularly sensitive nature of the financial sector.</w:t>
      </w:r>
    </w:p>
    <w:p w14:paraId="53E25831" w14:textId="78ABDF81" w:rsidR="007B5F05" w:rsidRPr="007B5F05" w:rsidRDefault="007B5F05"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7B5F05">
        <w:rPr>
          <w:rFonts w:asciiTheme="majorHAnsi" w:hAnsiTheme="majorHAnsi"/>
          <w:sz w:val="20"/>
          <w:szCs w:val="20"/>
        </w:rPr>
        <w:t xml:space="preserve">The report also highlights that the restrictions on advertising activity were applied equally to the two companies involved in the media war. The report also states that the </w:t>
      </w:r>
      <w:r>
        <w:rPr>
          <w:rFonts w:asciiTheme="majorHAnsi" w:hAnsiTheme="majorHAnsi"/>
          <w:sz w:val="20"/>
          <w:szCs w:val="20"/>
        </w:rPr>
        <w:t>CB</w:t>
      </w:r>
      <w:r w:rsidRPr="007B5F05">
        <w:rPr>
          <w:rFonts w:asciiTheme="majorHAnsi" w:hAnsiTheme="majorHAnsi"/>
          <w:sz w:val="20"/>
          <w:szCs w:val="20"/>
        </w:rPr>
        <w:t xml:space="preserve">U only communicated its instructions to the two companies without imposing censorship on any media outlet, and that the measures adopted by the </w:t>
      </w:r>
      <w:r>
        <w:rPr>
          <w:rFonts w:asciiTheme="majorHAnsi" w:hAnsiTheme="majorHAnsi"/>
          <w:sz w:val="20"/>
          <w:szCs w:val="20"/>
        </w:rPr>
        <w:t>CB</w:t>
      </w:r>
      <w:r w:rsidRPr="007B5F05">
        <w:rPr>
          <w:rFonts w:asciiTheme="majorHAnsi" w:hAnsiTheme="majorHAnsi"/>
          <w:sz w:val="20"/>
          <w:szCs w:val="20"/>
        </w:rPr>
        <w:t>U were acts taken after the fact following the communications made by the companies.</w:t>
      </w:r>
    </w:p>
    <w:p w14:paraId="45CD9840" w14:textId="24231E5A" w:rsidR="007B5F05" w:rsidRPr="007B5F05" w:rsidRDefault="007B5F05" w:rsidP="00086FC9">
      <w:pPr>
        <w:pStyle w:val="ListParagraph"/>
        <w:numPr>
          <w:ilvl w:val="0"/>
          <w:numId w:val="103"/>
        </w:numPr>
        <w:tabs>
          <w:tab w:val="clear" w:pos="720"/>
          <w:tab w:val="num" w:pos="810"/>
        </w:tabs>
        <w:spacing w:before="240" w:after="240"/>
        <w:jc w:val="both"/>
        <w:rPr>
          <w:rFonts w:asciiTheme="majorHAnsi" w:hAnsiTheme="majorHAnsi"/>
          <w:sz w:val="20"/>
          <w:szCs w:val="20"/>
        </w:rPr>
      </w:pPr>
      <w:r w:rsidRPr="007B5F05">
        <w:rPr>
          <w:rFonts w:asciiTheme="majorHAnsi" w:hAnsiTheme="majorHAnsi"/>
          <w:sz w:val="20"/>
          <w:szCs w:val="20"/>
        </w:rPr>
        <w:lastRenderedPageBreak/>
        <w:t xml:space="preserve">In its communication of November 15, 2021, the State sent a copy of another report submitted by the </w:t>
      </w:r>
      <w:r>
        <w:rPr>
          <w:rFonts w:asciiTheme="majorHAnsi" w:hAnsiTheme="majorHAnsi"/>
          <w:sz w:val="20"/>
          <w:szCs w:val="20"/>
        </w:rPr>
        <w:t>CB</w:t>
      </w:r>
      <w:r w:rsidRPr="007B5F05">
        <w:rPr>
          <w:rFonts w:asciiTheme="majorHAnsi" w:hAnsiTheme="majorHAnsi"/>
          <w:sz w:val="20"/>
          <w:szCs w:val="20"/>
        </w:rPr>
        <w:t xml:space="preserve">U. This report highlights that the </w:t>
      </w:r>
      <w:r>
        <w:rPr>
          <w:rFonts w:asciiTheme="majorHAnsi" w:hAnsiTheme="majorHAnsi"/>
          <w:sz w:val="20"/>
          <w:szCs w:val="20"/>
        </w:rPr>
        <w:t>CB</w:t>
      </w:r>
      <w:r w:rsidRPr="007B5F05">
        <w:rPr>
          <w:rFonts w:asciiTheme="majorHAnsi" w:hAnsiTheme="majorHAnsi"/>
          <w:sz w:val="20"/>
          <w:szCs w:val="20"/>
        </w:rPr>
        <w:t xml:space="preserve">U has published on its web page the decision of the </w:t>
      </w:r>
      <w:r>
        <w:rPr>
          <w:rFonts w:asciiTheme="majorHAnsi" w:hAnsiTheme="majorHAnsi"/>
          <w:sz w:val="20"/>
          <w:szCs w:val="20"/>
        </w:rPr>
        <w:t>CAL</w:t>
      </w:r>
      <w:r w:rsidRPr="007B5F05">
        <w:rPr>
          <w:rFonts w:asciiTheme="majorHAnsi" w:hAnsiTheme="majorHAnsi"/>
          <w:sz w:val="20"/>
          <w:szCs w:val="20"/>
        </w:rPr>
        <w:t xml:space="preserve"> that annulled the acts complained of by the petitioner and that since that decision was issued, it has taken it into account to guide its administrative actions. This report also argues that the petitioner does not explain in what specific way the </w:t>
      </w:r>
      <w:r>
        <w:rPr>
          <w:rFonts w:asciiTheme="majorHAnsi" w:hAnsiTheme="majorHAnsi"/>
          <w:sz w:val="20"/>
          <w:szCs w:val="20"/>
        </w:rPr>
        <w:t>CB</w:t>
      </w:r>
      <w:r w:rsidRPr="007B5F05">
        <w:rPr>
          <w:rFonts w:asciiTheme="majorHAnsi" w:hAnsiTheme="majorHAnsi"/>
          <w:sz w:val="20"/>
          <w:szCs w:val="20"/>
        </w:rPr>
        <w:t xml:space="preserve">U's actions have affected the rights of the individuals named as alleged victims in the petition, </w:t>
      </w:r>
      <w:r w:rsidR="00424463">
        <w:rPr>
          <w:rFonts w:asciiTheme="majorHAnsi" w:hAnsiTheme="majorHAnsi"/>
          <w:sz w:val="20"/>
          <w:szCs w:val="20"/>
        </w:rPr>
        <w:t>maintaining</w:t>
      </w:r>
      <w:r w:rsidRPr="007B5F05">
        <w:rPr>
          <w:rFonts w:asciiTheme="majorHAnsi" w:hAnsiTheme="majorHAnsi"/>
          <w:sz w:val="20"/>
          <w:szCs w:val="20"/>
        </w:rPr>
        <w:t xml:space="preserve"> that the Consor</w:t>
      </w:r>
      <w:r>
        <w:rPr>
          <w:rFonts w:asciiTheme="majorHAnsi" w:hAnsiTheme="majorHAnsi"/>
          <w:sz w:val="20"/>
          <w:szCs w:val="20"/>
        </w:rPr>
        <w:t>tium</w:t>
      </w:r>
      <w:r w:rsidRPr="007B5F05">
        <w:rPr>
          <w:rFonts w:asciiTheme="majorHAnsi" w:hAnsiTheme="majorHAnsi"/>
          <w:sz w:val="20"/>
          <w:szCs w:val="20"/>
        </w:rPr>
        <w:t xml:space="preserve"> has</w:t>
      </w:r>
      <w:r w:rsidR="00424463">
        <w:rPr>
          <w:rFonts w:asciiTheme="majorHAnsi" w:hAnsiTheme="majorHAnsi"/>
          <w:sz w:val="20"/>
          <w:szCs w:val="20"/>
        </w:rPr>
        <w:t xml:space="preserve"> not</w:t>
      </w:r>
      <w:r w:rsidRPr="007B5F05">
        <w:rPr>
          <w:rFonts w:asciiTheme="majorHAnsi" w:hAnsiTheme="majorHAnsi"/>
          <w:sz w:val="20"/>
          <w:szCs w:val="20"/>
        </w:rPr>
        <w:t xml:space="preserve"> been the victim of retaliation</w:t>
      </w:r>
      <w:r w:rsidR="00424463">
        <w:rPr>
          <w:rFonts w:asciiTheme="majorHAnsi" w:hAnsiTheme="majorHAnsi"/>
          <w:sz w:val="20"/>
          <w:szCs w:val="20"/>
        </w:rPr>
        <w:t>s</w:t>
      </w:r>
      <w:r w:rsidRPr="007B5F05">
        <w:rPr>
          <w:rFonts w:asciiTheme="majorHAnsi" w:hAnsiTheme="majorHAnsi"/>
          <w:sz w:val="20"/>
          <w:szCs w:val="20"/>
        </w:rPr>
        <w:t xml:space="preserve"> following the decision of the </w:t>
      </w:r>
      <w:r>
        <w:rPr>
          <w:rFonts w:asciiTheme="majorHAnsi" w:hAnsiTheme="majorHAnsi"/>
          <w:sz w:val="20"/>
          <w:szCs w:val="20"/>
        </w:rPr>
        <w:t>CAL</w:t>
      </w:r>
      <w:r w:rsidRPr="007B5F05">
        <w:rPr>
          <w:rFonts w:asciiTheme="majorHAnsi" w:hAnsiTheme="majorHAnsi"/>
          <w:sz w:val="20"/>
          <w:szCs w:val="20"/>
        </w:rPr>
        <w:t>, and</w:t>
      </w:r>
      <w:r w:rsidR="00424463">
        <w:rPr>
          <w:rFonts w:asciiTheme="majorHAnsi" w:hAnsiTheme="majorHAnsi"/>
          <w:sz w:val="20"/>
          <w:szCs w:val="20"/>
        </w:rPr>
        <w:t xml:space="preserve"> highlighting</w:t>
      </w:r>
      <w:r w:rsidRPr="007B5F05">
        <w:rPr>
          <w:rFonts w:asciiTheme="majorHAnsi" w:hAnsiTheme="majorHAnsi"/>
          <w:sz w:val="20"/>
          <w:szCs w:val="20"/>
        </w:rPr>
        <w:t xml:space="preserve"> that the company continues to operate in Uruguay without any type of limitation, threat, or special suspicion.</w:t>
      </w:r>
    </w:p>
    <w:p w14:paraId="45B0AD80" w14:textId="72FE09BC" w:rsidR="00086FC9" w:rsidRPr="00086FC9" w:rsidRDefault="00F621C3" w:rsidP="00086FC9">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00086FC9">
        <w:rPr>
          <w:rFonts w:asciiTheme="majorHAnsi" w:hAnsiTheme="majorHAnsi"/>
          <w:b/>
          <w:sz w:val="20"/>
          <w:szCs w:val="20"/>
        </w:rPr>
        <w:t>THE RATIONE PERSONAE COMPETENCE OF THE IACHR</w:t>
      </w:r>
    </w:p>
    <w:p w14:paraId="58BB7CB1" w14:textId="4F71F05E" w:rsidR="007B5F05" w:rsidRPr="007B5F05" w:rsidRDefault="007B5F05" w:rsidP="00086FC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adjustRightInd w:val="0"/>
        <w:spacing w:before="240" w:after="240"/>
        <w:jc w:val="both"/>
        <w:rPr>
          <w:rFonts w:asciiTheme="majorHAnsi" w:hAnsiTheme="majorHAnsi" w:cs="Calibri"/>
          <w:sz w:val="20"/>
          <w:szCs w:val="20"/>
        </w:rPr>
      </w:pPr>
      <w:r w:rsidRPr="007B5F05">
        <w:rPr>
          <w:rFonts w:asciiTheme="majorHAnsi" w:hAnsiTheme="majorHAnsi" w:cs="Calibri"/>
          <w:sz w:val="20"/>
          <w:szCs w:val="20"/>
        </w:rPr>
        <w:t>As a logical first step before considering any aspect of admissibility, the Inter-American Commission must refer to its competence to rule on this case. Thus, the Commission notes that the State maintains that the facts that give rise to the petition refer exclusively to actions taken by the C</w:t>
      </w:r>
      <w:r>
        <w:rPr>
          <w:rFonts w:asciiTheme="majorHAnsi" w:hAnsiTheme="majorHAnsi" w:cs="Calibri"/>
          <w:sz w:val="20"/>
          <w:szCs w:val="20"/>
        </w:rPr>
        <w:t>B</w:t>
      </w:r>
      <w:r w:rsidRPr="007B5F05">
        <w:rPr>
          <w:rFonts w:asciiTheme="majorHAnsi" w:hAnsiTheme="majorHAnsi" w:cs="Calibri"/>
          <w:sz w:val="20"/>
          <w:szCs w:val="20"/>
        </w:rPr>
        <w:t xml:space="preserve">U with respect to a legal person supervised by it. In turn, the petitioner argues that the acts of the </w:t>
      </w:r>
      <w:r>
        <w:rPr>
          <w:rFonts w:asciiTheme="majorHAnsi" w:hAnsiTheme="majorHAnsi" w:cs="Calibri"/>
          <w:sz w:val="20"/>
          <w:szCs w:val="20"/>
        </w:rPr>
        <w:t>CB</w:t>
      </w:r>
      <w:r w:rsidRPr="007B5F05">
        <w:rPr>
          <w:rFonts w:asciiTheme="majorHAnsi" w:hAnsiTheme="majorHAnsi" w:cs="Calibri"/>
          <w:sz w:val="20"/>
          <w:szCs w:val="20"/>
        </w:rPr>
        <w:t>U affected the rights of natural persons, including the three it presents as alleged victims.</w:t>
      </w:r>
    </w:p>
    <w:p w14:paraId="004C3368" w14:textId="4B850778" w:rsidR="007B5F05" w:rsidRPr="004C4C67" w:rsidRDefault="007B5F05" w:rsidP="00086FC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autoSpaceDE w:val="0"/>
        <w:autoSpaceDN w:val="0"/>
        <w:adjustRightInd w:val="0"/>
        <w:spacing w:before="240" w:after="240"/>
        <w:jc w:val="both"/>
        <w:rPr>
          <w:rFonts w:asciiTheme="majorHAnsi" w:hAnsiTheme="majorHAnsi" w:cs="Calibri"/>
          <w:sz w:val="20"/>
          <w:szCs w:val="20"/>
        </w:rPr>
      </w:pPr>
      <w:r w:rsidRPr="007B5F05">
        <w:rPr>
          <w:rFonts w:asciiTheme="majorHAnsi" w:hAnsiTheme="majorHAnsi" w:cs="Calibri"/>
          <w:sz w:val="20"/>
          <w:szCs w:val="20"/>
        </w:rPr>
        <w:t xml:space="preserve">In this regard, the Inter-American Commission emphasizes that Article 1(2) of the American Convention clearly establishes: </w:t>
      </w:r>
      <w:r w:rsidR="004C4C67">
        <w:rPr>
          <w:rFonts w:asciiTheme="majorHAnsi" w:hAnsiTheme="majorHAnsi" w:cs="Calibri"/>
          <w:sz w:val="20"/>
          <w:szCs w:val="20"/>
        </w:rPr>
        <w:t>“</w:t>
      </w:r>
      <w:r w:rsidR="004C4C67" w:rsidRPr="004C4C67">
        <w:rPr>
          <w:rFonts w:asciiTheme="majorHAnsi" w:hAnsiTheme="majorHAnsi" w:cs="Calibri"/>
          <w:i/>
          <w:iCs/>
          <w:sz w:val="20"/>
          <w:szCs w:val="20"/>
        </w:rPr>
        <w:t>For the purposes of this Convention, "person" means every human being</w:t>
      </w:r>
      <w:r w:rsidR="004C4C67">
        <w:rPr>
          <w:rFonts w:asciiTheme="majorHAnsi" w:hAnsiTheme="majorHAnsi" w:cs="Calibri"/>
          <w:sz w:val="20"/>
          <w:szCs w:val="20"/>
        </w:rPr>
        <w:t>”</w:t>
      </w:r>
      <w:r w:rsidRPr="007B5F05">
        <w:rPr>
          <w:rFonts w:asciiTheme="majorHAnsi" w:hAnsiTheme="majorHAnsi" w:cs="Calibri"/>
          <w:sz w:val="20"/>
          <w:szCs w:val="20"/>
        </w:rPr>
        <w:t xml:space="preserve">. This provision is consistent with the object and purpose of the American Convention as expressly defined in the Preamble of said treaty, which refers emphatically to concepts such as </w:t>
      </w:r>
      <w:r w:rsidR="004C4C67">
        <w:rPr>
          <w:rFonts w:asciiTheme="majorHAnsi" w:hAnsiTheme="majorHAnsi" w:cs="Calibri"/>
          <w:sz w:val="20"/>
          <w:szCs w:val="20"/>
        </w:rPr>
        <w:t>“</w:t>
      </w:r>
      <w:r w:rsidRPr="004C4C67">
        <w:rPr>
          <w:rFonts w:asciiTheme="majorHAnsi" w:hAnsiTheme="majorHAnsi" w:cs="Calibri"/>
          <w:i/>
          <w:iCs/>
          <w:sz w:val="20"/>
          <w:szCs w:val="20"/>
        </w:rPr>
        <w:t>the essential rights of man</w:t>
      </w:r>
      <w:r w:rsidR="004C4C67">
        <w:rPr>
          <w:rFonts w:asciiTheme="majorHAnsi" w:hAnsiTheme="majorHAnsi" w:cs="Calibri"/>
          <w:sz w:val="20"/>
          <w:szCs w:val="20"/>
        </w:rPr>
        <w:t>”</w:t>
      </w:r>
      <w:r w:rsidRPr="007B5F05">
        <w:rPr>
          <w:rFonts w:asciiTheme="majorHAnsi" w:hAnsiTheme="majorHAnsi" w:cs="Calibri"/>
          <w:sz w:val="20"/>
          <w:szCs w:val="20"/>
        </w:rPr>
        <w:t xml:space="preserve">, </w:t>
      </w:r>
      <w:r w:rsidR="004C4C67">
        <w:rPr>
          <w:rFonts w:asciiTheme="majorHAnsi" w:hAnsiTheme="majorHAnsi" w:cs="Calibri"/>
          <w:sz w:val="20"/>
          <w:szCs w:val="20"/>
        </w:rPr>
        <w:t>“</w:t>
      </w:r>
      <w:r w:rsidRPr="004C4C67">
        <w:rPr>
          <w:rFonts w:asciiTheme="majorHAnsi" w:hAnsiTheme="majorHAnsi" w:cs="Calibri"/>
          <w:i/>
          <w:iCs/>
          <w:sz w:val="20"/>
          <w:szCs w:val="20"/>
        </w:rPr>
        <w:t>the attributes of the human person</w:t>
      </w:r>
      <w:r w:rsidR="004C4C67">
        <w:rPr>
          <w:rFonts w:asciiTheme="majorHAnsi" w:hAnsiTheme="majorHAnsi" w:cs="Calibri"/>
          <w:i/>
          <w:iCs/>
          <w:sz w:val="20"/>
          <w:szCs w:val="20"/>
        </w:rPr>
        <w:t>ality</w:t>
      </w:r>
      <w:r w:rsidR="004C4C67">
        <w:rPr>
          <w:rFonts w:asciiTheme="majorHAnsi" w:hAnsiTheme="majorHAnsi" w:cs="Calibri"/>
          <w:sz w:val="20"/>
          <w:szCs w:val="20"/>
        </w:rPr>
        <w:t>”</w:t>
      </w:r>
      <w:r w:rsidRPr="007B5F05">
        <w:rPr>
          <w:rFonts w:asciiTheme="majorHAnsi" w:hAnsiTheme="majorHAnsi" w:cs="Calibri"/>
          <w:sz w:val="20"/>
          <w:szCs w:val="20"/>
        </w:rPr>
        <w:t xml:space="preserve"> and the </w:t>
      </w:r>
      <w:r w:rsidR="004C4C67">
        <w:rPr>
          <w:rFonts w:asciiTheme="majorHAnsi" w:hAnsiTheme="majorHAnsi" w:cs="Calibri"/>
          <w:sz w:val="20"/>
          <w:szCs w:val="20"/>
        </w:rPr>
        <w:t>“</w:t>
      </w:r>
      <w:r w:rsidRPr="004C4C67">
        <w:rPr>
          <w:rFonts w:asciiTheme="majorHAnsi" w:hAnsiTheme="majorHAnsi" w:cs="Calibri"/>
          <w:i/>
          <w:iCs/>
          <w:sz w:val="20"/>
          <w:szCs w:val="20"/>
        </w:rPr>
        <w:t xml:space="preserve">ideal of </w:t>
      </w:r>
      <w:r w:rsidR="004C4C67">
        <w:rPr>
          <w:rFonts w:asciiTheme="majorHAnsi" w:hAnsiTheme="majorHAnsi" w:cs="Calibri"/>
          <w:i/>
          <w:iCs/>
          <w:sz w:val="20"/>
          <w:szCs w:val="20"/>
        </w:rPr>
        <w:t>free men</w:t>
      </w:r>
      <w:r w:rsidR="004C4C67">
        <w:rPr>
          <w:rFonts w:asciiTheme="majorHAnsi" w:hAnsiTheme="majorHAnsi" w:cs="Calibri"/>
          <w:sz w:val="20"/>
          <w:szCs w:val="20"/>
        </w:rPr>
        <w:t>”</w:t>
      </w:r>
      <w:r w:rsidRPr="007B5F05">
        <w:rPr>
          <w:rFonts w:asciiTheme="majorHAnsi" w:hAnsiTheme="majorHAnsi" w:cs="Calibri"/>
          <w:sz w:val="20"/>
          <w:szCs w:val="20"/>
        </w:rPr>
        <w:t xml:space="preserve">. </w:t>
      </w:r>
      <w:r w:rsidRPr="004C4C67">
        <w:rPr>
          <w:rFonts w:asciiTheme="majorHAnsi" w:hAnsiTheme="majorHAnsi" w:cs="Calibri"/>
          <w:sz w:val="20"/>
          <w:szCs w:val="20"/>
        </w:rPr>
        <w:t>This approach is consistent throughout the treaty.</w:t>
      </w:r>
    </w:p>
    <w:p w14:paraId="4E324056" w14:textId="590696F5" w:rsidR="004C4C67" w:rsidRPr="004C4C67" w:rsidRDefault="004C4C67" w:rsidP="00086FC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autoSpaceDE w:val="0"/>
        <w:autoSpaceDN w:val="0"/>
        <w:adjustRightInd w:val="0"/>
        <w:spacing w:before="240" w:after="240"/>
        <w:jc w:val="both"/>
        <w:rPr>
          <w:rFonts w:asciiTheme="majorHAnsi" w:hAnsiTheme="majorHAnsi" w:cs="Calibri"/>
          <w:sz w:val="20"/>
          <w:szCs w:val="20"/>
        </w:rPr>
      </w:pPr>
      <w:r w:rsidRPr="004C4C67">
        <w:rPr>
          <w:rFonts w:asciiTheme="majorHAnsi" w:hAnsiTheme="majorHAnsi" w:cs="Calibri"/>
          <w:sz w:val="20"/>
          <w:szCs w:val="20"/>
        </w:rPr>
        <w:t>Thus, the Inter-American Court in its Advisory Opinion 22 of February 26, 2016, concerning precisely the ownership of rights of legal persons in the Inter-American Human Rights System, indicated that outside of the European System</w:t>
      </w:r>
      <w:r>
        <w:rPr>
          <w:rFonts w:asciiTheme="majorHAnsi" w:hAnsiTheme="majorHAnsi" w:cs="Calibri"/>
          <w:sz w:val="20"/>
          <w:szCs w:val="20"/>
        </w:rPr>
        <w:t>, “</w:t>
      </w:r>
      <w:r w:rsidRPr="004C4C67">
        <w:rPr>
          <w:rFonts w:asciiTheme="majorHAnsi" w:hAnsiTheme="majorHAnsi" w:cs="Calibri"/>
          <w:i/>
          <w:iCs/>
          <w:sz w:val="20"/>
          <w:szCs w:val="20"/>
        </w:rPr>
        <w:t>there is currently no clear trend in international human rights law, interested in granting rights to legal entities or in allowing them access as victims to the individual petition processes established by treaties</w:t>
      </w:r>
      <w:r>
        <w:rPr>
          <w:rFonts w:asciiTheme="majorHAnsi" w:hAnsiTheme="majorHAnsi" w:cs="Calibri"/>
          <w:sz w:val="20"/>
          <w:szCs w:val="20"/>
        </w:rPr>
        <w:t>” (para. 62). Later, after analyzing different interpretation techniques, the Court concluded that “</w:t>
      </w:r>
      <w:r w:rsidRPr="004C4C67">
        <w:rPr>
          <w:rFonts w:asciiTheme="majorHAnsi" w:hAnsiTheme="majorHAnsi" w:cs="Calibri"/>
          <w:i/>
          <w:iCs/>
          <w:sz w:val="20"/>
          <w:szCs w:val="20"/>
        </w:rPr>
        <w:t>an interpretation of Article 1(2) of the American Convention, in good faith, in accordance with the natural sense of the terms used in the Convention […] and taking into account the context […] and its object and purpose […], it is clear that legal entities are not holders of Convention-based rights […]</w:t>
      </w:r>
      <w:r>
        <w:rPr>
          <w:rFonts w:asciiTheme="majorHAnsi" w:hAnsiTheme="majorHAnsi" w:cs="Calibri"/>
          <w:sz w:val="20"/>
          <w:szCs w:val="20"/>
        </w:rPr>
        <w:t>” (para. 70).</w:t>
      </w:r>
    </w:p>
    <w:p w14:paraId="31888E27" w14:textId="324D2045" w:rsidR="00086FC9" w:rsidRPr="004C4C67" w:rsidRDefault="004C4C67" w:rsidP="00086FC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autoSpaceDE w:val="0"/>
        <w:autoSpaceDN w:val="0"/>
        <w:adjustRightInd w:val="0"/>
        <w:spacing w:before="240" w:after="240"/>
        <w:jc w:val="both"/>
        <w:rPr>
          <w:rFonts w:asciiTheme="majorHAnsi" w:hAnsiTheme="majorHAnsi" w:cs="Calibri"/>
          <w:i/>
          <w:iCs/>
          <w:sz w:val="20"/>
          <w:szCs w:val="20"/>
        </w:rPr>
      </w:pPr>
      <w:r w:rsidRPr="004C4C67">
        <w:rPr>
          <w:rFonts w:asciiTheme="majorHAnsi" w:hAnsiTheme="majorHAnsi" w:cs="Calibri"/>
          <w:sz w:val="20"/>
          <w:szCs w:val="20"/>
        </w:rPr>
        <w:t>In the same Opinion, the Court also held</w:t>
      </w:r>
      <w:r w:rsidR="00086FC9" w:rsidRPr="004C4C67">
        <w:rPr>
          <w:rFonts w:asciiTheme="majorHAnsi" w:hAnsiTheme="majorHAnsi" w:cs="Calibri"/>
          <w:sz w:val="20"/>
          <w:szCs w:val="20"/>
        </w:rPr>
        <w:t>:</w:t>
      </w:r>
    </w:p>
    <w:p w14:paraId="5EC243BC" w14:textId="283D7D28" w:rsidR="00086FC9" w:rsidRPr="000964BE" w:rsidRDefault="00086FC9" w:rsidP="00086FC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right="720"/>
        <w:jc w:val="both"/>
        <w:rPr>
          <w:rFonts w:asciiTheme="majorHAnsi" w:hAnsiTheme="majorHAnsi"/>
          <w:sz w:val="20"/>
          <w:szCs w:val="20"/>
        </w:rPr>
      </w:pPr>
      <w:r w:rsidRPr="004C4C67">
        <w:rPr>
          <w:rFonts w:asciiTheme="majorHAnsi" w:hAnsiTheme="majorHAnsi"/>
          <w:sz w:val="20"/>
          <w:szCs w:val="20"/>
        </w:rPr>
        <w:t xml:space="preserve">[…] </w:t>
      </w:r>
      <w:r w:rsidR="004C4C67" w:rsidRPr="004C4C67">
        <w:rPr>
          <w:rFonts w:asciiTheme="majorHAnsi" w:hAnsiTheme="majorHAnsi"/>
          <w:sz w:val="20"/>
          <w:szCs w:val="20"/>
        </w:rPr>
        <w:t xml:space="preserve">regardless of the specificity of each case, this Court considers that the exercise of the right through a legal entity must involve an essential and direct relationship between the natural person who requires protection by the </w:t>
      </w:r>
      <w:r w:rsidR="002616E5">
        <w:rPr>
          <w:rFonts w:asciiTheme="majorHAnsi" w:hAnsiTheme="majorHAnsi"/>
          <w:sz w:val="20"/>
          <w:szCs w:val="20"/>
        </w:rPr>
        <w:t>I</w:t>
      </w:r>
      <w:r w:rsidR="004C4C67" w:rsidRPr="004C4C67">
        <w:rPr>
          <w:rFonts w:asciiTheme="majorHAnsi" w:hAnsiTheme="majorHAnsi"/>
          <w:sz w:val="20"/>
          <w:szCs w:val="20"/>
        </w:rPr>
        <w:t>nter</w:t>
      </w:r>
      <w:r w:rsidR="00616C1E">
        <w:rPr>
          <w:rFonts w:asciiTheme="majorHAnsi" w:hAnsiTheme="majorHAnsi"/>
          <w:sz w:val="20"/>
          <w:szCs w:val="20"/>
        </w:rPr>
        <w:t xml:space="preserve"> </w:t>
      </w:r>
      <w:r w:rsidR="004C4C67" w:rsidRPr="004C4C67">
        <w:rPr>
          <w:rFonts w:asciiTheme="majorHAnsi" w:hAnsiTheme="majorHAnsi"/>
          <w:sz w:val="20"/>
          <w:szCs w:val="20"/>
        </w:rPr>
        <w:t>American system and the legal entity through which the violation occurred, since a simple link between both is not enough to conclude that the rights of natural persons and not of legal entities are effectively being protected. Indeed, it must be proven beyond the simple participation of the natural person in the activities of the legal entity, that said participation is substantially related to the rights alleged as violated</w:t>
      </w:r>
      <w:r w:rsidRPr="004C4C67">
        <w:rPr>
          <w:rFonts w:asciiTheme="majorHAnsi" w:hAnsiTheme="majorHAnsi"/>
          <w:sz w:val="20"/>
          <w:szCs w:val="20"/>
        </w:rPr>
        <w:t xml:space="preserve"> […] </w:t>
      </w:r>
      <w:r w:rsidRPr="000964BE">
        <w:rPr>
          <w:rFonts w:asciiTheme="majorHAnsi" w:hAnsiTheme="majorHAnsi"/>
          <w:sz w:val="20"/>
          <w:szCs w:val="20"/>
        </w:rPr>
        <w:t>(p</w:t>
      </w:r>
      <w:r w:rsidR="004C4C67" w:rsidRPr="000964BE">
        <w:rPr>
          <w:rFonts w:asciiTheme="majorHAnsi" w:hAnsiTheme="majorHAnsi"/>
          <w:sz w:val="20"/>
          <w:szCs w:val="20"/>
        </w:rPr>
        <w:t>ara.</w:t>
      </w:r>
      <w:r w:rsidRPr="000964BE">
        <w:rPr>
          <w:rFonts w:asciiTheme="majorHAnsi" w:hAnsiTheme="majorHAnsi"/>
          <w:sz w:val="20"/>
          <w:szCs w:val="20"/>
        </w:rPr>
        <w:t xml:space="preserve"> 119).</w:t>
      </w:r>
    </w:p>
    <w:p w14:paraId="5DAD6DC5" w14:textId="05F9C979" w:rsidR="00086FC9" w:rsidRPr="00E06DDF" w:rsidRDefault="000964BE" w:rsidP="00086FC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right="720"/>
        <w:jc w:val="both"/>
        <w:rPr>
          <w:rFonts w:asciiTheme="majorHAnsi" w:hAnsiTheme="majorHAnsi" w:cs="Calibri"/>
          <w:i/>
          <w:iCs/>
          <w:sz w:val="20"/>
          <w:szCs w:val="20"/>
          <w:lang w:val="es-ES_tradnl"/>
        </w:rPr>
      </w:pPr>
      <w:r w:rsidRPr="000964BE">
        <w:rPr>
          <w:rFonts w:asciiTheme="majorHAnsi" w:hAnsiTheme="majorHAnsi"/>
          <w:sz w:val="20"/>
          <w:szCs w:val="20"/>
        </w:rPr>
        <w:t>The Court therefore holds that, due to the multiple forms of legal entities that can arise, such as companies or commercial companies, political parties, religious associations or nongovernmental organizations, it is not feasible to establish a single formula that serves to recognize the existence of the exercise of rights of natural persons through their participation in a legal entity, in the same way as it has done with the right to property and freedom of</w:t>
      </w:r>
      <w:r>
        <w:rPr>
          <w:rFonts w:asciiTheme="majorHAnsi" w:hAnsiTheme="majorHAnsi"/>
          <w:sz w:val="20"/>
          <w:szCs w:val="20"/>
        </w:rPr>
        <w:t xml:space="preserve"> </w:t>
      </w:r>
      <w:r w:rsidRPr="000964BE">
        <w:rPr>
          <w:rFonts w:asciiTheme="majorHAnsi" w:hAnsiTheme="majorHAnsi"/>
          <w:sz w:val="20"/>
          <w:szCs w:val="20"/>
        </w:rPr>
        <w:t>expression. Therefore, the Court will determine how to prove the link when it analyzes claims that rights have been violated in a specific contentious case.</w:t>
      </w:r>
      <w:r w:rsidR="00086FC9" w:rsidRPr="000964BE">
        <w:rPr>
          <w:rFonts w:asciiTheme="majorHAnsi" w:hAnsiTheme="majorHAnsi"/>
          <w:sz w:val="20"/>
          <w:szCs w:val="20"/>
        </w:rPr>
        <w:t xml:space="preserve"> </w:t>
      </w:r>
      <w:r w:rsidR="00086FC9" w:rsidRPr="00E06DDF">
        <w:rPr>
          <w:rFonts w:asciiTheme="majorHAnsi" w:hAnsiTheme="majorHAnsi"/>
          <w:sz w:val="20"/>
          <w:szCs w:val="20"/>
          <w:lang w:val="es-ES_tradnl"/>
        </w:rPr>
        <w:t>[…]</w:t>
      </w:r>
    </w:p>
    <w:p w14:paraId="7C11870C" w14:textId="530EAB31" w:rsidR="000964BE" w:rsidRPr="000964BE" w:rsidRDefault="000964BE" w:rsidP="00086FC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autoSpaceDE w:val="0"/>
        <w:autoSpaceDN w:val="0"/>
        <w:adjustRightInd w:val="0"/>
        <w:spacing w:before="240" w:after="240"/>
        <w:jc w:val="both"/>
        <w:rPr>
          <w:rFonts w:asciiTheme="majorHAnsi" w:hAnsiTheme="majorHAnsi" w:cs="Calibri"/>
          <w:sz w:val="20"/>
          <w:szCs w:val="20"/>
        </w:rPr>
      </w:pPr>
      <w:r w:rsidRPr="000964BE">
        <w:rPr>
          <w:rFonts w:asciiTheme="majorHAnsi" w:hAnsiTheme="majorHAnsi" w:cs="Calibri"/>
          <w:sz w:val="20"/>
          <w:szCs w:val="20"/>
        </w:rPr>
        <w:t xml:space="preserve">In view of these criteria, the Commission notes that there is no dispute that: i) the acts of the </w:t>
      </w:r>
      <w:r>
        <w:rPr>
          <w:rFonts w:asciiTheme="majorHAnsi" w:hAnsiTheme="majorHAnsi" w:cs="Calibri"/>
          <w:sz w:val="20"/>
          <w:szCs w:val="20"/>
        </w:rPr>
        <w:t>CB</w:t>
      </w:r>
      <w:r w:rsidRPr="000964BE">
        <w:rPr>
          <w:rFonts w:asciiTheme="majorHAnsi" w:hAnsiTheme="majorHAnsi" w:cs="Calibri"/>
          <w:sz w:val="20"/>
          <w:szCs w:val="20"/>
        </w:rPr>
        <w:t xml:space="preserve">U that are alleged to violate the American Convention were directed exclusively against the Consortium in its capacity as a legal person; and ii) all the remedies that have been filed at the domestic level in relation to </w:t>
      </w:r>
      <w:r w:rsidRPr="000964BE">
        <w:rPr>
          <w:rFonts w:asciiTheme="majorHAnsi" w:hAnsiTheme="majorHAnsi" w:cs="Calibri"/>
          <w:sz w:val="20"/>
          <w:szCs w:val="20"/>
        </w:rPr>
        <w:lastRenderedPageBreak/>
        <w:t>those acts concern the rights of the Consortium as a legal person, and no remedies have been filed at the domestic level in relation to the rights of the natural persons who are presented as alleged victims. In this regard, the Commission recalls that according to domestic law, legal persons are entities separate from the natural persons behind them, with their own rights and obligations, and a patrimony separate from that of their shareholders or owners, such arrangement allowing them to exercise their commercial functions</w:t>
      </w:r>
      <w:r w:rsidR="00090B79">
        <w:rPr>
          <w:rFonts w:asciiTheme="majorHAnsi" w:hAnsiTheme="majorHAnsi" w:cs="Calibri"/>
          <w:sz w:val="20"/>
          <w:szCs w:val="20"/>
        </w:rPr>
        <w:t>.</w:t>
      </w:r>
      <w:r w:rsidRPr="00E06DDF">
        <w:rPr>
          <w:rStyle w:val="FootnoteReference"/>
          <w:rFonts w:asciiTheme="majorHAnsi" w:hAnsiTheme="majorHAnsi" w:cs="Calibri"/>
          <w:sz w:val="20"/>
          <w:szCs w:val="20"/>
          <w:lang w:val="es-ES_tradnl"/>
        </w:rPr>
        <w:footnoteReference w:id="6"/>
      </w:r>
      <w:r w:rsidRPr="000964BE">
        <w:rPr>
          <w:rFonts w:asciiTheme="majorHAnsi" w:hAnsiTheme="majorHAnsi" w:cs="Calibri"/>
          <w:sz w:val="20"/>
          <w:szCs w:val="20"/>
        </w:rPr>
        <w:t xml:space="preserve"> Thus, the Commission has established constant and invariable jurisprudence on the inadmissibility of petitions filed by corporate legal persons under the condition of direct victims, or where the exhaustion of domestic remedies was carried out by them and not by the natural persons who appear as petitioners before the Commission</w:t>
      </w:r>
      <w:r w:rsidR="00EB00BC">
        <w:rPr>
          <w:rFonts w:asciiTheme="majorHAnsi" w:hAnsiTheme="majorHAnsi" w:cs="Calibri"/>
          <w:sz w:val="20"/>
          <w:szCs w:val="20"/>
        </w:rPr>
        <w:t>.</w:t>
      </w:r>
      <w:r w:rsidRPr="00E06DDF">
        <w:rPr>
          <w:rStyle w:val="FootnoteReference"/>
          <w:rFonts w:asciiTheme="majorHAnsi" w:hAnsiTheme="majorHAnsi" w:cs="Arial"/>
          <w:sz w:val="20"/>
          <w:szCs w:val="20"/>
          <w:lang w:val="es-ES_tradnl"/>
        </w:rPr>
        <w:footnoteReference w:id="7"/>
      </w:r>
    </w:p>
    <w:p w14:paraId="48D6C9FA" w14:textId="679CFA6F" w:rsidR="000964BE" w:rsidRPr="000964BE" w:rsidRDefault="000964BE" w:rsidP="00086FC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autoSpaceDE w:val="0"/>
        <w:autoSpaceDN w:val="0"/>
        <w:adjustRightInd w:val="0"/>
        <w:spacing w:before="240" w:after="240"/>
        <w:jc w:val="both"/>
        <w:rPr>
          <w:rFonts w:asciiTheme="majorHAnsi" w:hAnsiTheme="majorHAnsi" w:cs="Calibri"/>
          <w:sz w:val="20"/>
          <w:szCs w:val="20"/>
        </w:rPr>
      </w:pPr>
      <w:r w:rsidRPr="000964BE">
        <w:rPr>
          <w:rFonts w:asciiTheme="majorHAnsi" w:hAnsiTheme="majorHAnsi" w:cs="Calibri"/>
          <w:sz w:val="20"/>
          <w:szCs w:val="20"/>
        </w:rPr>
        <w:t xml:space="preserve">The Commission further notes that the petitioner argues that the rights of the three individuals were affected by </w:t>
      </w:r>
      <w:r>
        <w:rPr>
          <w:rFonts w:asciiTheme="majorHAnsi" w:hAnsiTheme="majorHAnsi" w:cs="Calibri"/>
          <w:sz w:val="20"/>
          <w:szCs w:val="20"/>
        </w:rPr>
        <w:t>CB</w:t>
      </w:r>
      <w:r w:rsidRPr="000964BE">
        <w:rPr>
          <w:rFonts w:asciiTheme="majorHAnsi" w:hAnsiTheme="majorHAnsi" w:cs="Calibri"/>
          <w:sz w:val="20"/>
          <w:szCs w:val="20"/>
        </w:rPr>
        <w:t>U</w:t>
      </w:r>
      <w:r>
        <w:rPr>
          <w:rFonts w:asciiTheme="majorHAnsi" w:hAnsiTheme="majorHAnsi" w:cs="Calibri"/>
          <w:sz w:val="20"/>
          <w:szCs w:val="20"/>
        </w:rPr>
        <w:t>’</w:t>
      </w:r>
      <w:r w:rsidRPr="000964BE">
        <w:rPr>
          <w:rFonts w:asciiTheme="majorHAnsi" w:hAnsiTheme="majorHAnsi" w:cs="Calibri"/>
          <w:sz w:val="20"/>
          <w:szCs w:val="20"/>
        </w:rPr>
        <w:t xml:space="preserve">s actions, but without explaining the specific manner in which this occurred. Thus, the petitioner has highlighted the relationship of these individuals with the Consortium as shareholders or directors, but has not proven that the </w:t>
      </w:r>
      <w:r>
        <w:rPr>
          <w:rFonts w:asciiTheme="majorHAnsi" w:hAnsiTheme="majorHAnsi" w:cs="Calibri"/>
          <w:sz w:val="20"/>
          <w:szCs w:val="20"/>
        </w:rPr>
        <w:t>CB</w:t>
      </w:r>
      <w:r w:rsidRPr="000964BE">
        <w:rPr>
          <w:rFonts w:asciiTheme="majorHAnsi" w:hAnsiTheme="majorHAnsi" w:cs="Calibri"/>
          <w:sz w:val="20"/>
          <w:szCs w:val="20"/>
        </w:rPr>
        <w:t>U</w:t>
      </w:r>
      <w:r>
        <w:rPr>
          <w:rFonts w:asciiTheme="majorHAnsi" w:hAnsiTheme="majorHAnsi" w:cs="Calibri"/>
          <w:sz w:val="20"/>
          <w:szCs w:val="20"/>
        </w:rPr>
        <w:t>’</w:t>
      </w:r>
      <w:r w:rsidRPr="000964BE">
        <w:rPr>
          <w:rFonts w:asciiTheme="majorHAnsi" w:hAnsiTheme="majorHAnsi" w:cs="Calibri"/>
          <w:sz w:val="20"/>
          <w:szCs w:val="20"/>
        </w:rPr>
        <w:t xml:space="preserve">s actions restricted their ability to disseminate in their personal capacity the information they wished to disseminate; or that there was an essential relationship between these individuals and the Consortium with respect to the exercise of their freedom of expression and their ability to disseminate the information whose dissemination was restricted by the </w:t>
      </w:r>
      <w:r>
        <w:rPr>
          <w:rFonts w:asciiTheme="majorHAnsi" w:hAnsiTheme="majorHAnsi" w:cs="Calibri"/>
          <w:sz w:val="20"/>
          <w:szCs w:val="20"/>
        </w:rPr>
        <w:t>CBU’</w:t>
      </w:r>
      <w:r w:rsidRPr="000964BE">
        <w:rPr>
          <w:rFonts w:asciiTheme="majorHAnsi" w:hAnsiTheme="majorHAnsi" w:cs="Calibri"/>
          <w:sz w:val="20"/>
          <w:szCs w:val="20"/>
        </w:rPr>
        <w:t xml:space="preserve">s actions. The petitioner has also failed to explain the specific role that the alleged victims played within the Consortium in determining the corporate communications and publications of that legal entity. The mere fact that the natural persons presented in this petition have a shareholding relationship with the company does not in itself mean that their right to freedom of expression has been violated. It is a different matter to establish whether or not the rights of the company as a legal person were violated, which has been amply argued by the petitioners, but which falls outside the competence </w:t>
      </w:r>
      <w:r w:rsidRPr="000964BE">
        <w:rPr>
          <w:rFonts w:asciiTheme="majorHAnsi" w:hAnsiTheme="majorHAnsi" w:cs="Calibri"/>
          <w:i/>
          <w:iCs/>
          <w:sz w:val="20"/>
          <w:szCs w:val="20"/>
        </w:rPr>
        <w:t>ratione personae</w:t>
      </w:r>
      <w:r w:rsidRPr="000964BE">
        <w:rPr>
          <w:rFonts w:asciiTheme="majorHAnsi" w:hAnsiTheme="majorHAnsi" w:cs="Calibri"/>
          <w:sz w:val="20"/>
          <w:szCs w:val="20"/>
        </w:rPr>
        <w:t xml:space="preserve"> of the Inter-American Commission.</w:t>
      </w:r>
    </w:p>
    <w:p w14:paraId="428D0084" w14:textId="11D7E71F" w:rsidR="006878D5" w:rsidRPr="006878D5" w:rsidRDefault="006878D5" w:rsidP="00086FC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autoSpaceDE w:val="0"/>
        <w:autoSpaceDN w:val="0"/>
        <w:adjustRightInd w:val="0"/>
        <w:spacing w:before="240" w:after="240"/>
        <w:jc w:val="both"/>
        <w:rPr>
          <w:rFonts w:asciiTheme="majorHAnsi" w:hAnsiTheme="majorHAnsi" w:cs="Calibri"/>
          <w:sz w:val="20"/>
          <w:szCs w:val="20"/>
        </w:rPr>
      </w:pPr>
      <w:r w:rsidRPr="006878D5">
        <w:rPr>
          <w:rFonts w:asciiTheme="majorHAnsi" w:hAnsiTheme="majorHAnsi" w:cs="Calibri"/>
          <w:sz w:val="20"/>
          <w:szCs w:val="20"/>
        </w:rPr>
        <w:t xml:space="preserve">The petitioner has also failed to provide specific information on damages suffered by the three individuals as a result of the actions taken against the consortium. On the contrary, it has acknowledged that they were unable to file domestic remedies in their own right because </w:t>
      </w:r>
      <w:r>
        <w:rPr>
          <w:rFonts w:asciiTheme="majorHAnsi" w:hAnsiTheme="majorHAnsi" w:cs="Calibri"/>
          <w:sz w:val="20"/>
          <w:szCs w:val="20"/>
        </w:rPr>
        <w:t>“t</w:t>
      </w:r>
      <w:r w:rsidRPr="006878D5">
        <w:rPr>
          <w:rFonts w:asciiTheme="majorHAnsi" w:hAnsiTheme="majorHAnsi" w:cs="Calibri"/>
          <w:sz w:val="20"/>
          <w:szCs w:val="20"/>
        </w:rPr>
        <w:t xml:space="preserve">hey could not invoke a legitimate interest or personal right aggrieved by the </w:t>
      </w:r>
      <w:r>
        <w:rPr>
          <w:rFonts w:asciiTheme="majorHAnsi" w:hAnsiTheme="majorHAnsi" w:cs="Calibri"/>
          <w:sz w:val="20"/>
          <w:szCs w:val="20"/>
        </w:rPr>
        <w:t>CB</w:t>
      </w:r>
      <w:r w:rsidRPr="006878D5">
        <w:rPr>
          <w:rFonts w:asciiTheme="majorHAnsi" w:hAnsiTheme="majorHAnsi" w:cs="Calibri"/>
          <w:sz w:val="20"/>
          <w:szCs w:val="20"/>
        </w:rPr>
        <w:t>U</w:t>
      </w:r>
      <w:r>
        <w:rPr>
          <w:rFonts w:asciiTheme="majorHAnsi" w:hAnsiTheme="majorHAnsi" w:cs="Calibri"/>
          <w:sz w:val="20"/>
          <w:szCs w:val="20"/>
        </w:rPr>
        <w:t>’</w:t>
      </w:r>
      <w:r w:rsidRPr="006878D5">
        <w:rPr>
          <w:rFonts w:asciiTheme="majorHAnsi" w:hAnsiTheme="majorHAnsi" w:cs="Calibri"/>
          <w:sz w:val="20"/>
          <w:szCs w:val="20"/>
        </w:rPr>
        <w:t>s cens</w:t>
      </w:r>
      <w:r>
        <w:rPr>
          <w:rFonts w:asciiTheme="majorHAnsi" w:hAnsiTheme="majorHAnsi" w:cs="Calibri"/>
          <w:sz w:val="20"/>
          <w:szCs w:val="20"/>
        </w:rPr>
        <w:t>orship”</w:t>
      </w:r>
      <w:r w:rsidRPr="006878D5">
        <w:rPr>
          <w:rFonts w:asciiTheme="majorHAnsi" w:hAnsiTheme="majorHAnsi" w:cs="Calibri"/>
          <w:sz w:val="20"/>
          <w:szCs w:val="20"/>
        </w:rPr>
        <w:t xml:space="preserve">. The IACHR notes that this is precisely because the prohibition issued by the </w:t>
      </w:r>
      <w:r>
        <w:rPr>
          <w:rFonts w:asciiTheme="majorHAnsi" w:hAnsiTheme="majorHAnsi" w:cs="Calibri"/>
          <w:sz w:val="20"/>
          <w:szCs w:val="20"/>
        </w:rPr>
        <w:t>CB</w:t>
      </w:r>
      <w:r w:rsidRPr="006878D5">
        <w:rPr>
          <w:rFonts w:asciiTheme="majorHAnsi" w:hAnsiTheme="majorHAnsi" w:cs="Calibri"/>
          <w:sz w:val="20"/>
          <w:szCs w:val="20"/>
        </w:rPr>
        <w:t>U, which was later lifted, was directed at the Consortium as a legal entity.</w:t>
      </w:r>
    </w:p>
    <w:p w14:paraId="43E90317" w14:textId="69094903" w:rsidR="006878D5" w:rsidRPr="006878D5" w:rsidRDefault="006878D5" w:rsidP="00086FC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autoSpaceDE w:val="0"/>
        <w:autoSpaceDN w:val="0"/>
        <w:adjustRightInd w:val="0"/>
        <w:spacing w:before="240" w:after="240"/>
        <w:jc w:val="both"/>
        <w:rPr>
          <w:rFonts w:asciiTheme="majorHAnsi" w:hAnsiTheme="majorHAnsi" w:cs="Calibri"/>
          <w:sz w:val="20"/>
          <w:szCs w:val="20"/>
        </w:rPr>
      </w:pPr>
      <w:r w:rsidRPr="006878D5">
        <w:rPr>
          <w:rFonts w:asciiTheme="majorHAnsi" w:hAnsiTheme="majorHAnsi" w:cs="Calibri"/>
          <w:sz w:val="20"/>
          <w:szCs w:val="20"/>
        </w:rPr>
        <w:t>Therefore, the Commission concludes that it lacks competence</w:t>
      </w:r>
      <w:r>
        <w:rPr>
          <w:rFonts w:asciiTheme="majorHAnsi" w:hAnsiTheme="majorHAnsi" w:cs="Calibri"/>
          <w:sz w:val="20"/>
          <w:szCs w:val="20"/>
        </w:rPr>
        <w:t xml:space="preserve"> </w:t>
      </w:r>
      <w:r>
        <w:rPr>
          <w:rFonts w:asciiTheme="majorHAnsi" w:hAnsiTheme="majorHAnsi" w:cs="Calibri"/>
          <w:i/>
          <w:iCs/>
          <w:sz w:val="20"/>
          <w:szCs w:val="20"/>
        </w:rPr>
        <w:t>ratione personae</w:t>
      </w:r>
      <w:r w:rsidRPr="006878D5">
        <w:rPr>
          <w:rFonts w:asciiTheme="majorHAnsi" w:hAnsiTheme="majorHAnsi" w:cs="Calibri"/>
          <w:sz w:val="20"/>
          <w:szCs w:val="20"/>
        </w:rPr>
        <w:t xml:space="preserve"> to hear the present case, in the terms of Article 1(2) of the American Convention.</w:t>
      </w:r>
    </w:p>
    <w:p w14:paraId="5A70550C" w14:textId="4A5688F6"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 </w:t>
      </w:r>
      <w:r w:rsidRPr="000B6B7A">
        <w:rPr>
          <w:rFonts w:asciiTheme="majorHAnsi" w:hAnsiTheme="majorHAnsi"/>
          <w:b/>
          <w:bCs/>
          <w:sz w:val="20"/>
          <w:szCs w:val="20"/>
        </w:rPr>
        <w:tab/>
        <w:t>DECISION</w:t>
      </w:r>
    </w:p>
    <w:p w14:paraId="647A1FAB" w14:textId="13F79291" w:rsidR="00081BA2" w:rsidRPr="002616E5" w:rsidRDefault="00081BA2" w:rsidP="00081BA2">
      <w:pPr>
        <w:pStyle w:val="ListParagraph"/>
        <w:numPr>
          <w:ilvl w:val="0"/>
          <w:numId w:val="105"/>
        </w:numPr>
        <w:jc w:val="both"/>
        <w:rPr>
          <w:rFonts w:eastAsia="Arial Unicode MS" w:cs="Times New Roman"/>
          <w:color w:val="auto"/>
          <w:sz w:val="20"/>
          <w:szCs w:val="20"/>
          <w:lang w:eastAsia="en-US"/>
        </w:rPr>
      </w:pPr>
      <w:r w:rsidRPr="0098442A">
        <w:rPr>
          <w:rFonts w:eastAsia="Arial Unicode MS" w:cs="Times New Roman"/>
          <w:color w:val="auto"/>
          <w:sz w:val="20"/>
          <w:szCs w:val="20"/>
          <w:lang w:eastAsia="en-US"/>
        </w:rPr>
        <w:t xml:space="preserve">To find the instant petition </w:t>
      </w:r>
      <w:r w:rsidR="00616C1E">
        <w:rPr>
          <w:rFonts w:eastAsia="Arial Unicode MS" w:cs="Times New Roman"/>
          <w:color w:val="auto"/>
          <w:sz w:val="20"/>
          <w:szCs w:val="20"/>
          <w:lang w:eastAsia="en-US"/>
        </w:rPr>
        <w:t>in</w:t>
      </w:r>
      <w:r w:rsidRPr="0098442A">
        <w:rPr>
          <w:rFonts w:eastAsia="Arial Unicode MS" w:cs="Times New Roman"/>
          <w:color w:val="auto"/>
          <w:sz w:val="20"/>
          <w:szCs w:val="20"/>
          <w:lang w:eastAsia="en-US"/>
        </w:rPr>
        <w:t>admissible</w:t>
      </w:r>
      <w:r>
        <w:rPr>
          <w:rFonts w:eastAsia="Arial Unicode MS" w:cs="Times New Roman"/>
          <w:color w:val="auto"/>
          <w:sz w:val="20"/>
          <w:szCs w:val="20"/>
          <w:lang w:eastAsia="en-US"/>
        </w:rPr>
        <w:t>.</w:t>
      </w:r>
    </w:p>
    <w:p w14:paraId="42743A32" w14:textId="2CD34912" w:rsidR="00F621C3" w:rsidRPr="004228F2" w:rsidRDefault="00081BA2" w:rsidP="00081BA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Cambria" w:hAnsiTheme="majorHAnsi" w:cs="Cambria"/>
          <w:color w:val="000000"/>
          <w:sz w:val="20"/>
          <w:szCs w:val="20"/>
          <w:u w:color="000000"/>
          <w:lang w:eastAsia="es-ES"/>
        </w:rPr>
      </w:pPr>
      <w:r w:rsidRPr="004228F2">
        <w:rPr>
          <w:rFonts w:asciiTheme="majorHAnsi" w:eastAsia="Cambria" w:hAnsiTheme="majorHAnsi" w:cs="Cambria"/>
          <w:color w:val="000000"/>
          <w:sz w:val="20"/>
          <w:szCs w:val="20"/>
          <w:u w:color="000000"/>
          <w:lang w:eastAsia="es-ES"/>
        </w:rPr>
        <w:t>To notify the parties of this decision; to publish this decision and to include it in its Annual Report to the General Assembly of the Organization of American States.</w:t>
      </w:r>
    </w:p>
    <w:p w14:paraId="3A0D0918" w14:textId="178945F1" w:rsidR="00F621C3" w:rsidRPr="00F96464" w:rsidRDefault="00F96464" w:rsidP="00C1537D">
      <w:pPr>
        <w:suppressAutoHyphens/>
        <w:ind w:firstLine="720"/>
        <w:jc w:val="both"/>
        <w:rPr>
          <w:rFonts w:ascii="Cambria" w:hAnsi="Cambria" w:cs="Calibr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29</w:t>
      </w:r>
      <w:r w:rsidRPr="00F96464">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December,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 Stuardo Ralón Orellana</w:t>
      </w:r>
      <w:r>
        <w:rPr>
          <w:rStyle w:val="normaltextrun"/>
          <w:rFonts w:ascii="Cambria" w:hAnsi="Cambria" w:cs="Segoe UI"/>
          <w:sz w:val="20"/>
          <w:szCs w:val="20"/>
        </w:rPr>
        <w:t xml:space="preserve">, </w:t>
      </w:r>
      <w:r w:rsidRPr="007B0A47">
        <w:rPr>
          <w:rStyle w:val="normaltextrun"/>
          <w:rFonts w:ascii="Cambria" w:hAnsi="Cambria" w:cs="Segoe UI"/>
          <w:sz w:val="20"/>
          <w:szCs w:val="20"/>
        </w:rPr>
        <w:t>Carlos Bernal Pulido</w:t>
      </w:r>
      <w:r>
        <w:rPr>
          <w:rStyle w:val="normaltextrun"/>
          <w:rFonts w:ascii="Cambria" w:hAnsi="Cambria" w:cs="Segoe UI"/>
          <w:sz w:val="20"/>
          <w:szCs w:val="20"/>
        </w:rPr>
        <w:t xml:space="preserve"> 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2122B46A" w14:textId="77777777" w:rsidR="00C55560" w:rsidRPr="00F96464" w:rsidRDefault="00C55560" w:rsidP="00230163">
      <w:pPr>
        <w:tabs>
          <w:tab w:val="left" w:pos="2820"/>
        </w:tabs>
        <w:suppressAutoHyphens/>
        <w:spacing w:line="276" w:lineRule="auto"/>
        <w:rPr>
          <w:rFonts w:asciiTheme="majorHAnsi" w:hAnsiTheme="majorHAnsi"/>
          <w:sz w:val="20"/>
          <w:szCs w:val="20"/>
        </w:rPr>
      </w:pPr>
    </w:p>
    <w:sectPr w:rsidR="00C55560" w:rsidRPr="00F96464"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85F9" w14:textId="77777777" w:rsidR="00AC7D60" w:rsidRDefault="00AC7D60" w:rsidP="00036A8A">
      <w:r>
        <w:separator/>
      </w:r>
    </w:p>
  </w:endnote>
  <w:endnote w:type="continuationSeparator" w:id="0">
    <w:p w14:paraId="3D7DA0DD" w14:textId="77777777" w:rsidR="00AC7D60" w:rsidRDefault="00AC7D6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8F1A" w14:textId="77777777" w:rsidR="00AC7D60" w:rsidRPr="00036A8A" w:rsidRDefault="00AC7D6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B07E365" w14:textId="77777777" w:rsidR="00AC7D60" w:rsidRPr="00036A8A" w:rsidRDefault="00AC7D60" w:rsidP="00036A8A">
      <w:pPr>
        <w:rPr>
          <w:rFonts w:asciiTheme="majorHAnsi" w:hAnsiTheme="majorHAnsi"/>
          <w:sz w:val="16"/>
          <w:szCs w:val="16"/>
        </w:rPr>
      </w:pPr>
      <w:r w:rsidRPr="00036A8A">
        <w:rPr>
          <w:rFonts w:asciiTheme="majorHAnsi" w:hAnsiTheme="majorHAnsi"/>
          <w:sz w:val="16"/>
          <w:szCs w:val="16"/>
        </w:rPr>
        <w:separator/>
      </w:r>
    </w:p>
    <w:p w14:paraId="78AB8DC1" w14:textId="77777777" w:rsidR="00AC7D60" w:rsidRPr="00036A8A" w:rsidRDefault="00AC7D6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77D5055" w14:textId="77777777" w:rsidR="00AC7D60" w:rsidRPr="0093441A" w:rsidRDefault="00AC7D6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27CE3B8" w14:textId="08A44E49" w:rsidR="00AF59FB" w:rsidRPr="00416086" w:rsidRDefault="00AF59FB" w:rsidP="00AF59FB">
      <w:pPr>
        <w:pStyle w:val="FootnoteText"/>
        <w:ind w:firstLine="720"/>
        <w:jc w:val="both"/>
        <w:rPr>
          <w:rFonts w:asciiTheme="majorHAnsi" w:hAnsiTheme="majorHAnsi"/>
          <w:sz w:val="16"/>
          <w:szCs w:val="16"/>
        </w:rPr>
      </w:pPr>
      <w:r w:rsidRPr="00E06DDF">
        <w:rPr>
          <w:rStyle w:val="FootnoteReference"/>
          <w:rFonts w:asciiTheme="majorHAnsi" w:hAnsiTheme="majorHAnsi"/>
          <w:sz w:val="16"/>
          <w:szCs w:val="16"/>
        </w:rPr>
        <w:footnoteRef/>
      </w:r>
      <w:r w:rsidRPr="00416086">
        <w:rPr>
          <w:rFonts w:asciiTheme="majorHAnsi" w:hAnsiTheme="majorHAnsi"/>
          <w:sz w:val="16"/>
          <w:szCs w:val="16"/>
        </w:rPr>
        <w:t xml:space="preserve"> </w:t>
      </w:r>
      <w:r w:rsidR="00416086" w:rsidRPr="00416086">
        <w:rPr>
          <w:rFonts w:asciiTheme="majorHAnsi" w:hAnsiTheme="majorHAnsi"/>
          <w:sz w:val="16"/>
          <w:szCs w:val="16"/>
        </w:rPr>
        <w:t>When the petition was filed, Edison Lanza</w:t>
      </w:r>
      <w:r w:rsidR="00F67E2D">
        <w:rPr>
          <w:rFonts w:asciiTheme="majorHAnsi" w:hAnsiTheme="majorHAnsi"/>
          <w:sz w:val="16"/>
          <w:szCs w:val="16"/>
        </w:rPr>
        <w:t xml:space="preserve"> was also listed among the sponsoring counsel</w:t>
      </w:r>
      <w:r w:rsidR="00416086" w:rsidRPr="00416086">
        <w:rPr>
          <w:rFonts w:asciiTheme="majorHAnsi" w:hAnsiTheme="majorHAnsi"/>
          <w:sz w:val="16"/>
          <w:szCs w:val="16"/>
        </w:rPr>
        <w:t xml:space="preserve">, </w:t>
      </w:r>
      <w:r w:rsidR="00F67E2D">
        <w:rPr>
          <w:rFonts w:asciiTheme="majorHAnsi" w:hAnsiTheme="majorHAnsi"/>
          <w:sz w:val="16"/>
          <w:szCs w:val="16"/>
        </w:rPr>
        <w:t>he</w:t>
      </w:r>
      <w:r w:rsidR="00416086" w:rsidRPr="00416086">
        <w:rPr>
          <w:rFonts w:asciiTheme="majorHAnsi" w:hAnsiTheme="majorHAnsi"/>
          <w:sz w:val="16"/>
          <w:szCs w:val="16"/>
        </w:rPr>
        <w:t xml:space="preserve"> resigned from this position on August 7, 2014 after being appointed Special Rapporteur for Freedom of Expression of the Inter-American Commission on Human Rights,</w:t>
      </w:r>
    </w:p>
  </w:footnote>
  <w:footnote w:id="3">
    <w:p w14:paraId="52836629" w14:textId="412A14AC" w:rsidR="00086FC9" w:rsidRPr="00086FC9" w:rsidRDefault="00086FC9" w:rsidP="00086FC9">
      <w:pPr>
        <w:pStyle w:val="FootnoteText"/>
        <w:ind w:firstLine="720"/>
        <w:jc w:val="both"/>
        <w:rPr>
          <w:rFonts w:asciiTheme="majorHAnsi" w:hAnsiTheme="majorHAnsi"/>
          <w:sz w:val="16"/>
          <w:szCs w:val="16"/>
        </w:rPr>
      </w:pPr>
      <w:r w:rsidRPr="00E06DDF">
        <w:rPr>
          <w:rStyle w:val="FootnoteReference"/>
          <w:rFonts w:asciiTheme="majorHAnsi" w:hAnsiTheme="majorHAnsi"/>
          <w:sz w:val="16"/>
          <w:szCs w:val="16"/>
          <w:lang w:val="es-ES"/>
        </w:rPr>
        <w:footnoteRef/>
      </w:r>
      <w:r w:rsidRPr="00086FC9">
        <w:rPr>
          <w:rFonts w:asciiTheme="majorHAnsi" w:hAnsiTheme="majorHAnsi"/>
          <w:sz w:val="16"/>
          <w:szCs w:val="16"/>
        </w:rPr>
        <w:t xml:space="preserve"> Hereinafter, the “American Convention” or “the Convention”.</w:t>
      </w:r>
    </w:p>
  </w:footnote>
  <w:footnote w:id="4">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2F065C66" w14:textId="77777777" w:rsidR="00461E46" w:rsidRPr="00E06DDF" w:rsidRDefault="00461E46" w:rsidP="00461E46">
      <w:pPr>
        <w:pStyle w:val="FootnoteText"/>
        <w:ind w:firstLine="720"/>
        <w:jc w:val="both"/>
        <w:rPr>
          <w:rFonts w:asciiTheme="majorHAnsi" w:hAnsiTheme="majorHAnsi"/>
          <w:sz w:val="16"/>
          <w:szCs w:val="16"/>
          <w:lang w:val="es-PA"/>
        </w:rPr>
      </w:pPr>
      <w:r w:rsidRPr="00E06DDF">
        <w:rPr>
          <w:rStyle w:val="FootnoteReference"/>
          <w:rFonts w:asciiTheme="majorHAnsi" w:hAnsiTheme="majorHAnsi"/>
          <w:sz w:val="16"/>
          <w:szCs w:val="16"/>
        </w:rPr>
        <w:footnoteRef/>
      </w:r>
      <w:r w:rsidRPr="00E06DDF">
        <w:rPr>
          <w:rFonts w:asciiTheme="majorHAnsi" w:hAnsiTheme="majorHAnsi"/>
          <w:sz w:val="16"/>
          <w:szCs w:val="16"/>
          <w:lang w:val="es-PA"/>
        </w:rPr>
        <w:t xml:space="preserve"> La parte peticionaria señala que la publicidad comparativa estaba expresamente permitida en Uruguay bajo la ley de Relaciones de Consumo y asevera que las publicaciones del Consorcio se ajustaban estrictamente a las disposiciones de esa ley. </w:t>
      </w:r>
    </w:p>
  </w:footnote>
  <w:footnote w:id="6">
    <w:p w14:paraId="0543664A" w14:textId="36F93EDF" w:rsidR="000964BE" w:rsidRPr="004228F2" w:rsidRDefault="000964BE" w:rsidP="006878D5">
      <w:pPr>
        <w:pStyle w:val="FootnoteText"/>
        <w:ind w:firstLine="720"/>
        <w:jc w:val="both"/>
        <w:rPr>
          <w:rFonts w:asciiTheme="majorHAnsi" w:hAnsiTheme="majorHAnsi" w:cs="Times"/>
          <w:sz w:val="16"/>
          <w:szCs w:val="16"/>
        </w:rPr>
      </w:pPr>
      <w:r w:rsidRPr="00E06DDF">
        <w:rPr>
          <w:rStyle w:val="FootnoteReference"/>
          <w:rFonts w:asciiTheme="majorHAnsi" w:hAnsiTheme="majorHAnsi"/>
          <w:sz w:val="16"/>
          <w:szCs w:val="16"/>
        </w:rPr>
        <w:footnoteRef/>
      </w:r>
      <w:r w:rsidRPr="006878D5">
        <w:rPr>
          <w:rFonts w:asciiTheme="majorHAnsi" w:hAnsiTheme="majorHAnsi"/>
          <w:sz w:val="16"/>
          <w:szCs w:val="16"/>
        </w:rPr>
        <w:t xml:space="preserve"> </w:t>
      </w:r>
      <w:r w:rsidR="006878D5" w:rsidRPr="006878D5">
        <w:rPr>
          <w:rFonts w:asciiTheme="majorHAnsi" w:hAnsiTheme="majorHAnsi" w:cs="Times"/>
          <w:sz w:val="16"/>
          <w:szCs w:val="16"/>
        </w:rPr>
        <w:t>IACHR</w:t>
      </w:r>
      <w:r w:rsidRPr="006878D5">
        <w:rPr>
          <w:rFonts w:asciiTheme="majorHAnsi" w:hAnsiTheme="majorHAnsi" w:cs="Times"/>
          <w:sz w:val="16"/>
          <w:szCs w:val="16"/>
        </w:rPr>
        <w:t xml:space="preserve">, </w:t>
      </w:r>
      <w:r w:rsidR="006878D5" w:rsidRPr="006878D5">
        <w:rPr>
          <w:rFonts w:asciiTheme="majorHAnsi" w:hAnsiTheme="majorHAnsi" w:cs="Times"/>
          <w:sz w:val="16"/>
          <w:szCs w:val="16"/>
        </w:rPr>
        <w:t>Report</w:t>
      </w:r>
      <w:r w:rsidRPr="006878D5">
        <w:rPr>
          <w:rFonts w:asciiTheme="majorHAnsi" w:hAnsiTheme="majorHAnsi" w:cs="Times"/>
          <w:sz w:val="16"/>
          <w:szCs w:val="16"/>
        </w:rPr>
        <w:t xml:space="preserve"> Nº 40/05 (Inadmi</w:t>
      </w:r>
      <w:r w:rsidR="006878D5" w:rsidRPr="006878D5">
        <w:rPr>
          <w:rFonts w:asciiTheme="majorHAnsi" w:hAnsiTheme="majorHAnsi" w:cs="Times"/>
          <w:sz w:val="16"/>
          <w:szCs w:val="16"/>
        </w:rPr>
        <w:t>ssibility</w:t>
      </w:r>
      <w:r w:rsidRPr="006878D5">
        <w:rPr>
          <w:rFonts w:asciiTheme="majorHAnsi" w:hAnsiTheme="majorHAnsi" w:cs="Times"/>
          <w:sz w:val="16"/>
          <w:szCs w:val="16"/>
        </w:rPr>
        <w:t>), Peti</w:t>
      </w:r>
      <w:r w:rsidR="006878D5" w:rsidRPr="006878D5">
        <w:rPr>
          <w:rFonts w:asciiTheme="majorHAnsi" w:hAnsiTheme="majorHAnsi" w:cs="Times"/>
          <w:sz w:val="16"/>
          <w:szCs w:val="16"/>
        </w:rPr>
        <w:t>tio</w:t>
      </w:r>
      <w:r w:rsidRPr="006878D5">
        <w:rPr>
          <w:rFonts w:asciiTheme="majorHAnsi" w:hAnsiTheme="majorHAnsi" w:cs="Times"/>
          <w:sz w:val="16"/>
          <w:szCs w:val="16"/>
        </w:rPr>
        <w:t>n 12.139, José Luis Forzanni Ballardo, Per</w:t>
      </w:r>
      <w:r w:rsidR="006878D5" w:rsidRPr="006878D5">
        <w:rPr>
          <w:rFonts w:asciiTheme="majorHAnsi" w:hAnsiTheme="majorHAnsi" w:cs="Times"/>
          <w:sz w:val="16"/>
          <w:szCs w:val="16"/>
        </w:rPr>
        <w:t>u</w:t>
      </w:r>
      <w:r w:rsidRPr="006878D5">
        <w:rPr>
          <w:rFonts w:asciiTheme="majorHAnsi" w:hAnsiTheme="majorHAnsi" w:cs="Times"/>
          <w:sz w:val="16"/>
          <w:szCs w:val="16"/>
        </w:rPr>
        <w:t>,</w:t>
      </w:r>
      <w:r w:rsidR="006878D5" w:rsidRPr="006878D5">
        <w:rPr>
          <w:rFonts w:asciiTheme="majorHAnsi" w:hAnsiTheme="majorHAnsi" w:cs="Times"/>
          <w:sz w:val="16"/>
          <w:szCs w:val="16"/>
        </w:rPr>
        <w:t xml:space="preserve"> March</w:t>
      </w:r>
      <w:r w:rsidRPr="006878D5">
        <w:rPr>
          <w:rFonts w:asciiTheme="majorHAnsi" w:hAnsiTheme="majorHAnsi" w:cs="Times"/>
          <w:sz w:val="16"/>
          <w:szCs w:val="16"/>
        </w:rPr>
        <w:t xml:space="preserve"> 9</w:t>
      </w:r>
      <w:r w:rsidR="006878D5" w:rsidRPr="006878D5">
        <w:rPr>
          <w:rFonts w:asciiTheme="majorHAnsi" w:hAnsiTheme="majorHAnsi" w:cs="Times"/>
          <w:sz w:val="16"/>
          <w:szCs w:val="16"/>
        </w:rPr>
        <w:t>,</w:t>
      </w:r>
      <w:r w:rsidRPr="006878D5">
        <w:rPr>
          <w:rFonts w:asciiTheme="majorHAnsi" w:hAnsiTheme="majorHAnsi" w:cs="Times"/>
          <w:sz w:val="16"/>
          <w:szCs w:val="16"/>
        </w:rPr>
        <w:t xml:space="preserve"> 2005, p</w:t>
      </w:r>
      <w:r w:rsidR="006878D5" w:rsidRPr="006878D5">
        <w:rPr>
          <w:rFonts w:asciiTheme="majorHAnsi" w:hAnsiTheme="majorHAnsi" w:cs="Times"/>
          <w:sz w:val="16"/>
          <w:szCs w:val="16"/>
        </w:rPr>
        <w:t>a</w:t>
      </w:r>
      <w:r w:rsidR="006878D5">
        <w:rPr>
          <w:rFonts w:asciiTheme="majorHAnsi" w:hAnsiTheme="majorHAnsi" w:cs="Times"/>
          <w:sz w:val="16"/>
          <w:szCs w:val="16"/>
        </w:rPr>
        <w:t>ras.</w:t>
      </w:r>
      <w:r w:rsidRPr="006878D5">
        <w:rPr>
          <w:rFonts w:asciiTheme="majorHAnsi" w:hAnsiTheme="majorHAnsi" w:cs="Times"/>
          <w:sz w:val="16"/>
          <w:szCs w:val="16"/>
        </w:rPr>
        <w:t xml:space="preserve"> 35 </w:t>
      </w:r>
      <w:r w:rsidR="006878D5" w:rsidRPr="006878D5">
        <w:rPr>
          <w:rFonts w:asciiTheme="majorHAnsi" w:hAnsiTheme="majorHAnsi" w:cs="Times"/>
          <w:sz w:val="16"/>
          <w:szCs w:val="16"/>
        </w:rPr>
        <w:t>and</w:t>
      </w:r>
      <w:r w:rsidRPr="006878D5">
        <w:rPr>
          <w:rFonts w:asciiTheme="majorHAnsi" w:hAnsiTheme="majorHAnsi" w:cs="Times"/>
          <w:sz w:val="16"/>
          <w:szCs w:val="16"/>
        </w:rPr>
        <w:t xml:space="preserve"> 40. </w:t>
      </w:r>
      <w:r w:rsidR="006878D5" w:rsidRPr="006878D5">
        <w:rPr>
          <w:rFonts w:asciiTheme="majorHAnsi" w:hAnsiTheme="majorHAnsi" w:cs="Times"/>
          <w:sz w:val="16"/>
          <w:szCs w:val="16"/>
        </w:rPr>
        <w:t xml:space="preserve">Another relevant international precedent regarding the importance of distinguishing between the rights of a legal person and those of natural persons linked to it, in order to establish possible violations of the rights of natural persons, is the judgment of the International Court of Justice in the case of Ahmadou Sadio Diallo (Republic of Guinea vs. Democratic Republic of the Congo) of November 30, 2010. </w:t>
      </w:r>
      <w:r w:rsidR="006878D5" w:rsidRPr="004228F2">
        <w:rPr>
          <w:rFonts w:asciiTheme="majorHAnsi" w:hAnsiTheme="majorHAnsi" w:cs="Times"/>
          <w:sz w:val="16"/>
          <w:szCs w:val="16"/>
        </w:rPr>
        <w:t>Available at: 103-20101130-JUD-01-00-EN.pdf (icj-cij.org)</w:t>
      </w:r>
    </w:p>
  </w:footnote>
  <w:footnote w:id="7">
    <w:p w14:paraId="53BF9BF7" w14:textId="44BEC0DD" w:rsidR="000964BE" w:rsidRPr="00630CCB" w:rsidRDefault="000964BE" w:rsidP="000964BE">
      <w:pPr>
        <w:pStyle w:val="FootnoteText"/>
        <w:spacing w:after="120"/>
        <w:ind w:firstLine="720"/>
        <w:jc w:val="both"/>
        <w:rPr>
          <w:rFonts w:asciiTheme="majorHAnsi" w:hAnsiTheme="majorHAnsi"/>
          <w:sz w:val="16"/>
          <w:szCs w:val="16"/>
        </w:rPr>
      </w:pPr>
      <w:r w:rsidRPr="00E06DDF">
        <w:rPr>
          <w:rStyle w:val="FootnoteReference"/>
          <w:rFonts w:asciiTheme="majorHAnsi" w:hAnsiTheme="majorHAnsi" w:cs="Times"/>
          <w:sz w:val="16"/>
          <w:szCs w:val="16"/>
        </w:rPr>
        <w:footnoteRef/>
      </w:r>
      <w:r w:rsidRPr="006878D5">
        <w:rPr>
          <w:rFonts w:asciiTheme="majorHAnsi" w:hAnsiTheme="majorHAnsi" w:cs="Times"/>
          <w:sz w:val="16"/>
          <w:szCs w:val="16"/>
          <w:vertAlign w:val="superscript"/>
        </w:rPr>
        <w:t xml:space="preserve"> </w:t>
      </w:r>
      <w:r w:rsidR="006878D5" w:rsidRPr="006878D5">
        <w:rPr>
          <w:rFonts w:asciiTheme="majorHAnsi" w:hAnsiTheme="majorHAnsi" w:cs="Times"/>
          <w:sz w:val="16"/>
          <w:szCs w:val="16"/>
        </w:rPr>
        <w:t>The following cases among others</w:t>
      </w:r>
      <w:r w:rsidRPr="006878D5">
        <w:rPr>
          <w:rFonts w:asciiTheme="majorHAnsi" w:hAnsiTheme="majorHAnsi" w:cs="Times"/>
          <w:sz w:val="16"/>
          <w:szCs w:val="16"/>
        </w:rPr>
        <w:t xml:space="preserve">:  </w:t>
      </w:r>
      <w:r w:rsidR="006878D5">
        <w:rPr>
          <w:rFonts w:asciiTheme="majorHAnsi" w:hAnsiTheme="majorHAnsi"/>
          <w:sz w:val="16"/>
          <w:szCs w:val="16"/>
        </w:rPr>
        <w:t>IACHR</w:t>
      </w:r>
      <w:r w:rsidRPr="006878D5">
        <w:rPr>
          <w:rFonts w:asciiTheme="majorHAnsi" w:hAnsiTheme="majorHAnsi"/>
          <w:sz w:val="16"/>
          <w:szCs w:val="16"/>
        </w:rPr>
        <w:t xml:space="preserve">, </w:t>
      </w:r>
      <w:r w:rsidR="006878D5">
        <w:rPr>
          <w:rFonts w:asciiTheme="majorHAnsi" w:hAnsiTheme="majorHAnsi"/>
          <w:sz w:val="16"/>
          <w:szCs w:val="16"/>
        </w:rPr>
        <w:t>Report No.</w:t>
      </w:r>
      <w:r w:rsidRPr="006878D5">
        <w:rPr>
          <w:rFonts w:asciiTheme="majorHAnsi" w:hAnsiTheme="majorHAnsi"/>
          <w:sz w:val="16"/>
          <w:szCs w:val="16"/>
        </w:rPr>
        <w:t xml:space="preserve"> 62/22. </w:t>
      </w:r>
      <w:r w:rsidR="006878D5">
        <w:rPr>
          <w:rFonts w:asciiTheme="majorHAnsi" w:hAnsiTheme="majorHAnsi"/>
          <w:sz w:val="16"/>
          <w:szCs w:val="16"/>
          <w:lang w:val="es-ES"/>
        </w:rPr>
        <w:t>Petition</w:t>
      </w:r>
      <w:r w:rsidRPr="00E06DDF">
        <w:rPr>
          <w:rFonts w:asciiTheme="majorHAnsi" w:hAnsiTheme="majorHAnsi"/>
          <w:sz w:val="16"/>
          <w:szCs w:val="16"/>
          <w:lang w:val="es-ES"/>
        </w:rPr>
        <w:t xml:space="preserve"> 1096-12. </w:t>
      </w:r>
      <w:r w:rsidR="006878D5">
        <w:rPr>
          <w:rFonts w:asciiTheme="majorHAnsi" w:hAnsiTheme="majorHAnsi"/>
          <w:sz w:val="16"/>
          <w:szCs w:val="16"/>
          <w:lang w:val="es-ES"/>
        </w:rPr>
        <w:t>Inadmissibility</w:t>
      </w:r>
      <w:r w:rsidRPr="00E06DDF">
        <w:rPr>
          <w:rFonts w:asciiTheme="majorHAnsi" w:hAnsiTheme="majorHAnsi"/>
          <w:sz w:val="16"/>
          <w:szCs w:val="16"/>
          <w:lang w:val="es-ES"/>
        </w:rPr>
        <w:t xml:space="preserve">. Julio Carrizosa Mutis </w:t>
      </w:r>
      <w:r w:rsidR="00616C1E">
        <w:rPr>
          <w:rFonts w:asciiTheme="majorHAnsi" w:hAnsiTheme="majorHAnsi"/>
          <w:sz w:val="16"/>
          <w:szCs w:val="16"/>
          <w:lang w:val="es-ES"/>
        </w:rPr>
        <w:t>and</w:t>
      </w:r>
      <w:r w:rsidRPr="00E06DDF">
        <w:rPr>
          <w:rFonts w:asciiTheme="majorHAnsi" w:hAnsiTheme="majorHAnsi"/>
          <w:sz w:val="16"/>
          <w:szCs w:val="16"/>
          <w:lang w:val="es-ES"/>
        </w:rPr>
        <w:t xml:space="preserve"> fami</w:t>
      </w:r>
      <w:r w:rsidR="00616C1E">
        <w:rPr>
          <w:rFonts w:asciiTheme="majorHAnsi" w:hAnsiTheme="majorHAnsi"/>
          <w:sz w:val="16"/>
          <w:szCs w:val="16"/>
          <w:lang w:val="es-ES"/>
        </w:rPr>
        <w:t>ly</w:t>
      </w:r>
      <w:r w:rsidRPr="00E06DDF">
        <w:rPr>
          <w:rFonts w:asciiTheme="majorHAnsi" w:hAnsiTheme="majorHAnsi"/>
          <w:sz w:val="16"/>
          <w:szCs w:val="16"/>
          <w:lang w:val="es-ES"/>
        </w:rPr>
        <w:t xml:space="preserve"> (Corporación Grancolombiana de Ahorro y Vivienda</w:t>
      </w:r>
      <w:r w:rsidR="006878D5">
        <w:rPr>
          <w:rFonts w:asciiTheme="majorHAnsi" w:hAnsiTheme="majorHAnsi"/>
          <w:sz w:val="16"/>
          <w:szCs w:val="16"/>
          <w:lang w:val="es-ES"/>
        </w:rPr>
        <w:t>)</w:t>
      </w:r>
      <w:r w:rsidRPr="00E06DDF">
        <w:rPr>
          <w:rFonts w:asciiTheme="majorHAnsi" w:hAnsiTheme="majorHAnsi"/>
          <w:sz w:val="16"/>
          <w:szCs w:val="16"/>
          <w:lang w:val="es-ES"/>
        </w:rPr>
        <w:t xml:space="preserve">. </w:t>
      </w:r>
      <w:r w:rsidRPr="00630CCB">
        <w:rPr>
          <w:rFonts w:asciiTheme="majorHAnsi" w:hAnsiTheme="majorHAnsi"/>
          <w:sz w:val="16"/>
          <w:szCs w:val="16"/>
        </w:rPr>
        <w:t xml:space="preserve">Colombia. </w:t>
      </w:r>
      <w:r w:rsidR="006878D5" w:rsidRPr="00630CCB">
        <w:rPr>
          <w:rFonts w:asciiTheme="majorHAnsi" w:hAnsiTheme="majorHAnsi"/>
          <w:sz w:val="16"/>
          <w:szCs w:val="16"/>
        </w:rPr>
        <w:t xml:space="preserve">March </w:t>
      </w:r>
      <w:r w:rsidRPr="00630CCB">
        <w:rPr>
          <w:rFonts w:asciiTheme="majorHAnsi" w:hAnsiTheme="majorHAnsi"/>
          <w:sz w:val="16"/>
          <w:szCs w:val="16"/>
        </w:rPr>
        <w:t>7</w:t>
      </w:r>
      <w:r w:rsidR="006878D5" w:rsidRPr="00630CCB">
        <w:rPr>
          <w:rFonts w:asciiTheme="majorHAnsi" w:hAnsiTheme="majorHAnsi"/>
          <w:sz w:val="16"/>
          <w:szCs w:val="16"/>
        </w:rPr>
        <w:t>,</w:t>
      </w:r>
      <w:r w:rsidRPr="00630CCB">
        <w:rPr>
          <w:rFonts w:asciiTheme="majorHAnsi" w:hAnsiTheme="majorHAnsi"/>
          <w:sz w:val="16"/>
          <w:szCs w:val="16"/>
        </w:rPr>
        <w:t xml:space="preserve"> 2022, p</w:t>
      </w:r>
      <w:r w:rsidR="006878D5" w:rsidRPr="00630CCB">
        <w:rPr>
          <w:rFonts w:asciiTheme="majorHAnsi" w:hAnsiTheme="majorHAnsi"/>
          <w:sz w:val="16"/>
          <w:szCs w:val="16"/>
        </w:rPr>
        <w:t>aras</w:t>
      </w:r>
      <w:r w:rsidRPr="00630CCB">
        <w:rPr>
          <w:rFonts w:asciiTheme="majorHAnsi" w:hAnsiTheme="majorHAnsi"/>
          <w:sz w:val="16"/>
          <w:szCs w:val="16"/>
        </w:rPr>
        <w:t xml:space="preserve">. 14 y ss. </w:t>
      </w:r>
      <w:r w:rsidR="006878D5" w:rsidRPr="00630CCB">
        <w:rPr>
          <w:rFonts w:asciiTheme="majorHAnsi" w:hAnsiTheme="majorHAnsi" w:cs="Times"/>
          <w:sz w:val="16"/>
          <w:szCs w:val="16"/>
        </w:rPr>
        <w:t>IACHR</w:t>
      </w:r>
      <w:r w:rsidRPr="00630CCB">
        <w:rPr>
          <w:rFonts w:asciiTheme="majorHAnsi" w:hAnsiTheme="majorHAnsi" w:cs="Times"/>
          <w:sz w:val="16"/>
          <w:szCs w:val="16"/>
        </w:rPr>
        <w:t xml:space="preserve">, </w:t>
      </w:r>
      <w:r w:rsidR="006878D5" w:rsidRPr="00630CCB">
        <w:rPr>
          <w:rFonts w:asciiTheme="majorHAnsi" w:hAnsiTheme="majorHAnsi" w:cs="Times"/>
          <w:sz w:val="16"/>
          <w:szCs w:val="16"/>
        </w:rPr>
        <w:t>Report No.</w:t>
      </w:r>
      <w:r w:rsidRPr="00630CCB">
        <w:rPr>
          <w:rFonts w:asciiTheme="majorHAnsi" w:hAnsiTheme="majorHAnsi" w:cs="Times"/>
          <w:sz w:val="16"/>
          <w:szCs w:val="16"/>
        </w:rPr>
        <w:t xml:space="preserve"> 40/05 (</w:t>
      </w:r>
      <w:r w:rsidR="006878D5" w:rsidRPr="00630CCB">
        <w:rPr>
          <w:rFonts w:asciiTheme="majorHAnsi" w:hAnsiTheme="majorHAnsi" w:cs="Times"/>
          <w:sz w:val="16"/>
          <w:szCs w:val="16"/>
        </w:rPr>
        <w:t>Inadmissibility</w:t>
      </w:r>
      <w:r w:rsidRPr="00630CCB">
        <w:rPr>
          <w:rFonts w:asciiTheme="majorHAnsi" w:hAnsiTheme="majorHAnsi" w:cs="Times"/>
          <w:sz w:val="16"/>
          <w:szCs w:val="16"/>
        </w:rPr>
        <w:t xml:space="preserve">), </w:t>
      </w:r>
      <w:r w:rsidR="006878D5" w:rsidRPr="00630CCB">
        <w:rPr>
          <w:rFonts w:asciiTheme="majorHAnsi" w:hAnsiTheme="majorHAnsi" w:cs="Times"/>
          <w:sz w:val="16"/>
          <w:szCs w:val="16"/>
        </w:rPr>
        <w:t>Petition</w:t>
      </w:r>
      <w:r w:rsidRPr="00630CCB">
        <w:rPr>
          <w:rFonts w:asciiTheme="majorHAnsi" w:hAnsiTheme="majorHAnsi" w:cs="Times"/>
          <w:sz w:val="16"/>
          <w:szCs w:val="16"/>
        </w:rPr>
        <w:t xml:space="preserve"> 12.139, José Luis Forzanni Ballardo, Per</w:t>
      </w:r>
      <w:r w:rsidR="006878D5" w:rsidRPr="00630CCB">
        <w:rPr>
          <w:rFonts w:asciiTheme="majorHAnsi" w:hAnsiTheme="majorHAnsi" w:cs="Times"/>
          <w:sz w:val="16"/>
          <w:szCs w:val="16"/>
        </w:rPr>
        <w:t>u</w:t>
      </w:r>
      <w:r w:rsidRPr="00630CCB">
        <w:rPr>
          <w:rFonts w:asciiTheme="majorHAnsi" w:hAnsiTheme="majorHAnsi" w:cs="Times"/>
          <w:sz w:val="16"/>
          <w:szCs w:val="16"/>
        </w:rPr>
        <w:t>,</w:t>
      </w:r>
      <w:r w:rsidR="006878D5" w:rsidRPr="00630CCB">
        <w:rPr>
          <w:rFonts w:asciiTheme="majorHAnsi" w:hAnsiTheme="majorHAnsi" w:cs="Times"/>
          <w:sz w:val="16"/>
          <w:szCs w:val="16"/>
        </w:rPr>
        <w:t xml:space="preserve"> March</w:t>
      </w:r>
      <w:r w:rsidRPr="00630CCB">
        <w:rPr>
          <w:rFonts w:asciiTheme="majorHAnsi" w:hAnsiTheme="majorHAnsi" w:cs="Times"/>
          <w:sz w:val="16"/>
          <w:szCs w:val="16"/>
        </w:rPr>
        <w:t xml:space="preserve"> 9</w:t>
      </w:r>
      <w:r w:rsidR="006878D5" w:rsidRPr="00630CCB">
        <w:rPr>
          <w:rFonts w:asciiTheme="majorHAnsi" w:hAnsiTheme="majorHAnsi" w:cs="Times"/>
          <w:sz w:val="16"/>
          <w:szCs w:val="16"/>
        </w:rPr>
        <w:t>,</w:t>
      </w:r>
      <w:r w:rsidRPr="00630CCB">
        <w:rPr>
          <w:rFonts w:asciiTheme="majorHAnsi" w:hAnsiTheme="majorHAnsi" w:cs="Times"/>
          <w:sz w:val="16"/>
          <w:szCs w:val="16"/>
        </w:rPr>
        <w:t xml:space="preserve"> 2005, p</w:t>
      </w:r>
      <w:r w:rsidR="006878D5" w:rsidRPr="00630CCB">
        <w:rPr>
          <w:rFonts w:asciiTheme="majorHAnsi" w:hAnsiTheme="majorHAnsi" w:cs="Times"/>
          <w:sz w:val="16"/>
          <w:szCs w:val="16"/>
        </w:rPr>
        <w:t>aras</w:t>
      </w:r>
      <w:r w:rsidRPr="00630CCB">
        <w:rPr>
          <w:rFonts w:asciiTheme="majorHAnsi" w:hAnsiTheme="majorHAnsi" w:cs="Times"/>
          <w:sz w:val="16"/>
          <w:szCs w:val="16"/>
        </w:rPr>
        <w:t xml:space="preserve">. </w:t>
      </w:r>
      <w:r w:rsidRPr="00F67E2D">
        <w:rPr>
          <w:rFonts w:asciiTheme="majorHAnsi" w:hAnsiTheme="majorHAnsi" w:cs="Times"/>
          <w:sz w:val="16"/>
          <w:szCs w:val="16"/>
        </w:rPr>
        <w:t xml:space="preserve">35 </w:t>
      </w:r>
      <w:r w:rsidR="006878D5" w:rsidRPr="00F67E2D">
        <w:rPr>
          <w:rFonts w:asciiTheme="majorHAnsi" w:hAnsiTheme="majorHAnsi" w:cs="Times"/>
          <w:sz w:val="16"/>
          <w:szCs w:val="16"/>
        </w:rPr>
        <w:t>and</w:t>
      </w:r>
      <w:r w:rsidRPr="00F67E2D">
        <w:rPr>
          <w:rFonts w:asciiTheme="majorHAnsi" w:hAnsiTheme="majorHAnsi" w:cs="Times"/>
          <w:sz w:val="16"/>
          <w:szCs w:val="16"/>
        </w:rPr>
        <w:t xml:space="preserve"> 40. </w:t>
      </w:r>
      <w:r w:rsidR="006878D5" w:rsidRPr="00F67E2D">
        <w:rPr>
          <w:rFonts w:asciiTheme="majorHAnsi" w:hAnsiTheme="majorHAnsi" w:cs="Times"/>
          <w:sz w:val="16"/>
          <w:szCs w:val="16"/>
        </w:rPr>
        <w:t>IACHR</w:t>
      </w:r>
      <w:r w:rsidRPr="00F67E2D">
        <w:rPr>
          <w:rFonts w:asciiTheme="majorHAnsi" w:hAnsiTheme="majorHAnsi" w:cs="Times"/>
          <w:sz w:val="16"/>
          <w:szCs w:val="16"/>
        </w:rPr>
        <w:t xml:space="preserve">, </w:t>
      </w:r>
      <w:r w:rsidRPr="00F67E2D">
        <w:rPr>
          <w:rFonts w:asciiTheme="majorHAnsi" w:hAnsiTheme="majorHAnsi" w:cs="Times"/>
          <w:i/>
          <w:sz w:val="16"/>
          <w:szCs w:val="16"/>
        </w:rPr>
        <w:t xml:space="preserve">Banco de Lima, </w:t>
      </w:r>
      <w:r w:rsidR="006878D5" w:rsidRPr="00F67E2D">
        <w:rPr>
          <w:rFonts w:asciiTheme="majorHAnsi" w:hAnsiTheme="majorHAnsi" w:cs="Times"/>
          <w:sz w:val="16"/>
          <w:szCs w:val="16"/>
        </w:rPr>
        <w:t>Report No.</w:t>
      </w:r>
      <w:r w:rsidRPr="00F67E2D">
        <w:rPr>
          <w:rFonts w:asciiTheme="majorHAnsi" w:hAnsiTheme="majorHAnsi" w:cs="Times"/>
          <w:sz w:val="16"/>
          <w:szCs w:val="16"/>
        </w:rPr>
        <w:t xml:space="preserve"> 10/91, Cas</w:t>
      </w:r>
      <w:r w:rsidR="006878D5" w:rsidRPr="00F67E2D">
        <w:rPr>
          <w:rFonts w:asciiTheme="majorHAnsi" w:hAnsiTheme="majorHAnsi" w:cs="Times"/>
          <w:sz w:val="16"/>
          <w:szCs w:val="16"/>
        </w:rPr>
        <w:t>e</w:t>
      </w:r>
      <w:r w:rsidRPr="00F67E2D">
        <w:rPr>
          <w:rFonts w:asciiTheme="majorHAnsi" w:hAnsiTheme="majorHAnsi" w:cs="Times"/>
          <w:sz w:val="16"/>
          <w:szCs w:val="16"/>
        </w:rPr>
        <w:t xml:space="preserve"> 10.169, Per</w:t>
      </w:r>
      <w:r w:rsidR="006878D5" w:rsidRPr="00F67E2D">
        <w:rPr>
          <w:rFonts w:asciiTheme="majorHAnsi" w:hAnsiTheme="majorHAnsi" w:cs="Times"/>
          <w:sz w:val="16"/>
          <w:szCs w:val="16"/>
        </w:rPr>
        <w:t>u</w:t>
      </w:r>
      <w:r w:rsidRPr="00F67E2D">
        <w:rPr>
          <w:rFonts w:asciiTheme="majorHAnsi" w:hAnsiTheme="majorHAnsi" w:cs="Times"/>
          <w:sz w:val="16"/>
          <w:szCs w:val="16"/>
        </w:rPr>
        <w:t>, 1990-1991</w:t>
      </w:r>
      <w:r w:rsidR="006878D5" w:rsidRPr="00F67E2D">
        <w:rPr>
          <w:rFonts w:asciiTheme="majorHAnsi" w:hAnsiTheme="majorHAnsi" w:cs="Times"/>
          <w:sz w:val="16"/>
          <w:szCs w:val="16"/>
        </w:rPr>
        <w:t xml:space="preserve"> Annual Report</w:t>
      </w:r>
      <w:r w:rsidRPr="00F67E2D">
        <w:rPr>
          <w:rFonts w:asciiTheme="majorHAnsi" w:hAnsiTheme="majorHAnsi" w:cs="Times"/>
          <w:sz w:val="16"/>
          <w:szCs w:val="16"/>
        </w:rPr>
        <w:t xml:space="preserve">, p. 452 </w:t>
      </w:r>
      <w:r w:rsidR="006878D5" w:rsidRPr="00F67E2D">
        <w:rPr>
          <w:rFonts w:asciiTheme="majorHAnsi" w:hAnsiTheme="majorHAnsi" w:cs="Times"/>
          <w:sz w:val="16"/>
          <w:szCs w:val="16"/>
        </w:rPr>
        <w:t>and ss.</w:t>
      </w:r>
      <w:r w:rsidRPr="00F67E2D">
        <w:rPr>
          <w:rFonts w:asciiTheme="majorHAnsi" w:hAnsiTheme="majorHAnsi" w:cs="Times"/>
          <w:sz w:val="16"/>
          <w:szCs w:val="16"/>
        </w:rPr>
        <w:t xml:space="preserve">  </w:t>
      </w:r>
      <w:r w:rsidR="006878D5" w:rsidRPr="00F67E2D">
        <w:rPr>
          <w:rFonts w:asciiTheme="majorHAnsi" w:hAnsiTheme="majorHAnsi" w:cs="Times"/>
          <w:sz w:val="16"/>
          <w:szCs w:val="16"/>
        </w:rPr>
        <w:t>IACHR</w:t>
      </w:r>
      <w:r w:rsidRPr="00F67E2D">
        <w:rPr>
          <w:rFonts w:asciiTheme="majorHAnsi" w:hAnsiTheme="majorHAnsi" w:cs="Times"/>
          <w:sz w:val="16"/>
          <w:szCs w:val="16"/>
        </w:rPr>
        <w:t xml:space="preserve">, </w:t>
      </w:r>
      <w:r w:rsidRPr="00F67E2D">
        <w:rPr>
          <w:rFonts w:asciiTheme="majorHAnsi" w:hAnsiTheme="majorHAnsi" w:cs="Times"/>
          <w:i/>
          <w:sz w:val="16"/>
          <w:szCs w:val="16"/>
        </w:rPr>
        <w:t xml:space="preserve">Tabacalera Boquerón, </w:t>
      </w:r>
      <w:r w:rsidR="006878D5" w:rsidRPr="00F67E2D">
        <w:rPr>
          <w:rFonts w:asciiTheme="majorHAnsi" w:hAnsiTheme="majorHAnsi" w:cs="Times"/>
          <w:sz w:val="16"/>
          <w:szCs w:val="16"/>
        </w:rPr>
        <w:t>Report No.</w:t>
      </w:r>
      <w:r w:rsidRPr="00F67E2D">
        <w:rPr>
          <w:rFonts w:asciiTheme="majorHAnsi" w:hAnsiTheme="majorHAnsi" w:cs="Times"/>
          <w:sz w:val="16"/>
          <w:szCs w:val="16"/>
        </w:rPr>
        <w:t xml:space="preserve"> 47/97, Paraguay, 1997</w:t>
      </w:r>
      <w:r w:rsidR="006878D5" w:rsidRPr="00F67E2D">
        <w:rPr>
          <w:rFonts w:asciiTheme="majorHAnsi" w:hAnsiTheme="majorHAnsi" w:cs="Times"/>
          <w:sz w:val="16"/>
          <w:szCs w:val="16"/>
        </w:rPr>
        <w:t xml:space="preserve"> Annual Report</w:t>
      </w:r>
      <w:r w:rsidRPr="00F67E2D">
        <w:rPr>
          <w:rFonts w:asciiTheme="majorHAnsi" w:hAnsiTheme="majorHAnsi" w:cs="Times"/>
          <w:sz w:val="16"/>
          <w:szCs w:val="16"/>
        </w:rPr>
        <w:t xml:space="preserve">, p. 229 y </w:t>
      </w:r>
      <w:r w:rsidR="006878D5" w:rsidRPr="00F67E2D">
        <w:rPr>
          <w:rFonts w:asciiTheme="majorHAnsi" w:hAnsiTheme="majorHAnsi" w:cs="Times"/>
          <w:sz w:val="16"/>
          <w:szCs w:val="16"/>
        </w:rPr>
        <w:t>and ss.</w:t>
      </w:r>
      <w:r w:rsidRPr="00F67E2D">
        <w:rPr>
          <w:rFonts w:asciiTheme="majorHAnsi" w:hAnsiTheme="majorHAnsi" w:cs="Times"/>
          <w:sz w:val="16"/>
          <w:szCs w:val="16"/>
        </w:rPr>
        <w:t xml:space="preserve">.  </w:t>
      </w:r>
      <w:r w:rsidR="006878D5" w:rsidRPr="00F67E2D">
        <w:rPr>
          <w:rFonts w:asciiTheme="majorHAnsi" w:hAnsiTheme="majorHAnsi" w:cs="Times"/>
          <w:sz w:val="16"/>
          <w:szCs w:val="16"/>
        </w:rPr>
        <w:t>IACHR</w:t>
      </w:r>
      <w:r w:rsidRPr="00F67E2D">
        <w:rPr>
          <w:rFonts w:asciiTheme="majorHAnsi" w:hAnsiTheme="majorHAnsi" w:cs="Times"/>
          <w:sz w:val="16"/>
          <w:szCs w:val="16"/>
        </w:rPr>
        <w:t xml:space="preserve">, </w:t>
      </w:r>
      <w:r w:rsidRPr="00F67E2D">
        <w:rPr>
          <w:rFonts w:asciiTheme="majorHAnsi" w:hAnsiTheme="majorHAnsi" w:cs="Times"/>
          <w:i/>
          <w:sz w:val="16"/>
          <w:szCs w:val="16"/>
        </w:rPr>
        <w:t>Mevopal, S.A.,</w:t>
      </w:r>
      <w:r w:rsidRPr="00F67E2D">
        <w:rPr>
          <w:rFonts w:asciiTheme="majorHAnsi" w:hAnsiTheme="majorHAnsi" w:cs="Times"/>
          <w:sz w:val="16"/>
          <w:szCs w:val="16"/>
        </w:rPr>
        <w:t xml:space="preserve"> </w:t>
      </w:r>
      <w:r w:rsidR="006878D5" w:rsidRPr="00F67E2D">
        <w:rPr>
          <w:rFonts w:asciiTheme="majorHAnsi" w:hAnsiTheme="majorHAnsi" w:cs="Times"/>
          <w:sz w:val="16"/>
          <w:szCs w:val="16"/>
        </w:rPr>
        <w:t>Report No.</w:t>
      </w:r>
      <w:r w:rsidRPr="00F67E2D">
        <w:rPr>
          <w:rFonts w:asciiTheme="majorHAnsi" w:hAnsiTheme="majorHAnsi" w:cs="Times"/>
          <w:sz w:val="16"/>
          <w:szCs w:val="16"/>
        </w:rPr>
        <w:t xml:space="preserve"> 39/99, Argentina, 1999</w:t>
      </w:r>
      <w:r w:rsidR="006878D5" w:rsidRPr="00F67E2D">
        <w:rPr>
          <w:rFonts w:asciiTheme="majorHAnsi" w:hAnsiTheme="majorHAnsi" w:cs="Times"/>
          <w:sz w:val="16"/>
          <w:szCs w:val="16"/>
        </w:rPr>
        <w:t xml:space="preserve"> Annual Report</w:t>
      </w:r>
      <w:r w:rsidRPr="00F67E2D">
        <w:rPr>
          <w:rFonts w:asciiTheme="majorHAnsi" w:hAnsiTheme="majorHAnsi" w:cs="Times"/>
          <w:sz w:val="16"/>
          <w:szCs w:val="16"/>
        </w:rPr>
        <w:t xml:space="preserve">.  </w:t>
      </w:r>
      <w:r w:rsidR="006878D5" w:rsidRPr="00630CCB">
        <w:rPr>
          <w:rFonts w:asciiTheme="majorHAnsi" w:hAnsiTheme="majorHAnsi" w:cs="Times"/>
          <w:sz w:val="16"/>
          <w:szCs w:val="16"/>
        </w:rPr>
        <w:t>IACHR</w:t>
      </w:r>
      <w:r w:rsidRPr="00630CCB">
        <w:rPr>
          <w:rFonts w:asciiTheme="majorHAnsi" w:hAnsiTheme="majorHAnsi" w:cs="Times"/>
          <w:sz w:val="16"/>
          <w:szCs w:val="16"/>
        </w:rPr>
        <w:t xml:space="preserve">, </w:t>
      </w:r>
      <w:r w:rsidRPr="00630CCB">
        <w:rPr>
          <w:rFonts w:asciiTheme="majorHAnsi" w:hAnsiTheme="majorHAnsi" w:cs="Times"/>
          <w:i/>
          <w:sz w:val="16"/>
          <w:szCs w:val="16"/>
        </w:rPr>
        <w:t xml:space="preserve">Bernard Merens y Familia, </w:t>
      </w:r>
      <w:r w:rsidR="006878D5" w:rsidRPr="00630CCB">
        <w:rPr>
          <w:rFonts w:asciiTheme="majorHAnsi" w:hAnsiTheme="majorHAnsi" w:cs="Times"/>
          <w:sz w:val="16"/>
          <w:szCs w:val="16"/>
        </w:rPr>
        <w:t>Report</w:t>
      </w:r>
      <w:r w:rsidRPr="00630CCB">
        <w:rPr>
          <w:rFonts w:asciiTheme="majorHAnsi" w:hAnsiTheme="majorHAnsi" w:cs="Times"/>
          <w:sz w:val="16"/>
          <w:szCs w:val="16"/>
        </w:rPr>
        <w:t xml:space="preserve"> N</w:t>
      </w:r>
      <w:r w:rsidR="006878D5" w:rsidRPr="00630CCB">
        <w:rPr>
          <w:rFonts w:asciiTheme="majorHAnsi" w:hAnsiTheme="majorHAnsi" w:cs="Times"/>
          <w:sz w:val="16"/>
          <w:szCs w:val="16"/>
        </w:rPr>
        <w:t>o.</w:t>
      </w:r>
      <w:r w:rsidRPr="00630CCB">
        <w:rPr>
          <w:rFonts w:asciiTheme="majorHAnsi" w:hAnsiTheme="majorHAnsi" w:cs="Times"/>
          <w:sz w:val="16"/>
          <w:szCs w:val="16"/>
        </w:rPr>
        <w:t xml:space="preserve"> 103/99, Argentina, 1999</w:t>
      </w:r>
      <w:r w:rsidR="006878D5" w:rsidRPr="00630CCB">
        <w:rPr>
          <w:rFonts w:asciiTheme="majorHAnsi" w:hAnsiTheme="majorHAnsi" w:cs="Times"/>
          <w:sz w:val="16"/>
          <w:szCs w:val="16"/>
        </w:rPr>
        <w:t xml:space="preserve"> Annual Report</w:t>
      </w:r>
      <w:r w:rsidRPr="00630CCB">
        <w:rPr>
          <w:rFonts w:asciiTheme="majorHAnsi" w:hAnsiTheme="majorHAnsi" w:cs="Times"/>
          <w:sz w:val="16"/>
          <w:szCs w:val="16"/>
        </w:rPr>
        <w:t xml:space="preserve">.  </w:t>
      </w:r>
      <w:r w:rsidR="006878D5" w:rsidRPr="00630CCB">
        <w:rPr>
          <w:rFonts w:asciiTheme="majorHAnsi" w:hAnsiTheme="majorHAnsi" w:cs="Times"/>
          <w:sz w:val="16"/>
          <w:szCs w:val="16"/>
        </w:rPr>
        <w:t>IACHR</w:t>
      </w:r>
      <w:r w:rsidRPr="00630CCB">
        <w:rPr>
          <w:rFonts w:asciiTheme="majorHAnsi" w:hAnsiTheme="majorHAnsi" w:cs="Times"/>
          <w:sz w:val="16"/>
          <w:szCs w:val="16"/>
        </w:rPr>
        <w:t xml:space="preserve">, </w:t>
      </w:r>
      <w:r w:rsidRPr="00630CCB">
        <w:rPr>
          <w:rFonts w:asciiTheme="majorHAnsi" w:hAnsiTheme="majorHAnsi" w:cs="Times"/>
          <w:i/>
          <w:sz w:val="16"/>
          <w:szCs w:val="16"/>
        </w:rPr>
        <w:t>Bendeck- COHDINSA,</w:t>
      </w:r>
      <w:r w:rsidRPr="00630CCB">
        <w:rPr>
          <w:rFonts w:asciiTheme="majorHAnsi" w:hAnsiTheme="majorHAnsi" w:cs="Times"/>
          <w:sz w:val="16"/>
          <w:szCs w:val="16"/>
        </w:rPr>
        <w:t xml:space="preserve"> </w:t>
      </w:r>
      <w:r w:rsidR="006878D5" w:rsidRPr="00630CCB">
        <w:rPr>
          <w:rFonts w:asciiTheme="majorHAnsi" w:hAnsiTheme="majorHAnsi" w:cs="Times"/>
          <w:sz w:val="16"/>
          <w:szCs w:val="16"/>
        </w:rPr>
        <w:t>Report No.</w:t>
      </w:r>
      <w:r w:rsidRPr="00630CCB">
        <w:rPr>
          <w:rFonts w:asciiTheme="majorHAnsi" w:hAnsiTheme="majorHAnsi" w:cs="Times"/>
          <w:sz w:val="16"/>
          <w:szCs w:val="16"/>
        </w:rPr>
        <w:t xml:space="preserve"> 106/99, Honduras, 1999</w:t>
      </w:r>
      <w:r w:rsidR="006878D5" w:rsidRPr="00630CCB">
        <w:rPr>
          <w:rFonts w:asciiTheme="majorHAnsi" w:hAnsiTheme="majorHAnsi" w:cs="Times"/>
          <w:sz w:val="16"/>
          <w:szCs w:val="16"/>
        </w:rPr>
        <w:t xml:space="preserve"> Annual Report</w:t>
      </w:r>
      <w:r w:rsidRPr="00630CCB">
        <w:rPr>
          <w:rFonts w:asciiTheme="majorHAnsi" w:hAnsiTheme="majorHAnsi" w:cs="Time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E75F9D"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29C60A08"/>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3E2FF2"/>
    <w:multiLevelType w:val="hybridMultilevel"/>
    <w:tmpl w:val="E6BC44CE"/>
    <w:lvl w:ilvl="0" w:tplc="FFFFFFFF">
      <w:start w:val="1"/>
      <w:numFmt w:val="decimal"/>
      <w:lvlText w:val="%1."/>
      <w:lvlJc w:val="left"/>
      <w:pPr>
        <w:tabs>
          <w:tab w:val="num" w:pos="720"/>
        </w:tabs>
        <w:ind w:left="0" w:firstLine="720"/>
      </w:pPr>
      <w:rPr>
        <w:rFonts w:hint="default"/>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5839A5"/>
    <w:multiLevelType w:val="hybridMultilevel"/>
    <w:tmpl w:val="58C0401A"/>
    <w:lvl w:ilvl="0" w:tplc="FFFFFFFF">
      <w:start w:val="1"/>
      <w:numFmt w:val="decimal"/>
      <w:lvlText w:val="%1."/>
      <w:lvlJc w:val="left"/>
      <w:pPr>
        <w:tabs>
          <w:tab w:val="num" w:pos="720"/>
        </w:tabs>
        <w:ind w:left="0" w:firstLine="720"/>
      </w:pPr>
      <w:rPr>
        <w:rFonts w:hint="default"/>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7"/>
  </w:num>
  <w:num w:numId="8" w16cid:durableId="376321760">
    <w:abstractNumId w:val="22"/>
  </w:num>
  <w:num w:numId="9" w16cid:durableId="308170427">
    <w:abstractNumId w:val="49"/>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5"/>
  </w:num>
  <w:num w:numId="13" w16cid:durableId="20564193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39"/>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3"/>
  </w:num>
  <w:num w:numId="53" w16cid:durableId="1292780975">
    <w:abstractNumId w:val="0"/>
  </w:num>
  <w:num w:numId="54" w16cid:durableId="1626540545">
    <w:abstractNumId w:val="38"/>
  </w:num>
  <w:num w:numId="55" w16cid:durableId="1040014095">
    <w:abstractNumId w:val="39"/>
  </w:num>
  <w:num w:numId="56" w16cid:durableId="478502565">
    <w:abstractNumId w:val="45"/>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3"/>
  </w:num>
  <w:num w:numId="79" w16cid:durableId="501432526">
    <w:abstractNumId w:val="34"/>
  </w:num>
  <w:num w:numId="80" w16cid:durableId="303512044">
    <w:abstractNumId w:val="35"/>
  </w:num>
  <w:num w:numId="81" w16cid:durableId="1245067003">
    <w:abstractNumId w:val="36"/>
  </w:num>
  <w:num w:numId="82" w16cid:durableId="533737061">
    <w:abstractNumId w:val="40"/>
  </w:num>
  <w:num w:numId="83" w16cid:durableId="746926384">
    <w:abstractNumId w:val="41"/>
  </w:num>
  <w:num w:numId="84" w16cid:durableId="458770273">
    <w:abstractNumId w:val="47"/>
  </w:num>
  <w:num w:numId="85" w16cid:durableId="297492593">
    <w:abstractNumId w:val="50"/>
  </w:num>
  <w:num w:numId="86" w16cid:durableId="65686269">
    <w:abstractNumId w:val="52"/>
  </w:num>
  <w:num w:numId="87" w16cid:durableId="1248156171">
    <w:abstractNumId w:val="54"/>
  </w:num>
  <w:num w:numId="88" w16cid:durableId="1215462391">
    <w:abstractNumId w:val="56"/>
  </w:num>
  <w:num w:numId="89" w16cid:durableId="128058583">
    <w:abstractNumId w:val="58"/>
  </w:num>
  <w:num w:numId="90" w16cid:durableId="1009914232">
    <w:abstractNumId w:val="59"/>
  </w:num>
  <w:num w:numId="91" w16cid:durableId="820124281">
    <w:abstractNumId w:val="61"/>
  </w:num>
  <w:num w:numId="92" w16cid:durableId="292637384">
    <w:abstractNumId w:val="63"/>
  </w:num>
  <w:num w:numId="93" w16cid:durableId="1214807657">
    <w:abstractNumId w:val="64"/>
  </w:num>
  <w:num w:numId="94" w16cid:durableId="7879810">
    <w:abstractNumId w:val="21"/>
  </w:num>
  <w:num w:numId="95" w16cid:durableId="1873372669">
    <w:abstractNumId w:val="42"/>
  </w:num>
  <w:num w:numId="96" w16cid:durableId="645817943">
    <w:abstractNumId w:val="53"/>
  </w:num>
  <w:num w:numId="97" w16cid:durableId="1400666531">
    <w:abstractNumId w:val="51"/>
  </w:num>
  <w:num w:numId="98" w16cid:durableId="208347111">
    <w:abstractNumId w:val="46"/>
  </w:num>
  <w:num w:numId="99" w16cid:durableId="1112213603">
    <w:abstractNumId w:val="37"/>
  </w:num>
  <w:num w:numId="100" w16cid:durableId="1644240404">
    <w:abstractNumId w:val="3"/>
  </w:num>
  <w:num w:numId="101" w16cid:durableId="1100955568">
    <w:abstractNumId w:val="26"/>
  </w:num>
  <w:num w:numId="102" w16cid:durableId="2025739805">
    <w:abstractNumId w:val="48"/>
  </w:num>
  <w:num w:numId="103" w16cid:durableId="1664313997">
    <w:abstractNumId w:val="5"/>
  </w:num>
  <w:num w:numId="104" w16cid:durableId="592593905">
    <w:abstractNumId w:val="11"/>
  </w:num>
  <w:num w:numId="105" w16cid:durableId="258831238">
    <w:abstractNumId w:val="44"/>
  </w:num>
  <w:num w:numId="106" w16cid:durableId="249583937">
    <w:abstractNumId w:val="60"/>
  </w:num>
  <w:num w:numId="107" w16cid:durableId="880632998">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36A8A"/>
    <w:rsid w:val="00040C3A"/>
    <w:rsid w:val="00044014"/>
    <w:rsid w:val="000639C0"/>
    <w:rsid w:val="00070F3A"/>
    <w:rsid w:val="000716C5"/>
    <w:rsid w:val="00075E23"/>
    <w:rsid w:val="00081BA2"/>
    <w:rsid w:val="00086FC9"/>
    <w:rsid w:val="00090B79"/>
    <w:rsid w:val="00092F32"/>
    <w:rsid w:val="0009344A"/>
    <w:rsid w:val="000964BE"/>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16E5"/>
    <w:rsid w:val="0026386B"/>
    <w:rsid w:val="00266092"/>
    <w:rsid w:val="00266B61"/>
    <w:rsid w:val="0026712A"/>
    <w:rsid w:val="002704DB"/>
    <w:rsid w:val="002760CE"/>
    <w:rsid w:val="002B7A85"/>
    <w:rsid w:val="002C1641"/>
    <w:rsid w:val="002D5147"/>
    <w:rsid w:val="002D7EA2"/>
    <w:rsid w:val="002E15DF"/>
    <w:rsid w:val="002E187C"/>
    <w:rsid w:val="002E6E57"/>
    <w:rsid w:val="00301075"/>
    <w:rsid w:val="00302733"/>
    <w:rsid w:val="00311A4F"/>
    <w:rsid w:val="00314078"/>
    <w:rsid w:val="00321AFD"/>
    <w:rsid w:val="00322450"/>
    <w:rsid w:val="003246B5"/>
    <w:rsid w:val="0033169F"/>
    <w:rsid w:val="003414AC"/>
    <w:rsid w:val="00353589"/>
    <w:rsid w:val="00355242"/>
    <w:rsid w:val="00356185"/>
    <w:rsid w:val="00360380"/>
    <w:rsid w:val="003771A3"/>
    <w:rsid w:val="00386CF0"/>
    <w:rsid w:val="003A4348"/>
    <w:rsid w:val="003C32BC"/>
    <w:rsid w:val="003E3E03"/>
    <w:rsid w:val="003F1BBF"/>
    <w:rsid w:val="00416086"/>
    <w:rsid w:val="004162B1"/>
    <w:rsid w:val="004165C2"/>
    <w:rsid w:val="004228F2"/>
    <w:rsid w:val="00424463"/>
    <w:rsid w:val="00450A4A"/>
    <w:rsid w:val="00461E46"/>
    <w:rsid w:val="004666FB"/>
    <w:rsid w:val="00466D0B"/>
    <w:rsid w:val="00467B7E"/>
    <w:rsid w:val="0049419D"/>
    <w:rsid w:val="004B2762"/>
    <w:rsid w:val="004B7EB6"/>
    <w:rsid w:val="004C41DE"/>
    <w:rsid w:val="004C4B62"/>
    <w:rsid w:val="004C4C67"/>
    <w:rsid w:val="004D6025"/>
    <w:rsid w:val="004D72BC"/>
    <w:rsid w:val="004F6B67"/>
    <w:rsid w:val="00501399"/>
    <w:rsid w:val="00507BC4"/>
    <w:rsid w:val="005128E4"/>
    <w:rsid w:val="00525560"/>
    <w:rsid w:val="005357A6"/>
    <w:rsid w:val="005406C2"/>
    <w:rsid w:val="00544C49"/>
    <w:rsid w:val="0057402A"/>
    <w:rsid w:val="005771D0"/>
    <w:rsid w:val="005816E5"/>
    <w:rsid w:val="0059191A"/>
    <w:rsid w:val="005921FF"/>
    <w:rsid w:val="00592718"/>
    <w:rsid w:val="005A6D0E"/>
    <w:rsid w:val="005B222D"/>
    <w:rsid w:val="005B52B0"/>
    <w:rsid w:val="005B6806"/>
    <w:rsid w:val="005C00F9"/>
    <w:rsid w:val="005C4225"/>
    <w:rsid w:val="005E19AA"/>
    <w:rsid w:val="005F0F33"/>
    <w:rsid w:val="00600DEB"/>
    <w:rsid w:val="00605DE2"/>
    <w:rsid w:val="00613027"/>
    <w:rsid w:val="00616C1E"/>
    <w:rsid w:val="00627C9F"/>
    <w:rsid w:val="00630CCB"/>
    <w:rsid w:val="006311DA"/>
    <w:rsid w:val="006311E9"/>
    <w:rsid w:val="006318B2"/>
    <w:rsid w:val="00632354"/>
    <w:rsid w:val="00642810"/>
    <w:rsid w:val="00652333"/>
    <w:rsid w:val="00653EA6"/>
    <w:rsid w:val="006614CA"/>
    <w:rsid w:val="0068009E"/>
    <w:rsid w:val="006878D5"/>
    <w:rsid w:val="006A17D2"/>
    <w:rsid w:val="006A73E6"/>
    <w:rsid w:val="006B2D5C"/>
    <w:rsid w:val="006C4EB1"/>
    <w:rsid w:val="006D4707"/>
    <w:rsid w:val="006E0166"/>
    <w:rsid w:val="006E7B34"/>
    <w:rsid w:val="00701B24"/>
    <w:rsid w:val="0071495F"/>
    <w:rsid w:val="0073798E"/>
    <w:rsid w:val="00745899"/>
    <w:rsid w:val="007607C4"/>
    <w:rsid w:val="0076643F"/>
    <w:rsid w:val="0077521F"/>
    <w:rsid w:val="00781653"/>
    <w:rsid w:val="007A2F70"/>
    <w:rsid w:val="007B5F05"/>
    <w:rsid w:val="007C3334"/>
    <w:rsid w:val="007C52BB"/>
    <w:rsid w:val="007D2B98"/>
    <w:rsid w:val="007F196E"/>
    <w:rsid w:val="00803F1C"/>
    <w:rsid w:val="0080600E"/>
    <w:rsid w:val="00817612"/>
    <w:rsid w:val="00837C45"/>
    <w:rsid w:val="00853419"/>
    <w:rsid w:val="00897E12"/>
    <w:rsid w:val="008C0EFB"/>
    <w:rsid w:val="008D43BA"/>
    <w:rsid w:val="008E3759"/>
    <w:rsid w:val="009041DC"/>
    <w:rsid w:val="009104B4"/>
    <w:rsid w:val="00911ADA"/>
    <w:rsid w:val="009228DA"/>
    <w:rsid w:val="00925FCD"/>
    <w:rsid w:val="0093441A"/>
    <w:rsid w:val="00954BF7"/>
    <w:rsid w:val="00960CB3"/>
    <w:rsid w:val="0096706E"/>
    <w:rsid w:val="00981FBA"/>
    <w:rsid w:val="009B381B"/>
    <w:rsid w:val="009D7611"/>
    <w:rsid w:val="009E53DE"/>
    <w:rsid w:val="009E566A"/>
    <w:rsid w:val="009F6793"/>
    <w:rsid w:val="00A0577C"/>
    <w:rsid w:val="00A12DBC"/>
    <w:rsid w:val="00A178BE"/>
    <w:rsid w:val="00A43458"/>
    <w:rsid w:val="00A528D1"/>
    <w:rsid w:val="00A66BE5"/>
    <w:rsid w:val="00AB7311"/>
    <w:rsid w:val="00AC7D60"/>
    <w:rsid w:val="00AD37C1"/>
    <w:rsid w:val="00AE31E9"/>
    <w:rsid w:val="00AE66EC"/>
    <w:rsid w:val="00AE6F91"/>
    <w:rsid w:val="00AF5571"/>
    <w:rsid w:val="00AF59FB"/>
    <w:rsid w:val="00B04A2C"/>
    <w:rsid w:val="00B06BB7"/>
    <w:rsid w:val="00B167E9"/>
    <w:rsid w:val="00B179ED"/>
    <w:rsid w:val="00B314DB"/>
    <w:rsid w:val="00B31EBE"/>
    <w:rsid w:val="00B3718B"/>
    <w:rsid w:val="00B44B23"/>
    <w:rsid w:val="00B4632A"/>
    <w:rsid w:val="00B92E49"/>
    <w:rsid w:val="00BA276C"/>
    <w:rsid w:val="00BA7988"/>
    <w:rsid w:val="00BB306F"/>
    <w:rsid w:val="00BD232B"/>
    <w:rsid w:val="00BD2E42"/>
    <w:rsid w:val="00BD4B89"/>
    <w:rsid w:val="00C1537D"/>
    <w:rsid w:val="00C21762"/>
    <w:rsid w:val="00C24543"/>
    <w:rsid w:val="00C256A2"/>
    <w:rsid w:val="00C3492D"/>
    <w:rsid w:val="00C55560"/>
    <w:rsid w:val="00C55FC7"/>
    <w:rsid w:val="00C66B72"/>
    <w:rsid w:val="00C9567A"/>
    <w:rsid w:val="00CA6577"/>
    <w:rsid w:val="00CB2660"/>
    <w:rsid w:val="00CC5E90"/>
    <w:rsid w:val="00CD046C"/>
    <w:rsid w:val="00CE5199"/>
    <w:rsid w:val="00CE66D5"/>
    <w:rsid w:val="00CF3A30"/>
    <w:rsid w:val="00D2741A"/>
    <w:rsid w:val="00D34786"/>
    <w:rsid w:val="00D40A1E"/>
    <w:rsid w:val="00D533C0"/>
    <w:rsid w:val="00D712D3"/>
    <w:rsid w:val="00D71422"/>
    <w:rsid w:val="00D7145E"/>
    <w:rsid w:val="00D75084"/>
    <w:rsid w:val="00D7558D"/>
    <w:rsid w:val="00D81D92"/>
    <w:rsid w:val="00D90BED"/>
    <w:rsid w:val="00D93446"/>
    <w:rsid w:val="00DA1B88"/>
    <w:rsid w:val="00DA7B5F"/>
    <w:rsid w:val="00DD16CA"/>
    <w:rsid w:val="00DF078B"/>
    <w:rsid w:val="00DF350D"/>
    <w:rsid w:val="00E227C1"/>
    <w:rsid w:val="00E43157"/>
    <w:rsid w:val="00E47F3D"/>
    <w:rsid w:val="00E533FF"/>
    <w:rsid w:val="00E709B3"/>
    <w:rsid w:val="00E7588C"/>
    <w:rsid w:val="00E75F9D"/>
    <w:rsid w:val="00E850B6"/>
    <w:rsid w:val="00E8789F"/>
    <w:rsid w:val="00E97B71"/>
    <w:rsid w:val="00EB00BC"/>
    <w:rsid w:val="00EB1D78"/>
    <w:rsid w:val="00EB454D"/>
    <w:rsid w:val="00ED0D1B"/>
    <w:rsid w:val="00EE3522"/>
    <w:rsid w:val="00EF619B"/>
    <w:rsid w:val="00F00B55"/>
    <w:rsid w:val="00F1380F"/>
    <w:rsid w:val="00F140E4"/>
    <w:rsid w:val="00F14F0E"/>
    <w:rsid w:val="00F15A3B"/>
    <w:rsid w:val="00F24C29"/>
    <w:rsid w:val="00F253CC"/>
    <w:rsid w:val="00F42B71"/>
    <w:rsid w:val="00F56BA5"/>
    <w:rsid w:val="00F621C3"/>
    <w:rsid w:val="00F644E6"/>
    <w:rsid w:val="00F67E2D"/>
    <w:rsid w:val="00F96464"/>
    <w:rsid w:val="00F9653B"/>
    <w:rsid w:val="00FA7ED2"/>
    <w:rsid w:val="00FB62CF"/>
    <w:rsid w:val="00FC3EB4"/>
    <w:rsid w:val="00FC5EA0"/>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F59F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911ADA"/>
    <w:rPr>
      <w:sz w:val="16"/>
      <w:szCs w:val="16"/>
    </w:rPr>
  </w:style>
  <w:style w:type="paragraph" w:styleId="CommentText">
    <w:name w:val="annotation text"/>
    <w:basedOn w:val="Normal"/>
    <w:link w:val="CommentTextChar"/>
    <w:uiPriority w:val="99"/>
    <w:semiHidden/>
    <w:unhideWhenUsed/>
    <w:rsid w:val="00911ADA"/>
    <w:rPr>
      <w:sz w:val="20"/>
      <w:szCs w:val="20"/>
    </w:rPr>
  </w:style>
  <w:style w:type="character" w:customStyle="1" w:styleId="CommentTextChar">
    <w:name w:val="Comment Text Char"/>
    <w:basedOn w:val="DefaultParagraphFont"/>
    <w:link w:val="CommentText"/>
    <w:uiPriority w:val="99"/>
    <w:semiHidden/>
    <w:rsid w:val="00911ADA"/>
    <w:rPr>
      <w:lang w:val="en-US" w:eastAsia="en-US"/>
    </w:rPr>
  </w:style>
  <w:style w:type="paragraph" w:styleId="CommentSubject">
    <w:name w:val="annotation subject"/>
    <w:basedOn w:val="CommentText"/>
    <w:next w:val="CommentText"/>
    <w:link w:val="CommentSubjectChar"/>
    <w:uiPriority w:val="99"/>
    <w:semiHidden/>
    <w:unhideWhenUsed/>
    <w:rsid w:val="00911ADA"/>
    <w:rPr>
      <w:b/>
      <w:bCs/>
    </w:rPr>
  </w:style>
  <w:style w:type="character" w:customStyle="1" w:styleId="CommentSubjectChar">
    <w:name w:val="Comment Subject Char"/>
    <w:basedOn w:val="CommentTextChar"/>
    <w:link w:val="CommentSubject"/>
    <w:uiPriority w:val="99"/>
    <w:semiHidden/>
    <w:rsid w:val="00911ADA"/>
    <w:rPr>
      <w:b/>
      <w:bCs/>
      <w:lang w:val="en-US" w:eastAsia="en-US"/>
    </w:rPr>
  </w:style>
  <w:style w:type="character" w:customStyle="1" w:styleId="normaltextrun">
    <w:name w:val="normaltextrun"/>
    <w:basedOn w:val="DefaultParagraphFont"/>
    <w:rsid w:val="00F9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1268BF"/>
    <w:rsid w:val="00261A72"/>
    <w:rsid w:val="00343ECB"/>
    <w:rsid w:val="00357051"/>
    <w:rsid w:val="004108B1"/>
    <w:rsid w:val="006C228B"/>
    <w:rsid w:val="00AB44F1"/>
    <w:rsid w:val="00E237ED"/>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4010</Words>
  <Characters>22861</Characters>
  <Application>Microsoft Office Word</Application>
  <DocSecurity>0</DocSecurity>
  <Lines>190</Lines>
  <Paragraphs>53</Paragraphs>
  <ScaleCrop>false</ScaleCrop>
  <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2024-01-26T18:02:00Z</dcterms:created>
  <dcterms:modified xsi:type="dcterms:W3CDTF">2024-01-26T18:02:00Z</dcterms:modified>
</cp:coreProperties>
</file>