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73B305B" w:rsidR="00040C3A" w:rsidRPr="00547797" w:rsidRDefault="006A10B1" w:rsidP="00627C9F">
      <w:pPr>
        <w:jc w:val="both"/>
        <w:rPr>
          <w:rFonts w:asciiTheme="majorHAnsi" w:hAnsiTheme="majorHAnsi" w:cs="Univers"/>
          <w:b/>
          <w:bCs/>
          <w:sz w:val="22"/>
          <w:szCs w:val="22"/>
        </w:rPr>
      </w:pPr>
      <w:r w:rsidRPr="003C32BC">
        <w:rPr>
          <w:rFonts w:asciiTheme="majorHAnsi" w:hAnsiTheme="majorHAnsi"/>
          <w:noProof/>
          <w:sz w:val="22"/>
          <w:szCs w:val="22"/>
        </w:rPr>
        <mc:AlternateContent>
          <mc:Choice Requires="wps">
            <w:drawing>
              <wp:anchor distT="0" distB="0" distL="114300" distR="114300" simplePos="0" relativeHeight="251668479" behindDoc="0" locked="0" layoutInCell="1" allowOverlap="1" wp14:anchorId="64BB0CAA" wp14:editId="03F35739">
                <wp:simplePos x="0" y="0"/>
                <wp:positionH relativeFrom="column">
                  <wp:posOffset>-335280</wp:posOffset>
                </wp:positionH>
                <wp:positionV relativeFrom="paragraph">
                  <wp:posOffset>-335280</wp:posOffset>
                </wp:positionV>
                <wp:extent cx="1409700" cy="918337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918337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78615C" id="Rectangle 1" o:spid="_x0000_s1026" style="position:absolute;margin-left:-26.4pt;margin-top:-26.4pt;width:111pt;height:723.1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" fillcolor="#67ae3c" stroked="f" strokeweight="2pt"/>
            </w:pict>
          </mc:Fallback>
        </mc:AlternateContent>
      </w:r>
      <w:r w:rsidR="00D306D1">
        <w:rPr>
          <w:rFonts w:asciiTheme="majorHAnsi" w:hAnsiTheme="majorHAnsi"/>
          <w:noProof/>
          <w:sz w:val="22"/>
          <w:szCs w:val="22"/>
          <w:lang w:val="en"/>
        </w:rPr>
        <mc:AlternateContent>
          <mc:Choice Requires="wps">
            <w:drawing>
              <wp:anchor distT="0" distB="0" distL="114300" distR="114300" simplePos="0" relativeHeight="251673600" behindDoc="0" locked="0" layoutInCell="1" allowOverlap="1" wp14:anchorId="7A92621B" wp14:editId="755F61E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42E9C61" w:rsidR="00CB2660" w:rsidRDefault="006F3A6C" w:rsidP="00AE5488">
                            <w:r>
                              <w:rPr>
                                <w:noProof/>
                              </w:rPr>
                              <w:drawing>
                                <wp:inline distT="0" distB="0" distL="0" distR="0" wp14:anchorId="3B322B1A" wp14:editId="0EAC53A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42E9C61" w:rsidR="00CB2660" w:rsidRDefault="006F3A6C" w:rsidP="00AE5488">
                      <w:r>
                        <w:rPr>
                          <w:noProof/>
                        </w:rPr>
                        <w:drawing>
                          <wp:inline distT="0" distB="0" distL="0" distR="0" wp14:anchorId="3B322B1A" wp14:editId="0EAC53A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v:shape>
            </w:pict>
          </mc:Fallback>
        </mc:AlternateContent>
      </w:r>
      <w:r w:rsidR="00D306D1">
        <w:rPr>
          <w:rFonts w:asciiTheme="majorHAnsi" w:hAnsiTheme="majorHAnsi"/>
          <w:b/>
          <w:bCs/>
          <w:sz w:val="22"/>
          <w:szCs w:val="22"/>
          <w:lang w:val="en"/>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rPr>
      </w:pPr>
    </w:p>
    <w:p w14:paraId="49EC0A3F" w14:textId="77777777" w:rsidR="005128E4" w:rsidRPr="00547797" w:rsidRDefault="005128E4" w:rsidP="00040C3A">
      <w:pPr>
        <w:tabs>
          <w:tab w:val="center" w:pos="5400"/>
        </w:tabs>
        <w:suppressAutoHyphens/>
        <w:rPr>
          <w:rFonts w:asciiTheme="majorHAnsi" w:hAnsiTheme="majorHAnsi"/>
          <w:sz w:val="22"/>
          <w:szCs w:val="22"/>
        </w:rPr>
      </w:pPr>
    </w:p>
    <w:p w14:paraId="7F51F08B" w14:textId="77777777" w:rsidR="005128E4" w:rsidRPr="00547797" w:rsidRDefault="005128E4" w:rsidP="00040C3A">
      <w:pPr>
        <w:tabs>
          <w:tab w:val="center" w:pos="5400"/>
        </w:tabs>
        <w:suppressAutoHyphens/>
        <w:rPr>
          <w:rFonts w:asciiTheme="majorHAnsi" w:hAnsiTheme="majorHAnsi"/>
          <w:sz w:val="22"/>
          <w:szCs w:val="22"/>
        </w:rPr>
      </w:pPr>
    </w:p>
    <w:p w14:paraId="058606A7" w14:textId="77777777" w:rsidR="005128E4" w:rsidRPr="00547797" w:rsidRDefault="005128E4" w:rsidP="00040C3A">
      <w:pPr>
        <w:tabs>
          <w:tab w:val="center" w:pos="5400"/>
        </w:tabs>
        <w:suppressAutoHyphens/>
        <w:rPr>
          <w:rFonts w:asciiTheme="majorHAnsi" w:hAnsiTheme="majorHAnsi"/>
          <w:sz w:val="22"/>
          <w:szCs w:val="22"/>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rPr>
      </w:pPr>
      <w:r>
        <w:rPr>
          <w:rFonts w:asciiTheme="majorHAnsi" w:hAnsiTheme="majorHAnsi"/>
          <w:noProof/>
          <w:sz w:val="22"/>
          <w:szCs w:val="22"/>
          <w:lang w:val="en"/>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3C8A750"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0B5212">
                              <w:rPr>
                                <w:rFonts w:asciiTheme="majorHAnsi" w:hAnsiTheme="majorHAnsi" w:cs="Arial"/>
                                <w:b/>
                                <w:bCs/>
                                <w:color w:val="0D0D0D" w:themeColor="text1" w:themeTint="F2"/>
                                <w:sz w:val="36"/>
                                <w:szCs w:val="22"/>
                                <w:lang w:val="en"/>
                              </w:rPr>
                              <w:t>60</w:t>
                            </w:r>
                            <w:r>
                              <w:rPr>
                                <w:rFonts w:asciiTheme="majorHAnsi" w:hAnsiTheme="majorHAnsi" w:cs="Arial"/>
                                <w:b/>
                                <w:bCs/>
                                <w:color w:val="0D0D0D" w:themeColor="text1" w:themeTint="F2"/>
                                <w:sz w:val="36"/>
                                <w:szCs w:val="22"/>
                                <w:lang w:val="en"/>
                              </w:rPr>
                              <w:t>/24</w:t>
                            </w:r>
                          </w:p>
                          <w:p w14:paraId="45F30ECA" w14:textId="131D78F5"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1995-14 </w:t>
                            </w:r>
                          </w:p>
                          <w:p w14:paraId="188B4303" w14:textId="6CB60B18"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p w14:paraId="768F8782" w14:textId="7A12B742" w:rsidR="005B52B0" w:rsidRPr="00CC6C6B" w:rsidRDefault="00121584" w:rsidP="00997BC5">
                            <w:pPr>
                              <w:spacing w:line="276" w:lineRule="auto"/>
                              <w:rPr>
                                <w:rFonts w:asciiTheme="majorHAnsi" w:hAnsiTheme="majorHAnsi" w:cs="Arial"/>
                                <w:color w:val="0D0D0D" w:themeColor="text1" w:themeTint="F2"/>
                                <w:szCs w:val="22"/>
                                <w:lang w:val="es-AR"/>
                              </w:rPr>
                            </w:pPr>
                            <w:r w:rsidRPr="00CC6C6B">
                              <w:rPr>
                                <w:rFonts w:asciiTheme="majorHAnsi" w:hAnsiTheme="majorHAnsi" w:cs="Arial"/>
                                <w:color w:val="0D0D0D" w:themeColor="text1" w:themeTint="F2"/>
                                <w:szCs w:val="22"/>
                                <w:lang w:val="es-AR"/>
                              </w:rPr>
                              <w:t>SAN CARLOS DE GUAROA MASSACRE</w:t>
                            </w:r>
                          </w:p>
                          <w:bookmarkEnd w:id="0"/>
                          <w:p w14:paraId="0B9F7D22" w14:textId="1F5D3728" w:rsidR="005B52B0" w:rsidRPr="00C0190A" w:rsidRDefault="00121584" w:rsidP="00F56ECB">
                            <w:pPr>
                              <w:spacing w:line="276" w:lineRule="auto"/>
                              <w:rPr>
                                <w:rFonts w:asciiTheme="majorHAnsi" w:hAnsiTheme="majorHAnsi" w:cs="Arial"/>
                                <w:color w:val="0D0D0D" w:themeColor="text1" w:themeTint="F2"/>
                                <w:szCs w:val="22"/>
                                <w:lang w:val="es-US"/>
                              </w:rPr>
                            </w:pPr>
                            <w:r w:rsidRPr="00C0190A">
                              <w:rPr>
                                <w:rFonts w:asciiTheme="majorHAnsi" w:hAnsiTheme="majorHAnsi" w:cs="Arial"/>
                                <w:color w:val="0D0D0D" w:themeColor="text1" w:themeTint="F2"/>
                                <w:szCs w:val="22"/>
                                <w:lang w:val="es-U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63C8A750"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0B5212">
                        <w:rPr>
                          <w:rFonts w:asciiTheme="majorHAnsi" w:hAnsiTheme="majorHAnsi" w:cs="Arial"/>
                          <w:b/>
                          <w:bCs/>
                          <w:color w:val="0D0D0D" w:themeColor="text1" w:themeTint="F2"/>
                          <w:sz w:val="36"/>
                          <w:szCs w:val="22"/>
                          <w:lang w:val="en"/>
                        </w:rPr>
                        <w:t>60</w:t>
                      </w:r>
                      <w:r>
                        <w:rPr>
                          <w:rFonts w:asciiTheme="majorHAnsi" w:hAnsiTheme="majorHAnsi" w:cs="Arial"/>
                          <w:b/>
                          <w:bCs/>
                          <w:color w:val="0D0D0D" w:themeColor="text1" w:themeTint="F2"/>
                          <w:sz w:val="36"/>
                          <w:szCs w:val="22"/>
                          <w:lang w:val="en"/>
                        </w:rPr>
                        <w:t>/24</w:t>
                      </w:r>
                    </w:p>
                    <w:p w14:paraId="45F30ECA" w14:textId="131D78F5"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1995-14 </w:t>
                      </w:r>
                    </w:p>
                    <w:p w14:paraId="188B4303" w14:textId="6CB60B18"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p w14:paraId="768F8782" w14:textId="7A12B742" w:rsidR="005B52B0" w:rsidRPr="00CC6C6B" w:rsidRDefault="00121584" w:rsidP="00997BC5">
                      <w:pPr>
                        <w:spacing w:line="276" w:lineRule="auto"/>
                        <w:rPr>
                          <w:rFonts w:asciiTheme="majorHAnsi" w:hAnsiTheme="majorHAnsi" w:cs="Arial"/>
                          <w:color w:val="0D0D0D" w:themeColor="text1" w:themeTint="F2"/>
                          <w:szCs w:val="22"/>
                          <w:lang w:val="es-AR"/>
                        </w:rPr>
                      </w:pPr>
                      <w:r w:rsidRPr="00CC6C6B">
                        <w:rPr>
                          <w:rFonts w:asciiTheme="majorHAnsi" w:hAnsiTheme="majorHAnsi" w:cs="Arial"/>
                          <w:color w:val="0D0D0D" w:themeColor="text1" w:themeTint="F2"/>
                          <w:szCs w:val="22"/>
                          <w:lang w:val="es-AR"/>
                        </w:rPr>
                        <w:t>SAN CARLOS DE GUAROA MASSACRE</w:t>
                      </w:r>
                    </w:p>
                    <w:bookmarkEnd w:id="1"/>
                    <w:p w14:paraId="0B9F7D22" w14:textId="1F5D3728" w:rsidR="005B52B0" w:rsidRPr="00C0190A" w:rsidRDefault="00121584" w:rsidP="00F56ECB">
                      <w:pPr>
                        <w:spacing w:line="276" w:lineRule="auto"/>
                        <w:rPr>
                          <w:rFonts w:asciiTheme="majorHAnsi" w:hAnsiTheme="majorHAnsi" w:cs="Arial"/>
                          <w:color w:val="0D0D0D" w:themeColor="text1" w:themeTint="F2"/>
                          <w:szCs w:val="22"/>
                          <w:lang w:val="es-US"/>
                        </w:rPr>
                      </w:pPr>
                      <w:r w:rsidRPr="00C0190A">
                        <w:rPr>
                          <w:rFonts w:asciiTheme="majorHAnsi" w:hAnsiTheme="majorHAnsi" w:cs="Arial"/>
                          <w:color w:val="0D0D0D" w:themeColor="text1" w:themeTint="F2"/>
                          <w:szCs w:val="22"/>
                          <w:lang w:val="es-US"/>
                        </w:rPr>
                        <w:t>COLOMBIA</w:t>
                      </w:r>
                    </w:p>
                  </w:txbxContent>
                </v:textbox>
              </v:shape>
            </w:pict>
          </mc:Fallback>
        </mc:AlternateContent>
      </w:r>
      <w:r>
        <w:rPr>
          <w:rFonts w:asciiTheme="majorHAnsi" w:hAnsiTheme="majorHAnsi"/>
          <w:noProof/>
          <w:sz w:val="22"/>
          <w:szCs w:val="22"/>
          <w:lang w:val="en"/>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9D8A2DD" w:rsidR="00627C9F" w:rsidRPr="00CC6C6B" w:rsidRDefault="00834D49" w:rsidP="007A5817">
                            <w:pPr>
                              <w:spacing w:line="276" w:lineRule="auto"/>
                              <w:jc w:val="right"/>
                              <w:rPr>
                                <w:rFonts w:asciiTheme="minorHAnsi" w:hAnsiTheme="minorHAnsi"/>
                                <w:color w:val="FFFFFF" w:themeColor="background1"/>
                                <w:sz w:val="22"/>
                              </w:rPr>
                            </w:pPr>
                            <w:r w:rsidRPr="00CC6C6B">
                              <w:rPr>
                                <w:rFonts w:asciiTheme="minorHAnsi" w:hAnsiTheme="minorHAnsi"/>
                                <w:color w:val="FFFFFF" w:themeColor="background1"/>
                                <w:sz w:val="22"/>
                              </w:rPr>
                              <w:t>OEA/SER.L/V/II</w:t>
                            </w:r>
                          </w:p>
                          <w:p w14:paraId="71D2D5D2" w14:textId="24869CC5" w:rsidR="00627C9F" w:rsidRPr="00CC6C6B" w:rsidRDefault="00627C9F" w:rsidP="007A5817">
                            <w:pPr>
                              <w:spacing w:line="276" w:lineRule="auto"/>
                              <w:jc w:val="right"/>
                              <w:rPr>
                                <w:rFonts w:asciiTheme="minorHAnsi" w:hAnsiTheme="minorHAnsi"/>
                                <w:color w:val="FFFFFF" w:themeColor="background1"/>
                                <w:sz w:val="22"/>
                              </w:rPr>
                            </w:pPr>
                            <w:r w:rsidRPr="00CC6C6B">
                              <w:rPr>
                                <w:rFonts w:asciiTheme="minorHAnsi" w:hAnsiTheme="minorHAnsi"/>
                                <w:color w:val="FFFFFF" w:themeColor="background1"/>
                                <w:sz w:val="22"/>
                              </w:rPr>
                              <w:t xml:space="preserve">Doc. </w:t>
                            </w:r>
                            <w:r w:rsidR="009D31C4" w:rsidRPr="00CC6C6B">
                              <w:rPr>
                                <w:rFonts w:asciiTheme="minorHAnsi" w:hAnsiTheme="minorHAnsi"/>
                                <w:color w:val="FFFFFF" w:themeColor="background1"/>
                                <w:sz w:val="22"/>
                              </w:rPr>
                              <w:t>63</w:t>
                            </w:r>
                          </w:p>
                          <w:p w14:paraId="4061DBBD" w14:textId="532E609D" w:rsidR="00627C9F" w:rsidRPr="00C25ADB" w:rsidRDefault="009D31C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16 May</w:t>
                            </w:r>
                            <w:r w:rsidR="00627C9F">
                              <w:rPr>
                                <w:rFonts w:asciiTheme="minorHAnsi" w:hAnsiTheme="minorHAnsi"/>
                                <w:color w:val="FFFFFF" w:themeColor="background1"/>
                                <w:sz w:val="22"/>
                                <w:lang w:val="en"/>
                              </w:rPr>
                              <w:t xml:space="preserve">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79D8A2DD" w:rsidR="00627C9F" w:rsidRPr="00CC6C6B" w:rsidRDefault="00834D49" w:rsidP="007A5817">
                      <w:pPr>
                        <w:spacing w:line="276" w:lineRule="auto"/>
                        <w:jc w:val="right"/>
                        <w:rPr>
                          <w:rFonts w:asciiTheme="minorHAnsi" w:hAnsiTheme="minorHAnsi"/>
                          <w:color w:val="FFFFFF" w:themeColor="background1"/>
                          <w:sz w:val="22"/>
                        </w:rPr>
                      </w:pPr>
                      <w:r w:rsidRPr="00CC6C6B">
                        <w:rPr>
                          <w:rFonts w:asciiTheme="minorHAnsi" w:hAnsiTheme="minorHAnsi"/>
                          <w:color w:val="FFFFFF" w:themeColor="background1"/>
                          <w:sz w:val="22"/>
                        </w:rPr>
                        <w:t>OEA/SER.L/V/II</w:t>
                      </w:r>
                    </w:p>
                    <w:p w14:paraId="71D2D5D2" w14:textId="24869CC5" w:rsidR="00627C9F" w:rsidRPr="00CC6C6B" w:rsidRDefault="00627C9F" w:rsidP="007A5817">
                      <w:pPr>
                        <w:spacing w:line="276" w:lineRule="auto"/>
                        <w:jc w:val="right"/>
                        <w:rPr>
                          <w:rFonts w:asciiTheme="minorHAnsi" w:hAnsiTheme="minorHAnsi"/>
                          <w:color w:val="FFFFFF" w:themeColor="background1"/>
                          <w:sz w:val="22"/>
                        </w:rPr>
                      </w:pPr>
                      <w:r w:rsidRPr="00CC6C6B">
                        <w:rPr>
                          <w:rFonts w:asciiTheme="minorHAnsi" w:hAnsiTheme="minorHAnsi"/>
                          <w:color w:val="FFFFFF" w:themeColor="background1"/>
                          <w:sz w:val="22"/>
                        </w:rPr>
                        <w:t xml:space="preserve">Doc. </w:t>
                      </w:r>
                      <w:r w:rsidR="009D31C4" w:rsidRPr="00CC6C6B">
                        <w:rPr>
                          <w:rFonts w:asciiTheme="minorHAnsi" w:hAnsiTheme="minorHAnsi"/>
                          <w:color w:val="FFFFFF" w:themeColor="background1"/>
                          <w:sz w:val="22"/>
                        </w:rPr>
                        <w:t>63</w:t>
                      </w:r>
                    </w:p>
                    <w:p w14:paraId="4061DBBD" w14:textId="532E609D" w:rsidR="00627C9F" w:rsidRPr="00C25ADB" w:rsidRDefault="009D31C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16 May</w:t>
                      </w:r>
                      <w:r w:rsidR="00627C9F">
                        <w:rPr>
                          <w:rFonts w:asciiTheme="minorHAnsi" w:hAnsiTheme="minorHAnsi"/>
                          <w:color w:val="FFFFFF" w:themeColor="background1"/>
                          <w:sz w:val="22"/>
                          <w:lang w:val="en"/>
                        </w:rPr>
                        <w:t xml:space="preserve">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szCs w:val="22"/>
          <w:lang w:val="en"/>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8925E7F" w:rsidR="00DD3D86" w:rsidRPr="00890650" w:rsidRDefault="0035084E"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 xml:space="preserve">lectronically by the Commission on </w:t>
                            </w:r>
                            <w:r>
                              <w:rPr>
                                <w:rFonts w:asciiTheme="majorHAnsi" w:hAnsiTheme="majorHAnsi"/>
                                <w:color w:val="0D0D0D" w:themeColor="text1" w:themeTint="F2"/>
                                <w:sz w:val="18"/>
                                <w:szCs w:val="22"/>
                                <w:lang w:val="en"/>
                              </w:rPr>
                              <w:t>May 16, 2024.</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8925E7F" w:rsidR="00DD3D86" w:rsidRPr="00890650" w:rsidRDefault="0035084E"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 xml:space="preserve">lectronically by the Commission on </w:t>
                      </w:r>
                      <w:r>
                        <w:rPr>
                          <w:rFonts w:asciiTheme="majorHAnsi" w:hAnsiTheme="majorHAnsi"/>
                          <w:color w:val="0D0D0D" w:themeColor="text1" w:themeTint="F2"/>
                          <w:sz w:val="18"/>
                          <w:szCs w:val="22"/>
                          <w:lang w:val="en"/>
                        </w:rPr>
                        <w:t>May 16, 2024.</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18"/>
          <w:szCs w:val="22"/>
          <w:lang w:val="en"/>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C70C34" w14:textId="77777777" w:rsidR="00CA1E9A" w:rsidRPr="00CC6C6B" w:rsidRDefault="00113F73" w:rsidP="00113F73">
                            <w:pPr>
                              <w:spacing w:line="276" w:lineRule="auto"/>
                              <w:rPr>
                                <w:rFonts w:asciiTheme="majorHAnsi" w:hAnsiTheme="majorHAnsi"/>
                                <w:color w:val="595959" w:themeColor="text1" w:themeTint="A6"/>
                                <w:sz w:val="18"/>
                                <w:szCs w:val="18"/>
                                <w:lang w:val="es-AR"/>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35084E">
                              <w:rPr>
                                <w:rFonts w:asciiTheme="majorHAnsi" w:hAnsiTheme="majorHAnsi"/>
                                <w:color w:val="595959" w:themeColor="text1" w:themeTint="A6"/>
                                <w:sz w:val="18"/>
                                <w:szCs w:val="18"/>
                                <w:lang w:val="en"/>
                              </w:rPr>
                              <w:t>60</w:t>
                            </w:r>
                            <w:r>
                              <w:rPr>
                                <w:rFonts w:asciiTheme="majorHAnsi" w:hAnsiTheme="majorHAnsi"/>
                                <w:color w:val="595959" w:themeColor="text1" w:themeTint="A6"/>
                                <w:sz w:val="18"/>
                                <w:szCs w:val="18"/>
                                <w:lang w:val="en"/>
                              </w:rPr>
                              <w:t>/</w:t>
                            </w:r>
                            <w:r w:rsidR="0035084E">
                              <w:rPr>
                                <w:rFonts w:asciiTheme="majorHAnsi" w:hAnsiTheme="majorHAnsi"/>
                                <w:color w:val="595959" w:themeColor="text1" w:themeTint="A6"/>
                                <w:sz w:val="18"/>
                                <w:szCs w:val="18"/>
                                <w:lang w:val="en"/>
                              </w:rPr>
                              <w:t>24.</w:t>
                            </w:r>
                            <w:r>
                              <w:rPr>
                                <w:rFonts w:asciiTheme="majorHAnsi" w:hAnsiTheme="majorHAnsi"/>
                                <w:color w:val="595959" w:themeColor="text1" w:themeTint="A6"/>
                                <w:sz w:val="18"/>
                                <w:szCs w:val="18"/>
                                <w:lang w:val="en"/>
                              </w:rPr>
                              <w:t xml:space="preserve"> Petition </w:t>
                            </w:r>
                            <w:r w:rsidR="0035084E">
                              <w:rPr>
                                <w:rFonts w:asciiTheme="majorHAnsi" w:hAnsiTheme="majorHAnsi"/>
                                <w:color w:val="595959" w:themeColor="text1" w:themeTint="A6"/>
                                <w:sz w:val="18"/>
                                <w:szCs w:val="18"/>
                                <w:lang w:val="en"/>
                              </w:rPr>
                              <w:t>1995</w:t>
                            </w:r>
                            <w:r>
                              <w:rPr>
                                <w:rFonts w:asciiTheme="majorHAnsi" w:hAnsiTheme="majorHAnsi"/>
                                <w:color w:val="595959" w:themeColor="text1" w:themeTint="A6"/>
                                <w:sz w:val="18"/>
                                <w:szCs w:val="18"/>
                                <w:lang w:val="en"/>
                              </w:rPr>
                              <w:t>-</w:t>
                            </w:r>
                            <w:r w:rsidR="0035084E">
                              <w:rPr>
                                <w:rFonts w:asciiTheme="majorHAnsi" w:hAnsiTheme="majorHAnsi"/>
                                <w:color w:val="595959" w:themeColor="text1" w:themeTint="A6"/>
                                <w:sz w:val="18"/>
                                <w:szCs w:val="18"/>
                                <w:lang w:val="en"/>
                              </w:rPr>
                              <w:t>14</w:t>
                            </w:r>
                            <w:r>
                              <w:rPr>
                                <w:rFonts w:asciiTheme="majorHAnsi" w:hAnsiTheme="majorHAnsi"/>
                                <w:color w:val="595959" w:themeColor="text1" w:themeTint="A6"/>
                                <w:sz w:val="18"/>
                                <w:szCs w:val="18"/>
                                <w:lang w:val="en"/>
                              </w:rPr>
                              <w:t xml:space="preserve">. </w:t>
                            </w:r>
                            <w:r w:rsidRPr="00CC6C6B">
                              <w:rPr>
                                <w:rFonts w:asciiTheme="majorHAnsi" w:hAnsiTheme="majorHAnsi"/>
                                <w:color w:val="595959" w:themeColor="text1" w:themeTint="A6"/>
                                <w:sz w:val="18"/>
                                <w:szCs w:val="18"/>
                                <w:lang w:val="es-AR"/>
                              </w:rPr>
                              <w:t xml:space="preserve">Admissibility. </w:t>
                            </w:r>
                          </w:p>
                          <w:p w14:paraId="7FD77785" w14:textId="2FD1F594" w:rsidR="00113F73" w:rsidRPr="00CA1E9A" w:rsidRDefault="0035084E" w:rsidP="00113F73">
                            <w:pPr>
                              <w:spacing w:line="276" w:lineRule="auto"/>
                              <w:rPr>
                                <w:rFonts w:asciiTheme="majorHAnsi" w:hAnsiTheme="majorHAnsi"/>
                                <w:color w:val="595959" w:themeColor="text1" w:themeTint="A6"/>
                                <w:sz w:val="18"/>
                                <w:szCs w:val="18"/>
                                <w:lang w:val="es-ES"/>
                              </w:rPr>
                            </w:pPr>
                            <w:r w:rsidRPr="00CA1E9A">
                              <w:rPr>
                                <w:rFonts w:asciiTheme="majorHAnsi" w:hAnsiTheme="majorHAnsi"/>
                                <w:color w:val="595959" w:themeColor="text1" w:themeTint="A6"/>
                                <w:sz w:val="18"/>
                                <w:szCs w:val="18"/>
                                <w:lang w:val="es-ES"/>
                              </w:rPr>
                              <w:t>San Carlos de Guaroa</w:t>
                            </w:r>
                            <w:r w:rsidR="00CA1E9A" w:rsidRPr="00CA1E9A">
                              <w:rPr>
                                <w:rFonts w:asciiTheme="majorHAnsi" w:hAnsiTheme="majorHAnsi"/>
                                <w:color w:val="595959" w:themeColor="text1" w:themeTint="A6"/>
                                <w:sz w:val="18"/>
                                <w:szCs w:val="18"/>
                                <w:lang w:val="es-ES"/>
                              </w:rPr>
                              <w:t xml:space="preserve"> Massacre</w:t>
                            </w:r>
                            <w:r w:rsidR="00113F73" w:rsidRPr="00CA1E9A">
                              <w:rPr>
                                <w:rFonts w:asciiTheme="majorHAnsi" w:hAnsiTheme="majorHAnsi"/>
                                <w:color w:val="595959" w:themeColor="text1" w:themeTint="A6"/>
                                <w:sz w:val="18"/>
                                <w:szCs w:val="18"/>
                                <w:lang w:val="es-ES"/>
                              </w:rPr>
                              <w:t xml:space="preserve">. </w:t>
                            </w:r>
                            <w:r w:rsidRPr="00CA1E9A">
                              <w:rPr>
                                <w:rFonts w:asciiTheme="majorHAnsi" w:hAnsiTheme="majorHAnsi"/>
                                <w:color w:val="595959" w:themeColor="text1" w:themeTint="A6"/>
                                <w:sz w:val="18"/>
                                <w:szCs w:val="18"/>
                                <w:lang w:val="es-ES"/>
                              </w:rPr>
                              <w:t>Colombia</w:t>
                            </w:r>
                            <w:r w:rsidR="00113F73" w:rsidRPr="00CA1E9A">
                              <w:rPr>
                                <w:rFonts w:asciiTheme="majorHAnsi" w:hAnsiTheme="majorHAnsi"/>
                                <w:color w:val="595959" w:themeColor="text1" w:themeTint="A6"/>
                                <w:sz w:val="18"/>
                                <w:szCs w:val="18"/>
                                <w:lang w:val="es-ES"/>
                              </w:rPr>
                              <w:t xml:space="preserve">. </w:t>
                            </w:r>
                            <w:r w:rsidRPr="00CA1E9A">
                              <w:rPr>
                                <w:rFonts w:asciiTheme="majorHAnsi" w:hAnsiTheme="majorHAnsi"/>
                                <w:color w:val="595959" w:themeColor="text1" w:themeTint="A6"/>
                                <w:sz w:val="18"/>
                                <w:szCs w:val="18"/>
                                <w:lang w:val="es-ES"/>
                              </w:rPr>
                              <w:t>May 16, 2024</w:t>
                            </w:r>
                            <w:r w:rsidR="00113F73" w:rsidRPr="00CA1E9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4C70C34" w14:textId="77777777" w:rsidR="00CA1E9A" w:rsidRPr="00CC6C6B" w:rsidRDefault="00113F73" w:rsidP="00113F73">
                      <w:pPr>
                        <w:spacing w:line="276" w:lineRule="auto"/>
                        <w:rPr>
                          <w:rFonts w:asciiTheme="majorHAnsi" w:hAnsiTheme="majorHAnsi"/>
                          <w:color w:val="595959" w:themeColor="text1" w:themeTint="A6"/>
                          <w:sz w:val="18"/>
                          <w:szCs w:val="18"/>
                          <w:lang w:val="es-AR"/>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35084E">
                        <w:rPr>
                          <w:rFonts w:asciiTheme="majorHAnsi" w:hAnsiTheme="majorHAnsi"/>
                          <w:color w:val="595959" w:themeColor="text1" w:themeTint="A6"/>
                          <w:sz w:val="18"/>
                          <w:szCs w:val="18"/>
                          <w:lang w:val="en"/>
                        </w:rPr>
                        <w:t>60</w:t>
                      </w:r>
                      <w:r>
                        <w:rPr>
                          <w:rFonts w:asciiTheme="majorHAnsi" w:hAnsiTheme="majorHAnsi"/>
                          <w:color w:val="595959" w:themeColor="text1" w:themeTint="A6"/>
                          <w:sz w:val="18"/>
                          <w:szCs w:val="18"/>
                          <w:lang w:val="en"/>
                        </w:rPr>
                        <w:t>/</w:t>
                      </w:r>
                      <w:r w:rsidR="0035084E">
                        <w:rPr>
                          <w:rFonts w:asciiTheme="majorHAnsi" w:hAnsiTheme="majorHAnsi"/>
                          <w:color w:val="595959" w:themeColor="text1" w:themeTint="A6"/>
                          <w:sz w:val="18"/>
                          <w:szCs w:val="18"/>
                          <w:lang w:val="en"/>
                        </w:rPr>
                        <w:t>24.</w:t>
                      </w:r>
                      <w:r>
                        <w:rPr>
                          <w:rFonts w:asciiTheme="majorHAnsi" w:hAnsiTheme="majorHAnsi"/>
                          <w:color w:val="595959" w:themeColor="text1" w:themeTint="A6"/>
                          <w:sz w:val="18"/>
                          <w:szCs w:val="18"/>
                          <w:lang w:val="en"/>
                        </w:rPr>
                        <w:t xml:space="preserve"> Petition </w:t>
                      </w:r>
                      <w:r w:rsidR="0035084E">
                        <w:rPr>
                          <w:rFonts w:asciiTheme="majorHAnsi" w:hAnsiTheme="majorHAnsi"/>
                          <w:color w:val="595959" w:themeColor="text1" w:themeTint="A6"/>
                          <w:sz w:val="18"/>
                          <w:szCs w:val="18"/>
                          <w:lang w:val="en"/>
                        </w:rPr>
                        <w:t>1995</w:t>
                      </w:r>
                      <w:r>
                        <w:rPr>
                          <w:rFonts w:asciiTheme="majorHAnsi" w:hAnsiTheme="majorHAnsi"/>
                          <w:color w:val="595959" w:themeColor="text1" w:themeTint="A6"/>
                          <w:sz w:val="18"/>
                          <w:szCs w:val="18"/>
                          <w:lang w:val="en"/>
                        </w:rPr>
                        <w:t>-</w:t>
                      </w:r>
                      <w:r w:rsidR="0035084E">
                        <w:rPr>
                          <w:rFonts w:asciiTheme="majorHAnsi" w:hAnsiTheme="majorHAnsi"/>
                          <w:color w:val="595959" w:themeColor="text1" w:themeTint="A6"/>
                          <w:sz w:val="18"/>
                          <w:szCs w:val="18"/>
                          <w:lang w:val="en"/>
                        </w:rPr>
                        <w:t>14</w:t>
                      </w:r>
                      <w:r>
                        <w:rPr>
                          <w:rFonts w:asciiTheme="majorHAnsi" w:hAnsiTheme="majorHAnsi"/>
                          <w:color w:val="595959" w:themeColor="text1" w:themeTint="A6"/>
                          <w:sz w:val="18"/>
                          <w:szCs w:val="18"/>
                          <w:lang w:val="en"/>
                        </w:rPr>
                        <w:t xml:space="preserve">. </w:t>
                      </w:r>
                      <w:r w:rsidRPr="00CC6C6B">
                        <w:rPr>
                          <w:rFonts w:asciiTheme="majorHAnsi" w:hAnsiTheme="majorHAnsi"/>
                          <w:color w:val="595959" w:themeColor="text1" w:themeTint="A6"/>
                          <w:sz w:val="18"/>
                          <w:szCs w:val="18"/>
                          <w:lang w:val="es-AR"/>
                        </w:rPr>
                        <w:t xml:space="preserve">Admissibility. </w:t>
                      </w:r>
                    </w:p>
                    <w:p w14:paraId="7FD77785" w14:textId="2FD1F594" w:rsidR="00113F73" w:rsidRPr="00CA1E9A" w:rsidRDefault="0035084E" w:rsidP="00113F73">
                      <w:pPr>
                        <w:spacing w:line="276" w:lineRule="auto"/>
                        <w:rPr>
                          <w:rFonts w:asciiTheme="majorHAnsi" w:hAnsiTheme="majorHAnsi"/>
                          <w:color w:val="595959" w:themeColor="text1" w:themeTint="A6"/>
                          <w:sz w:val="18"/>
                          <w:szCs w:val="18"/>
                          <w:lang w:val="es-ES"/>
                        </w:rPr>
                      </w:pPr>
                      <w:r w:rsidRPr="00CA1E9A">
                        <w:rPr>
                          <w:rFonts w:asciiTheme="majorHAnsi" w:hAnsiTheme="majorHAnsi"/>
                          <w:color w:val="595959" w:themeColor="text1" w:themeTint="A6"/>
                          <w:sz w:val="18"/>
                          <w:szCs w:val="18"/>
                          <w:lang w:val="es-ES"/>
                        </w:rPr>
                        <w:t>San Carlos de Guaroa</w:t>
                      </w:r>
                      <w:r w:rsidR="00CA1E9A" w:rsidRPr="00CA1E9A">
                        <w:rPr>
                          <w:rFonts w:asciiTheme="majorHAnsi" w:hAnsiTheme="majorHAnsi"/>
                          <w:color w:val="595959" w:themeColor="text1" w:themeTint="A6"/>
                          <w:sz w:val="18"/>
                          <w:szCs w:val="18"/>
                          <w:lang w:val="es-ES"/>
                        </w:rPr>
                        <w:t xml:space="preserve"> Massacre</w:t>
                      </w:r>
                      <w:r w:rsidR="00113F73" w:rsidRPr="00CA1E9A">
                        <w:rPr>
                          <w:rFonts w:asciiTheme="majorHAnsi" w:hAnsiTheme="majorHAnsi"/>
                          <w:color w:val="595959" w:themeColor="text1" w:themeTint="A6"/>
                          <w:sz w:val="18"/>
                          <w:szCs w:val="18"/>
                          <w:lang w:val="es-ES"/>
                        </w:rPr>
                        <w:t xml:space="preserve">. </w:t>
                      </w:r>
                      <w:r w:rsidRPr="00CA1E9A">
                        <w:rPr>
                          <w:rFonts w:asciiTheme="majorHAnsi" w:hAnsiTheme="majorHAnsi"/>
                          <w:color w:val="595959" w:themeColor="text1" w:themeTint="A6"/>
                          <w:sz w:val="18"/>
                          <w:szCs w:val="18"/>
                          <w:lang w:val="es-ES"/>
                        </w:rPr>
                        <w:t>Colombia</w:t>
                      </w:r>
                      <w:r w:rsidR="00113F73" w:rsidRPr="00CA1E9A">
                        <w:rPr>
                          <w:rFonts w:asciiTheme="majorHAnsi" w:hAnsiTheme="majorHAnsi"/>
                          <w:color w:val="595959" w:themeColor="text1" w:themeTint="A6"/>
                          <w:sz w:val="18"/>
                          <w:szCs w:val="18"/>
                          <w:lang w:val="es-ES"/>
                        </w:rPr>
                        <w:t xml:space="preserve">. </w:t>
                      </w:r>
                      <w:r w:rsidRPr="00CA1E9A">
                        <w:rPr>
                          <w:rFonts w:asciiTheme="majorHAnsi" w:hAnsiTheme="majorHAnsi"/>
                          <w:color w:val="595959" w:themeColor="text1" w:themeTint="A6"/>
                          <w:sz w:val="18"/>
                          <w:szCs w:val="18"/>
                          <w:lang w:val="es-ES"/>
                        </w:rPr>
                        <w:t>May 16, 2024</w:t>
                      </w:r>
                      <w:r w:rsidR="00113F73" w:rsidRPr="00CA1E9A">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rPr>
      </w:pPr>
    </w:p>
    <w:p w14:paraId="0C9396CC" w14:textId="0B530CF7" w:rsidR="0090270B" w:rsidRPr="00547797" w:rsidRDefault="0090270B" w:rsidP="005516A1">
      <w:pPr>
        <w:tabs>
          <w:tab w:val="center" w:pos="5400"/>
        </w:tabs>
        <w:suppressAutoHyphens/>
        <w:jc w:val="center"/>
        <w:rPr>
          <w:rFonts w:asciiTheme="majorHAnsi" w:hAnsiTheme="majorHAnsi"/>
          <w:b/>
          <w:sz w:val="20"/>
        </w:rPr>
      </w:pPr>
    </w:p>
    <w:p w14:paraId="150CCFA7" w14:textId="5B96B8B0" w:rsidR="0070697F" w:rsidRPr="00547797" w:rsidRDefault="0035084E" w:rsidP="005516A1">
      <w:pPr>
        <w:tabs>
          <w:tab w:val="center" w:pos="5400"/>
        </w:tabs>
        <w:suppressAutoHyphens/>
        <w:jc w:val="center"/>
        <w:rPr>
          <w:rFonts w:asciiTheme="majorHAnsi" w:hAnsiTheme="majorHAnsi"/>
          <w:b/>
          <w:sz w:val="20"/>
        </w:rPr>
        <w:sectPr w:rsidR="0070697F" w:rsidRPr="00547797" w:rsidSect="000B1975">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n"/>
        </w:rPr>
        <mc:AlternateContent>
          <mc:Choice Requires="wps">
            <w:drawing>
              <wp:anchor distT="0" distB="0" distL="114300" distR="114300" simplePos="0" relativeHeight="251680768" behindDoc="0" locked="0" layoutInCell="1" allowOverlap="1" wp14:anchorId="5D37EBA2" wp14:editId="453717E8">
                <wp:simplePos x="0" y="0"/>
                <wp:positionH relativeFrom="column">
                  <wp:posOffset>1301115</wp:posOffset>
                </wp:positionH>
                <wp:positionV relativeFrom="paragraph">
                  <wp:posOffset>729143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099EF724" w:rsidR="00D72DC6" w:rsidRDefault="006F3A6C" w:rsidP="00F02AD1">
                            <w:pPr>
                              <w:rPr>
                                <w:color w:val="FFFFFF" w:themeColor="background1"/>
                                <w14:textFill>
                                  <w14:noFill/>
                                </w14:textFill>
                              </w:rPr>
                            </w:pPr>
                            <w:r>
                              <w:rPr>
                                <w:noProof/>
                              </w:rPr>
                              <w:drawing>
                                <wp:inline distT="0" distB="0" distL="0" distR="0" wp14:anchorId="327BDFC5" wp14:editId="55444B2D">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p w14:paraId="1E168993" w14:textId="77777777" w:rsidR="006F3A6C" w:rsidRPr="00D72DC6" w:rsidRDefault="006F3A6C" w:rsidP="00F02AD1">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2.45pt;margin-top:57.4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" fillcolor="white [3201]" stroked="f" strokeweight=".5pt">
                <v:textbox>
                  <w:txbxContent>
                    <w:p w14:paraId="16E85441" w14:textId="099EF724" w:rsidR="00D72DC6" w:rsidRDefault="006F3A6C" w:rsidP="00F02AD1">
                      <w:pPr>
                        <w:rPr>
                          <w:color w:val="FFFFFF" w:themeColor="background1"/>
                          <w14:textFill>
                            <w14:noFill/>
                          </w14:textFill>
                        </w:rPr>
                      </w:pPr>
                      <w:r>
                        <w:rPr>
                          <w:noProof/>
                        </w:rPr>
                        <w:drawing>
                          <wp:inline distT="0" distB="0" distL="0" distR="0" wp14:anchorId="327BDFC5" wp14:editId="55444B2D">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p w14:paraId="1E168993" w14:textId="77777777" w:rsidR="006F3A6C" w:rsidRPr="00D72DC6" w:rsidRDefault="006F3A6C" w:rsidP="00F02AD1">
                      <w:pPr>
                        <w:rPr>
                          <w:color w:val="FFFFFF" w:themeColor="background1"/>
                          <w14:textFill>
                            <w14:noFill/>
                          </w14:textFill>
                        </w:rPr>
                      </w:pPr>
                    </w:p>
                  </w:txbxContent>
                </v:textbox>
              </v:shape>
            </w:pict>
          </mc:Fallback>
        </mc:AlternateContent>
      </w:r>
      <w:r>
        <w:rPr>
          <w:rFonts w:asciiTheme="majorHAnsi" w:hAnsiTheme="majorHAnsi"/>
          <w:noProof/>
          <w:sz w:val="22"/>
          <w:szCs w:val="22"/>
          <w:lang w:val="en"/>
        </w:rPr>
        <mc:AlternateContent>
          <mc:Choice Requires="wps">
            <w:drawing>
              <wp:anchor distT="0" distB="0" distL="114300" distR="114300" simplePos="0" relativeHeight="251682816" behindDoc="0" locked="0" layoutInCell="1" allowOverlap="1" wp14:anchorId="4BBB9917" wp14:editId="4038234F">
                <wp:simplePos x="0" y="0"/>
                <wp:positionH relativeFrom="column">
                  <wp:posOffset>-219710</wp:posOffset>
                </wp:positionH>
                <wp:positionV relativeFrom="paragraph">
                  <wp:posOffset>925993</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17.3pt;margin-top:72.9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r w:rsidR="004A6A54">
        <w:rPr>
          <w:b/>
          <w:bCs/>
          <w:lang w:val="en"/>
        </w:rPr>
        <w:tab/>
      </w:r>
    </w:p>
    <w:p w14:paraId="2786EE58" w14:textId="77777777" w:rsidR="003239B8" w:rsidRPr="00547797" w:rsidRDefault="003239B8" w:rsidP="004A6A54">
      <w:pPr>
        <w:spacing w:after="240"/>
        <w:ind w:firstLine="720"/>
        <w:jc w:val="both"/>
        <w:rPr>
          <w:rFonts w:asciiTheme="majorHAnsi" w:hAnsiTheme="majorHAnsi"/>
          <w:b/>
          <w:bCs/>
          <w:sz w:val="20"/>
          <w:szCs w:val="20"/>
        </w:rPr>
      </w:pPr>
      <w:r>
        <w:rPr>
          <w:rFonts w:asciiTheme="majorHAnsi" w:hAnsiTheme="majorHAnsi"/>
          <w:b/>
          <w:bCs/>
          <w:sz w:val="20"/>
          <w:szCs w:val="20"/>
          <w:lang w:val="en"/>
        </w:rPr>
        <w:lastRenderedPageBreak/>
        <w:t>I.</w:t>
      </w:r>
      <w:r>
        <w:rPr>
          <w:rFonts w:asciiTheme="majorHAnsi" w:hAnsiTheme="majorHAnsi"/>
          <w:b/>
          <w:bCs/>
          <w:sz w:val="20"/>
          <w:szCs w:val="20"/>
          <w:lang w:val="en"/>
        </w:rPr>
        <w:tab/>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274D81" w14:paraId="6B58C8A4" w14:textId="77777777" w:rsidTr="006A10B1">
        <w:tc>
          <w:tcPr>
            <w:tcW w:w="3600" w:type="dxa"/>
            <w:tcBorders>
              <w:top w:val="single" w:sz="4" w:space="0" w:color="auto"/>
              <w:bottom w:val="single" w:sz="6" w:space="0" w:color="auto"/>
            </w:tcBorders>
            <w:shd w:val="clear" w:color="auto" w:fill="67AE3C"/>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Petitioner:</w:t>
            </w:r>
          </w:p>
        </w:tc>
        <w:tc>
          <w:tcPr>
            <w:tcW w:w="5647" w:type="dxa"/>
            <w:vAlign w:val="center"/>
          </w:tcPr>
          <w:p w14:paraId="07DAAE2E" w14:textId="604C2043" w:rsidR="003239B8" w:rsidRPr="00274D81" w:rsidRDefault="00274D81" w:rsidP="008D2290">
            <w:pPr>
              <w:jc w:val="both"/>
              <w:rPr>
                <w:rFonts w:asciiTheme="majorHAnsi" w:hAnsiTheme="majorHAnsi"/>
                <w:bCs/>
                <w:sz w:val="20"/>
                <w:szCs w:val="20"/>
              </w:rPr>
            </w:pPr>
            <w:r>
              <w:rPr>
                <w:rFonts w:asciiTheme="majorHAnsi" w:hAnsiTheme="majorHAnsi"/>
                <w:sz w:val="20"/>
                <w:szCs w:val="20"/>
                <w:lang w:val="en"/>
              </w:rPr>
              <w:t>Corporación Colectivo de Abogados ‘José Alvear Restrepo’ (“CCAJAR”)</w:t>
            </w:r>
          </w:p>
        </w:tc>
      </w:tr>
      <w:tr w:rsidR="003239B8" w:rsidRPr="00FC492F" w14:paraId="0D7F9389" w14:textId="77777777" w:rsidTr="006A10B1">
        <w:tc>
          <w:tcPr>
            <w:tcW w:w="3600" w:type="dxa"/>
            <w:tcBorders>
              <w:top w:val="single" w:sz="6" w:space="0" w:color="auto"/>
              <w:bottom w:val="single" w:sz="6" w:space="0" w:color="auto"/>
            </w:tcBorders>
            <w:shd w:val="clear" w:color="auto" w:fill="67AE3C"/>
            <w:vAlign w:val="center"/>
          </w:tcPr>
          <w:p w14:paraId="481622AE" w14:textId="77777777" w:rsidR="003239B8" w:rsidRPr="00547797" w:rsidRDefault="008F4AE8"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C0190A">
                  <w:rPr>
                    <w:rFonts w:asciiTheme="majorHAnsi" w:hAnsiTheme="majorHAnsi"/>
                    <w:b/>
                    <w:bCs/>
                    <w:color w:val="FFFFFF" w:themeColor="background1"/>
                    <w:sz w:val="20"/>
                    <w:szCs w:val="20"/>
                    <w:lang w:val="en"/>
                  </w:rPr>
                  <w:t>Alleged victim</w:t>
                </w:r>
              </w:sdtContent>
            </w:sdt>
            <w:r w:rsidR="00C0190A">
              <w:rPr>
                <w:rFonts w:asciiTheme="majorHAnsi" w:hAnsiTheme="majorHAnsi"/>
                <w:b/>
                <w:bCs/>
                <w:color w:val="FFFFFF" w:themeColor="background1"/>
                <w:sz w:val="20"/>
                <w:szCs w:val="20"/>
                <w:lang w:val="en"/>
              </w:rPr>
              <w:t>:</w:t>
            </w:r>
          </w:p>
        </w:tc>
        <w:tc>
          <w:tcPr>
            <w:tcW w:w="5647" w:type="dxa"/>
            <w:vAlign w:val="center"/>
          </w:tcPr>
          <w:p w14:paraId="143D44A8" w14:textId="03F9BFE6" w:rsidR="003239B8" w:rsidRPr="00C07675" w:rsidRDefault="00C2708B" w:rsidP="008D2290">
            <w:pPr>
              <w:jc w:val="both"/>
              <w:rPr>
                <w:rFonts w:asciiTheme="majorHAnsi" w:hAnsiTheme="majorHAnsi"/>
                <w:bCs/>
                <w:sz w:val="20"/>
                <w:szCs w:val="20"/>
              </w:rPr>
            </w:pPr>
            <w:r>
              <w:rPr>
                <w:rFonts w:asciiTheme="majorHAnsi" w:hAnsiTheme="majorHAnsi"/>
                <w:sz w:val="20"/>
                <w:szCs w:val="20"/>
                <w:lang w:val="en"/>
              </w:rPr>
              <w:t>Fifty-four public servants who participated in the operation in San Carlos de Guaroa on October 3, 1997</w:t>
            </w:r>
            <w:r w:rsidR="00C26940">
              <w:rPr>
                <w:rStyle w:val="FootnoteReference"/>
                <w:rFonts w:asciiTheme="majorHAnsi" w:hAnsiTheme="majorHAnsi"/>
                <w:sz w:val="20"/>
                <w:szCs w:val="20"/>
                <w:lang w:val="en"/>
              </w:rPr>
              <w:footnoteReference w:id="2"/>
            </w:r>
          </w:p>
        </w:tc>
      </w:tr>
      <w:tr w:rsidR="003239B8" w:rsidRPr="00547797" w14:paraId="19F69F82" w14:textId="77777777" w:rsidTr="006A10B1">
        <w:tc>
          <w:tcPr>
            <w:tcW w:w="3600" w:type="dxa"/>
            <w:tcBorders>
              <w:top w:val="single" w:sz="6" w:space="0" w:color="auto"/>
              <w:bottom w:val="single" w:sz="6" w:space="0" w:color="auto"/>
            </w:tcBorders>
            <w:shd w:val="clear" w:color="auto" w:fill="67AE3C"/>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Respondent State:</w:t>
            </w:r>
          </w:p>
        </w:tc>
        <w:tc>
          <w:tcPr>
            <w:tcW w:w="5647" w:type="dxa"/>
            <w:vAlign w:val="center"/>
          </w:tcPr>
          <w:p w14:paraId="5D0EC05D" w14:textId="3B564D02" w:rsidR="003239B8" w:rsidRPr="00547797" w:rsidRDefault="00CA0DCA" w:rsidP="008D2290">
            <w:pPr>
              <w:jc w:val="both"/>
              <w:rPr>
                <w:rFonts w:asciiTheme="majorHAnsi" w:hAnsiTheme="majorHAnsi"/>
                <w:bCs/>
                <w:sz w:val="20"/>
                <w:szCs w:val="20"/>
              </w:rPr>
            </w:pPr>
            <w:r>
              <w:rPr>
                <w:rFonts w:asciiTheme="majorHAnsi" w:hAnsiTheme="majorHAnsi"/>
                <w:sz w:val="20"/>
                <w:szCs w:val="20"/>
                <w:lang w:val="en"/>
              </w:rPr>
              <w:t>Colombia</w:t>
            </w:r>
            <w:r w:rsidR="00477DAB">
              <w:rPr>
                <w:rStyle w:val="FootnoteReference"/>
                <w:rFonts w:asciiTheme="majorHAnsi" w:hAnsiTheme="majorHAnsi"/>
                <w:sz w:val="20"/>
                <w:szCs w:val="20"/>
                <w:lang w:val="en"/>
              </w:rPr>
              <w:footnoteReference w:id="3"/>
            </w:r>
          </w:p>
        </w:tc>
      </w:tr>
      <w:tr w:rsidR="00223A29" w:rsidRPr="00FC492F" w14:paraId="256E66EF" w14:textId="77777777" w:rsidTr="006A10B1">
        <w:tc>
          <w:tcPr>
            <w:tcW w:w="3600" w:type="dxa"/>
            <w:tcBorders>
              <w:top w:val="single" w:sz="6" w:space="0" w:color="auto"/>
              <w:bottom w:val="single" w:sz="6" w:space="0" w:color="auto"/>
            </w:tcBorders>
            <w:shd w:val="clear" w:color="auto" w:fill="67AE3C"/>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Rights invoked:</w:t>
            </w:r>
          </w:p>
        </w:tc>
        <w:tc>
          <w:tcPr>
            <w:tcW w:w="5647" w:type="dxa"/>
            <w:vAlign w:val="center"/>
          </w:tcPr>
          <w:p w14:paraId="52B28392" w14:textId="058DC7F8" w:rsidR="00223A29" w:rsidRPr="00316B0F" w:rsidRDefault="00DF6536" w:rsidP="008D2290">
            <w:pPr>
              <w:jc w:val="both"/>
              <w:rPr>
                <w:rFonts w:asciiTheme="majorHAnsi" w:hAnsiTheme="majorHAnsi"/>
                <w:bCs/>
                <w:sz w:val="20"/>
                <w:szCs w:val="20"/>
              </w:rPr>
            </w:pPr>
            <w:r>
              <w:rPr>
                <w:rFonts w:asciiTheme="majorHAnsi" w:hAnsiTheme="majorHAnsi"/>
                <w:sz w:val="20"/>
                <w:szCs w:val="20"/>
                <w:lang w:val="en"/>
              </w:rPr>
              <w:t>Articles 4 (life), 5 (humane treatment), 8 (</w:t>
            </w:r>
            <w:r w:rsidR="00DA6196">
              <w:rPr>
                <w:rFonts w:asciiTheme="majorHAnsi" w:hAnsiTheme="majorHAnsi"/>
                <w:sz w:val="20"/>
                <w:szCs w:val="20"/>
                <w:lang w:val="en"/>
              </w:rPr>
              <w:t>fair trial</w:t>
            </w:r>
            <w:r>
              <w:rPr>
                <w:rFonts w:asciiTheme="majorHAnsi" w:hAnsiTheme="majorHAnsi"/>
                <w:sz w:val="20"/>
                <w:szCs w:val="20"/>
                <w:lang w:val="en"/>
              </w:rPr>
              <w:t>) and 25 (judicial protection) of the American Convention on Human Rights,</w:t>
            </w:r>
            <w:r w:rsidR="00477DAB">
              <w:rPr>
                <w:rStyle w:val="FootnoteReference"/>
                <w:rFonts w:asciiTheme="majorHAnsi" w:hAnsiTheme="majorHAnsi"/>
                <w:sz w:val="20"/>
                <w:szCs w:val="20"/>
                <w:lang w:val="en"/>
              </w:rPr>
              <w:footnoteReference w:id="4"/>
            </w:r>
            <w:r>
              <w:rPr>
                <w:rFonts w:asciiTheme="majorHAnsi" w:hAnsiTheme="majorHAnsi"/>
                <w:sz w:val="20"/>
                <w:szCs w:val="20"/>
                <w:lang w:val="en"/>
              </w:rPr>
              <w:t xml:space="preserve"> read in conjunction with its Article 1(1) (obligation to respect rights) </w:t>
            </w:r>
          </w:p>
        </w:tc>
      </w:tr>
    </w:tbl>
    <w:p w14:paraId="176FB213" w14:textId="02BF3132" w:rsidR="003239B8" w:rsidRPr="00547797"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II.</w:t>
      </w:r>
      <w:r>
        <w:rPr>
          <w:rFonts w:asciiTheme="majorHAnsi" w:hAnsiTheme="majorHAnsi"/>
          <w:b/>
          <w:bCs/>
          <w:sz w:val="20"/>
          <w:szCs w:val="20"/>
          <w:lang w:val="en"/>
        </w:rPr>
        <w:tab/>
        <w:t>PROCEEDINGS BEFORE THE IACHR</w:t>
      </w:r>
      <w:r w:rsidR="00477DAB">
        <w:rPr>
          <w:rStyle w:val="FootnoteReference"/>
          <w:rFonts w:asciiTheme="majorHAnsi" w:hAnsiTheme="majorHAnsi"/>
          <w:b/>
          <w:bCs/>
          <w:sz w:val="20"/>
          <w:szCs w:val="20"/>
          <w:lang w:val="en"/>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6A10B1">
        <w:tc>
          <w:tcPr>
            <w:tcW w:w="3600" w:type="dxa"/>
            <w:tcBorders>
              <w:top w:val="single" w:sz="6" w:space="0" w:color="auto"/>
              <w:bottom w:val="single" w:sz="6" w:space="0" w:color="auto"/>
            </w:tcBorders>
            <w:shd w:val="clear" w:color="auto" w:fill="67AE3C"/>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Filing of the petition:</w:t>
            </w:r>
          </w:p>
        </w:tc>
        <w:tc>
          <w:tcPr>
            <w:tcW w:w="5647" w:type="dxa"/>
            <w:vAlign w:val="center"/>
          </w:tcPr>
          <w:p w14:paraId="6883A5F8" w14:textId="3E324B23" w:rsidR="004C2312" w:rsidRPr="00547797" w:rsidRDefault="00274D81" w:rsidP="002625EA">
            <w:pPr>
              <w:jc w:val="both"/>
              <w:rPr>
                <w:rFonts w:asciiTheme="majorHAnsi" w:hAnsiTheme="majorHAnsi"/>
                <w:bCs/>
                <w:sz w:val="20"/>
                <w:szCs w:val="20"/>
              </w:rPr>
            </w:pPr>
            <w:r>
              <w:rPr>
                <w:rFonts w:asciiTheme="majorHAnsi" w:hAnsiTheme="majorHAnsi"/>
                <w:sz w:val="20"/>
                <w:szCs w:val="20"/>
                <w:lang w:val="en"/>
              </w:rPr>
              <w:t>August 5, 2014</w:t>
            </w:r>
          </w:p>
        </w:tc>
      </w:tr>
      <w:tr w:rsidR="00131425" w:rsidRPr="00FC492F" w14:paraId="54F62341" w14:textId="77777777" w:rsidTr="006A10B1">
        <w:tc>
          <w:tcPr>
            <w:tcW w:w="3600" w:type="dxa"/>
            <w:tcBorders>
              <w:top w:val="single" w:sz="6" w:space="0" w:color="auto"/>
              <w:bottom w:val="single" w:sz="6" w:space="0" w:color="auto"/>
            </w:tcBorders>
            <w:shd w:val="clear" w:color="auto" w:fill="67AE3C"/>
            <w:vAlign w:val="center"/>
          </w:tcPr>
          <w:p w14:paraId="48CC6F04" w14:textId="77777777" w:rsidR="00131425" w:rsidRPr="00547797" w:rsidRDefault="00131425" w:rsidP="004A6A54">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Additional information received at the review stage:</w:t>
            </w:r>
          </w:p>
        </w:tc>
        <w:tc>
          <w:tcPr>
            <w:tcW w:w="5647" w:type="dxa"/>
            <w:vAlign w:val="center"/>
          </w:tcPr>
          <w:p w14:paraId="65CBC29E" w14:textId="3A546499" w:rsidR="00FE057E" w:rsidRPr="00547797" w:rsidRDefault="00501952" w:rsidP="00ED69CC">
            <w:pPr>
              <w:jc w:val="both"/>
              <w:rPr>
                <w:rFonts w:asciiTheme="majorHAnsi" w:hAnsiTheme="majorHAnsi"/>
                <w:bCs/>
                <w:sz w:val="20"/>
                <w:szCs w:val="20"/>
              </w:rPr>
            </w:pPr>
            <w:r>
              <w:rPr>
                <w:rFonts w:asciiTheme="majorHAnsi" w:hAnsiTheme="majorHAnsi"/>
                <w:sz w:val="20"/>
                <w:szCs w:val="20"/>
                <w:lang w:val="en"/>
              </w:rPr>
              <w:t>July 26, 2016, March 30, 2020, and November 23, 2022</w:t>
            </w:r>
          </w:p>
        </w:tc>
      </w:tr>
      <w:tr w:rsidR="004C2312" w:rsidRPr="005A43B2" w14:paraId="6A9025D9" w14:textId="77777777" w:rsidTr="006A10B1">
        <w:tc>
          <w:tcPr>
            <w:tcW w:w="3600" w:type="dxa"/>
            <w:tcBorders>
              <w:top w:val="single" w:sz="6" w:space="0" w:color="auto"/>
              <w:bottom w:val="single" w:sz="6" w:space="0" w:color="auto"/>
            </w:tcBorders>
            <w:shd w:val="clear" w:color="auto" w:fill="67AE3C"/>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Notification of the petition to the State:</w:t>
            </w:r>
          </w:p>
        </w:tc>
        <w:tc>
          <w:tcPr>
            <w:tcW w:w="5647" w:type="dxa"/>
            <w:vAlign w:val="center"/>
          </w:tcPr>
          <w:p w14:paraId="58485921" w14:textId="2A794114" w:rsidR="004C2312" w:rsidRPr="00547797" w:rsidRDefault="00FB5832" w:rsidP="008D2290">
            <w:pPr>
              <w:jc w:val="both"/>
              <w:rPr>
                <w:rFonts w:asciiTheme="majorHAnsi" w:hAnsiTheme="majorHAnsi"/>
                <w:bCs/>
                <w:sz w:val="20"/>
                <w:szCs w:val="20"/>
              </w:rPr>
            </w:pPr>
            <w:r>
              <w:rPr>
                <w:rFonts w:asciiTheme="majorHAnsi" w:hAnsiTheme="majorHAnsi"/>
                <w:sz w:val="20"/>
                <w:szCs w:val="20"/>
                <w:lang w:val="en"/>
              </w:rPr>
              <w:t>November 2, 2021</w:t>
            </w:r>
          </w:p>
        </w:tc>
      </w:tr>
      <w:tr w:rsidR="004C2312" w:rsidRPr="00547797" w14:paraId="1EC979C3" w14:textId="77777777" w:rsidTr="006A10B1">
        <w:tc>
          <w:tcPr>
            <w:tcW w:w="3600" w:type="dxa"/>
            <w:tcBorders>
              <w:top w:val="single" w:sz="6" w:space="0" w:color="auto"/>
              <w:bottom w:val="single" w:sz="6" w:space="0" w:color="auto"/>
            </w:tcBorders>
            <w:shd w:val="clear" w:color="auto" w:fill="67AE3C"/>
            <w:vAlign w:val="center"/>
          </w:tcPr>
          <w:p w14:paraId="3708E507" w14:textId="77777777" w:rsidR="004C2312" w:rsidRPr="00547797" w:rsidRDefault="004A6A54" w:rsidP="004A6A54">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State’s first response:</w:t>
            </w:r>
          </w:p>
        </w:tc>
        <w:tc>
          <w:tcPr>
            <w:tcW w:w="5647" w:type="dxa"/>
            <w:vAlign w:val="center"/>
          </w:tcPr>
          <w:p w14:paraId="6B47064C" w14:textId="08C25B0F" w:rsidR="004C2312" w:rsidRPr="00547797" w:rsidRDefault="00191B53" w:rsidP="008D2290">
            <w:pPr>
              <w:jc w:val="both"/>
              <w:rPr>
                <w:rFonts w:asciiTheme="majorHAnsi" w:hAnsiTheme="majorHAnsi"/>
                <w:bCs/>
                <w:sz w:val="20"/>
                <w:szCs w:val="20"/>
              </w:rPr>
            </w:pPr>
            <w:r>
              <w:rPr>
                <w:rFonts w:asciiTheme="majorHAnsi" w:hAnsiTheme="majorHAnsi"/>
                <w:sz w:val="20"/>
                <w:szCs w:val="20"/>
                <w:lang w:val="en"/>
              </w:rPr>
              <w:t>March 31, 2022</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III. </w:t>
      </w:r>
      <w:r>
        <w:rPr>
          <w:rFonts w:asciiTheme="majorHAnsi" w:hAnsiTheme="majorHAnsi"/>
          <w:sz w:val="20"/>
          <w:szCs w:val="20"/>
          <w:lang w:val="en"/>
        </w:rPr>
        <w:tab/>
      </w:r>
      <w:r>
        <w:rPr>
          <w:rFonts w:asciiTheme="majorHAnsi" w:hAnsiTheme="majorHAnsi"/>
          <w:b/>
          <w:bCs/>
          <w:sz w:val="20"/>
          <w:szCs w:val="20"/>
          <w:lang w:val="en"/>
        </w:rPr>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7797" w14:paraId="7D299FC7" w14:textId="77777777" w:rsidTr="006A10B1">
        <w:trPr>
          <w:cantSplit/>
        </w:trPr>
        <w:tc>
          <w:tcPr>
            <w:tcW w:w="3600" w:type="dxa"/>
            <w:tcBorders>
              <w:top w:val="single" w:sz="4" w:space="0" w:color="auto"/>
              <w:bottom w:val="single" w:sz="6" w:space="0" w:color="auto"/>
            </w:tcBorders>
            <w:shd w:val="clear" w:color="auto" w:fill="67AE3C"/>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Pr>
                <w:rFonts w:asciiTheme="majorHAnsi" w:hAnsiTheme="majorHAnsi"/>
                <w:b/>
                <w:bCs/>
                <w:color w:val="FFFFFF" w:themeColor="background1"/>
                <w:sz w:val="20"/>
                <w:szCs w:val="20"/>
                <w:lang w:val="en"/>
              </w:rPr>
              <w:t xml:space="preserve">Competence </w:t>
            </w:r>
            <w:r>
              <w:rPr>
                <w:rFonts w:asciiTheme="majorHAnsi" w:hAnsiTheme="majorHAnsi"/>
                <w:b/>
                <w:bCs/>
                <w:i/>
                <w:iCs/>
                <w:color w:val="FFFFFF" w:themeColor="background1"/>
                <w:sz w:val="20"/>
                <w:szCs w:val="20"/>
                <w:lang w:val="en"/>
              </w:rPr>
              <w:t>ratione personae</w:t>
            </w:r>
            <w:r>
              <w:rPr>
                <w:rFonts w:asciiTheme="majorHAnsi" w:hAnsiTheme="majorHAnsi"/>
                <w:b/>
                <w:bCs/>
                <w:color w:val="FFFFFF" w:themeColor="background1"/>
                <w:sz w:val="20"/>
                <w:szCs w:val="20"/>
                <w:lang w:val="en"/>
              </w:rPr>
              <w:t>:</w:t>
            </w:r>
          </w:p>
        </w:tc>
        <w:tc>
          <w:tcPr>
            <w:tcW w:w="5760" w:type="dxa"/>
            <w:vAlign w:val="center"/>
          </w:tcPr>
          <w:p w14:paraId="1E494D5D" w14:textId="62ABCA46" w:rsidR="003239B8" w:rsidRPr="00547797" w:rsidRDefault="007D55E9" w:rsidP="008D2290">
            <w:pPr>
              <w:rPr>
                <w:rFonts w:asciiTheme="majorHAnsi" w:hAnsiTheme="majorHAnsi"/>
                <w:bCs/>
                <w:sz w:val="20"/>
                <w:szCs w:val="20"/>
              </w:rPr>
            </w:pPr>
            <w:r>
              <w:rPr>
                <w:rFonts w:asciiTheme="majorHAnsi" w:hAnsiTheme="majorHAnsi"/>
                <w:sz w:val="20"/>
                <w:szCs w:val="20"/>
                <w:lang w:val="en"/>
              </w:rPr>
              <w:t>Yes</w:t>
            </w:r>
          </w:p>
        </w:tc>
      </w:tr>
      <w:tr w:rsidR="003239B8" w:rsidRPr="00547797" w14:paraId="54503A4F" w14:textId="77777777" w:rsidTr="006A10B1">
        <w:trPr>
          <w:cantSplit/>
        </w:trPr>
        <w:tc>
          <w:tcPr>
            <w:tcW w:w="3600" w:type="dxa"/>
            <w:tcBorders>
              <w:top w:val="single" w:sz="6" w:space="0" w:color="auto"/>
              <w:bottom w:val="single" w:sz="6" w:space="0" w:color="auto"/>
            </w:tcBorders>
            <w:shd w:val="clear" w:color="auto" w:fill="67AE3C"/>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 xml:space="preserve">Competence </w:t>
            </w:r>
            <w:r>
              <w:rPr>
                <w:rFonts w:asciiTheme="majorHAnsi" w:hAnsiTheme="majorHAnsi"/>
                <w:b/>
                <w:bCs/>
                <w:i/>
                <w:iCs/>
                <w:color w:val="FFFFFF" w:themeColor="background1"/>
                <w:sz w:val="20"/>
                <w:szCs w:val="20"/>
                <w:lang w:val="en"/>
              </w:rPr>
              <w:t>ratione loci</w:t>
            </w:r>
            <w:r>
              <w:rPr>
                <w:rFonts w:asciiTheme="majorHAnsi" w:hAnsiTheme="majorHAnsi"/>
                <w:b/>
                <w:bCs/>
                <w:color w:val="FFFFFF" w:themeColor="background1"/>
                <w:sz w:val="20"/>
                <w:szCs w:val="20"/>
                <w:lang w:val="en"/>
              </w:rPr>
              <w:t>:</w:t>
            </w:r>
          </w:p>
        </w:tc>
        <w:tc>
          <w:tcPr>
            <w:tcW w:w="5760" w:type="dxa"/>
            <w:vAlign w:val="center"/>
          </w:tcPr>
          <w:p w14:paraId="77C8256A" w14:textId="6D907173" w:rsidR="003239B8" w:rsidRPr="00547797" w:rsidRDefault="007D55E9" w:rsidP="008D2290">
            <w:pPr>
              <w:rPr>
                <w:rFonts w:asciiTheme="majorHAnsi" w:hAnsiTheme="majorHAnsi"/>
                <w:bCs/>
                <w:sz w:val="20"/>
                <w:szCs w:val="20"/>
              </w:rPr>
            </w:pPr>
            <w:r>
              <w:rPr>
                <w:rFonts w:asciiTheme="majorHAnsi" w:hAnsiTheme="majorHAnsi"/>
                <w:sz w:val="20"/>
                <w:szCs w:val="20"/>
                <w:lang w:val="en"/>
              </w:rPr>
              <w:t>Yes</w:t>
            </w:r>
          </w:p>
        </w:tc>
      </w:tr>
      <w:tr w:rsidR="003239B8" w:rsidRPr="00547797" w14:paraId="6618D96A" w14:textId="77777777" w:rsidTr="006A10B1">
        <w:trPr>
          <w:cantSplit/>
        </w:trPr>
        <w:tc>
          <w:tcPr>
            <w:tcW w:w="3600" w:type="dxa"/>
            <w:tcBorders>
              <w:top w:val="single" w:sz="6" w:space="0" w:color="auto"/>
              <w:bottom w:val="single" w:sz="6" w:space="0" w:color="auto"/>
            </w:tcBorders>
            <w:shd w:val="clear" w:color="auto" w:fill="67AE3C"/>
            <w:vAlign w:val="center"/>
          </w:tcPr>
          <w:p w14:paraId="24D9CAA2" w14:textId="77777777" w:rsidR="003239B8" w:rsidRPr="00547797" w:rsidRDefault="003239B8" w:rsidP="008D2290">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 xml:space="preserve">Competence </w:t>
            </w:r>
            <w:r>
              <w:rPr>
                <w:rFonts w:asciiTheme="majorHAnsi" w:hAnsiTheme="majorHAnsi"/>
                <w:b/>
                <w:bCs/>
                <w:i/>
                <w:iCs/>
                <w:color w:val="FFFFFF" w:themeColor="background1"/>
                <w:sz w:val="20"/>
                <w:szCs w:val="20"/>
                <w:lang w:val="en"/>
              </w:rPr>
              <w:t>ratione temporis</w:t>
            </w:r>
            <w:r>
              <w:rPr>
                <w:rFonts w:asciiTheme="majorHAnsi" w:hAnsiTheme="majorHAnsi"/>
                <w:b/>
                <w:bCs/>
                <w:color w:val="FFFFFF" w:themeColor="background1"/>
                <w:sz w:val="20"/>
                <w:szCs w:val="20"/>
                <w:lang w:val="en"/>
              </w:rPr>
              <w:t>:</w:t>
            </w:r>
          </w:p>
        </w:tc>
        <w:tc>
          <w:tcPr>
            <w:tcW w:w="5760" w:type="dxa"/>
            <w:vAlign w:val="center"/>
          </w:tcPr>
          <w:p w14:paraId="523F6BD6" w14:textId="69896527" w:rsidR="003239B8" w:rsidRPr="00547797" w:rsidRDefault="007D55E9" w:rsidP="008D2290">
            <w:pPr>
              <w:rPr>
                <w:rFonts w:asciiTheme="majorHAnsi" w:hAnsiTheme="majorHAnsi"/>
                <w:bCs/>
                <w:sz w:val="20"/>
                <w:szCs w:val="20"/>
              </w:rPr>
            </w:pPr>
            <w:r>
              <w:rPr>
                <w:rFonts w:asciiTheme="majorHAnsi" w:hAnsiTheme="majorHAnsi"/>
                <w:sz w:val="20"/>
                <w:szCs w:val="20"/>
                <w:lang w:val="en"/>
              </w:rPr>
              <w:t>Yes</w:t>
            </w:r>
          </w:p>
        </w:tc>
      </w:tr>
      <w:tr w:rsidR="003239B8" w:rsidRPr="00FC492F" w14:paraId="34C2A0A9" w14:textId="77777777" w:rsidTr="006A10B1">
        <w:trPr>
          <w:cantSplit/>
        </w:trPr>
        <w:tc>
          <w:tcPr>
            <w:tcW w:w="3600" w:type="dxa"/>
            <w:tcBorders>
              <w:top w:val="single" w:sz="6" w:space="0" w:color="auto"/>
              <w:bottom w:val="single" w:sz="6" w:space="0" w:color="auto"/>
            </w:tcBorders>
            <w:shd w:val="clear" w:color="auto" w:fill="67AE3C"/>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 xml:space="preserve">Competence </w:t>
            </w:r>
            <w:r>
              <w:rPr>
                <w:rFonts w:asciiTheme="majorHAnsi" w:hAnsiTheme="majorHAnsi"/>
                <w:b/>
                <w:bCs/>
                <w:i/>
                <w:iCs/>
                <w:color w:val="FFFFFF" w:themeColor="background1"/>
                <w:sz w:val="20"/>
                <w:szCs w:val="20"/>
                <w:lang w:val="en"/>
              </w:rPr>
              <w:t>ratione materiae</w:t>
            </w:r>
            <w:r>
              <w:rPr>
                <w:rFonts w:asciiTheme="majorHAnsi" w:hAnsiTheme="majorHAnsi"/>
                <w:b/>
                <w:bCs/>
                <w:color w:val="FFFFFF" w:themeColor="background1"/>
                <w:sz w:val="20"/>
                <w:szCs w:val="20"/>
                <w:lang w:val="en"/>
              </w:rPr>
              <w:t>:</w:t>
            </w:r>
          </w:p>
        </w:tc>
        <w:tc>
          <w:tcPr>
            <w:tcW w:w="5760" w:type="dxa"/>
            <w:vAlign w:val="center"/>
          </w:tcPr>
          <w:p w14:paraId="257C8337" w14:textId="3617DA18" w:rsidR="003239B8" w:rsidRPr="00547797" w:rsidRDefault="00CA0DCA" w:rsidP="008D2290">
            <w:pPr>
              <w:jc w:val="both"/>
              <w:rPr>
                <w:rFonts w:asciiTheme="majorHAnsi" w:hAnsiTheme="majorHAnsi"/>
                <w:bCs/>
                <w:sz w:val="20"/>
                <w:szCs w:val="20"/>
              </w:rPr>
            </w:pPr>
            <w:r>
              <w:rPr>
                <w:rFonts w:ascii="Cambria" w:hAnsi="Cambria"/>
                <w:sz w:val="20"/>
                <w:szCs w:val="20"/>
                <w:lang w:val="en"/>
              </w:rPr>
              <w:t>Yes, American Convention (</w:t>
            </w:r>
            <w:r w:rsidR="004D56FB">
              <w:rPr>
                <w:rFonts w:ascii="Cambria" w:hAnsi="Cambria"/>
                <w:sz w:val="20"/>
                <w:szCs w:val="20"/>
                <w:lang w:val="en"/>
              </w:rPr>
              <w:t xml:space="preserve">ratification </w:t>
            </w:r>
            <w:r>
              <w:rPr>
                <w:rFonts w:ascii="Cambria" w:hAnsi="Cambria"/>
                <w:sz w:val="20"/>
                <w:szCs w:val="20"/>
                <w:lang w:val="en"/>
              </w:rPr>
              <w:t>instrument deposited on July 31, 1973)</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IV. </w:t>
      </w:r>
      <w:r>
        <w:rPr>
          <w:rFonts w:asciiTheme="majorHAnsi" w:hAnsiTheme="majorHAnsi"/>
          <w:sz w:val="20"/>
          <w:szCs w:val="20"/>
          <w:lang w:val="en"/>
        </w:rPr>
        <w:tab/>
      </w:r>
      <w:r>
        <w:rPr>
          <w:rFonts w:asciiTheme="majorHAnsi" w:hAnsiTheme="majorHAnsi"/>
          <w:b/>
          <w:bCs/>
          <w:sz w:val="20"/>
          <w:szCs w:val="20"/>
          <w:lang w:val="en"/>
        </w:rPr>
        <w:t>DUPLICATION</w:t>
      </w:r>
      <w:r>
        <w:rPr>
          <w:rFonts w:asciiTheme="majorHAnsi" w:hAnsiTheme="majorHAnsi"/>
          <w:b/>
          <w:bCs/>
          <w:color w:val="FFFFFF" w:themeColor="background1"/>
          <w:sz w:val="20"/>
          <w:szCs w:val="20"/>
          <w:lang w:val="en"/>
        </w:rPr>
        <w:t xml:space="preserve"> </w:t>
      </w:r>
      <w:r>
        <w:rPr>
          <w:rFonts w:asciiTheme="majorHAnsi" w:hAnsiTheme="majorHAnsi"/>
          <w:b/>
          <w:bCs/>
          <w:sz w:val="20"/>
          <w:szCs w:val="20"/>
          <w:lang w:val="en"/>
        </w:rPr>
        <w:t xml:space="preserve">OF PROCEDURES AND INTERNATIONAL </w:t>
      </w:r>
      <w:r>
        <w:rPr>
          <w:rFonts w:asciiTheme="majorHAnsi" w:hAnsiTheme="majorHAnsi"/>
          <w:b/>
          <w:bCs/>
          <w:i/>
          <w:iCs/>
          <w:sz w:val="20"/>
          <w:szCs w:val="20"/>
          <w:lang w:val="en"/>
        </w:rPr>
        <w:t>RES JUDICATA</w:t>
      </w:r>
      <w:r>
        <w:rPr>
          <w:rFonts w:asciiTheme="majorHAnsi" w:hAnsiTheme="majorHAnsi"/>
          <w:b/>
          <w:bCs/>
          <w:sz w:val="20"/>
          <w:szCs w:val="20"/>
          <w:lang w:val="en"/>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5A43B2" w14:paraId="161C8568" w14:textId="77777777" w:rsidTr="006A10B1">
        <w:trPr>
          <w:cantSplit/>
        </w:trPr>
        <w:tc>
          <w:tcPr>
            <w:tcW w:w="3600" w:type="dxa"/>
            <w:tcBorders>
              <w:top w:val="single" w:sz="4" w:space="0" w:color="auto"/>
              <w:bottom w:val="single" w:sz="6" w:space="0" w:color="auto"/>
            </w:tcBorders>
            <w:shd w:val="clear" w:color="auto" w:fill="67AE3C"/>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 xml:space="preserve">Duplication of procedures and international </w:t>
            </w:r>
            <w:r>
              <w:rPr>
                <w:rFonts w:asciiTheme="majorHAnsi" w:hAnsiTheme="majorHAnsi"/>
                <w:b/>
                <w:bCs/>
                <w:i/>
                <w:iCs/>
                <w:color w:val="FFFFFF" w:themeColor="background1"/>
                <w:sz w:val="20"/>
                <w:szCs w:val="20"/>
                <w:lang w:val="en"/>
              </w:rPr>
              <w:t>res judicata</w:t>
            </w:r>
            <w:r>
              <w:rPr>
                <w:rFonts w:asciiTheme="majorHAnsi" w:hAnsiTheme="majorHAnsi"/>
                <w:b/>
                <w:bCs/>
                <w:color w:val="FFFFFF" w:themeColor="background1"/>
                <w:sz w:val="20"/>
                <w:szCs w:val="20"/>
                <w:lang w:val="en"/>
              </w:rPr>
              <w:t>:</w:t>
            </w:r>
          </w:p>
        </w:tc>
        <w:tc>
          <w:tcPr>
            <w:tcW w:w="5760" w:type="dxa"/>
            <w:vAlign w:val="center"/>
          </w:tcPr>
          <w:p w14:paraId="764D7F60" w14:textId="3D34F13C" w:rsidR="00EE00E9" w:rsidRPr="00547797" w:rsidRDefault="00ED69CC" w:rsidP="008D2290">
            <w:pPr>
              <w:jc w:val="both"/>
              <w:rPr>
                <w:rFonts w:asciiTheme="majorHAnsi" w:hAnsiTheme="majorHAnsi"/>
                <w:bCs/>
                <w:sz w:val="20"/>
                <w:szCs w:val="20"/>
              </w:rPr>
            </w:pPr>
            <w:r>
              <w:rPr>
                <w:rFonts w:asciiTheme="majorHAnsi" w:hAnsiTheme="majorHAnsi"/>
                <w:sz w:val="20"/>
                <w:szCs w:val="20"/>
                <w:lang w:val="en"/>
              </w:rPr>
              <w:t>No</w:t>
            </w:r>
          </w:p>
        </w:tc>
      </w:tr>
      <w:tr w:rsidR="003239B8" w:rsidRPr="00FC492F" w14:paraId="3ED57BF3" w14:textId="77777777" w:rsidTr="006A10B1">
        <w:trPr>
          <w:cantSplit/>
        </w:trPr>
        <w:tc>
          <w:tcPr>
            <w:tcW w:w="3600" w:type="dxa"/>
            <w:tcBorders>
              <w:top w:val="single" w:sz="4" w:space="0" w:color="auto"/>
              <w:bottom w:val="single" w:sz="6" w:space="0" w:color="auto"/>
            </w:tcBorders>
            <w:shd w:val="clear" w:color="auto" w:fill="67AE3C"/>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Pr>
                <w:rFonts w:asciiTheme="majorHAnsi" w:hAnsiTheme="majorHAnsi"/>
                <w:b/>
                <w:bCs/>
                <w:color w:val="FFFFFF" w:themeColor="background1"/>
                <w:sz w:val="20"/>
                <w:szCs w:val="20"/>
                <w:lang w:val="en"/>
              </w:rPr>
              <w:t>Rights declared admissible:</w:t>
            </w:r>
          </w:p>
        </w:tc>
        <w:tc>
          <w:tcPr>
            <w:tcW w:w="5760" w:type="dxa"/>
            <w:vAlign w:val="center"/>
          </w:tcPr>
          <w:p w14:paraId="4DAE9D4D" w14:textId="45E68F14" w:rsidR="003239B8" w:rsidRPr="008F7FCC" w:rsidRDefault="008F7FCC" w:rsidP="008D2290">
            <w:pPr>
              <w:jc w:val="both"/>
              <w:rPr>
                <w:rFonts w:asciiTheme="majorHAnsi" w:hAnsiTheme="majorHAnsi"/>
                <w:bCs/>
                <w:sz w:val="20"/>
                <w:szCs w:val="20"/>
              </w:rPr>
            </w:pPr>
            <w:r>
              <w:rPr>
                <w:rFonts w:asciiTheme="majorHAnsi" w:hAnsiTheme="majorHAnsi"/>
                <w:sz w:val="20"/>
                <w:szCs w:val="20"/>
                <w:lang w:val="en"/>
              </w:rPr>
              <w:t>Articles 4 (life), 5 (humane treatment), 8 (</w:t>
            </w:r>
            <w:r w:rsidR="004D56FB">
              <w:rPr>
                <w:rFonts w:asciiTheme="majorHAnsi" w:hAnsiTheme="majorHAnsi"/>
                <w:sz w:val="20"/>
                <w:szCs w:val="20"/>
                <w:lang w:val="en"/>
              </w:rPr>
              <w:t>fair trial</w:t>
            </w:r>
            <w:r>
              <w:rPr>
                <w:rFonts w:asciiTheme="majorHAnsi" w:hAnsiTheme="majorHAnsi"/>
                <w:sz w:val="20"/>
                <w:szCs w:val="20"/>
                <w:lang w:val="en"/>
              </w:rPr>
              <w:t xml:space="preserve">), and 25 (judicial protection) of the American Convention on Human Rights, in relation to its Article 1(1) (obligation to respect rights) </w:t>
            </w:r>
          </w:p>
        </w:tc>
      </w:tr>
      <w:tr w:rsidR="003239B8" w:rsidRPr="00FC492F" w14:paraId="5702249F" w14:textId="77777777" w:rsidTr="006A10B1">
        <w:trPr>
          <w:cantSplit/>
        </w:trPr>
        <w:tc>
          <w:tcPr>
            <w:tcW w:w="3600" w:type="dxa"/>
            <w:tcBorders>
              <w:top w:val="single" w:sz="6" w:space="0" w:color="auto"/>
              <w:bottom w:val="single" w:sz="6" w:space="0" w:color="auto"/>
            </w:tcBorders>
            <w:shd w:val="clear" w:color="auto" w:fill="67AE3C"/>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Exhaustion of domestic remedies or applicability of an exception to the rule:</w:t>
            </w:r>
          </w:p>
        </w:tc>
        <w:tc>
          <w:tcPr>
            <w:tcW w:w="5760" w:type="dxa"/>
            <w:vAlign w:val="center"/>
          </w:tcPr>
          <w:p w14:paraId="7F7C1A19" w14:textId="3EF33882" w:rsidR="003239B8" w:rsidRPr="00547797" w:rsidRDefault="0040589F" w:rsidP="008D2290">
            <w:pPr>
              <w:rPr>
                <w:rFonts w:asciiTheme="majorHAnsi" w:hAnsiTheme="majorHAnsi"/>
                <w:bCs/>
                <w:sz w:val="20"/>
                <w:szCs w:val="20"/>
              </w:rPr>
            </w:pPr>
            <w:r>
              <w:rPr>
                <w:rFonts w:asciiTheme="majorHAnsi" w:hAnsiTheme="majorHAnsi"/>
                <w:sz w:val="20"/>
                <w:szCs w:val="20"/>
                <w:lang w:val="en"/>
              </w:rPr>
              <w:t>Yes, pursuant to the terms of Section VI</w:t>
            </w:r>
          </w:p>
        </w:tc>
      </w:tr>
      <w:tr w:rsidR="003239B8" w:rsidRPr="00FC492F" w14:paraId="7A101B89" w14:textId="77777777" w:rsidTr="006A10B1">
        <w:trPr>
          <w:cantSplit/>
        </w:trPr>
        <w:tc>
          <w:tcPr>
            <w:tcW w:w="3600" w:type="dxa"/>
            <w:tcBorders>
              <w:top w:val="single" w:sz="6" w:space="0" w:color="auto"/>
              <w:bottom w:val="single" w:sz="6" w:space="0" w:color="auto"/>
            </w:tcBorders>
            <w:shd w:val="clear" w:color="auto" w:fill="67AE3C"/>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Timeliness of the petition:</w:t>
            </w:r>
          </w:p>
        </w:tc>
        <w:tc>
          <w:tcPr>
            <w:tcW w:w="5760" w:type="dxa"/>
            <w:vAlign w:val="center"/>
          </w:tcPr>
          <w:p w14:paraId="2AF0FC69" w14:textId="056DF15D" w:rsidR="003239B8" w:rsidRPr="0040589F" w:rsidRDefault="0040589F" w:rsidP="008D2290">
            <w:pPr>
              <w:rPr>
                <w:rFonts w:asciiTheme="majorHAnsi" w:hAnsiTheme="majorHAnsi"/>
                <w:bCs/>
                <w:sz w:val="20"/>
                <w:szCs w:val="20"/>
              </w:rPr>
            </w:pPr>
            <w:r>
              <w:rPr>
                <w:rFonts w:asciiTheme="majorHAnsi" w:hAnsiTheme="majorHAnsi"/>
                <w:sz w:val="20"/>
                <w:szCs w:val="20"/>
                <w:lang w:val="en"/>
              </w:rPr>
              <w:t>Yes, pursuant to the terms of Section VI</w:t>
            </w:r>
          </w:p>
        </w:tc>
      </w:tr>
    </w:tbl>
    <w:p w14:paraId="56FD5D57" w14:textId="252B1FD5" w:rsidR="003239B8" w:rsidRPr="00627045" w:rsidRDefault="00223A29" w:rsidP="003239B8">
      <w:pPr>
        <w:spacing w:before="240" w:after="240"/>
        <w:ind w:firstLine="720"/>
        <w:jc w:val="both"/>
        <w:rPr>
          <w:rFonts w:asciiTheme="majorHAnsi" w:hAnsiTheme="majorHAnsi"/>
          <w:b/>
          <w:sz w:val="20"/>
          <w:szCs w:val="20"/>
        </w:rPr>
      </w:pPr>
      <w:r>
        <w:rPr>
          <w:rFonts w:asciiTheme="majorHAnsi" w:hAnsiTheme="majorHAnsi"/>
          <w:b/>
          <w:bCs/>
          <w:sz w:val="20"/>
          <w:szCs w:val="20"/>
          <w:lang w:val="en"/>
        </w:rPr>
        <w:t xml:space="preserve">V. </w:t>
      </w:r>
      <w:r>
        <w:rPr>
          <w:rFonts w:asciiTheme="majorHAnsi" w:hAnsiTheme="majorHAnsi"/>
          <w:b/>
          <w:bCs/>
          <w:sz w:val="20"/>
          <w:szCs w:val="20"/>
          <w:lang w:val="en"/>
        </w:rPr>
        <w:tab/>
        <w:t xml:space="preserve">FACTS ALLEGED </w:t>
      </w:r>
    </w:p>
    <w:p w14:paraId="1F447933" w14:textId="6A5BA77C" w:rsidR="005A43B2" w:rsidRPr="00627045" w:rsidRDefault="005A43B2" w:rsidP="005A43B2">
      <w:pPr>
        <w:pStyle w:val="ListParagraph"/>
        <w:spacing w:before="240" w:after="240"/>
        <w:jc w:val="both"/>
        <w:rPr>
          <w:rFonts w:asciiTheme="majorHAnsi" w:hAnsiTheme="majorHAnsi"/>
          <w:bCs/>
          <w:i/>
          <w:iCs/>
          <w:sz w:val="20"/>
          <w:szCs w:val="20"/>
        </w:rPr>
      </w:pPr>
      <w:r>
        <w:rPr>
          <w:rFonts w:asciiTheme="majorHAnsi" w:hAnsiTheme="majorHAnsi"/>
          <w:i/>
          <w:iCs/>
          <w:sz w:val="20"/>
          <w:szCs w:val="20"/>
          <w:lang w:val="en"/>
        </w:rPr>
        <w:t>Petitioner</w:t>
      </w:r>
    </w:p>
    <w:p w14:paraId="56F97321" w14:textId="2AA0985C" w:rsidR="00444269" w:rsidRPr="00627045" w:rsidRDefault="00A15E9A" w:rsidP="00444269">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The petitioner alleges a violation of the right to life of 11 public servants and the right to humane treatment of 43 other officials belonging to the Attorney General's Office, the Administrative Security </w:t>
      </w:r>
      <w:r>
        <w:rPr>
          <w:rFonts w:asciiTheme="majorHAnsi" w:hAnsiTheme="majorHAnsi"/>
          <w:sz w:val="20"/>
          <w:szCs w:val="20"/>
          <w:lang w:val="en"/>
        </w:rPr>
        <w:lastRenderedPageBreak/>
        <w:t>Department (hereinafter "DAS"), and the Army as a result of the State's failure to provide the reinforcements requested during a drug seizure operation in which they were ambushed by nearly 150 paramilitary soldiers.</w:t>
      </w:r>
    </w:p>
    <w:p w14:paraId="725B49EE" w14:textId="4BFE4C35" w:rsidR="000F6C14" w:rsidRPr="00627045" w:rsidRDefault="005A52D7" w:rsidP="000F6C14">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sz w:val="20"/>
          <w:szCs w:val="20"/>
          <w:lang w:val="en"/>
        </w:rPr>
        <w:t>The petitioner</w:t>
      </w:r>
      <w:r w:rsidR="004648BD">
        <w:rPr>
          <w:rFonts w:asciiTheme="majorHAnsi" w:hAnsiTheme="majorHAnsi"/>
          <w:sz w:val="20"/>
          <w:szCs w:val="20"/>
          <w:lang w:val="en"/>
        </w:rPr>
        <w:t>s</w:t>
      </w:r>
      <w:r>
        <w:rPr>
          <w:rFonts w:asciiTheme="majorHAnsi" w:hAnsiTheme="majorHAnsi"/>
          <w:sz w:val="20"/>
          <w:szCs w:val="20"/>
          <w:lang w:val="en"/>
        </w:rPr>
        <w:t xml:space="preserve"> </w:t>
      </w:r>
      <w:r w:rsidR="009832C5">
        <w:rPr>
          <w:rFonts w:asciiTheme="majorHAnsi" w:hAnsiTheme="majorHAnsi"/>
          <w:sz w:val="20"/>
          <w:szCs w:val="20"/>
          <w:lang w:val="en"/>
        </w:rPr>
        <w:t>st</w:t>
      </w:r>
      <w:r>
        <w:rPr>
          <w:rFonts w:asciiTheme="majorHAnsi" w:hAnsiTheme="majorHAnsi"/>
          <w:sz w:val="20"/>
          <w:szCs w:val="20"/>
          <w:lang w:val="en"/>
        </w:rPr>
        <w:t>ate that the context in which the operation and the paramilitary ambush took place in San Carlos de Guaroa, department of Meta</w:t>
      </w:r>
      <w:r w:rsidR="009832C5">
        <w:rPr>
          <w:rFonts w:asciiTheme="majorHAnsi" w:hAnsiTheme="majorHAnsi"/>
          <w:sz w:val="20"/>
          <w:szCs w:val="20"/>
          <w:lang w:val="en"/>
        </w:rPr>
        <w:t>,</w:t>
      </w:r>
      <w:r>
        <w:rPr>
          <w:rFonts w:asciiTheme="majorHAnsi" w:hAnsiTheme="majorHAnsi"/>
          <w:sz w:val="20"/>
          <w:szCs w:val="20"/>
          <w:lang w:val="en"/>
        </w:rPr>
        <w:t xml:space="preserve"> </w:t>
      </w:r>
      <w:r w:rsidR="00513FE0">
        <w:rPr>
          <w:rFonts w:asciiTheme="majorHAnsi" w:hAnsiTheme="majorHAnsi"/>
          <w:sz w:val="20"/>
          <w:szCs w:val="20"/>
          <w:lang w:val="en"/>
        </w:rPr>
        <w:t xml:space="preserve">happened in a </w:t>
      </w:r>
      <w:r w:rsidR="007022BA">
        <w:rPr>
          <w:rFonts w:asciiTheme="majorHAnsi" w:hAnsiTheme="majorHAnsi"/>
          <w:sz w:val="20"/>
          <w:szCs w:val="20"/>
          <w:lang w:val="en"/>
        </w:rPr>
        <w:t xml:space="preserve">time in which </w:t>
      </w:r>
      <w:r>
        <w:rPr>
          <w:rFonts w:asciiTheme="majorHAnsi" w:hAnsiTheme="majorHAnsi"/>
          <w:sz w:val="20"/>
          <w:szCs w:val="20"/>
          <w:lang w:val="en"/>
        </w:rPr>
        <w:t>paramilitary groups—</w:t>
      </w:r>
      <w:r w:rsidR="00513FE0">
        <w:rPr>
          <w:rFonts w:asciiTheme="majorHAnsi" w:hAnsiTheme="majorHAnsi"/>
          <w:sz w:val="20"/>
          <w:szCs w:val="20"/>
          <w:lang w:val="en"/>
        </w:rPr>
        <w:t>particularly</w:t>
      </w:r>
      <w:r>
        <w:rPr>
          <w:rFonts w:asciiTheme="majorHAnsi" w:hAnsiTheme="majorHAnsi"/>
          <w:sz w:val="20"/>
          <w:szCs w:val="20"/>
          <w:lang w:val="en"/>
        </w:rPr>
        <w:t xml:space="preserve"> the United Self-Defense Forces of Colombia (hereinafter “AUC”)—had co-opted the department’s institutions by allying with the army and regional political elites. As an example of this, </w:t>
      </w:r>
      <w:r w:rsidR="00FA08D1">
        <w:rPr>
          <w:rFonts w:asciiTheme="majorHAnsi" w:hAnsiTheme="majorHAnsi"/>
          <w:sz w:val="20"/>
          <w:szCs w:val="20"/>
          <w:lang w:val="en"/>
        </w:rPr>
        <w:t>they</w:t>
      </w:r>
      <w:r>
        <w:rPr>
          <w:rFonts w:asciiTheme="majorHAnsi" w:hAnsiTheme="majorHAnsi"/>
          <w:sz w:val="20"/>
          <w:szCs w:val="20"/>
          <w:lang w:val="en"/>
        </w:rPr>
        <w:t xml:space="preserve"> note that the Mapiripán massacre committed in Meta in July 1997 was the first action of the recently formed AUC in the department and was carried out in coordination with the national army and other paramilitary groups operating in the northwestern region of Urabá.</w:t>
      </w:r>
    </w:p>
    <w:p w14:paraId="5D54910F" w14:textId="7D9C39F1" w:rsidR="00FC1182" w:rsidRPr="00627045" w:rsidRDefault="000D727A" w:rsidP="000F6C14">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sz w:val="20"/>
          <w:szCs w:val="20"/>
          <w:lang w:val="en"/>
        </w:rPr>
        <w:t>In this context, the petitioner indicates that by May 1997, the prosecutor's office and the police had made a seizure of narcotics from the El Alcaraván farm in the municipality of San Carlos de Guaroa, where they confiscated weapons reserved for the exclusive use of the military, along with a large quantity of cocaine. They indicate that on September 9, 1997, the prosecutor's office requested support from the Seventh Army Brigade in the city of Villavicencio for a raid and seizure at the El Alcaraván farm, coordinated with the Army’s Unified Action Group for Personal Liberty (hereinafter “GAULA”). The objective was to perform a topographic survey of the property, locate where the drugs and weapons were hidden, collect statements from four witnesses, and draft a report on the seizure at the farm.</w:t>
      </w:r>
    </w:p>
    <w:p w14:paraId="1DAFF88F" w14:textId="34A9D502" w:rsidR="000D727A" w:rsidRPr="00627045" w:rsidRDefault="00EA5623" w:rsidP="000F6C14">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 The petitioner indicates that on October 3, 1997, the Judicial Commission of the Office of the Attorney General of the Nation of Villavicencio and members of the army's GAULA left around 4:00 a.m. in a caravan of eight vehicles headed for the El Alcaraván farm in the rural area of the municipality of San Carlos de Guaroa. </w:t>
      </w:r>
      <w:r w:rsidR="001F5258">
        <w:rPr>
          <w:rFonts w:asciiTheme="majorHAnsi" w:hAnsiTheme="majorHAnsi"/>
          <w:sz w:val="20"/>
          <w:szCs w:val="20"/>
          <w:lang w:val="en"/>
        </w:rPr>
        <w:t>They</w:t>
      </w:r>
      <w:r>
        <w:rPr>
          <w:rFonts w:asciiTheme="majorHAnsi" w:hAnsiTheme="majorHAnsi"/>
          <w:sz w:val="20"/>
          <w:szCs w:val="20"/>
          <w:lang w:val="en"/>
        </w:rPr>
        <w:t xml:space="preserve"> state that they arrived around 10:00 a.m. and carried out the procedure ordered by the prosecutor's office. However, the petitioner states that upon its return to Villavicencio, the Judicial Commission was attacked by a group of armed men who confronted the army GAULA that was escorting the Judicial Commission.</w:t>
      </w:r>
    </w:p>
    <w:p w14:paraId="3EE7E8DB" w14:textId="5184D1F4" w:rsidR="00854C0B" w:rsidRPr="00627045" w:rsidRDefault="00E51B9C" w:rsidP="000F6C14">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As a result of this first clash, three of the attackers were killed and three more arrested, one of whom was wounded. The Judicial Commission proceeded to collect the bodies and to secure the detainees, who were interrogated and voluntarily stated that they belonged to the paramilitary group identified as "Los Buitragueños," led by Héctor José Buitrago Rodríguez alias "El Tripas" and his two sons, Héctor Germán and Nelson Orlando, known by the aliases of "Martín Llanos" and "El Caballo." The detainees indicated that 150 more men were on their way to attack the Judicial Commission, which their leaders had ordered to be “exterminated.” </w:t>
      </w:r>
    </w:p>
    <w:p w14:paraId="630D9371" w14:textId="2942C4B5" w:rsidR="00F15481" w:rsidRPr="00627045" w:rsidRDefault="00F15481" w:rsidP="000F6C14">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The petitioners </w:t>
      </w:r>
      <w:r w:rsidR="00246395">
        <w:rPr>
          <w:rFonts w:asciiTheme="majorHAnsi" w:hAnsiTheme="majorHAnsi"/>
          <w:sz w:val="20"/>
          <w:szCs w:val="20"/>
          <w:lang w:val="en"/>
        </w:rPr>
        <w:t>relate</w:t>
      </w:r>
      <w:r>
        <w:rPr>
          <w:rFonts w:asciiTheme="majorHAnsi" w:hAnsiTheme="majorHAnsi"/>
          <w:sz w:val="20"/>
          <w:szCs w:val="20"/>
          <w:lang w:val="en"/>
        </w:rPr>
        <w:t xml:space="preserve"> that at 1:45 p.m., the GAULA chief, Major Juan Carlos Figueroa, moved immediately to communicate with Major Mantilla of his brigade and request backup from helicopter gunships or the dispatch of a </w:t>
      </w:r>
      <w:r w:rsidR="009C3DA7">
        <w:rPr>
          <w:rFonts w:asciiTheme="majorHAnsi" w:hAnsiTheme="majorHAnsi"/>
          <w:sz w:val="20"/>
          <w:szCs w:val="20"/>
          <w:lang w:val="en"/>
        </w:rPr>
        <w:t xml:space="preserve">Fantasma </w:t>
      </w:r>
      <w:r>
        <w:rPr>
          <w:rFonts w:asciiTheme="majorHAnsi" w:hAnsiTheme="majorHAnsi"/>
          <w:sz w:val="20"/>
          <w:szCs w:val="20"/>
          <w:lang w:val="en"/>
        </w:rPr>
        <w:t>gunship. This request was reportedly transmitted to Brigadier General Jaime Humberto Uscátegui, currently convicted for the Mapiripán massacre. The petitioner notes that Brigadier Uscátegui "inexplicably asked for verification over the official radio," for which reason, at 2:00 p.m., the major repeated the request for support over the official radio, and Major Figueroa and Brigadier General Uscátegui communicated directly. In turn, the DAS officials and the Technical Investigation Corps (hereinafter "CTI") of the prosecutor's office asked their superiors to insist on the urgent call to the Seventh Brigade, so three regional prosecutors went to the Brigade's headquarters to reiterate their call for support: However, the response they received was that there was no danger, that "everything was under control."</w:t>
      </w:r>
    </w:p>
    <w:p w14:paraId="6ED613F9" w14:textId="54E8586A" w:rsidR="00FC5B05" w:rsidRPr="00627045" w:rsidRDefault="007E1AD5" w:rsidP="002F203C">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The petitioner alleges that despite the fact that air support was available, the Seventh Brigade ignored the request. The Judicial and Military Commission continued on its way until, 20 minutes later, it encountered a group of approximately 150 men who attacked them with different types of weaponry, while Major Figueroa continued to request air support. However, by then, the Seventh Brigade had stopped responding to the radio calls. The petitioner indicates that during the clash, the major was killed along with 10 other officials. </w:t>
      </w:r>
      <w:r w:rsidR="005664EA">
        <w:rPr>
          <w:rFonts w:asciiTheme="majorHAnsi" w:hAnsiTheme="majorHAnsi"/>
          <w:sz w:val="20"/>
          <w:szCs w:val="20"/>
          <w:lang w:val="en"/>
        </w:rPr>
        <w:t xml:space="preserve">They </w:t>
      </w:r>
      <w:r w:rsidR="000B76DB">
        <w:rPr>
          <w:rFonts w:asciiTheme="majorHAnsi" w:hAnsiTheme="majorHAnsi"/>
          <w:sz w:val="20"/>
          <w:szCs w:val="20"/>
          <w:lang w:val="en"/>
        </w:rPr>
        <w:t xml:space="preserve">recount </w:t>
      </w:r>
      <w:r>
        <w:rPr>
          <w:rFonts w:asciiTheme="majorHAnsi" w:hAnsiTheme="majorHAnsi"/>
          <w:sz w:val="20"/>
          <w:szCs w:val="20"/>
          <w:lang w:val="en"/>
        </w:rPr>
        <w:t xml:space="preserve">that the survivors from the DAS, CTI, the public prosecutor's office, and the attorney general's office continued to contact their superiors for support, and in turn continued to contact the Seventh Brigade. A cargo plane was eventually sent to do a flyover of the area at 5:00 p.m. as a show of force, </w:t>
      </w:r>
      <w:r>
        <w:rPr>
          <w:rFonts w:asciiTheme="majorHAnsi" w:hAnsiTheme="majorHAnsi"/>
          <w:sz w:val="20"/>
          <w:szCs w:val="20"/>
          <w:lang w:val="en"/>
        </w:rPr>
        <w:lastRenderedPageBreak/>
        <w:t>without engaging. This led the paramilitary group to retreat, and a group of officials were able to escape with their lives.</w:t>
      </w:r>
    </w:p>
    <w:p w14:paraId="41DCC43B" w14:textId="4E2BE4E2" w:rsidR="00625BFC" w:rsidRPr="00627045" w:rsidRDefault="00CB4C72" w:rsidP="002F203C">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sz w:val="20"/>
          <w:szCs w:val="20"/>
          <w:lang w:val="en"/>
        </w:rPr>
        <w:t>Regarding</w:t>
      </w:r>
      <w:r w:rsidR="00973DB6">
        <w:rPr>
          <w:rFonts w:asciiTheme="majorHAnsi" w:hAnsiTheme="majorHAnsi"/>
          <w:sz w:val="20"/>
          <w:szCs w:val="20"/>
          <w:lang w:val="en"/>
        </w:rPr>
        <w:t xml:space="preserve"> the</w:t>
      </w:r>
      <w:r>
        <w:rPr>
          <w:rFonts w:asciiTheme="majorHAnsi" w:hAnsiTheme="majorHAnsi"/>
          <w:sz w:val="20"/>
          <w:szCs w:val="20"/>
          <w:lang w:val="en"/>
        </w:rPr>
        <w:t xml:space="preserve"> </w:t>
      </w:r>
      <w:r w:rsidR="002E1B8A">
        <w:rPr>
          <w:rFonts w:asciiTheme="majorHAnsi" w:hAnsiTheme="majorHAnsi"/>
          <w:sz w:val="20"/>
          <w:szCs w:val="20"/>
          <w:lang w:val="en"/>
        </w:rPr>
        <w:t xml:space="preserve">health </w:t>
      </w:r>
      <w:r>
        <w:rPr>
          <w:rFonts w:asciiTheme="majorHAnsi" w:hAnsiTheme="majorHAnsi"/>
          <w:sz w:val="20"/>
          <w:szCs w:val="20"/>
          <w:lang w:val="en"/>
        </w:rPr>
        <w:t>care for the wounded, the petitioner emphasizes that despite the seriousness of a situation in which more than 20 officers were wounded, no support arrived that day, and it was not until the following day at 3:00 a.m. did a land patrol arrive under the command of Captain Damián Aníbal Peña Navarro, who coordinated care for the wounded. Then at 7:00 a.m., a helicopter arrived to evacuate the wounded and take them to Bogotá and Villavicencio, and the corpses to Apiay Air Base, where they were collected.</w:t>
      </w:r>
    </w:p>
    <w:p w14:paraId="64724506" w14:textId="3B6B2803" w:rsidR="00861BC6" w:rsidRPr="00627045" w:rsidRDefault="00F43F2D" w:rsidP="002F203C">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sz w:val="20"/>
          <w:szCs w:val="20"/>
          <w:lang w:val="en"/>
        </w:rPr>
        <w:t>Concern</w:t>
      </w:r>
      <w:r w:rsidR="001B10C1">
        <w:rPr>
          <w:rFonts w:asciiTheme="majorHAnsi" w:hAnsiTheme="majorHAnsi"/>
          <w:sz w:val="20"/>
          <w:szCs w:val="20"/>
          <w:lang w:val="en"/>
        </w:rPr>
        <w:t xml:space="preserve">ing the investigation of the facts, the petitioner notes that an </w:t>
      </w:r>
      <w:r w:rsidR="001B10C1">
        <w:rPr>
          <w:rFonts w:asciiTheme="majorHAnsi" w:hAnsiTheme="majorHAnsi"/>
          <w:i/>
          <w:iCs/>
          <w:sz w:val="20"/>
          <w:szCs w:val="20"/>
          <w:lang w:val="en"/>
        </w:rPr>
        <w:t xml:space="preserve">ex officio </w:t>
      </w:r>
      <w:r w:rsidR="001B10C1">
        <w:rPr>
          <w:rFonts w:asciiTheme="majorHAnsi" w:hAnsiTheme="majorHAnsi"/>
          <w:sz w:val="20"/>
          <w:szCs w:val="20"/>
          <w:lang w:val="en"/>
        </w:rPr>
        <w:t xml:space="preserve">investigation was launched in both the military criminal jurisdiction and in the ordinary justice system. </w:t>
      </w:r>
      <w:r w:rsidR="00403B88">
        <w:rPr>
          <w:rFonts w:asciiTheme="majorHAnsi" w:hAnsiTheme="majorHAnsi"/>
          <w:sz w:val="20"/>
          <w:szCs w:val="20"/>
          <w:lang w:val="en"/>
        </w:rPr>
        <w:t xml:space="preserve">They </w:t>
      </w:r>
      <w:r w:rsidR="00FF779A">
        <w:rPr>
          <w:rFonts w:asciiTheme="majorHAnsi" w:hAnsiTheme="majorHAnsi"/>
          <w:sz w:val="20"/>
          <w:szCs w:val="20"/>
          <w:lang w:val="en"/>
        </w:rPr>
        <w:t xml:space="preserve">relate </w:t>
      </w:r>
      <w:r w:rsidR="001B10C1">
        <w:rPr>
          <w:rFonts w:asciiTheme="majorHAnsi" w:hAnsiTheme="majorHAnsi"/>
          <w:sz w:val="20"/>
          <w:szCs w:val="20"/>
          <w:lang w:val="en"/>
        </w:rPr>
        <w:t xml:space="preserve">that the first case was brought against the military personnel of the Fourth Division and Seventh Brigade for the crimes of homicide and failure to provide support, but the process concluded with a decision on February 4, 1999, to not open an investigation. Additionally, </w:t>
      </w:r>
      <w:r w:rsidR="00222FFA">
        <w:rPr>
          <w:rFonts w:asciiTheme="majorHAnsi" w:hAnsiTheme="majorHAnsi"/>
          <w:sz w:val="20"/>
          <w:szCs w:val="20"/>
          <w:lang w:val="en"/>
        </w:rPr>
        <w:t>they narrate</w:t>
      </w:r>
      <w:r w:rsidR="001B10C1">
        <w:rPr>
          <w:rFonts w:asciiTheme="majorHAnsi" w:hAnsiTheme="majorHAnsi"/>
          <w:sz w:val="20"/>
          <w:szCs w:val="20"/>
          <w:lang w:val="en"/>
        </w:rPr>
        <w:t xml:space="preserve"> that an investigation was brought in the ordinary jurisdiction against members of the paramilitary group “Los Buitragueños,” </w:t>
      </w:r>
      <w:r w:rsidR="0089146A">
        <w:rPr>
          <w:rFonts w:asciiTheme="majorHAnsi" w:hAnsiTheme="majorHAnsi"/>
          <w:sz w:val="20"/>
          <w:szCs w:val="20"/>
          <w:lang w:val="en"/>
        </w:rPr>
        <w:t xml:space="preserve">especially </w:t>
      </w:r>
      <w:r w:rsidR="001B10C1">
        <w:rPr>
          <w:rFonts w:asciiTheme="majorHAnsi" w:hAnsiTheme="majorHAnsi"/>
          <w:sz w:val="20"/>
          <w:szCs w:val="20"/>
          <w:lang w:val="en"/>
        </w:rPr>
        <w:t>against their leaders, identified as Héctor Buitrago and his two sons, alias “Caballo” and “Martín Llanos.” All three were tried and convicted in absentia and sentenced to 40 and 38 years in prison in April 1999. The petitioner emphasizes that the “Los Buitragueños” structure did not participate in the collective AUC demobilization of 2005, and therefore none of the attackers were brought before the Justice and Peace Jurisdiction.</w:t>
      </w:r>
    </w:p>
    <w:p w14:paraId="26992372" w14:textId="6B15D8C9" w:rsidR="00E60487" w:rsidRPr="00627045" w:rsidRDefault="009B119E" w:rsidP="002F203C">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sz w:val="20"/>
          <w:szCs w:val="20"/>
          <w:lang w:val="en"/>
        </w:rPr>
        <w:t>While the petitioner</w:t>
      </w:r>
      <w:r w:rsidR="00E57DBE">
        <w:rPr>
          <w:rFonts w:asciiTheme="majorHAnsi" w:hAnsiTheme="majorHAnsi"/>
          <w:sz w:val="20"/>
          <w:szCs w:val="20"/>
          <w:lang w:val="en"/>
        </w:rPr>
        <w:t>s</w:t>
      </w:r>
      <w:r>
        <w:rPr>
          <w:rFonts w:asciiTheme="majorHAnsi" w:hAnsiTheme="majorHAnsi"/>
          <w:sz w:val="20"/>
          <w:szCs w:val="20"/>
          <w:lang w:val="en"/>
        </w:rPr>
        <w:t xml:space="preserve"> </w:t>
      </w:r>
      <w:r w:rsidR="00E57DBE">
        <w:rPr>
          <w:rFonts w:asciiTheme="majorHAnsi" w:hAnsiTheme="majorHAnsi"/>
          <w:sz w:val="20"/>
          <w:szCs w:val="20"/>
          <w:lang w:val="en"/>
        </w:rPr>
        <w:t xml:space="preserve">recount </w:t>
      </w:r>
      <w:r>
        <w:rPr>
          <w:rFonts w:asciiTheme="majorHAnsi" w:hAnsiTheme="majorHAnsi"/>
          <w:sz w:val="20"/>
          <w:szCs w:val="20"/>
          <w:lang w:val="en"/>
        </w:rPr>
        <w:t xml:space="preserve">that Hector Buitrago and his sons were captured in 2011, </w:t>
      </w:r>
      <w:r w:rsidR="00E57DBE">
        <w:rPr>
          <w:rFonts w:asciiTheme="majorHAnsi" w:hAnsiTheme="majorHAnsi"/>
          <w:sz w:val="20"/>
          <w:szCs w:val="20"/>
          <w:lang w:val="en"/>
        </w:rPr>
        <w:t>they</w:t>
      </w:r>
      <w:r>
        <w:rPr>
          <w:rFonts w:asciiTheme="majorHAnsi" w:hAnsiTheme="majorHAnsi"/>
          <w:sz w:val="20"/>
          <w:szCs w:val="20"/>
          <w:lang w:val="en"/>
        </w:rPr>
        <w:t xml:space="preserve"> note as well that none of the other 150 members of the paramilitary group have been identified by the prosecutor's office. The petitioner </w:t>
      </w:r>
      <w:r w:rsidR="00F23A23">
        <w:rPr>
          <w:rFonts w:asciiTheme="majorHAnsi" w:hAnsiTheme="majorHAnsi"/>
          <w:sz w:val="20"/>
          <w:szCs w:val="20"/>
          <w:lang w:val="en"/>
        </w:rPr>
        <w:t>state</w:t>
      </w:r>
      <w:r>
        <w:rPr>
          <w:rFonts w:asciiTheme="majorHAnsi" w:hAnsiTheme="majorHAnsi"/>
          <w:sz w:val="20"/>
          <w:szCs w:val="20"/>
          <w:lang w:val="en"/>
        </w:rPr>
        <w:t xml:space="preserve">s that at the end of 2011, the alleged victims and their relatives joined the criminal proceedings as civil parties and gave their testimonies. As a result, on October 4, 2011, the 101st Prosecutor's Office for Human Rights launched a preliminary investigation into Brigadier General Jaime Humberto Uscátegui Ramírez and Colonel Luis Felipe Molano Díaz. This is the latest information available to the petitioner regarding the criminal proceeding. The petitioner therefore invokes the exception of </w:t>
      </w:r>
      <w:r w:rsidR="0085081A">
        <w:rPr>
          <w:rFonts w:asciiTheme="majorHAnsi" w:hAnsiTheme="majorHAnsi"/>
          <w:sz w:val="20"/>
          <w:szCs w:val="20"/>
          <w:lang w:val="en"/>
        </w:rPr>
        <w:t>unwarranted</w:t>
      </w:r>
      <w:r>
        <w:rPr>
          <w:rFonts w:asciiTheme="majorHAnsi" w:hAnsiTheme="majorHAnsi"/>
          <w:sz w:val="20"/>
          <w:szCs w:val="20"/>
          <w:lang w:val="en"/>
        </w:rPr>
        <w:t xml:space="preserve"> delay in the resolution of domestic remedies, provided for in Article 46(2)(c) of the Convention, in view of the fact that, 15 years after the facts took place, the State has failed to convict the other perpetrators of the massacre and the ambush and has been very slow in pursuing investigations into the State agents that could have possibly been involved.</w:t>
      </w:r>
    </w:p>
    <w:p w14:paraId="0AA28979" w14:textId="63C30C17" w:rsidR="00496052" w:rsidRPr="00627045" w:rsidRDefault="00496052" w:rsidP="002F203C">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The petitioner additionally </w:t>
      </w:r>
      <w:r w:rsidR="00DF1B6D">
        <w:rPr>
          <w:rFonts w:asciiTheme="majorHAnsi" w:hAnsiTheme="majorHAnsi"/>
          <w:sz w:val="20"/>
          <w:szCs w:val="20"/>
          <w:lang w:val="en"/>
        </w:rPr>
        <w:t>point</w:t>
      </w:r>
      <w:r>
        <w:rPr>
          <w:rFonts w:asciiTheme="majorHAnsi" w:hAnsiTheme="majorHAnsi"/>
          <w:sz w:val="20"/>
          <w:szCs w:val="20"/>
          <w:lang w:val="en"/>
        </w:rPr>
        <w:t xml:space="preserve">s </w:t>
      </w:r>
      <w:r w:rsidR="00DF1B6D">
        <w:rPr>
          <w:rFonts w:asciiTheme="majorHAnsi" w:hAnsiTheme="majorHAnsi"/>
          <w:sz w:val="20"/>
          <w:szCs w:val="20"/>
          <w:lang w:val="en"/>
        </w:rPr>
        <w:t xml:space="preserve">out </w:t>
      </w:r>
      <w:r>
        <w:rPr>
          <w:rFonts w:asciiTheme="majorHAnsi" w:hAnsiTheme="majorHAnsi"/>
          <w:sz w:val="20"/>
          <w:szCs w:val="20"/>
          <w:lang w:val="en"/>
        </w:rPr>
        <w:t xml:space="preserve">that several groups of relatives of the alleged victims filed claims for damages before the contentious-administrative jurisdiction based on the failure to support a number of the suits for direct reparations filed against the nation. </w:t>
      </w:r>
      <w:r w:rsidR="007E7A20">
        <w:rPr>
          <w:rFonts w:asciiTheme="majorHAnsi" w:hAnsiTheme="majorHAnsi"/>
          <w:sz w:val="20"/>
          <w:szCs w:val="20"/>
          <w:lang w:val="en"/>
        </w:rPr>
        <w:t xml:space="preserve">They </w:t>
      </w:r>
      <w:r>
        <w:rPr>
          <w:rFonts w:asciiTheme="majorHAnsi" w:hAnsiTheme="majorHAnsi"/>
          <w:sz w:val="20"/>
          <w:szCs w:val="20"/>
          <w:lang w:val="en"/>
        </w:rPr>
        <w:t>indicate that in 2003, the Meta Administrative Court denied the claims of the relatives of deceased driver Aldemar Manchola Ramos and injured investigator Fernando Sierra Zambrano and his family. The Administrative Court of Cundinamarca ruled likewise on the joindered claims of the families of deceased officials José Noel Nossa Díaz, Otto Ruiz Pérez, José Luis Castro Barón, Aldier Castro Merchán, Artidoro Vasallo, and Jorge Giovanny Alfonso Arévalo. The petitioner indicates that in 2005 and 2007, the Administrative Court of Meta found the nation liable for the death of prosecutor’s office investigator Luis Fernando Vargas Jaimes, and in 2007, it also found the nation liable for the death of prosecutor Carlos Degly Cortés. Lastly, the petitioner notes that the Council of State upheld the ruling on appeal on May 2014, although it does not specify in which process.</w:t>
      </w:r>
    </w:p>
    <w:p w14:paraId="678D6FD9" w14:textId="534F9208" w:rsidR="005A43B2" w:rsidRPr="00627045" w:rsidRDefault="008E1024" w:rsidP="005A43B2">
      <w:pPr>
        <w:pStyle w:val="ListParagraph"/>
        <w:spacing w:before="240" w:after="240"/>
        <w:jc w:val="both"/>
        <w:rPr>
          <w:rFonts w:asciiTheme="majorHAnsi" w:hAnsiTheme="majorHAnsi"/>
          <w:bCs/>
          <w:i/>
          <w:iCs/>
          <w:sz w:val="20"/>
          <w:szCs w:val="20"/>
        </w:rPr>
      </w:pPr>
      <w:r>
        <w:rPr>
          <w:rFonts w:asciiTheme="majorHAnsi" w:hAnsiTheme="majorHAnsi"/>
          <w:i/>
          <w:iCs/>
          <w:sz w:val="20"/>
          <w:szCs w:val="20"/>
          <w:lang w:val="en"/>
        </w:rPr>
        <w:t>The Colombian State</w:t>
      </w:r>
    </w:p>
    <w:p w14:paraId="147C99E4" w14:textId="12FFE9B0" w:rsidR="008364D5" w:rsidRPr="00627045" w:rsidRDefault="0058376C" w:rsidP="00325BFC">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For its part, the State </w:t>
      </w:r>
      <w:r w:rsidR="00D12E5A">
        <w:rPr>
          <w:rFonts w:asciiTheme="majorHAnsi" w:hAnsiTheme="majorHAnsi"/>
          <w:sz w:val="20"/>
          <w:szCs w:val="20"/>
          <w:lang w:val="en"/>
        </w:rPr>
        <w:t>contend</w:t>
      </w:r>
      <w:r>
        <w:rPr>
          <w:rFonts w:asciiTheme="majorHAnsi" w:hAnsiTheme="majorHAnsi"/>
          <w:sz w:val="20"/>
          <w:szCs w:val="20"/>
          <w:lang w:val="en"/>
        </w:rPr>
        <w:t>s that the petition is inadmissible due to the failure to exhaust the criminal investigation and direct reparations remedies, as well as due to the so-called “fourth international instance formula.”</w:t>
      </w:r>
    </w:p>
    <w:p w14:paraId="68A417B2" w14:textId="61E7C67D" w:rsidR="00B93D7F" w:rsidRPr="00627045" w:rsidRDefault="007F7C5A" w:rsidP="00325BFC">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Regarding exhaustion of the criminal investigation, it notes that the principle of subsidiarity and the requirement of prior exhaustion of domestic remedies are guarantees for the State that are designed to give it the opportunity to resolve the matter before the petitioners have recourse to the inter-American </w:t>
      </w:r>
      <w:r w:rsidR="00D8503F">
        <w:rPr>
          <w:rFonts w:asciiTheme="majorHAnsi" w:hAnsiTheme="majorHAnsi"/>
          <w:sz w:val="20"/>
          <w:szCs w:val="20"/>
          <w:lang w:val="en"/>
        </w:rPr>
        <w:t>S</w:t>
      </w:r>
      <w:r>
        <w:rPr>
          <w:rFonts w:asciiTheme="majorHAnsi" w:hAnsiTheme="majorHAnsi"/>
          <w:sz w:val="20"/>
          <w:szCs w:val="20"/>
          <w:lang w:val="en"/>
        </w:rPr>
        <w:t xml:space="preserve">ystem. Based on this understanding, the State points to the exception invoked by the petitioner of unjustified </w:t>
      </w:r>
      <w:r>
        <w:rPr>
          <w:rFonts w:asciiTheme="majorHAnsi" w:hAnsiTheme="majorHAnsi"/>
          <w:sz w:val="20"/>
          <w:szCs w:val="20"/>
          <w:lang w:val="en"/>
        </w:rPr>
        <w:lastRenderedPageBreak/>
        <w:t>delay in resolving the criminal investigation and argues that based on the elements of reasonable time, the time taken so far to conduct and complete the investigation into the San Carlos de Guaroa massacre is reasonable.</w:t>
      </w:r>
    </w:p>
    <w:p w14:paraId="612EFCE8" w14:textId="46EBD8F7" w:rsidR="009F357E" w:rsidRPr="00627045" w:rsidRDefault="00093C74" w:rsidP="00325BFC">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sz w:val="20"/>
          <w:szCs w:val="20"/>
          <w:lang w:val="en"/>
        </w:rPr>
        <w:t>The State argues that the criminal proceeding is highly complex due to the plurality of subjects under investigation and because the investigation has identified 12 suspects, with investigations into 6 of them dismissed because they did not participate in the facts or because the accused had passed away. It notes that since 2011, multiple inquiry procedures have been carried out with respect to Brigadier Uscátegui, leading to the issuance of charges against him on January 26, 2015, and the rejection of a request for the application of the statute of limitations to the criminal action. Subsequently, the proceedings against the brigadier general were referred to the Special Jurisdiction for Peace (hereinafter "JEP") on August 5, 2020.</w:t>
      </w:r>
    </w:p>
    <w:p w14:paraId="40DE0799" w14:textId="399BF7D2" w:rsidR="00C374E8" w:rsidRPr="00627045" w:rsidRDefault="00C374E8" w:rsidP="00325BFC">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The State therefore </w:t>
      </w:r>
      <w:r w:rsidR="00D67414">
        <w:rPr>
          <w:rFonts w:asciiTheme="majorHAnsi" w:hAnsiTheme="majorHAnsi"/>
          <w:sz w:val="20"/>
          <w:szCs w:val="20"/>
          <w:lang w:val="en"/>
        </w:rPr>
        <w:t>assert</w:t>
      </w:r>
      <w:r>
        <w:rPr>
          <w:rFonts w:asciiTheme="majorHAnsi" w:hAnsiTheme="majorHAnsi"/>
          <w:sz w:val="20"/>
          <w:szCs w:val="20"/>
          <w:lang w:val="en"/>
        </w:rPr>
        <w:t xml:space="preserve">s that there is an ongoing criminal proceeding that—given the complexity of the matter as a result of there being multiple victims and perpetrators—has implicated and ruled out many persons. It also argues that the conduct of the prosecutor's office has been diligent, as it has carried out multiple actions to obtain decisive outcomes, such as the closing of the preliminary investigations into several individuals. The Colombian State therefore </w:t>
      </w:r>
      <w:r w:rsidR="003F3A85">
        <w:rPr>
          <w:rFonts w:asciiTheme="majorHAnsi" w:hAnsiTheme="majorHAnsi"/>
          <w:sz w:val="20"/>
          <w:szCs w:val="20"/>
          <w:lang w:val="en"/>
        </w:rPr>
        <w:t>contend</w:t>
      </w:r>
      <w:r>
        <w:rPr>
          <w:rFonts w:asciiTheme="majorHAnsi" w:hAnsiTheme="majorHAnsi"/>
          <w:sz w:val="20"/>
          <w:szCs w:val="20"/>
          <w:lang w:val="en"/>
        </w:rPr>
        <w:t>s that there has not been an un</w:t>
      </w:r>
      <w:r w:rsidR="000325A7">
        <w:rPr>
          <w:rFonts w:asciiTheme="majorHAnsi" w:hAnsiTheme="majorHAnsi"/>
          <w:sz w:val="20"/>
          <w:szCs w:val="20"/>
          <w:lang w:val="en"/>
        </w:rPr>
        <w:t>warrant</w:t>
      </w:r>
      <w:r>
        <w:rPr>
          <w:rFonts w:asciiTheme="majorHAnsi" w:hAnsiTheme="majorHAnsi"/>
          <w:sz w:val="20"/>
          <w:szCs w:val="20"/>
          <w:lang w:val="en"/>
        </w:rPr>
        <w:t>ed delay in the criminal investigation of the case, and consequently, the petitioner has not exhausted the remedy.</w:t>
      </w:r>
    </w:p>
    <w:p w14:paraId="2C23CDA0" w14:textId="6F83CC3E" w:rsidR="00B5643B" w:rsidRPr="00627045" w:rsidRDefault="00D908E9" w:rsidP="00B5643B">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Additionally, Colombia </w:t>
      </w:r>
      <w:r w:rsidR="000325A7">
        <w:rPr>
          <w:rFonts w:asciiTheme="majorHAnsi" w:hAnsiTheme="majorHAnsi"/>
          <w:sz w:val="20"/>
          <w:szCs w:val="20"/>
          <w:lang w:val="en"/>
        </w:rPr>
        <w:t>hold</w:t>
      </w:r>
      <w:r>
        <w:rPr>
          <w:rFonts w:asciiTheme="majorHAnsi" w:hAnsiTheme="majorHAnsi"/>
          <w:sz w:val="20"/>
          <w:szCs w:val="20"/>
          <w:lang w:val="en"/>
        </w:rPr>
        <w:t xml:space="preserve">s that not all the alleged victims and their relatives have exhausted the suit for direct reparations remedy. Along these lines, it </w:t>
      </w:r>
      <w:r w:rsidR="000325A7">
        <w:rPr>
          <w:rFonts w:asciiTheme="majorHAnsi" w:hAnsiTheme="majorHAnsi"/>
          <w:sz w:val="20"/>
          <w:szCs w:val="20"/>
          <w:lang w:val="en"/>
        </w:rPr>
        <w:t>argue</w:t>
      </w:r>
      <w:r>
        <w:rPr>
          <w:rFonts w:asciiTheme="majorHAnsi" w:hAnsiTheme="majorHAnsi"/>
          <w:sz w:val="20"/>
          <w:szCs w:val="20"/>
          <w:lang w:val="en"/>
        </w:rPr>
        <w:t xml:space="preserve">s that this remedy is appropriate and effective for holding the nation liable for the actions or omissions of its authorities. It </w:t>
      </w:r>
      <w:r w:rsidR="0020516C">
        <w:rPr>
          <w:rFonts w:asciiTheme="majorHAnsi" w:hAnsiTheme="majorHAnsi"/>
          <w:sz w:val="20"/>
          <w:szCs w:val="20"/>
          <w:lang w:val="en"/>
        </w:rPr>
        <w:t>assert</w:t>
      </w:r>
      <w:r>
        <w:rPr>
          <w:rFonts w:asciiTheme="majorHAnsi" w:hAnsiTheme="majorHAnsi"/>
          <w:sz w:val="20"/>
          <w:szCs w:val="20"/>
          <w:lang w:val="en"/>
        </w:rPr>
        <w:t xml:space="preserve">s that within the framework of the contentious-administrative process, the Colombian Council of State uses the accusation of violation of the American Convention as a basis for its proceedings and applies the inter-American </w:t>
      </w:r>
      <w:r w:rsidR="00FA1EBB">
        <w:rPr>
          <w:rFonts w:asciiTheme="majorHAnsi" w:hAnsiTheme="majorHAnsi"/>
          <w:sz w:val="20"/>
          <w:szCs w:val="20"/>
          <w:lang w:val="en"/>
        </w:rPr>
        <w:t>S</w:t>
      </w:r>
      <w:r>
        <w:rPr>
          <w:rFonts w:asciiTheme="majorHAnsi" w:hAnsiTheme="majorHAnsi"/>
          <w:sz w:val="20"/>
          <w:szCs w:val="20"/>
          <w:lang w:val="en"/>
        </w:rPr>
        <w:t xml:space="preserve">ystem’s standards for full reparations. </w:t>
      </w:r>
    </w:p>
    <w:p w14:paraId="79D0A921" w14:textId="03DD73EA" w:rsidR="00D908E9" w:rsidRPr="00627045" w:rsidRDefault="00A36A7C" w:rsidP="005D5BDB">
      <w:pPr>
        <w:pStyle w:val="ListParagraph"/>
        <w:numPr>
          <w:ilvl w:val="0"/>
          <w:numId w:val="60"/>
        </w:numP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Lastly, the State argues that the petitioner seeks to use the IACHR as an international court of appeal, asking it to review decisions made in the contentious-administrative jurisdiction. For these purposes, it provides an overview of the contentious-administrative processes and notes that the Colombian State was found liable upon appeal and ordered to pay compensation to the relatives of the alleged victims. The State therefore asserts that once a human rights violation has been resolved and redressed internally, it is no longer necessary to </w:t>
      </w:r>
      <w:r w:rsidR="00095AC6">
        <w:rPr>
          <w:rFonts w:asciiTheme="majorHAnsi" w:hAnsiTheme="majorHAnsi"/>
          <w:sz w:val="20"/>
          <w:szCs w:val="20"/>
          <w:lang w:val="en"/>
        </w:rPr>
        <w:t>uphold</w:t>
      </w:r>
      <w:r>
        <w:rPr>
          <w:rFonts w:asciiTheme="majorHAnsi" w:hAnsiTheme="majorHAnsi"/>
          <w:sz w:val="20"/>
          <w:szCs w:val="20"/>
          <w:lang w:val="en"/>
        </w:rPr>
        <w:t xml:space="preserve"> it before international jurisdiction, as doing so infringes upon the subsidiary and complementary nature of the </w:t>
      </w:r>
      <w:r w:rsidR="000A78CD">
        <w:rPr>
          <w:rFonts w:asciiTheme="majorHAnsi" w:hAnsiTheme="majorHAnsi"/>
          <w:sz w:val="20"/>
          <w:szCs w:val="20"/>
          <w:lang w:val="en"/>
        </w:rPr>
        <w:t>I</w:t>
      </w:r>
      <w:r>
        <w:rPr>
          <w:rFonts w:asciiTheme="majorHAnsi" w:hAnsiTheme="majorHAnsi"/>
          <w:sz w:val="20"/>
          <w:szCs w:val="20"/>
          <w:lang w:val="en"/>
        </w:rPr>
        <w:t xml:space="preserve">nter-American </w:t>
      </w:r>
      <w:r w:rsidR="000A78CD">
        <w:rPr>
          <w:rFonts w:asciiTheme="majorHAnsi" w:hAnsiTheme="majorHAnsi"/>
          <w:sz w:val="20"/>
          <w:szCs w:val="20"/>
          <w:lang w:val="en"/>
        </w:rPr>
        <w:t>S</w:t>
      </w:r>
      <w:r>
        <w:rPr>
          <w:rFonts w:asciiTheme="majorHAnsi" w:hAnsiTheme="majorHAnsi"/>
          <w:sz w:val="20"/>
          <w:szCs w:val="20"/>
          <w:lang w:val="en"/>
        </w:rPr>
        <w:t xml:space="preserve">ystem for human rights protection. Colombia consequently </w:t>
      </w:r>
      <w:r w:rsidR="00C11B02">
        <w:rPr>
          <w:rFonts w:asciiTheme="majorHAnsi" w:hAnsiTheme="majorHAnsi"/>
          <w:sz w:val="20"/>
          <w:szCs w:val="20"/>
          <w:lang w:val="en"/>
        </w:rPr>
        <w:t>contend</w:t>
      </w:r>
      <w:r>
        <w:rPr>
          <w:rFonts w:asciiTheme="majorHAnsi" w:hAnsiTheme="majorHAnsi"/>
          <w:sz w:val="20"/>
          <w:szCs w:val="20"/>
          <w:lang w:val="en"/>
        </w:rPr>
        <w:t>s that in this case, the alleged violations were redressed through the granting of compensation to the relatives of the alleged victims in the contentious-administrative jurisdiction. Consequently, it asks that this petition be declared inadmissible.</w:t>
      </w:r>
    </w:p>
    <w:p w14:paraId="51F68C92" w14:textId="77777777" w:rsidR="003239B8" w:rsidRPr="00627045" w:rsidRDefault="003239B8" w:rsidP="003239B8">
      <w:pPr>
        <w:spacing w:before="240" w:after="240"/>
        <w:ind w:firstLine="720"/>
        <w:jc w:val="both"/>
        <w:rPr>
          <w:rFonts w:asciiTheme="majorHAnsi" w:hAnsiTheme="majorHAnsi"/>
          <w:sz w:val="20"/>
          <w:szCs w:val="20"/>
        </w:rPr>
      </w:pPr>
      <w:r>
        <w:rPr>
          <w:rFonts w:asciiTheme="majorHAnsi" w:hAnsiTheme="majorHAnsi"/>
          <w:b/>
          <w:bCs/>
          <w:color w:val="000000"/>
          <w:sz w:val="20"/>
          <w:szCs w:val="20"/>
          <w:u w:color="000000"/>
          <w:lang w:val="en"/>
        </w:rPr>
        <w:t>VI.</w:t>
      </w:r>
      <w:r>
        <w:rPr>
          <w:rFonts w:asciiTheme="majorHAnsi" w:hAnsiTheme="majorHAnsi"/>
          <w:b/>
          <w:bCs/>
          <w:color w:val="000000"/>
          <w:sz w:val="20"/>
          <w:szCs w:val="20"/>
          <w:u w:color="000000"/>
          <w:lang w:val="en"/>
        </w:rPr>
        <w:tab/>
      </w:r>
      <w:r>
        <w:rPr>
          <w:rFonts w:asciiTheme="majorHAnsi" w:hAnsiTheme="majorHAnsi"/>
          <w:b/>
          <w:bCs/>
          <w:sz w:val="20"/>
          <w:szCs w:val="20"/>
          <w:lang w:val="en"/>
        </w:rPr>
        <w:t>ANALYSIS OF EXHAUSTION OF DOMESTIC REMEDIES AND TIMELINESS OF THE PETITION</w:t>
      </w:r>
      <w:r>
        <w:rPr>
          <w:rFonts w:asciiTheme="majorHAnsi" w:hAnsiTheme="majorHAnsi"/>
          <w:b/>
          <w:bCs/>
          <w:color w:val="000000"/>
          <w:sz w:val="20"/>
          <w:szCs w:val="20"/>
          <w:u w:color="000000"/>
          <w:lang w:val="en"/>
        </w:rPr>
        <w:t xml:space="preserve"> </w:t>
      </w:r>
    </w:p>
    <w:p w14:paraId="2B76362A" w14:textId="7745DB3D" w:rsidR="00D92E0C" w:rsidRPr="00627045" w:rsidRDefault="00F47349" w:rsidP="003B161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hAnsiTheme="majorHAnsi"/>
          <w:sz w:val="20"/>
          <w:szCs w:val="20"/>
          <w:lang w:val="en"/>
        </w:rPr>
        <w:t>This petition deals with the massacre and attack committed by paramilitary group Los Buitragueños against the Judicial and Military Commission that was carrying out a search and seizure at the El Alcaraván farm on October 3, 1997. The petitioner raises the objection of un</w:t>
      </w:r>
      <w:r w:rsidR="009160B5">
        <w:rPr>
          <w:rFonts w:asciiTheme="majorHAnsi" w:hAnsiTheme="majorHAnsi"/>
          <w:sz w:val="20"/>
          <w:szCs w:val="20"/>
          <w:lang w:val="en"/>
        </w:rPr>
        <w:t>warrant</w:t>
      </w:r>
      <w:r>
        <w:rPr>
          <w:rFonts w:asciiTheme="majorHAnsi" w:hAnsiTheme="majorHAnsi"/>
          <w:sz w:val="20"/>
          <w:szCs w:val="20"/>
          <w:lang w:val="en"/>
        </w:rPr>
        <w:t xml:space="preserve">ed delay in resolving the criminal proceeding, while for its part, the State argues that there is no </w:t>
      </w:r>
      <w:r w:rsidR="009160B5">
        <w:rPr>
          <w:rFonts w:asciiTheme="majorHAnsi" w:hAnsiTheme="majorHAnsi"/>
          <w:sz w:val="20"/>
          <w:szCs w:val="20"/>
          <w:lang w:val="en"/>
        </w:rPr>
        <w:t>unwarrant</w:t>
      </w:r>
      <w:r>
        <w:rPr>
          <w:rFonts w:asciiTheme="majorHAnsi" w:hAnsiTheme="majorHAnsi"/>
          <w:sz w:val="20"/>
          <w:szCs w:val="20"/>
          <w:lang w:val="en"/>
        </w:rPr>
        <w:t xml:space="preserve">ed delay because the investigation has been carried out diligently and within a reasonable period of time, given the complexity of the case. It also </w:t>
      </w:r>
      <w:r w:rsidR="003544E1">
        <w:rPr>
          <w:rFonts w:asciiTheme="majorHAnsi" w:hAnsiTheme="majorHAnsi"/>
          <w:sz w:val="20"/>
          <w:szCs w:val="20"/>
          <w:lang w:val="en"/>
        </w:rPr>
        <w:t>assert</w:t>
      </w:r>
      <w:r>
        <w:rPr>
          <w:rFonts w:asciiTheme="majorHAnsi" w:hAnsiTheme="majorHAnsi"/>
          <w:sz w:val="20"/>
          <w:szCs w:val="20"/>
          <w:lang w:val="en"/>
        </w:rPr>
        <w:t>s that some family members and alleged victims did not exhaust the direct reparation</w:t>
      </w:r>
      <w:r w:rsidR="00EE3310">
        <w:rPr>
          <w:rFonts w:asciiTheme="majorHAnsi" w:hAnsiTheme="majorHAnsi"/>
          <w:sz w:val="20"/>
          <w:szCs w:val="20"/>
          <w:lang w:val="en"/>
        </w:rPr>
        <w:t xml:space="preserve"> lawsuit</w:t>
      </w:r>
      <w:r>
        <w:rPr>
          <w:rFonts w:asciiTheme="majorHAnsi" w:hAnsiTheme="majorHAnsi"/>
          <w:sz w:val="20"/>
          <w:szCs w:val="20"/>
          <w:lang w:val="en"/>
        </w:rPr>
        <w:t>.</w:t>
      </w:r>
    </w:p>
    <w:p w14:paraId="247B12E1" w14:textId="57863BD4" w:rsidR="003D1ADB" w:rsidRPr="00627045" w:rsidRDefault="003D1ADB" w:rsidP="003D1AD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hAnsiTheme="majorHAnsi"/>
          <w:sz w:val="20"/>
          <w:szCs w:val="20"/>
          <w:lang w:val="en"/>
        </w:rPr>
        <w:t>The IACHR recalls that, in cases of grave human rights violations that constitute crimes that are prosecutable ex officio, the domestic remedies that must be taken into account for the admissibility of a petition are those related to the criminal proceeding, as it is the most appropriate method for solving the crime, punishing those responsible, and laying the groundwork for redress of a pecuniary nature.</w:t>
      </w:r>
      <w:r w:rsidR="003B0909">
        <w:rPr>
          <w:rStyle w:val="FootnoteReference"/>
          <w:rFonts w:asciiTheme="majorHAnsi" w:hAnsiTheme="majorHAnsi"/>
          <w:sz w:val="20"/>
          <w:szCs w:val="20"/>
          <w:lang w:val="en"/>
        </w:rPr>
        <w:footnoteReference w:id="6"/>
      </w:r>
      <w:r>
        <w:rPr>
          <w:rFonts w:asciiTheme="majorHAnsi" w:hAnsiTheme="majorHAnsi"/>
          <w:sz w:val="20"/>
          <w:szCs w:val="20"/>
          <w:lang w:val="en"/>
        </w:rPr>
        <w:t xml:space="preserve"> Regarding the State’s arguments on failure to exhaust the direct reparation</w:t>
      </w:r>
      <w:r w:rsidR="00C34CCA">
        <w:rPr>
          <w:rFonts w:asciiTheme="majorHAnsi" w:hAnsiTheme="majorHAnsi"/>
          <w:sz w:val="20"/>
          <w:szCs w:val="20"/>
          <w:lang w:val="en"/>
        </w:rPr>
        <w:t xml:space="preserve"> lawsuit</w:t>
      </w:r>
      <w:r>
        <w:rPr>
          <w:rFonts w:asciiTheme="majorHAnsi" w:hAnsiTheme="majorHAnsi"/>
          <w:sz w:val="20"/>
          <w:szCs w:val="20"/>
          <w:lang w:val="en"/>
        </w:rPr>
        <w:t xml:space="preserve">, the Commission has repeatedly held that </w:t>
      </w:r>
      <w:r>
        <w:rPr>
          <w:rFonts w:asciiTheme="majorHAnsi" w:hAnsiTheme="majorHAnsi"/>
          <w:sz w:val="20"/>
          <w:szCs w:val="20"/>
          <w:lang w:val="en"/>
        </w:rPr>
        <w:lastRenderedPageBreak/>
        <w:t>it is not classified as a suitable remedy for the purposes of analyzing the admissibility of a claim of this nature,</w:t>
      </w:r>
      <w:r w:rsidR="00F33AE7">
        <w:rPr>
          <w:rStyle w:val="FootnoteReference"/>
          <w:rFonts w:asciiTheme="majorHAnsi" w:hAnsiTheme="majorHAnsi"/>
          <w:sz w:val="20"/>
          <w:szCs w:val="20"/>
          <w:lang w:val="en"/>
        </w:rPr>
        <w:footnoteReference w:id="7"/>
      </w:r>
      <w:r>
        <w:rPr>
          <w:rFonts w:asciiTheme="majorHAnsi" w:hAnsiTheme="majorHAnsi"/>
          <w:sz w:val="20"/>
          <w:szCs w:val="20"/>
          <w:lang w:val="en"/>
        </w:rPr>
        <w:t xml:space="preserve"> as the petitioner’s main allegation is of impunity and lack of access to justice for the alleged victims. In this regard, the Commission notes that 27 years have passed since the facts took place without the State having </w:t>
      </w:r>
      <w:r w:rsidR="00F33AE7">
        <w:rPr>
          <w:rFonts w:asciiTheme="majorHAnsi" w:hAnsiTheme="majorHAnsi"/>
          <w:sz w:val="20"/>
          <w:szCs w:val="20"/>
          <w:lang w:val="en"/>
        </w:rPr>
        <w:t>brought</w:t>
      </w:r>
      <w:r>
        <w:rPr>
          <w:rFonts w:asciiTheme="majorHAnsi" w:hAnsiTheme="majorHAnsi"/>
          <w:sz w:val="20"/>
          <w:szCs w:val="20"/>
          <w:lang w:val="en"/>
        </w:rPr>
        <w:t xml:space="preserve"> the two accused of the massacre to trial, nor having identified all of the perpetrators.</w:t>
      </w:r>
    </w:p>
    <w:p w14:paraId="208FFE48" w14:textId="7A9E88E2" w:rsidR="003D1ADB" w:rsidRPr="00627045" w:rsidRDefault="003D1ADB" w:rsidP="003D1ADB">
      <w:pPr>
        <w:pStyle w:val="ListParagraph"/>
        <w:numPr>
          <w:ilvl w:val="0"/>
          <w:numId w:val="60"/>
        </w:numPr>
        <w:spacing w:after="240"/>
        <w:ind w:left="0" w:firstLine="720"/>
        <w:jc w:val="both"/>
        <w:rPr>
          <w:rFonts w:asciiTheme="majorHAnsi" w:hAnsiTheme="majorHAnsi"/>
          <w:sz w:val="20"/>
          <w:szCs w:val="20"/>
        </w:rPr>
      </w:pPr>
      <w:r>
        <w:rPr>
          <w:rFonts w:asciiTheme="majorHAnsi" w:hAnsiTheme="majorHAnsi"/>
          <w:sz w:val="20"/>
          <w:szCs w:val="20"/>
          <w:lang w:val="en"/>
        </w:rPr>
        <w:t>The Commission has established that when specific elements of partial impunity are present in cases of serious human rights violations—as in the present case—the exception to exhaustion of domestic remedies provided for in Article 46(2)(c) of the American Convention is applicable.</w:t>
      </w:r>
      <w:r w:rsidR="00F33AE7">
        <w:rPr>
          <w:rStyle w:val="FootnoteReference"/>
          <w:rFonts w:asciiTheme="majorHAnsi" w:hAnsiTheme="majorHAnsi"/>
          <w:sz w:val="20"/>
          <w:szCs w:val="20"/>
          <w:lang w:val="en"/>
        </w:rPr>
        <w:footnoteReference w:id="8"/>
      </w:r>
      <w:r>
        <w:rPr>
          <w:rFonts w:asciiTheme="majorHAnsi" w:hAnsiTheme="majorHAnsi"/>
          <w:sz w:val="20"/>
          <w:szCs w:val="20"/>
          <w:lang w:val="en"/>
        </w:rPr>
        <w:t xml:space="preserve"> Furthermore, the IACHR finds that the facts put forward in this part of the petition remain valid due to the failure to punish all those responsible, and they were presented within a reasonable period of time, pursuant to the terms of Article 32(2) of the IACHR Rules of Procedure.</w:t>
      </w:r>
    </w:p>
    <w:p w14:paraId="673598AF" w14:textId="77777777" w:rsidR="003239B8" w:rsidRPr="00627045" w:rsidRDefault="003239B8" w:rsidP="003239B8">
      <w:pPr>
        <w:pStyle w:val="ListParagraph"/>
        <w:spacing w:before="240" w:after="240"/>
        <w:jc w:val="both"/>
        <w:rPr>
          <w:rFonts w:asciiTheme="majorHAnsi" w:hAnsiTheme="majorHAnsi"/>
          <w:b/>
          <w:sz w:val="20"/>
          <w:szCs w:val="20"/>
        </w:rPr>
      </w:pPr>
      <w:r>
        <w:rPr>
          <w:rFonts w:asciiTheme="majorHAnsi" w:hAnsiTheme="majorHAnsi"/>
          <w:b/>
          <w:bCs/>
          <w:sz w:val="20"/>
          <w:szCs w:val="20"/>
          <w:lang w:val="en"/>
        </w:rPr>
        <w:t>VII.</w:t>
      </w:r>
      <w:r>
        <w:rPr>
          <w:rFonts w:asciiTheme="majorHAnsi" w:hAnsiTheme="majorHAnsi"/>
          <w:b/>
          <w:bCs/>
          <w:sz w:val="20"/>
          <w:szCs w:val="20"/>
          <w:lang w:val="en"/>
        </w:rPr>
        <w:tab/>
        <w:t>ANALYSIS OF COLORABLE CLAIM</w:t>
      </w:r>
    </w:p>
    <w:p w14:paraId="67F90608" w14:textId="7BC52E15" w:rsidR="00F76881" w:rsidRPr="00627045" w:rsidRDefault="008C5E2D" w:rsidP="00F7688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hAnsiTheme="majorHAnsi"/>
          <w:sz w:val="20"/>
          <w:szCs w:val="20"/>
          <w:lang w:val="en"/>
        </w:rPr>
        <w:t>The Commission notes that this petition includes allegations that the State failed to provide the military support requested for the mission the prosecutor’s office was conducting in coordination with the military’s GAULA, the office of the attorney general, and the CTI, leading to a massacre in which 11 public servants died and 14 other persons were wounded. The State argues that the petitioner is seeking IACHR review for the judgments issued by the contentious-administrative jurisdiction, which had awarded compensation for some of the alleged victims.</w:t>
      </w:r>
    </w:p>
    <w:p w14:paraId="73A89E25" w14:textId="34A1E40E" w:rsidR="00F76881" w:rsidRPr="00627045" w:rsidRDefault="00F76881" w:rsidP="00F7688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hAnsiTheme="majorHAnsi"/>
          <w:sz w:val="20"/>
          <w:szCs w:val="20"/>
          <w:lang w:val="en"/>
        </w:rPr>
        <w:t>The Commission reiterates that for the purposes of admissibility, it must decide whether the alleged facts tend to establish a human rights violation, as stipulated in Article 47(b) of the American Convention, or whether the petition is “manifestly groundless” or “obviously out of order,” pursuant to Article 47(c). In this regard, the Commission observes that the allegations raised by the petitioners as a whole are not manifestly grounds and, to a large extent, refer to facts with which the organs of the inter-American system are already familiar. In this regard, the IACHR notes that the subject of this petition is</w:t>
      </w:r>
      <w:r w:rsidR="006A0E2B">
        <w:rPr>
          <w:rFonts w:asciiTheme="majorHAnsi" w:hAnsiTheme="majorHAnsi"/>
          <w:sz w:val="20"/>
          <w:szCs w:val="20"/>
          <w:lang w:val="en"/>
        </w:rPr>
        <w:t xml:space="preserve"> the</w:t>
      </w:r>
      <w:r>
        <w:rPr>
          <w:rFonts w:asciiTheme="majorHAnsi" w:hAnsiTheme="majorHAnsi"/>
          <w:sz w:val="20"/>
          <w:szCs w:val="20"/>
          <w:lang w:val="en"/>
        </w:rPr>
        <w:t xml:space="preserve"> State</w:t>
      </w:r>
      <w:r w:rsidR="006A0E2B">
        <w:rPr>
          <w:rFonts w:asciiTheme="majorHAnsi" w:hAnsiTheme="majorHAnsi"/>
          <w:sz w:val="20"/>
          <w:szCs w:val="20"/>
          <w:lang w:val="en"/>
        </w:rPr>
        <w:t>’s</w:t>
      </w:r>
      <w:r>
        <w:rPr>
          <w:rFonts w:asciiTheme="majorHAnsi" w:hAnsiTheme="majorHAnsi"/>
          <w:sz w:val="20"/>
          <w:szCs w:val="20"/>
          <w:lang w:val="en"/>
        </w:rPr>
        <w:t xml:space="preserve"> responsibility for the massacre and the impunity surrounding it. Contrary to what the State argues, the Commission will not review the contentious-administrative proceedings, unless specific violations of rights committed in the context of these proceedings are alleged.</w:t>
      </w:r>
    </w:p>
    <w:p w14:paraId="71B7A1BC" w14:textId="319C85CA" w:rsidR="00874C6E" w:rsidRPr="00627045" w:rsidRDefault="00F76881" w:rsidP="00A71DEC">
      <w:pPr>
        <w:pStyle w:val="ListParagraph"/>
        <w:numPr>
          <w:ilvl w:val="0"/>
          <w:numId w:val="60"/>
        </w:numPr>
        <w:spacing w:after="240"/>
        <w:ind w:left="0" w:firstLine="720"/>
        <w:jc w:val="both"/>
        <w:rPr>
          <w:rFonts w:asciiTheme="majorHAnsi" w:hAnsiTheme="majorHAnsi"/>
          <w:b/>
          <w:bCs/>
          <w:sz w:val="20"/>
          <w:szCs w:val="20"/>
        </w:rPr>
      </w:pPr>
      <w:r>
        <w:rPr>
          <w:rFonts w:asciiTheme="majorHAnsi" w:hAnsiTheme="majorHAnsi"/>
          <w:sz w:val="20"/>
          <w:szCs w:val="20"/>
          <w:lang w:val="en"/>
        </w:rPr>
        <w:t>In view of these considerations, and upon examination of the elements of fact and law set forth by the parties, the Commission concludes that the petitioners’ allegations are not manifestly groundless and must be examined on their merits, as should the facts alleged be found to be true, they could amount to violations of articles 4 (life), 5 (humane treatment), 8 (judicial guarantees), and 25 (judicial protection) to the detriment of the alleged victims identified in the annex to this report.</w:t>
      </w:r>
    </w:p>
    <w:p w14:paraId="445BF42E" w14:textId="4C78D2B1" w:rsidR="003239B8" w:rsidRPr="00627045" w:rsidRDefault="003239B8" w:rsidP="00084185">
      <w:pPr>
        <w:pStyle w:val="ListParagraph"/>
        <w:spacing w:after="24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sz w:val="20"/>
          <w:szCs w:val="20"/>
          <w:lang w:val="en"/>
        </w:rPr>
        <w:tab/>
      </w:r>
      <w:r>
        <w:rPr>
          <w:rFonts w:asciiTheme="majorHAnsi" w:hAnsiTheme="majorHAnsi"/>
          <w:b/>
          <w:bCs/>
          <w:sz w:val="20"/>
          <w:szCs w:val="20"/>
          <w:lang w:val="en"/>
        </w:rPr>
        <w:t>DECISION</w:t>
      </w:r>
    </w:p>
    <w:p w14:paraId="547DFF8E" w14:textId="4DB80F6E" w:rsidR="000419AD" w:rsidRPr="00627045" w:rsidRDefault="003239B8" w:rsidP="00897D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declare this petition admissible with regard to articles 4, 5, 8, and 25 of the American Convention, read in conjunction with its Article 1(1)</w:t>
      </w:r>
      <w:r w:rsidR="00F33AE7">
        <w:rPr>
          <w:rFonts w:asciiTheme="majorHAnsi" w:hAnsiTheme="majorHAnsi"/>
          <w:sz w:val="20"/>
          <w:szCs w:val="20"/>
          <w:lang w:val="en"/>
        </w:rPr>
        <w:t>.</w:t>
      </w:r>
    </w:p>
    <w:p w14:paraId="00C1D3B7" w14:textId="2EE7D294" w:rsidR="00A15E9A" w:rsidRPr="0031356C"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notify the parties of this decision; continue with analysis of the merits of the matter; and publish this decision and include it in its Annual Report to the General Assembly of the Organization of American States.</w:t>
      </w:r>
    </w:p>
    <w:p w14:paraId="69F9C7FD" w14:textId="77777777" w:rsidR="0031356C" w:rsidRPr="00627045" w:rsidRDefault="0031356C" w:rsidP="003135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14:paraId="71C18FEC" w14:textId="77777777" w:rsidR="0033407D" w:rsidRDefault="0033407D" w:rsidP="001575CE">
      <w:pPr>
        <w:suppressAutoHyphens/>
        <w:ind w:firstLine="720"/>
        <w:jc w:val="both"/>
        <w:rPr>
          <w:rFonts w:ascii="Cambria" w:hAnsi="Cambria"/>
          <w:spacing w:val="-2"/>
          <w:sz w:val="20"/>
        </w:rPr>
      </w:pPr>
    </w:p>
    <w:p w14:paraId="4B3EDFC3" w14:textId="100910F0" w:rsidR="001575CE" w:rsidRDefault="001575CE" w:rsidP="001575CE">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1</w:t>
      </w:r>
      <w:r w:rsidR="0033407D">
        <w:rPr>
          <w:rFonts w:ascii="Cambria" w:hAnsi="Cambria"/>
          <w:spacing w:val="-2"/>
          <w:sz w:val="20"/>
        </w:rPr>
        <w:t>6</w:t>
      </w:r>
      <w:r w:rsidRPr="00936A70">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May,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2273D232" w14:textId="77777777" w:rsidR="00A15E9A" w:rsidRPr="00C919CC" w:rsidRDefault="00A15E9A">
      <w:pPr>
        <w:rPr>
          <w:rFonts w:asciiTheme="majorHAnsi" w:hAnsiTheme="majorHAnsi"/>
          <w:sz w:val="20"/>
          <w:szCs w:val="20"/>
        </w:rPr>
      </w:pPr>
      <w:r>
        <w:rPr>
          <w:rFonts w:asciiTheme="majorHAnsi" w:hAnsiTheme="majorHAnsi"/>
          <w:sz w:val="20"/>
          <w:szCs w:val="20"/>
          <w:lang w:val="en"/>
        </w:rPr>
        <w:br w:type="page"/>
      </w:r>
    </w:p>
    <w:p w14:paraId="50539783" w14:textId="77777777" w:rsidR="00A15E9A" w:rsidRDefault="00A15E9A" w:rsidP="00A15E9A">
      <w:pPr>
        <w:jc w:val="center"/>
        <w:rPr>
          <w:rFonts w:asciiTheme="majorHAnsi" w:hAnsiTheme="majorHAnsi"/>
          <w:b/>
          <w:bCs/>
          <w:sz w:val="20"/>
          <w:szCs w:val="20"/>
        </w:rPr>
      </w:pPr>
      <w:r>
        <w:rPr>
          <w:rFonts w:asciiTheme="majorHAnsi" w:hAnsiTheme="majorHAnsi"/>
          <w:b/>
          <w:bCs/>
          <w:sz w:val="20"/>
          <w:szCs w:val="20"/>
          <w:lang w:val="en"/>
        </w:rPr>
        <w:lastRenderedPageBreak/>
        <w:t>ANNEX</w:t>
      </w:r>
    </w:p>
    <w:p w14:paraId="31E86424" w14:textId="77777777" w:rsidR="00A15E9A" w:rsidRDefault="00A15E9A" w:rsidP="00A15E9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rPr>
      </w:pPr>
      <w:r>
        <w:rPr>
          <w:rFonts w:asciiTheme="majorHAnsi" w:hAnsiTheme="majorHAnsi"/>
          <w:b/>
          <w:bCs/>
          <w:sz w:val="20"/>
          <w:szCs w:val="20"/>
          <w:lang w:val="en"/>
        </w:rPr>
        <w:t>List of Alleged Victims</w:t>
      </w:r>
    </w:p>
    <w:p w14:paraId="3B5693F7" w14:textId="77777777" w:rsidR="00A15E9A" w:rsidRDefault="00A15E9A" w:rsidP="00A15E9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rPr>
      </w:pPr>
    </w:p>
    <w:p w14:paraId="535A1A9A" w14:textId="22F4DF7F" w:rsidR="009D6F4A" w:rsidRDefault="009D6F4A" w:rsidP="009D6F4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Officials of the Attorney General's Office:</w:t>
      </w:r>
    </w:p>
    <w:p w14:paraId="57C6B25B" w14:textId="77777777" w:rsidR="009D6F4A" w:rsidRPr="009D6F4A" w:rsidRDefault="009D6F4A" w:rsidP="009D6F4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0A694162" w14:textId="57C47481" w:rsidR="009D6F4A" w:rsidRPr="009D6F4A" w:rsidRDefault="009D6F4A" w:rsidP="009D6F4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Carlos Degly Reyes, GAULA deputy prosecutor (deceased).</w:t>
      </w:r>
    </w:p>
    <w:p w14:paraId="0ABD1AC5" w14:textId="38C43221" w:rsidR="009D6F4A" w:rsidRPr="00C0190A" w:rsidRDefault="009D6F4A" w:rsidP="007845D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C0190A">
        <w:rPr>
          <w:rFonts w:asciiTheme="majorHAnsi" w:hAnsiTheme="majorHAnsi"/>
          <w:sz w:val="20"/>
          <w:szCs w:val="20"/>
          <w:lang w:val="pt-BR"/>
        </w:rPr>
        <w:t>José Noel Nossa Díaz, assistant (deceased).</w:t>
      </w:r>
    </w:p>
    <w:p w14:paraId="629C79D3" w14:textId="59C3E0FF" w:rsidR="009D6F4A" w:rsidRPr="009D6F4A" w:rsidRDefault="009D6F4A" w:rsidP="00167A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Aldemar Manchola Ramos, driver (deceased).</w:t>
      </w:r>
    </w:p>
    <w:p w14:paraId="7E2DF952" w14:textId="747D2F98" w:rsidR="009D6F4A" w:rsidRPr="009D6F4A" w:rsidRDefault="009D6F4A" w:rsidP="00AD502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Mario Alberto Carmona Vanegas, forensics technician (wounded).</w:t>
      </w:r>
    </w:p>
    <w:p w14:paraId="64342BB3" w14:textId="3B91E90B" w:rsidR="009D6F4A" w:rsidRPr="009D6F4A" w:rsidRDefault="009D6F4A" w:rsidP="002F26C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José Feliciano Romero Bejarano, investigator (wounded).</w:t>
      </w:r>
    </w:p>
    <w:p w14:paraId="367508CF" w14:textId="188C8E33" w:rsidR="009D6F4A" w:rsidRPr="009D6F4A" w:rsidRDefault="009D6F4A" w:rsidP="004B2D76">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Jovi Celso Hernández Angulo, driver (injured).</w:t>
      </w:r>
    </w:p>
    <w:p w14:paraId="6D8167CC" w14:textId="13C1DA11" w:rsidR="009D6F4A" w:rsidRPr="009D6F4A" w:rsidRDefault="009D6F4A" w:rsidP="00883C8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Luis Fernando Sierra Zambrano, investigator (wounded).</w:t>
      </w:r>
    </w:p>
    <w:p w14:paraId="5CC905E3" w14:textId="0C27EE0A" w:rsidR="009D6F4A" w:rsidRPr="009D6F4A" w:rsidRDefault="009D6F4A" w:rsidP="007B627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Luis Fernando Vargas Jaimes, GAULA investigator (deceased).</w:t>
      </w:r>
    </w:p>
    <w:p w14:paraId="3E7A44CD" w14:textId="4AE2CAAF" w:rsidR="009D6F4A" w:rsidRPr="009D6F4A" w:rsidRDefault="009D6F4A" w:rsidP="00C8335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Maivi Esperanza Acosta Daza, judicial assistant (injured).</w:t>
      </w:r>
    </w:p>
    <w:p w14:paraId="10375AF9" w14:textId="5FC43D9C" w:rsidR="009D6F4A" w:rsidRPr="00170CD4" w:rsidRDefault="009D6F4A" w:rsidP="00F4532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Carlos Arturo Barrera, investigator (survivor).</w:t>
      </w:r>
    </w:p>
    <w:p w14:paraId="4494A616" w14:textId="496250CA" w:rsidR="009D6F4A" w:rsidRPr="00170CD4" w:rsidRDefault="009D6F4A" w:rsidP="002977A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José Reinaldo Díaz Martínez, Gaula investigator (survivor).</w:t>
      </w:r>
    </w:p>
    <w:p w14:paraId="6A6FC02A" w14:textId="64165751" w:rsidR="009D6F4A" w:rsidRPr="00B35AD1" w:rsidRDefault="009D6F4A" w:rsidP="00493DA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Luis Eduardo Jurado, investigator (survivor).</w:t>
      </w:r>
    </w:p>
    <w:p w14:paraId="12601DC8" w14:textId="643E2BB4" w:rsidR="009D6F4A" w:rsidRPr="00C0190A" w:rsidRDefault="009D6F4A" w:rsidP="0001619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S"/>
        </w:rPr>
      </w:pPr>
      <w:r w:rsidRPr="00C0190A">
        <w:rPr>
          <w:rFonts w:asciiTheme="majorHAnsi" w:hAnsiTheme="majorHAnsi"/>
          <w:sz w:val="20"/>
          <w:szCs w:val="20"/>
          <w:lang w:val="es-US"/>
        </w:rPr>
        <w:t>Juan Carlos Guevara, investigator (survivor).</w:t>
      </w:r>
    </w:p>
    <w:p w14:paraId="767AD9DB" w14:textId="0F5B6F6A" w:rsidR="009D6F4A" w:rsidRPr="00C0190A" w:rsidRDefault="009D6F4A" w:rsidP="000842D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S"/>
        </w:rPr>
      </w:pPr>
      <w:r w:rsidRPr="00C0190A">
        <w:rPr>
          <w:rFonts w:asciiTheme="majorHAnsi" w:hAnsiTheme="majorHAnsi"/>
          <w:sz w:val="20"/>
          <w:szCs w:val="20"/>
          <w:lang w:val="es-US"/>
        </w:rPr>
        <w:t>Oscar León Rojas, investigator (survivor).</w:t>
      </w:r>
    </w:p>
    <w:p w14:paraId="66F17EFF" w14:textId="539D438B" w:rsidR="009D6F4A" w:rsidRPr="00C0190A" w:rsidRDefault="009D6F4A" w:rsidP="009B204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fr-CA"/>
        </w:rPr>
      </w:pPr>
      <w:r w:rsidRPr="00C0190A">
        <w:rPr>
          <w:rFonts w:asciiTheme="majorHAnsi" w:hAnsiTheme="majorHAnsi"/>
          <w:sz w:val="20"/>
          <w:szCs w:val="20"/>
          <w:lang w:val="fr-CA"/>
        </w:rPr>
        <w:t>José Uriel Sánchez Rosas, forensics technician (survivor).</w:t>
      </w:r>
    </w:p>
    <w:p w14:paraId="34374F41" w14:textId="0A0B02B3" w:rsidR="009D6F4A" w:rsidRPr="009D6F4A" w:rsidRDefault="009D6F4A" w:rsidP="009D6F4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Wilson Riveros, Gaula investigator (survivor).</w:t>
      </w:r>
    </w:p>
    <w:p w14:paraId="0EE87F89" w14:textId="7259D5D2" w:rsidR="009D6F4A" w:rsidRPr="00B35AD1" w:rsidRDefault="00B35AD1" w:rsidP="00823BA5">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Oscar Ovidio Campo Estrada, Gaula investigator (survivor).</w:t>
      </w:r>
    </w:p>
    <w:p w14:paraId="48B03231" w14:textId="30A7C877" w:rsidR="009D6F4A" w:rsidRPr="00DA7BB3" w:rsidRDefault="009D6F4A" w:rsidP="00CD25D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Jairo Adolfo Calderón Mora, investigator (wounded).</w:t>
      </w:r>
    </w:p>
    <w:p w14:paraId="0CAB0E1C" w14:textId="3A3F8BFD" w:rsidR="009D6F4A" w:rsidRPr="00C0190A" w:rsidRDefault="009D6F4A" w:rsidP="00D05EA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S"/>
        </w:rPr>
      </w:pPr>
      <w:r w:rsidRPr="00C0190A">
        <w:rPr>
          <w:rFonts w:asciiTheme="majorHAnsi" w:hAnsiTheme="majorHAnsi"/>
          <w:sz w:val="20"/>
          <w:szCs w:val="20"/>
          <w:lang w:val="es-US"/>
        </w:rPr>
        <w:t>José Antonio León, investigator (survivor).</w:t>
      </w:r>
    </w:p>
    <w:p w14:paraId="201BEDD4" w14:textId="449AB16D" w:rsidR="009D6F4A" w:rsidRDefault="009D6F4A" w:rsidP="006516C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Javier Alfonso Amaya Urrego, investigator (survivor).</w:t>
      </w:r>
    </w:p>
    <w:p w14:paraId="4B63EFE4" w14:textId="77777777" w:rsidR="00DA7BB3" w:rsidRPr="00DA7BB3" w:rsidRDefault="00DA7BB3" w:rsidP="00DA7BB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6A7FB30F" w14:textId="3FE62F63" w:rsidR="009D6F4A" w:rsidRDefault="009D6F4A" w:rsidP="00DA7BB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 xml:space="preserve">Officials of the </w:t>
      </w:r>
      <w:r w:rsidR="00E917E1">
        <w:rPr>
          <w:rFonts w:asciiTheme="majorHAnsi" w:hAnsiTheme="majorHAnsi"/>
          <w:sz w:val="20"/>
          <w:szCs w:val="20"/>
          <w:lang w:val="en"/>
        </w:rPr>
        <w:t xml:space="preserve">Disciplinary Prosecutor </w:t>
      </w:r>
      <w:r>
        <w:rPr>
          <w:rFonts w:asciiTheme="majorHAnsi" w:hAnsiTheme="majorHAnsi"/>
          <w:sz w:val="20"/>
          <w:szCs w:val="20"/>
          <w:lang w:val="en"/>
        </w:rPr>
        <w:t>General's Office:</w:t>
      </w:r>
    </w:p>
    <w:p w14:paraId="7B686BBD" w14:textId="77777777" w:rsidR="00DA7BB3" w:rsidRPr="00DA7BB3" w:rsidRDefault="00DA7BB3" w:rsidP="00DA7BB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2CBBDDE7" w14:textId="07B68158" w:rsidR="009D6F4A" w:rsidRPr="004C1E1C" w:rsidRDefault="009D6F4A" w:rsidP="005F3A6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Jorge Alberto Socotá, Judicial Oversight Attorney (survivor).</w:t>
      </w:r>
    </w:p>
    <w:p w14:paraId="38212849" w14:textId="77777777" w:rsidR="004C1E1C" w:rsidRPr="00E14C97" w:rsidRDefault="004C1E1C" w:rsidP="004C1E1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3E3CADE0" w14:textId="521ECE7B" w:rsidR="009D6F4A" w:rsidRDefault="009D6F4A" w:rsidP="004C1E1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DAS officials, delegated to the army's GAULA:</w:t>
      </w:r>
    </w:p>
    <w:p w14:paraId="470121DA" w14:textId="77777777" w:rsidR="006802FB" w:rsidRPr="004C1E1C" w:rsidRDefault="006802FB" w:rsidP="004C1E1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3CBB9C4B" w14:textId="6C88795B" w:rsidR="009D6F4A" w:rsidRPr="00745E38" w:rsidRDefault="009D6F4A" w:rsidP="00D55FC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Otto Ruiz Pérez, detective (deceased).</w:t>
      </w:r>
    </w:p>
    <w:p w14:paraId="30BC5445" w14:textId="5EF2F4C6" w:rsidR="009D6F4A" w:rsidRPr="00C0190A" w:rsidRDefault="009D6F4A" w:rsidP="0022444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C0190A">
        <w:rPr>
          <w:rFonts w:asciiTheme="majorHAnsi" w:hAnsiTheme="majorHAnsi"/>
          <w:sz w:val="20"/>
          <w:szCs w:val="20"/>
          <w:lang w:val="pt-BR"/>
        </w:rPr>
        <w:t>Wilber Pulido Alba, detective (survivor).</w:t>
      </w:r>
    </w:p>
    <w:p w14:paraId="63B45B99" w14:textId="2BBAD3C2" w:rsidR="009D6F4A" w:rsidRPr="00C0190A" w:rsidRDefault="009D6F4A" w:rsidP="004C552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C0190A">
        <w:rPr>
          <w:rFonts w:asciiTheme="majorHAnsi" w:hAnsiTheme="majorHAnsi"/>
          <w:sz w:val="20"/>
          <w:szCs w:val="20"/>
          <w:lang w:val="pt-BR"/>
        </w:rPr>
        <w:t>José Quevedo Acosta, detective (survivor).</w:t>
      </w:r>
    </w:p>
    <w:p w14:paraId="51014D85" w14:textId="6A39D928" w:rsidR="009D6F4A" w:rsidRPr="006B2C0D" w:rsidRDefault="009D6F4A" w:rsidP="00EE1CE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Numar Efren Arboleda Ibarra, detective (survivor).</w:t>
      </w:r>
    </w:p>
    <w:p w14:paraId="3B332975" w14:textId="4BB49C12" w:rsidR="009D6F4A" w:rsidRPr="006B2C0D" w:rsidRDefault="009D6F4A" w:rsidP="003E3EE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Juan Carlos Cruz Giraldo, detective (survivor).</w:t>
      </w:r>
    </w:p>
    <w:p w14:paraId="52AFC0C9" w14:textId="6EBA6863" w:rsidR="009D6F4A" w:rsidRPr="006B2C0D" w:rsidRDefault="009D6F4A" w:rsidP="00C927F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Luis Hernando Perdomo Castro, detective (survivor).</w:t>
      </w:r>
    </w:p>
    <w:p w14:paraId="363D6916" w14:textId="77777777" w:rsidR="006B2C0D" w:rsidRDefault="006B2C0D" w:rsidP="006B2C0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3B83BE54" w14:textId="49040A9F" w:rsidR="009D6F4A" w:rsidRDefault="0029670C" w:rsidP="006B2C0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Officials with the National Army’s GAULA:</w:t>
      </w:r>
    </w:p>
    <w:p w14:paraId="10BF8022" w14:textId="77777777" w:rsidR="006B2C0D" w:rsidRPr="006B2C0D" w:rsidRDefault="006B2C0D" w:rsidP="006B2C0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064296B4" w14:textId="1DA93895" w:rsidR="009D6F4A" w:rsidRPr="003464DF" w:rsidRDefault="009D6F4A" w:rsidP="002A06D9">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Major Juan Carlos Figueroa Escobar, head of Army GAULA (deceased).</w:t>
      </w:r>
    </w:p>
    <w:p w14:paraId="63600AE5" w14:textId="087B812E" w:rsidR="009D6F4A" w:rsidRPr="003464DF" w:rsidRDefault="009D6F4A" w:rsidP="006052F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Sergeant Otoniel Amaya López, (wounded).</w:t>
      </w:r>
    </w:p>
    <w:p w14:paraId="07B9C9CA" w14:textId="65416FF7" w:rsidR="009D6F4A" w:rsidRPr="003464DF" w:rsidRDefault="009D6F4A" w:rsidP="00CA1929">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Sergeant Ricardo Ruperto Guarnizo Cruz (deceased).</w:t>
      </w:r>
    </w:p>
    <w:p w14:paraId="4790D531" w14:textId="194095E4" w:rsidR="009D6F4A" w:rsidRPr="00085BCA" w:rsidRDefault="009D6F4A" w:rsidP="002F207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Corporal Fredy Guillermo Pinilla Correa (wounded).</w:t>
      </w:r>
    </w:p>
    <w:p w14:paraId="04DD6303" w14:textId="0508382A" w:rsidR="009D6F4A" w:rsidRPr="00085BCA" w:rsidRDefault="009D6F4A" w:rsidP="009D6AA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Private José Campos Hernández (wounded).</w:t>
      </w:r>
    </w:p>
    <w:p w14:paraId="02DF4078" w14:textId="305D7742" w:rsidR="009D6F4A" w:rsidRPr="00085BCA" w:rsidRDefault="009D6F4A" w:rsidP="00164C5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Private Misael Gómez (wounded).</w:t>
      </w:r>
    </w:p>
    <w:p w14:paraId="2B647802" w14:textId="2ED3C35C" w:rsidR="009D6F4A" w:rsidRPr="00085BCA" w:rsidRDefault="009D6F4A" w:rsidP="00AC1AE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Private Jimmy Jacobo Noguera (wounded).</w:t>
      </w:r>
    </w:p>
    <w:p w14:paraId="2ABD5B83" w14:textId="49D2405E" w:rsidR="009D6F4A" w:rsidRPr="00085BCA" w:rsidRDefault="009D6F4A" w:rsidP="00A622B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Private Jhonny Hernán Pacheco (wounded).</w:t>
      </w:r>
    </w:p>
    <w:p w14:paraId="1E6B8F2E" w14:textId="5DAE1D31" w:rsidR="009D6F4A" w:rsidRPr="00085BCA" w:rsidRDefault="009D6F4A" w:rsidP="00CE1B7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Private Augusto Espinosa (wounded).</w:t>
      </w:r>
    </w:p>
    <w:p w14:paraId="46E37C35" w14:textId="2CEFBA21" w:rsidR="009D6F4A" w:rsidRPr="00085BCA" w:rsidRDefault="009D6F4A" w:rsidP="0088748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Private Gilberto Melo (wounded).</w:t>
      </w:r>
    </w:p>
    <w:p w14:paraId="294852E2" w14:textId="31490D68" w:rsidR="009D6F4A" w:rsidRPr="00085BCA" w:rsidRDefault="009D6F4A" w:rsidP="001F772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Private Jorge Giovanny Alfonso Arévalo (deceased).</w:t>
      </w:r>
    </w:p>
    <w:p w14:paraId="65A5F7BB" w14:textId="50BFFEF3" w:rsidR="009D6F4A" w:rsidRPr="009D6F4A" w:rsidRDefault="009D6F4A" w:rsidP="009D6F4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Private Artidoro Vasallo (deceased).</w:t>
      </w:r>
    </w:p>
    <w:p w14:paraId="6E5B7B9C" w14:textId="3736441E" w:rsidR="009D6F4A" w:rsidRPr="009D6F4A" w:rsidRDefault="009D6F4A" w:rsidP="009D6F4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Private Aldier Castro Merchán (deceased).</w:t>
      </w:r>
    </w:p>
    <w:p w14:paraId="7643F6E3" w14:textId="46FC66C6" w:rsidR="009D6F4A" w:rsidRPr="00C0190A" w:rsidRDefault="009D6F4A" w:rsidP="009D6F4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S"/>
        </w:rPr>
      </w:pPr>
      <w:r w:rsidRPr="00C0190A">
        <w:rPr>
          <w:rFonts w:asciiTheme="majorHAnsi" w:hAnsiTheme="majorHAnsi"/>
          <w:sz w:val="20"/>
          <w:szCs w:val="20"/>
          <w:lang w:val="es-US"/>
        </w:rPr>
        <w:t>Private José Luis Castro Barón (deceased).</w:t>
      </w:r>
    </w:p>
    <w:p w14:paraId="336A95BE" w14:textId="1AB0CC45" w:rsidR="009D6F4A" w:rsidRPr="00C0190A" w:rsidRDefault="009D6F4A" w:rsidP="00F90DA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fr-CA"/>
        </w:rPr>
      </w:pPr>
      <w:r w:rsidRPr="00C0190A">
        <w:rPr>
          <w:rFonts w:asciiTheme="majorHAnsi" w:hAnsiTheme="majorHAnsi"/>
          <w:sz w:val="20"/>
          <w:szCs w:val="20"/>
          <w:lang w:val="fr-CA"/>
        </w:rPr>
        <w:lastRenderedPageBreak/>
        <w:t>Lieutenant Rafael Andrés Rave Rojas (survivor).</w:t>
      </w:r>
    </w:p>
    <w:p w14:paraId="4D96B7CF" w14:textId="10D17A6A" w:rsidR="009D6F4A" w:rsidRPr="00D76567" w:rsidRDefault="009D6F4A" w:rsidP="007172A0">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Private Jairo Raúl Velásquez Chisica (survivor).</w:t>
      </w:r>
    </w:p>
    <w:p w14:paraId="307A21FC" w14:textId="4D8D5BAB" w:rsidR="009D6F4A" w:rsidRPr="00C0190A" w:rsidRDefault="009D6F4A" w:rsidP="00662CE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S"/>
        </w:rPr>
      </w:pPr>
      <w:r w:rsidRPr="00C0190A">
        <w:rPr>
          <w:rFonts w:asciiTheme="majorHAnsi" w:hAnsiTheme="majorHAnsi"/>
          <w:sz w:val="20"/>
          <w:szCs w:val="20"/>
          <w:lang w:val="es-US"/>
        </w:rPr>
        <w:t>Sergeant Gonzalo Israel Callejas Castro (survivor).</w:t>
      </w:r>
    </w:p>
    <w:p w14:paraId="1FA8ED3A" w14:textId="17F19E22" w:rsidR="002B5548" w:rsidRPr="003F7EAC" w:rsidRDefault="002B5548" w:rsidP="002B554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 xml:space="preserve">Private José Eduardo Peña Rodríguez </w:t>
      </w:r>
      <w:bookmarkStart w:id="2" w:name="_Hlk161656116"/>
      <w:r>
        <w:rPr>
          <w:rFonts w:asciiTheme="majorHAnsi" w:hAnsiTheme="majorHAnsi"/>
          <w:sz w:val="20"/>
          <w:szCs w:val="20"/>
          <w:lang w:val="en"/>
        </w:rPr>
        <w:t>(survivor)</w:t>
      </w:r>
      <w:bookmarkEnd w:id="2"/>
      <w:r>
        <w:rPr>
          <w:rFonts w:asciiTheme="majorHAnsi" w:hAnsiTheme="majorHAnsi"/>
          <w:sz w:val="20"/>
          <w:szCs w:val="20"/>
          <w:lang w:val="en"/>
        </w:rPr>
        <w:t>.</w:t>
      </w:r>
    </w:p>
    <w:p w14:paraId="2EA18018" w14:textId="3CD9C662" w:rsidR="002B5548" w:rsidRPr="002B5548" w:rsidRDefault="002B5548" w:rsidP="002B554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Jorge Alberto Guarnizo Gonzales (survivor).</w:t>
      </w:r>
    </w:p>
    <w:p w14:paraId="63F0B63A" w14:textId="052EF280" w:rsidR="002B5548" w:rsidRPr="002B5548" w:rsidRDefault="002B5548" w:rsidP="002B554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Javier Alfonso Amaya Urrego (survivor).</w:t>
      </w:r>
    </w:p>
    <w:p w14:paraId="1217902C" w14:textId="7525D657" w:rsidR="002B5548" w:rsidRPr="002B5548" w:rsidRDefault="002B5548" w:rsidP="002B554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Private Víctor Argumedo Díaz (survivor).</w:t>
      </w:r>
    </w:p>
    <w:p w14:paraId="1AFD7F78" w14:textId="5ADE6517" w:rsidR="002B5548" w:rsidRPr="00C0190A" w:rsidRDefault="002B5548" w:rsidP="00AD1B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C0190A">
        <w:rPr>
          <w:rFonts w:asciiTheme="majorHAnsi" w:hAnsiTheme="majorHAnsi"/>
          <w:sz w:val="20"/>
          <w:szCs w:val="20"/>
          <w:lang w:val="pt-BR"/>
        </w:rPr>
        <w:t>Private Norberto Vera Méndez (survivor).</w:t>
      </w:r>
    </w:p>
    <w:p w14:paraId="1F78C5FE" w14:textId="32349708" w:rsidR="002B5548" w:rsidRPr="00C0190A" w:rsidRDefault="002B5548" w:rsidP="002B554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C0190A">
        <w:rPr>
          <w:rFonts w:asciiTheme="majorHAnsi" w:hAnsiTheme="majorHAnsi"/>
          <w:sz w:val="20"/>
          <w:szCs w:val="20"/>
          <w:lang w:val="pt-BR"/>
        </w:rPr>
        <w:t>Private Arturo Samboni Pérez (survivor).</w:t>
      </w:r>
    </w:p>
    <w:p w14:paraId="3D69B13A" w14:textId="0122F53B" w:rsidR="002B5548" w:rsidRPr="00C0190A" w:rsidRDefault="002B5548" w:rsidP="002B554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C0190A">
        <w:rPr>
          <w:rFonts w:asciiTheme="majorHAnsi" w:hAnsiTheme="majorHAnsi"/>
          <w:sz w:val="20"/>
          <w:szCs w:val="20"/>
          <w:lang w:val="pt-BR"/>
        </w:rPr>
        <w:t>Private Jairo Sánchez Ariza (survivor).</w:t>
      </w:r>
    </w:p>
    <w:p w14:paraId="2D675A2C" w14:textId="7BEEED35" w:rsidR="002B5548" w:rsidRPr="002B5548" w:rsidRDefault="002B5548" w:rsidP="002B554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Private Aduenar Pérez (survivor).</w:t>
      </w:r>
    </w:p>
    <w:p w14:paraId="7BFF5C5C" w14:textId="4797AEB4" w:rsidR="002B5548" w:rsidRPr="003F7EAC" w:rsidRDefault="002B5548" w:rsidP="008A79B5">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lang w:val="en"/>
        </w:rPr>
        <w:t>William Alexander Moreno Gonzales (survivor).</w:t>
      </w:r>
    </w:p>
    <w:p w14:paraId="758E574A" w14:textId="1833678D" w:rsidR="009D6F4A" w:rsidRPr="00C0190A" w:rsidRDefault="002B5548" w:rsidP="003A31FC">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S"/>
        </w:rPr>
      </w:pPr>
      <w:r w:rsidRPr="00C0190A">
        <w:rPr>
          <w:rFonts w:asciiTheme="majorHAnsi" w:hAnsiTheme="majorHAnsi"/>
          <w:sz w:val="20"/>
          <w:szCs w:val="20"/>
          <w:lang w:val="es-US"/>
        </w:rPr>
        <w:t>Germán Darío Pinilla Jiménez (survivor).</w:t>
      </w:r>
      <w:r w:rsidR="00C0190A">
        <w:rPr>
          <w:rFonts w:asciiTheme="majorHAnsi" w:hAnsiTheme="majorHAnsi"/>
          <w:noProof/>
          <w:sz w:val="20"/>
          <w:szCs w:val="20"/>
          <w:lang w:val="es-US"/>
        </w:rPr>
        <mc:AlternateContent>
          <mc:Choice Requires="wps">
            <w:drawing>
              <wp:anchor distT="0" distB="0" distL="114300" distR="114300" simplePos="0" relativeHeight="251683840" behindDoc="0" locked="1" layoutInCell="1" allowOverlap="1" wp14:anchorId="07184087" wp14:editId="7E4A5031">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43AC453" w14:textId="46DB8348" w:rsidR="00C0190A" w:rsidRPr="00C0190A" w:rsidRDefault="00C0190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184087" id="Text Box 2" o:spid="_x0000_s1033" type="#_x0000_t202" style="position:absolute;left:0;text-align:left;margin-left:-7.2pt;margin-top:10in;width:266.4pt;height:18pt;z-index:2516838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V6DqLXECAADkBAAADgAAAAAAAAAA&#10;AAAAAAAuAgAAZHJzL2Uyb0RvYy54bWxQSwECLQAUAAYACAAAACEAoiJjj94AAAANAQAADwAAAAAA&#10;AAAAAAAAAADLBAAAZHJzL2Rvd25yZXYueG1sUEsFBgAAAAAEAAQA8wAAANYFAAAAAA==&#10;" filled="f" stroked="f">
                <v:stroke joinstyle="round"/>
                <v:textbox>
                  <w:txbxContent>
                    <w:p w14:paraId="743AC453" w14:textId="46DB8348" w:rsidR="00C0190A" w:rsidRPr="00C0190A" w:rsidRDefault="00C0190A">
                      <w:pPr>
                        <w:rPr>
                          <w:sz w:val="18"/>
                        </w:rPr>
                      </w:pPr>
                    </w:p>
                  </w:txbxContent>
                </v:textbox>
                <w10:wrap anchory="page"/>
                <w10:anchorlock/>
              </v:shape>
            </w:pict>
          </mc:Fallback>
        </mc:AlternateContent>
      </w:r>
    </w:p>
    <w:sectPr w:rsidR="009D6F4A" w:rsidRPr="00C0190A" w:rsidSect="000B1975">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6C8C" w14:textId="77777777" w:rsidR="000B1975" w:rsidRDefault="000B1975">
      <w:r>
        <w:separator/>
      </w:r>
    </w:p>
  </w:endnote>
  <w:endnote w:type="continuationSeparator" w:id="0">
    <w:p w14:paraId="174D8E83" w14:textId="77777777" w:rsidR="000B1975" w:rsidRDefault="000B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Pr>
            <w:sz w:val="16"/>
            <w:szCs w:val="22"/>
            <w:lang w:val="en"/>
          </w:rPr>
          <w:fldChar w:fldCharType="begin"/>
        </w:r>
        <w:r>
          <w:rPr>
            <w:sz w:val="16"/>
            <w:szCs w:val="22"/>
            <w:lang w:val="en"/>
          </w:rPr>
          <w:instrText xml:space="preserve"> PAGE   \* MERGEFORMAT </w:instrText>
        </w:r>
        <w:r>
          <w:rPr>
            <w:sz w:val="16"/>
            <w:szCs w:val="22"/>
            <w:lang w:val="en"/>
          </w:rPr>
          <w:fldChar w:fldCharType="separate"/>
        </w:r>
        <w:r>
          <w:rPr>
            <w:noProof/>
            <w:sz w:val="16"/>
            <w:szCs w:val="22"/>
            <w:lang w:val="en"/>
          </w:rPr>
          <w:t>2</w:t>
        </w:r>
        <w:r>
          <w:rPr>
            <w:noProof/>
            <w:sz w:val="16"/>
            <w:szCs w:val="22"/>
            <w:lang w:val="en"/>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DC89" w14:textId="77777777" w:rsidR="000B1975" w:rsidRPr="000F35ED" w:rsidRDefault="000B1975">
      <w:pPr>
        <w:rPr>
          <w:rFonts w:asciiTheme="majorHAnsi" w:hAnsiTheme="majorHAnsi"/>
          <w:sz w:val="16"/>
          <w:szCs w:val="16"/>
        </w:rPr>
      </w:pPr>
      <w:r>
        <w:rPr>
          <w:rFonts w:asciiTheme="majorHAnsi" w:hAnsiTheme="majorHAnsi"/>
          <w:sz w:val="16"/>
          <w:szCs w:val="16"/>
        </w:rPr>
        <w:separator/>
      </w:r>
    </w:p>
  </w:footnote>
  <w:footnote w:type="continuationSeparator" w:id="0">
    <w:p w14:paraId="4F421DE5" w14:textId="77777777" w:rsidR="000B1975" w:rsidRPr="000F35ED" w:rsidRDefault="000B1975" w:rsidP="000F35ED">
      <w:pPr>
        <w:rPr>
          <w:rFonts w:asciiTheme="majorHAnsi" w:hAnsiTheme="majorHAnsi"/>
          <w:sz w:val="16"/>
          <w:szCs w:val="16"/>
        </w:rPr>
      </w:pPr>
      <w:r>
        <w:rPr>
          <w:rFonts w:asciiTheme="majorHAnsi" w:hAnsiTheme="majorHAnsi"/>
          <w:sz w:val="16"/>
          <w:szCs w:val="16"/>
        </w:rPr>
        <w:separator/>
      </w:r>
    </w:p>
    <w:p w14:paraId="3681ACFD" w14:textId="77777777" w:rsidR="000B1975" w:rsidRPr="000F35ED" w:rsidRDefault="000B1975" w:rsidP="000F35ED">
      <w:pPr>
        <w:pStyle w:val="Footer"/>
        <w:rPr>
          <w:rFonts w:asciiTheme="majorHAnsi" w:hAnsiTheme="majorHAnsi"/>
          <w:sz w:val="16"/>
          <w:szCs w:val="16"/>
        </w:rPr>
      </w:pPr>
      <w:r>
        <w:rPr>
          <w:rFonts w:asciiTheme="majorHAnsi" w:hAnsiTheme="majorHAnsi"/>
          <w:sz w:val="16"/>
          <w:szCs w:val="16"/>
        </w:rPr>
        <w:t>[… continuación]</w:t>
      </w:r>
    </w:p>
  </w:footnote>
  <w:footnote w:type="continuationNotice" w:id="1">
    <w:p w14:paraId="5FB1ED6E" w14:textId="77777777" w:rsidR="000B1975" w:rsidRPr="000F35ED" w:rsidRDefault="000B1975" w:rsidP="000F35ED">
      <w:pPr>
        <w:jc w:val="right"/>
        <w:rPr>
          <w:rFonts w:asciiTheme="majorHAnsi" w:hAnsiTheme="majorHAnsi"/>
          <w:sz w:val="16"/>
          <w:szCs w:val="16"/>
        </w:rPr>
      </w:pPr>
      <w:r>
        <w:rPr>
          <w:rFonts w:asciiTheme="majorHAnsi" w:hAnsiTheme="majorHAnsi"/>
          <w:sz w:val="16"/>
          <w:szCs w:val="16"/>
        </w:rPr>
        <w:t>[continúa…]</w:t>
      </w:r>
    </w:p>
  </w:footnote>
  <w:footnote w:id="2">
    <w:p w14:paraId="1F437A7A" w14:textId="17A4E800" w:rsidR="00C26940" w:rsidRDefault="00C26940" w:rsidP="00F33AE7">
      <w:pPr>
        <w:pStyle w:val="FootnoteText"/>
        <w:ind w:firstLine="720"/>
        <w:jc w:val="both"/>
      </w:pPr>
      <w:r>
        <w:rPr>
          <w:rStyle w:val="FootnoteReference"/>
        </w:rPr>
        <w:footnoteRef/>
      </w:r>
      <w:r>
        <w:t xml:space="preserve"> </w:t>
      </w:r>
      <w:r w:rsidRPr="00C26940">
        <w:rPr>
          <w:rFonts w:asciiTheme="majorHAnsi" w:hAnsiTheme="majorHAnsi"/>
          <w:sz w:val="16"/>
          <w:szCs w:val="16"/>
        </w:rPr>
        <w:t>The petitioner identifies 54 persons as alleged victims; their names are included in the annex to this report.</w:t>
      </w:r>
      <w:r>
        <w:t xml:space="preserve"> </w:t>
      </w:r>
    </w:p>
  </w:footnote>
  <w:footnote w:id="3">
    <w:p w14:paraId="78D509D5" w14:textId="56727211" w:rsidR="00477DAB" w:rsidRDefault="00477DAB" w:rsidP="00F33AE7">
      <w:pPr>
        <w:pStyle w:val="FootnoteText"/>
        <w:ind w:firstLine="720"/>
        <w:jc w:val="both"/>
      </w:pPr>
      <w:r>
        <w:rPr>
          <w:rStyle w:val="FootnoteReference"/>
        </w:rPr>
        <w:footnoteRef/>
      </w:r>
      <w:r>
        <w:t xml:space="preserve"> </w:t>
      </w:r>
      <w:r w:rsidRPr="00C26940">
        <w:rPr>
          <w:rFonts w:asciiTheme="majorHAnsi" w:hAnsiTheme="majorHAnsi"/>
          <w:sz w:val="16"/>
          <w:szCs w:val="16"/>
        </w:rPr>
        <w:t>Commissioner Carlos Bernal Pulido, of Colombian nationality, did not participate in the deliberations nor in the decision in this matter, in keeping with the provisions of Article 17(2)(a) of the Rules of Procedure of the Commission.</w:t>
      </w:r>
      <w:r>
        <w:t xml:space="preserve"> </w:t>
      </w:r>
    </w:p>
  </w:footnote>
  <w:footnote w:id="4">
    <w:p w14:paraId="2B3D3250" w14:textId="718289DC" w:rsidR="00477DAB" w:rsidRDefault="00477DAB" w:rsidP="00F33AE7">
      <w:pPr>
        <w:pStyle w:val="FootnoteText"/>
        <w:ind w:firstLine="720"/>
        <w:jc w:val="both"/>
      </w:pPr>
      <w:r>
        <w:rPr>
          <w:rStyle w:val="FootnoteReference"/>
        </w:rPr>
        <w:footnoteRef/>
      </w:r>
      <w:r>
        <w:t xml:space="preserve"> </w:t>
      </w:r>
      <w:r w:rsidRPr="00477DAB">
        <w:rPr>
          <w:rFonts w:asciiTheme="majorHAnsi" w:hAnsiTheme="majorHAnsi"/>
          <w:sz w:val="16"/>
          <w:szCs w:val="16"/>
        </w:rPr>
        <w:t>Hereinafter "the American Convention" or "the Convention."</w:t>
      </w:r>
      <w:r>
        <w:t xml:space="preserve"> </w:t>
      </w:r>
    </w:p>
  </w:footnote>
  <w:footnote w:id="5">
    <w:p w14:paraId="7BCF00A9" w14:textId="5B35B0B6" w:rsidR="00477DAB" w:rsidRDefault="00477DAB" w:rsidP="00F33AE7">
      <w:pPr>
        <w:pStyle w:val="FootnoteText"/>
        <w:ind w:firstLine="720"/>
        <w:jc w:val="both"/>
      </w:pPr>
      <w:r>
        <w:rPr>
          <w:rStyle w:val="FootnoteReference"/>
        </w:rPr>
        <w:footnoteRef/>
      </w:r>
      <w:r>
        <w:t xml:space="preserve"> </w:t>
      </w:r>
      <w:r w:rsidRPr="00477DAB">
        <w:rPr>
          <w:rFonts w:asciiTheme="majorHAnsi" w:hAnsiTheme="majorHAnsi"/>
          <w:sz w:val="16"/>
          <w:szCs w:val="16"/>
        </w:rPr>
        <w:t>The observations presented by each party were duly transmitted to the opposing party.</w:t>
      </w:r>
      <w:r>
        <w:t xml:space="preserve"> </w:t>
      </w:r>
    </w:p>
  </w:footnote>
  <w:footnote w:id="6">
    <w:p w14:paraId="3692D25E" w14:textId="1044DA10" w:rsidR="003B0909" w:rsidRDefault="003B0909" w:rsidP="00F33AE7">
      <w:pPr>
        <w:pStyle w:val="FootnoteText"/>
        <w:ind w:firstLine="720"/>
        <w:jc w:val="both"/>
      </w:pPr>
      <w:r>
        <w:rPr>
          <w:rStyle w:val="FootnoteReference"/>
        </w:rPr>
        <w:footnoteRef/>
      </w:r>
      <w:r>
        <w:t xml:space="preserve"> </w:t>
      </w:r>
      <w:r w:rsidRPr="003B0909">
        <w:rPr>
          <w:rFonts w:asciiTheme="majorHAnsi" w:hAnsiTheme="majorHAnsi"/>
          <w:sz w:val="16"/>
          <w:szCs w:val="16"/>
        </w:rPr>
        <w:t xml:space="preserve">IACHR Report No. 131/21. Petition 784-10. Admissibility. </w:t>
      </w:r>
      <w:r w:rsidRPr="00F33AE7">
        <w:rPr>
          <w:rFonts w:asciiTheme="majorHAnsi" w:hAnsiTheme="majorHAnsi"/>
          <w:sz w:val="16"/>
          <w:szCs w:val="16"/>
        </w:rPr>
        <w:t>Wilson Mario Taborda Cardona and family. Colombia. May 13, 2021, para. 12.</w:t>
      </w:r>
    </w:p>
  </w:footnote>
  <w:footnote w:id="7">
    <w:p w14:paraId="53B21546" w14:textId="59580505" w:rsidR="00F33AE7" w:rsidRDefault="00F33AE7" w:rsidP="00F33AE7">
      <w:pPr>
        <w:pStyle w:val="FootnoteText"/>
        <w:ind w:firstLine="720"/>
        <w:jc w:val="both"/>
      </w:pPr>
      <w:r>
        <w:rPr>
          <w:rStyle w:val="FootnoteReference"/>
        </w:rPr>
        <w:footnoteRef/>
      </w:r>
      <w:r>
        <w:t xml:space="preserve"> </w:t>
      </w:r>
      <w:r w:rsidRPr="00F33AE7">
        <w:rPr>
          <w:rFonts w:asciiTheme="majorHAnsi" w:hAnsiTheme="majorHAnsi"/>
          <w:sz w:val="16"/>
          <w:szCs w:val="16"/>
        </w:rPr>
        <w:t xml:space="preserve">IACHR Report No. 157/21. Petition 1753-11. Admissibility. Julio Daniel Chaparro Hurtado, Jorge Enrique Torres Navas and families. Colombia. July 28, 2021, para. 12; IACHR, Report No. 72/16. Petition 694-06. Admissibility. Onofre Antonio de La Hoz Montero and Family. </w:t>
      </w:r>
      <w:r w:rsidRPr="00CC6C6B">
        <w:rPr>
          <w:rFonts w:asciiTheme="majorHAnsi" w:hAnsiTheme="majorHAnsi"/>
          <w:sz w:val="16"/>
          <w:szCs w:val="16"/>
        </w:rPr>
        <w:t>Colombia. December 6, 2016, para. 32.</w:t>
      </w:r>
      <w:r>
        <w:t xml:space="preserve"> </w:t>
      </w:r>
    </w:p>
  </w:footnote>
  <w:footnote w:id="8">
    <w:p w14:paraId="2EF63C1D" w14:textId="4C46FC79" w:rsidR="00F33AE7" w:rsidRDefault="00F33AE7" w:rsidP="00F33AE7">
      <w:pPr>
        <w:pStyle w:val="FootnoteText"/>
        <w:ind w:firstLine="720"/>
        <w:jc w:val="both"/>
      </w:pPr>
      <w:r>
        <w:rPr>
          <w:rStyle w:val="FootnoteReference"/>
        </w:rPr>
        <w:footnoteRef/>
      </w:r>
      <w:r>
        <w:t xml:space="preserve"> </w:t>
      </w:r>
      <w:r w:rsidRPr="00F33AE7">
        <w:rPr>
          <w:rFonts w:asciiTheme="majorHAnsi" w:hAnsiTheme="majorHAnsi"/>
          <w:sz w:val="16"/>
          <w:szCs w:val="16"/>
        </w:rPr>
        <w:t xml:space="preserve">IACHR Report No. 129/21. Petition 894-09. Admissibility. </w:t>
      </w:r>
      <w:r w:rsidRPr="00CC6C6B">
        <w:rPr>
          <w:rFonts w:asciiTheme="majorHAnsi" w:hAnsiTheme="majorHAnsi"/>
          <w:sz w:val="16"/>
          <w:szCs w:val="16"/>
        </w:rPr>
        <w:t xml:space="preserve">Alcira Pérez Melgar et al. Peru. June 14, 2021, para. 9; IACHR Report 240/20. Petition 399-11. Admissibility. Over José Quila et al. (Rejoya Massacre). Colombia. September 6, 2020, para. 12; Report No. 129/18, Petition 1256/07, Admissibility. Cornelio Antonio Isaza Arango et al. </w:t>
      </w:r>
      <w:r w:rsidRPr="00F33AE7">
        <w:rPr>
          <w:rFonts w:asciiTheme="majorHAnsi" w:hAnsiTheme="majorHAnsi"/>
          <w:sz w:val="16"/>
          <w:szCs w:val="16"/>
        </w:rPr>
        <w:t xml:space="preserve">(Massacre of the El Retiro Sawmills), Colombia, November 20, 2018; and Report 104/18, Petition 221/08, Admissibility. </w:t>
      </w:r>
      <w:r w:rsidRPr="00973571">
        <w:rPr>
          <w:rFonts w:asciiTheme="majorHAnsi" w:hAnsiTheme="majorHAnsi"/>
          <w:sz w:val="16"/>
          <w:szCs w:val="16"/>
          <w:lang w:val="es-CO"/>
        </w:rPr>
        <w:t>Delis Palacio Herrón et al. (Bojayá Massacre), Colombia, September 20, 2018.</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369BD7E3" w:rsidR="00A50FCF" w:rsidRDefault="006F3A6C" w:rsidP="00A50FCF">
    <w:pPr>
      <w:pStyle w:val="Header"/>
      <w:tabs>
        <w:tab w:val="clear" w:pos="4320"/>
        <w:tab w:val="clear" w:pos="8640"/>
      </w:tabs>
      <w:jc w:val="center"/>
      <w:rPr>
        <w:sz w:val="22"/>
        <w:szCs w:val="22"/>
      </w:rPr>
    </w:pPr>
    <w:r>
      <w:rPr>
        <w:noProof/>
        <w:sz w:val="22"/>
        <w:szCs w:val="22"/>
      </w:rPr>
      <w:drawing>
        <wp:inline distT="0" distB="0" distL="0" distR="0" wp14:anchorId="13B5F051" wp14:editId="45D1068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BB2C52" w14:textId="77777777" w:rsidR="00040C3A" w:rsidRPr="00EC7D62" w:rsidRDefault="008F4AE8" w:rsidP="00A50FCF">
    <w:pPr>
      <w:pStyle w:val="Header"/>
      <w:tabs>
        <w:tab w:val="clear" w:pos="4320"/>
        <w:tab w:val="clear" w:pos="8640"/>
      </w:tabs>
      <w:jc w:val="center"/>
      <w:rPr>
        <w:sz w:val="22"/>
        <w:szCs w:val="22"/>
      </w:rPr>
    </w:pPr>
    <w:r>
      <w:rPr>
        <w:sz w:val="22"/>
        <w:szCs w:val="22"/>
        <w:lang w:val="en"/>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A3B9A"/>
    <w:multiLevelType w:val="hybridMultilevel"/>
    <w:tmpl w:val="9DBE22B0"/>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458008E"/>
    <w:multiLevelType w:val="hybridMultilevel"/>
    <w:tmpl w:val="71AAED88"/>
    <w:lvl w:ilvl="0" w:tplc="241A510C">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493B61"/>
    <w:multiLevelType w:val="hybridMultilevel"/>
    <w:tmpl w:val="80C81D0E"/>
    <w:lvl w:ilvl="0" w:tplc="E7B4952C">
      <w:start w:val="1"/>
      <w:numFmt w:val="decimal"/>
      <w:lvlText w:val="%1."/>
      <w:lvlJc w:val="left"/>
      <w:pPr>
        <w:ind w:left="-252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C270B1"/>
    <w:multiLevelType w:val="hybridMultilevel"/>
    <w:tmpl w:val="F49A7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5"/>
  </w:num>
  <w:num w:numId="2" w16cid:durableId="2119787510">
    <w:abstractNumId w:val="7"/>
  </w:num>
  <w:num w:numId="3" w16cid:durableId="1836843260">
    <w:abstractNumId w:val="57"/>
  </w:num>
  <w:num w:numId="4" w16cid:durableId="2018339747">
    <w:abstractNumId w:val="24"/>
  </w:num>
  <w:num w:numId="5" w16cid:durableId="368341374">
    <w:abstractNumId w:val="51"/>
  </w:num>
  <w:num w:numId="6" w16cid:durableId="1074009954">
    <w:abstractNumId w:val="31"/>
  </w:num>
  <w:num w:numId="7" w16cid:durableId="1545016965">
    <w:abstractNumId w:val="8"/>
  </w:num>
  <w:num w:numId="8" w16cid:durableId="1165165820">
    <w:abstractNumId w:val="20"/>
  </w:num>
  <w:num w:numId="9" w16cid:durableId="751703382">
    <w:abstractNumId w:val="46"/>
  </w:num>
  <w:num w:numId="10" w16cid:durableId="1010065578">
    <w:abstractNumId w:val="0"/>
  </w:num>
  <w:num w:numId="11" w16cid:durableId="599265313">
    <w:abstractNumId w:val="41"/>
  </w:num>
  <w:num w:numId="12" w16cid:durableId="1094203649">
    <w:abstractNumId w:val="42"/>
  </w:num>
  <w:num w:numId="13" w16cid:durableId="393090155">
    <w:abstractNumId w:val="48"/>
  </w:num>
  <w:num w:numId="14" w16cid:durableId="1198931784">
    <w:abstractNumId w:val="1"/>
  </w:num>
  <w:num w:numId="15" w16cid:durableId="2056192837">
    <w:abstractNumId w:val="4"/>
  </w:num>
  <w:num w:numId="16" w16cid:durableId="1680153077">
    <w:abstractNumId w:val="9"/>
  </w:num>
  <w:num w:numId="17" w16cid:durableId="1790273299">
    <w:abstractNumId w:val="10"/>
  </w:num>
  <w:num w:numId="18" w16cid:durableId="2128112662">
    <w:abstractNumId w:val="11"/>
  </w:num>
  <w:num w:numId="19" w16cid:durableId="7217114">
    <w:abstractNumId w:val="12"/>
  </w:num>
  <w:num w:numId="20" w16cid:durableId="1858302314">
    <w:abstractNumId w:val="13"/>
  </w:num>
  <w:num w:numId="21" w16cid:durableId="1702172520">
    <w:abstractNumId w:val="14"/>
  </w:num>
  <w:num w:numId="22" w16cid:durableId="1700861223">
    <w:abstractNumId w:val="15"/>
  </w:num>
  <w:num w:numId="23" w16cid:durableId="1025131478">
    <w:abstractNumId w:val="17"/>
  </w:num>
  <w:num w:numId="24" w16cid:durableId="477890311">
    <w:abstractNumId w:val="18"/>
  </w:num>
  <w:num w:numId="25" w16cid:durableId="1967855925">
    <w:abstractNumId w:val="21"/>
  </w:num>
  <w:num w:numId="26" w16cid:durableId="998537020">
    <w:abstractNumId w:val="22"/>
  </w:num>
  <w:num w:numId="27" w16cid:durableId="642350406">
    <w:abstractNumId w:val="25"/>
  </w:num>
  <w:num w:numId="28" w16cid:durableId="1616718871">
    <w:abstractNumId w:val="26"/>
  </w:num>
  <w:num w:numId="29" w16cid:durableId="1530486082">
    <w:abstractNumId w:val="27"/>
  </w:num>
  <w:num w:numId="30" w16cid:durableId="802582976">
    <w:abstractNumId w:val="29"/>
  </w:num>
  <w:num w:numId="31" w16cid:durableId="287396833">
    <w:abstractNumId w:val="32"/>
  </w:num>
  <w:num w:numId="32" w16cid:durableId="535119711">
    <w:abstractNumId w:val="33"/>
  </w:num>
  <w:num w:numId="33" w16cid:durableId="2078547275">
    <w:abstractNumId w:val="34"/>
  </w:num>
  <w:num w:numId="34" w16cid:durableId="1703632659">
    <w:abstractNumId w:val="35"/>
  </w:num>
  <w:num w:numId="35" w16cid:durableId="1264075887">
    <w:abstractNumId w:val="36"/>
  </w:num>
  <w:num w:numId="36" w16cid:durableId="1752315512">
    <w:abstractNumId w:val="37"/>
  </w:num>
  <w:num w:numId="37" w16cid:durableId="1536426887">
    <w:abstractNumId w:val="38"/>
  </w:num>
  <w:num w:numId="38" w16cid:durableId="949702590">
    <w:abstractNumId w:val="39"/>
  </w:num>
  <w:num w:numId="39" w16cid:durableId="115605940">
    <w:abstractNumId w:val="43"/>
  </w:num>
  <w:num w:numId="40" w16cid:durableId="2008750670">
    <w:abstractNumId w:val="44"/>
  </w:num>
  <w:num w:numId="41" w16cid:durableId="579801488">
    <w:abstractNumId w:val="50"/>
  </w:num>
  <w:num w:numId="42" w16cid:durableId="910309630">
    <w:abstractNumId w:val="52"/>
  </w:num>
  <w:num w:numId="43" w16cid:durableId="221603102">
    <w:abstractNumId w:val="53"/>
  </w:num>
  <w:num w:numId="44" w16cid:durableId="779104680">
    <w:abstractNumId w:val="55"/>
  </w:num>
  <w:num w:numId="45" w16cid:durableId="1713115894">
    <w:abstractNumId w:val="56"/>
  </w:num>
  <w:num w:numId="46" w16cid:durableId="1387951419">
    <w:abstractNumId w:val="58"/>
  </w:num>
  <w:num w:numId="47" w16cid:durableId="648510715">
    <w:abstractNumId w:val="59"/>
  </w:num>
  <w:num w:numId="48" w16cid:durableId="1806315575">
    <w:abstractNumId w:val="60"/>
  </w:num>
  <w:num w:numId="49" w16cid:durableId="1682586011">
    <w:abstractNumId w:val="63"/>
  </w:num>
  <w:num w:numId="50" w16cid:durableId="2025083079">
    <w:abstractNumId w:val="64"/>
  </w:num>
  <w:num w:numId="51" w16cid:durableId="530342504">
    <w:abstractNumId w:val="23"/>
  </w:num>
  <w:num w:numId="52" w16cid:durableId="955454438">
    <w:abstractNumId w:val="45"/>
  </w:num>
  <w:num w:numId="53" w16cid:durableId="586957926">
    <w:abstractNumId w:val="54"/>
  </w:num>
  <w:num w:numId="54" w16cid:durableId="1498381482">
    <w:abstractNumId w:val="49"/>
  </w:num>
  <w:num w:numId="55" w16cid:durableId="1930308158">
    <w:abstractNumId w:val="47"/>
  </w:num>
  <w:num w:numId="56" w16cid:durableId="71783945">
    <w:abstractNumId w:val="30"/>
  </w:num>
  <w:num w:numId="57" w16cid:durableId="327246300">
    <w:abstractNumId w:val="28"/>
  </w:num>
  <w:num w:numId="58" w16cid:durableId="823088829">
    <w:abstractNumId w:val="40"/>
  </w:num>
  <w:num w:numId="59" w16cid:durableId="178545844">
    <w:abstractNumId w:val="6"/>
  </w:num>
  <w:num w:numId="60" w16cid:durableId="166218650">
    <w:abstractNumId w:val="16"/>
  </w:num>
  <w:num w:numId="61" w16cid:durableId="2067682195">
    <w:abstractNumId w:val="2"/>
  </w:num>
  <w:num w:numId="62" w16cid:durableId="167595866">
    <w:abstractNumId w:val="61"/>
  </w:num>
  <w:num w:numId="63" w16cid:durableId="846941894">
    <w:abstractNumId w:val="3"/>
  </w:num>
  <w:num w:numId="64" w16cid:durableId="665792024">
    <w:abstractNumId w:val="62"/>
  </w:num>
  <w:num w:numId="65" w16cid:durableId="1078864585">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3793"/>
    <w:rsid w:val="000165B7"/>
    <w:rsid w:val="0001788C"/>
    <w:rsid w:val="00023CED"/>
    <w:rsid w:val="000325A7"/>
    <w:rsid w:val="000337EF"/>
    <w:rsid w:val="00040C3A"/>
    <w:rsid w:val="000419AD"/>
    <w:rsid w:val="000433C9"/>
    <w:rsid w:val="00044D23"/>
    <w:rsid w:val="00054E90"/>
    <w:rsid w:val="000561A8"/>
    <w:rsid w:val="00057ECD"/>
    <w:rsid w:val="00071174"/>
    <w:rsid w:val="000716C5"/>
    <w:rsid w:val="00075E23"/>
    <w:rsid w:val="00084185"/>
    <w:rsid w:val="00085BCA"/>
    <w:rsid w:val="00091F4E"/>
    <w:rsid w:val="0009344A"/>
    <w:rsid w:val="00093C74"/>
    <w:rsid w:val="00095AC6"/>
    <w:rsid w:val="000961D6"/>
    <w:rsid w:val="00096562"/>
    <w:rsid w:val="00097E8C"/>
    <w:rsid w:val="000A392E"/>
    <w:rsid w:val="000A575F"/>
    <w:rsid w:val="000A78CD"/>
    <w:rsid w:val="000B1975"/>
    <w:rsid w:val="000B5212"/>
    <w:rsid w:val="000B76DB"/>
    <w:rsid w:val="000C1C29"/>
    <w:rsid w:val="000C6C96"/>
    <w:rsid w:val="000D05CB"/>
    <w:rsid w:val="000D10DB"/>
    <w:rsid w:val="000D1C20"/>
    <w:rsid w:val="000D727A"/>
    <w:rsid w:val="000E5EB5"/>
    <w:rsid w:val="000F35ED"/>
    <w:rsid w:val="000F4A54"/>
    <w:rsid w:val="000F6C14"/>
    <w:rsid w:val="00100069"/>
    <w:rsid w:val="001004FE"/>
    <w:rsid w:val="00107131"/>
    <w:rsid w:val="0010736F"/>
    <w:rsid w:val="00113F73"/>
    <w:rsid w:val="0011618B"/>
    <w:rsid w:val="00121584"/>
    <w:rsid w:val="00121CC2"/>
    <w:rsid w:val="001254FE"/>
    <w:rsid w:val="00131425"/>
    <w:rsid w:val="00133BDB"/>
    <w:rsid w:val="00133EE5"/>
    <w:rsid w:val="001421C8"/>
    <w:rsid w:val="001567E7"/>
    <w:rsid w:val="001575CE"/>
    <w:rsid w:val="00167A34"/>
    <w:rsid w:val="00170CD4"/>
    <w:rsid w:val="00173717"/>
    <w:rsid w:val="00175344"/>
    <w:rsid w:val="001908FD"/>
    <w:rsid w:val="00191B53"/>
    <w:rsid w:val="001A520D"/>
    <w:rsid w:val="001A7870"/>
    <w:rsid w:val="001B10C1"/>
    <w:rsid w:val="001B3A00"/>
    <w:rsid w:val="001B41CA"/>
    <w:rsid w:val="001B478B"/>
    <w:rsid w:val="001B7261"/>
    <w:rsid w:val="001C1B41"/>
    <w:rsid w:val="001C7601"/>
    <w:rsid w:val="001D65EF"/>
    <w:rsid w:val="001D7A3F"/>
    <w:rsid w:val="001D7F96"/>
    <w:rsid w:val="001E3B89"/>
    <w:rsid w:val="001E49E7"/>
    <w:rsid w:val="001E7124"/>
    <w:rsid w:val="001F2264"/>
    <w:rsid w:val="001F5258"/>
    <w:rsid w:val="001F7201"/>
    <w:rsid w:val="0020516C"/>
    <w:rsid w:val="0021547E"/>
    <w:rsid w:val="00217EB2"/>
    <w:rsid w:val="00222FFA"/>
    <w:rsid w:val="00223A29"/>
    <w:rsid w:val="002250A3"/>
    <w:rsid w:val="002306A2"/>
    <w:rsid w:val="00235217"/>
    <w:rsid w:val="00246395"/>
    <w:rsid w:val="00246D1F"/>
    <w:rsid w:val="00247403"/>
    <w:rsid w:val="00247542"/>
    <w:rsid w:val="0026587E"/>
    <w:rsid w:val="00266B61"/>
    <w:rsid w:val="0026712A"/>
    <w:rsid w:val="002704DB"/>
    <w:rsid w:val="00274D81"/>
    <w:rsid w:val="002777C4"/>
    <w:rsid w:val="0029670C"/>
    <w:rsid w:val="00296FCB"/>
    <w:rsid w:val="002A0AAE"/>
    <w:rsid w:val="002A5820"/>
    <w:rsid w:val="002B5548"/>
    <w:rsid w:val="002D2B26"/>
    <w:rsid w:val="002D5516"/>
    <w:rsid w:val="002D7EA2"/>
    <w:rsid w:val="002E187C"/>
    <w:rsid w:val="002E1B8A"/>
    <w:rsid w:val="002E4404"/>
    <w:rsid w:val="002F2539"/>
    <w:rsid w:val="00302733"/>
    <w:rsid w:val="00305835"/>
    <w:rsid w:val="00306F33"/>
    <w:rsid w:val="00311ECF"/>
    <w:rsid w:val="0031356C"/>
    <w:rsid w:val="00314078"/>
    <w:rsid w:val="0031535D"/>
    <w:rsid w:val="00315E22"/>
    <w:rsid w:val="00316B0F"/>
    <w:rsid w:val="003239B8"/>
    <w:rsid w:val="00325BFC"/>
    <w:rsid w:val="0033169F"/>
    <w:rsid w:val="00331884"/>
    <w:rsid w:val="0033407D"/>
    <w:rsid w:val="00344977"/>
    <w:rsid w:val="003464DF"/>
    <w:rsid w:val="00346C95"/>
    <w:rsid w:val="0035084E"/>
    <w:rsid w:val="003544E1"/>
    <w:rsid w:val="00356185"/>
    <w:rsid w:val="00360380"/>
    <w:rsid w:val="00362029"/>
    <w:rsid w:val="0037519E"/>
    <w:rsid w:val="00376357"/>
    <w:rsid w:val="00386CF0"/>
    <w:rsid w:val="003906C8"/>
    <w:rsid w:val="00391D5A"/>
    <w:rsid w:val="003938C3"/>
    <w:rsid w:val="00394073"/>
    <w:rsid w:val="003B0909"/>
    <w:rsid w:val="003B1618"/>
    <w:rsid w:val="003B70FB"/>
    <w:rsid w:val="003C676B"/>
    <w:rsid w:val="003D1ADB"/>
    <w:rsid w:val="003D289E"/>
    <w:rsid w:val="003D3BC2"/>
    <w:rsid w:val="003E0AF4"/>
    <w:rsid w:val="003E6CA1"/>
    <w:rsid w:val="003F1AFE"/>
    <w:rsid w:val="003F2DDC"/>
    <w:rsid w:val="003F3A85"/>
    <w:rsid w:val="003F4785"/>
    <w:rsid w:val="003F5154"/>
    <w:rsid w:val="003F7EAC"/>
    <w:rsid w:val="00403B88"/>
    <w:rsid w:val="00405869"/>
    <w:rsid w:val="0040589F"/>
    <w:rsid w:val="00405F9C"/>
    <w:rsid w:val="004065A8"/>
    <w:rsid w:val="004165C2"/>
    <w:rsid w:val="004241A0"/>
    <w:rsid w:val="00435CDD"/>
    <w:rsid w:val="00441ECB"/>
    <w:rsid w:val="00444269"/>
    <w:rsid w:val="00445193"/>
    <w:rsid w:val="00446B95"/>
    <w:rsid w:val="004505E0"/>
    <w:rsid w:val="00462C1B"/>
    <w:rsid w:val="004648BD"/>
    <w:rsid w:val="00467B7E"/>
    <w:rsid w:val="00467E4D"/>
    <w:rsid w:val="00473BB4"/>
    <w:rsid w:val="00477592"/>
    <w:rsid w:val="004778BD"/>
    <w:rsid w:val="00477DAB"/>
    <w:rsid w:val="00481558"/>
    <w:rsid w:val="00486F1C"/>
    <w:rsid w:val="0049419D"/>
    <w:rsid w:val="004944A9"/>
    <w:rsid w:val="00496052"/>
    <w:rsid w:val="00497F03"/>
    <w:rsid w:val="004A057B"/>
    <w:rsid w:val="004A6A54"/>
    <w:rsid w:val="004A7F31"/>
    <w:rsid w:val="004B421C"/>
    <w:rsid w:val="004B4236"/>
    <w:rsid w:val="004C14A4"/>
    <w:rsid w:val="004C1E1C"/>
    <w:rsid w:val="004C20D2"/>
    <w:rsid w:val="004C2312"/>
    <w:rsid w:val="004C4659"/>
    <w:rsid w:val="004C4B62"/>
    <w:rsid w:val="004C54C9"/>
    <w:rsid w:val="004C5CF0"/>
    <w:rsid w:val="004C798F"/>
    <w:rsid w:val="004D4ABA"/>
    <w:rsid w:val="004D56FB"/>
    <w:rsid w:val="004D6025"/>
    <w:rsid w:val="004E2649"/>
    <w:rsid w:val="004E4861"/>
    <w:rsid w:val="004E62EA"/>
    <w:rsid w:val="004F626F"/>
    <w:rsid w:val="00501399"/>
    <w:rsid w:val="00501952"/>
    <w:rsid w:val="005047ED"/>
    <w:rsid w:val="0050633D"/>
    <w:rsid w:val="00507BC4"/>
    <w:rsid w:val="005128E4"/>
    <w:rsid w:val="005133DB"/>
    <w:rsid w:val="00513FE0"/>
    <w:rsid w:val="00514504"/>
    <w:rsid w:val="00521E1F"/>
    <w:rsid w:val="00525560"/>
    <w:rsid w:val="005275AD"/>
    <w:rsid w:val="00543D16"/>
    <w:rsid w:val="005441F3"/>
    <w:rsid w:val="00544C49"/>
    <w:rsid w:val="00547008"/>
    <w:rsid w:val="00547797"/>
    <w:rsid w:val="005479FD"/>
    <w:rsid w:val="005516A1"/>
    <w:rsid w:val="005559EF"/>
    <w:rsid w:val="00563557"/>
    <w:rsid w:val="00565AD4"/>
    <w:rsid w:val="005664EA"/>
    <w:rsid w:val="00573390"/>
    <w:rsid w:val="0057402A"/>
    <w:rsid w:val="005771D0"/>
    <w:rsid w:val="005805C3"/>
    <w:rsid w:val="0058376C"/>
    <w:rsid w:val="0059191A"/>
    <w:rsid w:val="005921FF"/>
    <w:rsid w:val="005A24ED"/>
    <w:rsid w:val="005A43B2"/>
    <w:rsid w:val="005A52D7"/>
    <w:rsid w:val="005A6D0E"/>
    <w:rsid w:val="005B5006"/>
    <w:rsid w:val="005B52B0"/>
    <w:rsid w:val="005B6806"/>
    <w:rsid w:val="005C1B92"/>
    <w:rsid w:val="005C2E6B"/>
    <w:rsid w:val="005C4225"/>
    <w:rsid w:val="005C5663"/>
    <w:rsid w:val="005F0DAD"/>
    <w:rsid w:val="005F0F33"/>
    <w:rsid w:val="005F2BBD"/>
    <w:rsid w:val="005F4ED0"/>
    <w:rsid w:val="00600DEB"/>
    <w:rsid w:val="006020B6"/>
    <w:rsid w:val="006105D2"/>
    <w:rsid w:val="00613D83"/>
    <w:rsid w:val="00625BFC"/>
    <w:rsid w:val="00627045"/>
    <w:rsid w:val="00627C9F"/>
    <w:rsid w:val="006311E9"/>
    <w:rsid w:val="006313C1"/>
    <w:rsid w:val="00632354"/>
    <w:rsid w:val="00632BA5"/>
    <w:rsid w:val="00635421"/>
    <w:rsid w:val="00640C09"/>
    <w:rsid w:val="00642810"/>
    <w:rsid w:val="00652333"/>
    <w:rsid w:val="0066061D"/>
    <w:rsid w:val="006611CA"/>
    <w:rsid w:val="00671447"/>
    <w:rsid w:val="0068009E"/>
    <w:rsid w:val="006802FB"/>
    <w:rsid w:val="00681CD9"/>
    <w:rsid w:val="00692219"/>
    <w:rsid w:val="00692C21"/>
    <w:rsid w:val="00694170"/>
    <w:rsid w:val="006A0E2B"/>
    <w:rsid w:val="006A10B1"/>
    <w:rsid w:val="006A17D2"/>
    <w:rsid w:val="006A6AEE"/>
    <w:rsid w:val="006A73E6"/>
    <w:rsid w:val="006B2C0D"/>
    <w:rsid w:val="006B2D5C"/>
    <w:rsid w:val="006B4537"/>
    <w:rsid w:val="006B5697"/>
    <w:rsid w:val="006B6932"/>
    <w:rsid w:val="006C0C7C"/>
    <w:rsid w:val="006C0ECF"/>
    <w:rsid w:val="006C2A11"/>
    <w:rsid w:val="006C4EB1"/>
    <w:rsid w:val="006C766A"/>
    <w:rsid w:val="006E0166"/>
    <w:rsid w:val="006E2FFB"/>
    <w:rsid w:val="006E7B34"/>
    <w:rsid w:val="006F106D"/>
    <w:rsid w:val="006F3A6C"/>
    <w:rsid w:val="007022BA"/>
    <w:rsid w:val="0070526B"/>
    <w:rsid w:val="0070697F"/>
    <w:rsid w:val="007103C4"/>
    <w:rsid w:val="00710D0E"/>
    <w:rsid w:val="00715095"/>
    <w:rsid w:val="0072199C"/>
    <w:rsid w:val="00722C9F"/>
    <w:rsid w:val="007253B8"/>
    <w:rsid w:val="00732E5A"/>
    <w:rsid w:val="0073741F"/>
    <w:rsid w:val="00745E38"/>
    <w:rsid w:val="00754209"/>
    <w:rsid w:val="0075654D"/>
    <w:rsid w:val="0076643F"/>
    <w:rsid w:val="007719C5"/>
    <w:rsid w:val="00777F63"/>
    <w:rsid w:val="0078782D"/>
    <w:rsid w:val="007922DA"/>
    <w:rsid w:val="00794546"/>
    <w:rsid w:val="0079593D"/>
    <w:rsid w:val="007A540D"/>
    <w:rsid w:val="007A5817"/>
    <w:rsid w:val="007B05C4"/>
    <w:rsid w:val="007B60E9"/>
    <w:rsid w:val="007B6CC3"/>
    <w:rsid w:val="007B76D3"/>
    <w:rsid w:val="007C3334"/>
    <w:rsid w:val="007D2B98"/>
    <w:rsid w:val="007D55E9"/>
    <w:rsid w:val="007E1AD5"/>
    <w:rsid w:val="007E21BC"/>
    <w:rsid w:val="007E7A20"/>
    <w:rsid w:val="007E7C82"/>
    <w:rsid w:val="007F2AA1"/>
    <w:rsid w:val="007F588D"/>
    <w:rsid w:val="007F7C5A"/>
    <w:rsid w:val="00802434"/>
    <w:rsid w:val="00803F1C"/>
    <w:rsid w:val="008056F8"/>
    <w:rsid w:val="0080600E"/>
    <w:rsid w:val="0080746E"/>
    <w:rsid w:val="008101E2"/>
    <w:rsid w:val="008129F9"/>
    <w:rsid w:val="00814688"/>
    <w:rsid w:val="008174C7"/>
    <w:rsid w:val="00817612"/>
    <w:rsid w:val="0082499E"/>
    <w:rsid w:val="0082534C"/>
    <w:rsid w:val="00827150"/>
    <w:rsid w:val="00827CAF"/>
    <w:rsid w:val="008338A4"/>
    <w:rsid w:val="00834D49"/>
    <w:rsid w:val="00835130"/>
    <w:rsid w:val="008364D5"/>
    <w:rsid w:val="00837C45"/>
    <w:rsid w:val="00844730"/>
    <w:rsid w:val="00845517"/>
    <w:rsid w:val="008457C2"/>
    <w:rsid w:val="0085081A"/>
    <w:rsid w:val="008525C7"/>
    <w:rsid w:val="00854C0B"/>
    <w:rsid w:val="008578D9"/>
    <w:rsid w:val="00857A82"/>
    <w:rsid w:val="00861BC6"/>
    <w:rsid w:val="00862F84"/>
    <w:rsid w:val="00866943"/>
    <w:rsid w:val="00873836"/>
    <w:rsid w:val="00874C6E"/>
    <w:rsid w:val="00882835"/>
    <w:rsid w:val="00885582"/>
    <w:rsid w:val="00885737"/>
    <w:rsid w:val="00890650"/>
    <w:rsid w:val="0089146A"/>
    <w:rsid w:val="00891AE1"/>
    <w:rsid w:val="008944DC"/>
    <w:rsid w:val="00897DCB"/>
    <w:rsid w:val="00897E12"/>
    <w:rsid w:val="008A7E0F"/>
    <w:rsid w:val="008B12F5"/>
    <w:rsid w:val="008B4A8E"/>
    <w:rsid w:val="008C2E76"/>
    <w:rsid w:val="008C5E2D"/>
    <w:rsid w:val="008D0119"/>
    <w:rsid w:val="008D05A0"/>
    <w:rsid w:val="008D768D"/>
    <w:rsid w:val="008E1024"/>
    <w:rsid w:val="008E3759"/>
    <w:rsid w:val="008E3BFE"/>
    <w:rsid w:val="008F1912"/>
    <w:rsid w:val="008F4AE8"/>
    <w:rsid w:val="008F7FCC"/>
    <w:rsid w:val="0090270B"/>
    <w:rsid w:val="009041DC"/>
    <w:rsid w:val="00914ACE"/>
    <w:rsid w:val="009160B5"/>
    <w:rsid w:val="00917B5A"/>
    <w:rsid w:val="00920A58"/>
    <w:rsid w:val="00920A8C"/>
    <w:rsid w:val="00924683"/>
    <w:rsid w:val="00931FEA"/>
    <w:rsid w:val="00934A2C"/>
    <w:rsid w:val="00955F48"/>
    <w:rsid w:val="0096706E"/>
    <w:rsid w:val="00973571"/>
    <w:rsid w:val="00973DB6"/>
    <w:rsid w:val="00974491"/>
    <w:rsid w:val="00975C4E"/>
    <w:rsid w:val="00976275"/>
    <w:rsid w:val="00981FBA"/>
    <w:rsid w:val="009832C5"/>
    <w:rsid w:val="00994934"/>
    <w:rsid w:val="00997BC5"/>
    <w:rsid w:val="009A4AE0"/>
    <w:rsid w:val="009A4F41"/>
    <w:rsid w:val="009A56CE"/>
    <w:rsid w:val="009B119E"/>
    <w:rsid w:val="009B381B"/>
    <w:rsid w:val="009B7298"/>
    <w:rsid w:val="009C19A7"/>
    <w:rsid w:val="009C3DA7"/>
    <w:rsid w:val="009D1753"/>
    <w:rsid w:val="009D31C4"/>
    <w:rsid w:val="009D6F4A"/>
    <w:rsid w:val="009D7611"/>
    <w:rsid w:val="009E0B61"/>
    <w:rsid w:val="009E2346"/>
    <w:rsid w:val="009E53DE"/>
    <w:rsid w:val="009F08AA"/>
    <w:rsid w:val="009F357E"/>
    <w:rsid w:val="00A05753"/>
    <w:rsid w:val="00A10E83"/>
    <w:rsid w:val="00A11212"/>
    <w:rsid w:val="00A11E44"/>
    <w:rsid w:val="00A13795"/>
    <w:rsid w:val="00A138E8"/>
    <w:rsid w:val="00A15562"/>
    <w:rsid w:val="00A15E9A"/>
    <w:rsid w:val="00A176BB"/>
    <w:rsid w:val="00A30100"/>
    <w:rsid w:val="00A328B3"/>
    <w:rsid w:val="00A35EDE"/>
    <w:rsid w:val="00A36A7C"/>
    <w:rsid w:val="00A400B8"/>
    <w:rsid w:val="00A50FCF"/>
    <w:rsid w:val="00A51BC3"/>
    <w:rsid w:val="00A528D1"/>
    <w:rsid w:val="00A53B4E"/>
    <w:rsid w:val="00A610CD"/>
    <w:rsid w:val="00A71DEC"/>
    <w:rsid w:val="00A758AA"/>
    <w:rsid w:val="00A8245D"/>
    <w:rsid w:val="00A904A1"/>
    <w:rsid w:val="00AA09A2"/>
    <w:rsid w:val="00AA7996"/>
    <w:rsid w:val="00AB759F"/>
    <w:rsid w:val="00AC19CB"/>
    <w:rsid w:val="00AE5488"/>
    <w:rsid w:val="00AE6F91"/>
    <w:rsid w:val="00AF0B88"/>
    <w:rsid w:val="00AF5571"/>
    <w:rsid w:val="00AF7FAA"/>
    <w:rsid w:val="00B04818"/>
    <w:rsid w:val="00B07341"/>
    <w:rsid w:val="00B221AA"/>
    <w:rsid w:val="00B25C36"/>
    <w:rsid w:val="00B26447"/>
    <w:rsid w:val="00B26F0E"/>
    <w:rsid w:val="00B30539"/>
    <w:rsid w:val="00B314DB"/>
    <w:rsid w:val="00B34180"/>
    <w:rsid w:val="00B35AD1"/>
    <w:rsid w:val="00B361F2"/>
    <w:rsid w:val="00B3718B"/>
    <w:rsid w:val="00B3745F"/>
    <w:rsid w:val="00B4632A"/>
    <w:rsid w:val="00B530F1"/>
    <w:rsid w:val="00B5350F"/>
    <w:rsid w:val="00B55AB1"/>
    <w:rsid w:val="00B5643B"/>
    <w:rsid w:val="00B60359"/>
    <w:rsid w:val="00B617DD"/>
    <w:rsid w:val="00B62CDC"/>
    <w:rsid w:val="00B6709E"/>
    <w:rsid w:val="00B67F88"/>
    <w:rsid w:val="00B74E5D"/>
    <w:rsid w:val="00B839CA"/>
    <w:rsid w:val="00B84BF4"/>
    <w:rsid w:val="00B85D9C"/>
    <w:rsid w:val="00B8735D"/>
    <w:rsid w:val="00B92D54"/>
    <w:rsid w:val="00B93D7F"/>
    <w:rsid w:val="00BA276C"/>
    <w:rsid w:val="00BA6185"/>
    <w:rsid w:val="00BB019D"/>
    <w:rsid w:val="00BB07C2"/>
    <w:rsid w:val="00BB273E"/>
    <w:rsid w:val="00BB306F"/>
    <w:rsid w:val="00BB5C2C"/>
    <w:rsid w:val="00BD0FF5"/>
    <w:rsid w:val="00BD4B89"/>
    <w:rsid w:val="00BD5922"/>
    <w:rsid w:val="00BF02CB"/>
    <w:rsid w:val="00BF3DB7"/>
    <w:rsid w:val="00BF6FD8"/>
    <w:rsid w:val="00C0190A"/>
    <w:rsid w:val="00C03680"/>
    <w:rsid w:val="00C054DF"/>
    <w:rsid w:val="00C05C9C"/>
    <w:rsid w:val="00C07675"/>
    <w:rsid w:val="00C11B02"/>
    <w:rsid w:val="00C122CC"/>
    <w:rsid w:val="00C133EE"/>
    <w:rsid w:val="00C1673B"/>
    <w:rsid w:val="00C21762"/>
    <w:rsid w:val="00C21FEF"/>
    <w:rsid w:val="00C23BA4"/>
    <w:rsid w:val="00C24543"/>
    <w:rsid w:val="00C256A2"/>
    <w:rsid w:val="00C25ADB"/>
    <w:rsid w:val="00C26940"/>
    <w:rsid w:val="00C2708B"/>
    <w:rsid w:val="00C34CCA"/>
    <w:rsid w:val="00C374E8"/>
    <w:rsid w:val="00C42413"/>
    <w:rsid w:val="00C51515"/>
    <w:rsid w:val="00C5660B"/>
    <w:rsid w:val="00C61136"/>
    <w:rsid w:val="00C63F30"/>
    <w:rsid w:val="00C64D8F"/>
    <w:rsid w:val="00C66AFF"/>
    <w:rsid w:val="00C66B72"/>
    <w:rsid w:val="00C70701"/>
    <w:rsid w:val="00C81E13"/>
    <w:rsid w:val="00C87AC4"/>
    <w:rsid w:val="00C919CC"/>
    <w:rsid w:val="00C93EC7"/>
    <w:rsid w:val="00C9567A"/>
    <w:rsid w:val="00CA0463"/>
    <w:rsid w:val="00CA0DCA"/>
    <w:rsid w:val="00CA1E9A"/>
    <w:rsid w:val="00CB212D"/>
    <w:rsid w:val="00CB2660"/>
    <w:rsid w:val="00CB4C72"/>
    <w:rsid w:val="00CB6386"/>
    <w:rsid w:val="00CC5E90"/>
    <w:rsid w:val="00CC6C6B"/>
    <w:rsid w:val="00CD046C"/>
    <w:rsid w:val="00CD5768"/>
    <w:rsid w:val="00CD701A"/>
    <w:rsid w:val="00CD74AA"/>
    <w:rsid w:val="00CE076C"/>
    <w:rsid w:val="00CE5199"/>
    <w:rsid w:val="00CE66D5"/>
    <w:rsid w:val="00CE71ED"/>
    <w:rsid w:val="00CF0D8B"/>
    <w:rsid w:val="00CF1C1A"/>
    <w:rsid w:val="00CF637A"/>
    <w:rsid w:val="00D059DE"/>
    <w:rsid w:val="00D05ABD"/>
    <w:rsid w:val="00D106D6"/>
    <w:rsid w:val="00D12E5A"/>
    <w:rsid w:val="00D13FCE"/>
    <w:rsid w:val="00D14A57"/>
    <w:rsid w:val="00D27D65"/>
    <w:rsid w:val="00D306D1"/>
    <w:rsid w:val="00D30800"/>
    <w:rsid w:val="00D34786"/>
    <w:rsid w:val="00D37BFC"/>
    <w:rsid w:val="00D432BB"/>
    <w:rsid w:val="00D47A8E"/>
    <w:rsid w:val="00D52D14"/>
    <w:rsid w:val="00D65EF5"/>
    <w:rsid w:val="00D67414"/>
    <w:rsid w:val="00D712D3"/>
    <w:rsid w:val="00D71422"/>
    <w:rsid w:val="00D72DC6"/>
    <w:rsid w:val="00D7558D"/>
    <w:rsid w:val="00D76567"/>
    <w:rsid w:val="00D81894"/>
    <w:rsid w:val="00D81D92"/>
    <w:rsid w:val="00D8503F"/>
    <w:rsid w:val="00D876F9"/>
    <w:rsid w:val="00D908E9"/>
    <w:rsid w:val="00D92E0C"/>
    <w:rsid w:val="00DA16E0"/>
    <w:rsid w:val="00DA6196"/>
    <w:rsid w:val="00DA7B5F"/>
    <w:rsid w:val="00DA7BB3"/>
    <w:rsid w:val="00DB382E"/>
    <w:rsid w:val="00DB4F24"/>
    <w:rsid w:val="00DC11E7"/>
    <w:rsid w:val="00DC24E3"/>
    <w:rsid w:val="00DC7023"/>
    <w:rsid w:val="00DC769A"/>
    <w:rsid w:val="00DD3D86"/>
    <w:rsid w:val="00DD4AD2"/>
    <w:rsid w:val="00DE2862"/>
    <w:rsid w:val="00DE6EB5"/>
    <w:rsid w:val="00DF1B6D"/>
    <w:rsid w:val="00DF1EC4"/>
    <w:rsid w:val="00DF6536"/>
    <w:rsid w:val="00E0137D"/>
    <w:rsid w:val="00E0340B"/>
    <w:rsid w:val="00E04A90"/>
    <w:rsid w:val="00E0551F"/>
    <w:rsid w:val="00E1098B"/>
    <w:rsid w:val="00E14C97"/>
    <w:rsid w:val="00E219C7"/>
    <w:rsid w:val="00E23477"/>
    <w:rsid w:val="00E240AC"/>
    <w:rsid w:val="00E32E66"/>
    <w:rsid w:val="00E4118C"/>
    <w:rsid w:val="00E42DB6"/>
    <w:rsid w:val="00E43157"/>
    <w:rsid w:val="00E44385"/>
    <w:rsid w:val="00E461CE"/>
    <w:rsid w:val="00E51B9C"/>
    <w:rsid w:val="00E573E4"/>
    <w:rsid w:val="00E57DBE"/>
    <w:rsid w:val="00E60487"/>
    <w:rsid w:val="00E64C3D"/>
    <w:rsid w:val="00E6559F"/>
    <w:rsid w:val="00E720CA"/>
    <w:rsid w:val="00E75453"/>
    <w:rsid w:val="00E816DD"/>
    <w:rsid w:val="00E84EB5"/>
    <w:rsid w:val="00E85662"/>
    <w:rsid w:val="00E8789F"/>
    <w:rsid w:val="00E917E1"/>
    <w:rsid w:val="00E97B71"/>
    <w:rsid w:val="00EA3D34"/>
    <w:rsid w:val="00EA5623"/>
    <w:rsid w:val="00EA61AB"/>
    <w:rsid w:val="00EB15DE"/>
    <w:rsid w:val="00EB454D"/>
    <w:rsid w:val="00EC5B53"/>
    <w:rsid w:val="00ED1691"/>
    <w:rsid w:val="00ED3121"/>
    <w:rsid w:val="00ED50C6"/>
    <w:rsid w:val="00ED549D"/>
    <w:rsid w:val="00ED5E10"/>
    <w:rsid w:val="00ED69A0"/>
    <w:rsid w:val="00ED69CC"/>
    <w:rsid w:val="00ED76BE"/>
    <w:rsid w:val="00EE00E9"/>
    <w:rsid w:val="00EE3310"/>
    <w:rsid w:val="00EF1AAA"/>
    <w:rsid w:val="00EF2000"/>
    <w:rsid w:val="00EF619B"/>
    <w:rsid w:val="00F00B55"/>
    <w:rsid w:val="00F01274"/>
    <w:rsid w:val="00F02AD1"/>
    <w:rsid w:val="00F120BD"/>
    <w:rsid w:val="00F15481"/>
    <w:rsid w:val="00F21BCB"/>
    <w:rsid w:val="00F23A23"/>
    <w:rsid w:val="00F253CC"/>
    <w:rsid w:val="00F25B4B"/>
    <w:rsid w:val="00F277B6"/>
    <w:rsid w:val="00F33AE7"/>
    <w:rsid w:val="00F370E1"/>
    <w:rsid w:val="00F37106"/>
    <w:rsid w:val="00F37FF4"/>
    <w:rsid w:val="00F42CA7"/>
    <w:rsid w:val="00F43F2D"/>
    <w:rsid w:val="00F44E25"/>
    <w:rsid w:val="00F45DFC"/>
    <w:rsid w:val="00F47349"/>
    <w:rsid w:val="00F519CF"/>
    <w:rsid w:val="00F56BA5"/>
    <w:rsid w:val="00F56E70"/>
    <w:rsid w:val="00F56ECB"/>
    <w:rsid w:val="00F60E22"/>
    <w:rsid w:val="00F639F2"/>
    <w:rsid w:val="00F7669D"/>
    <w:rsid w:val="00F76881"/>
    <w:rsid w:val="00F81395"/>
    <w:rsid w:val="00F81BB8"/>
    <w:rsid w:val="00F9023C"/>
    <w:rsid w:val="00F90C64"/>
    <w:rsid w:val="00F917D1"/>
    <w:rsid w:val="00F91E25"/>
    <w:rsid w:val="00F9653B"/>
    <w:rsid w:val="00FA08D1"/>
    <w:rsid w:val="00FA1848"/>
    <w:rsid w:val="00FA1EBB"/>
    <w:rsid w:val="00FA3D85"/>
    <w:rsid w:val="00FB5832"/>
    <w:rsid w:val="00FB62CF"/>
    <w:rsid w:val="00FC1182"/>
    <w:rsid w:val="00FC492F"/>
    <w:rsid w:val="00FC5B05"/>
    <w:rsid w:val="00FD3C3B"/>
    <w:rsid w:val="00FE057E"/>
    <w:rsid w:val="00FE07DD"/>
    <w:rsid w:val="00FE6B45"/>
    <w:rsid w:val="00FF55F3"/>
    <w:rsid w:val="00FF5851"/>
    <w:rsid w:val="00FF779A"/>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1908F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normaltextrun">
    <w:name w:val="normaltextrun"/>
    <w:basedOn w:val="DefaultParagraphFont"/>
    <w:rsid w:val="00157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94049"/>
    <w:rsid w:val="003B0C71"/>
    <w:rsid w:val="004B5BBB"/>
    <w:rsid w:val="004F2DF8"/>
    <w:rsid w:val="00517E2A"/>
    <w:rsid w:val="006D3128"/>
    <w:rsid w:val="006F24A1"/>
    <w:rsid w:val="00875B8A"/>
    <w:rsid w:val="008953BC"/>
    <w:rsid w:val="008C2356"/>
    <w:rsid w:val="00944013"/>
    <w:rsid w:val="009A261B"/>
    <w:rsid w:val="009B798B"/>
    <w:rsid w:val="009E298A"/>
    <w:rsid w:val="00AA2E17"/>
    <w:rsid w:val="00AC15A4"/>
    <w:rsid w:val="00B0336C"/>
    <w:rsid w:val="00B754DD"/>
    <w:rsid w:val="00C32AE2"/>
    <w:rsid w:val="00C60155"/>
    <w:rsid w:val="00D241E9"/>
    <w:rsid w:val="00D7750D"/>
    <w:rsid w:val="00F00D2F"/>
    <w:rsid w:val="00F06F23"/>
    <w:rsid w:val="00F128DF"/>
    <w:rsid w:val="00F42C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3321</Words>
  <Characters>18931</Characters>
  <Application>Microsoft Office Word</Application>
  <DocSecurity>0</DocSecurity>
  <Lines>157</Lines>
  <Paragraphs>44</Paragraphs>
  <ScaleCrop>false</ScaleCrop>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2024-08-09T15:13:00Z</dcterms:created>
  <dcterms:modified xsi:type="dcterms:W3CDTF">2024-08-09T15:13:00Z</dcterms:modified>
</cp:coreProperties>
</file>