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1A1B" w14:textId="77777777" w:rsidR="00C17E43" w:rsidRPr="003C32BC" w:rsidRDefault="00C17E43" w:rsidP="00C17E43">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A0707AC" wp14:editId="4ABE164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2FB742"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79692529" wp14:editId="51C39CC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459F5" w14:textId="77777777" w:rsidR="00C17E43" w:rsidRDefault="00C17E43" w:rsidP="00C17E43">
                            <w:r>
                              <w:rPr>
                                <w:noProof/>
                              </w:rPr>
                              <w:drawing>
                                <wp:inline distT="0" distB="0" distL="0" distR="0" wp14:anchorId="330BBB6F" wp14:editId="64226A5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252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045459F5" w14:textId="77777777" w:rsidR="00C17E43" w:rsidRDefault="00C17E43" w:rsidP="00C17E43">
                      <w:r>
                        <w:rPr>
                          <w:noProof/>
                        </w:rPr>
                        <w:drawing>
                          <wp:inline distT="0" distB="0" distL="0" distR="0" wp14:anchorId="330BBB6F" wp14:editId="64226A5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EFB4942" w14:textId="77777777" w:rsidR="00C17E43" w:rsidRPr="003C32BC" w:rsidRDefault="00C17E43" w:rsidP="00C17E43">
      <w:pPr>
        <w:tabs>
          <w:tab w:val="center" w:pos="5400"/>
        </w:tabs>
        <w:suppressAutoHyphens/>
        <w:jc w:val="both"/>
        <w:rPr>
          <w:rFonts w:asciiTheme="majorHAnsi" w:hAnsiTheme="majorHAnsi"/>
          <w:sz w:val="22"/>
          <w:szCs w:val="22"/>
          <w:lang w:val="es-ES"/>
        </w:rPr>
      </w:pPr>
    </w:p>
    <w:p w14:paraId="093665D0" w14:textId="77777777" w:rsidR="00C17E43" w:rsidRPr="003C32BC" w:rsidRDefault="00C17E43" w:rsidP="00C17E43">
      <w:pPr>
        <w:tabs>
          <w:tab w:val="center" w:pos="5400"/>
        </w:tabs>
        <w:suppressAutoHyphens/>
        <w:jc w:val="both"/>
        <w:rPr>
          <w:rFonts w:asciiTheme="majorHAnsi" w:hAnsiTheme="majorHAnsi"/>
          <w:sz w:val="22"/>
          <w:szCs w:val="22"/>
          <w:lang w:val="es-ES"/>
        </w:rPr>
      </w:pPr>
    </w:p>
    <w:p w14:paraId="06EC815B" w14:textId="77777777" w:rsidR="00C17E43" w:rsidRPr="003C32BC" w:rsidRDefault="00C17E43" w:rsidP="00C17E43">
      <w:pPr>
        <w:tabs>
          <w:tab w:val="center" w:pos="5400"/>
        </w:tabs>
        <w:suppressAutoHyphens/>
        <w:rPr>
          <w:rFonts w:asciiTheme="majorHAnsi" w:hAnsiTheme="majorHAnsi"/>
          <w:sz w:val="22"/>
          <w:szCs w:val="22"/>
          <w:lang w:val="es-ES_tradnl"/>
        </w:rPr>
      </w:pPr>
    </w:p>
    <w:p w14:paraId="3A2B3AA7" w14:textId="77777777" w:rsidR="00C17E43" w:rsidRPr="003C32BC" w:rsidRDefault="00C17E43" w:rsidP="00C17E43">
      <w:pPr>
        <w:tabs>
          <w:tab w:val="center" w:pos="5400"/>
        </w:tabs>
        <w:suppressAutoHyphens/>
        <w:rPr>
          <w:rFonts w:asciiTheme="majorHAnsi" w:hAnsiTheme="majorHAnsi"/>
          <w:sz w:val="22"/>
          <w:szCs w:val="22"/>
          <w:lang w:val="es-ES_tradnl"/>
        </w:rPr>
      </w:pPr>
    </w:p>
    <w:p w14:paraId="2775F428" w14:textId="77777777" w:rsidR="00C17E43" w:rsidRPr="003C32BC" w:rsidRDefault="00C17E43" w:rsidP="00C17E43">
      <w:pPr>
        <w:tabs>
          <w:tab w:val="center" w:pos="5400"/>
        </w:tabs>
        <w:suppressAutoHyphens/>
        <w:rPr>
          <w:rFonts w:asciiTheme="majorHAnsi" w:hAnsiTheme="majorHAnsi"/>
          <w:sz w:val="22"/>
          <w:szCs w:val="22"/>
          <w:lang w:val="es-ES_tradnl"/>
        </w:rPr>
      </w:pPr>
    </w:p>
    <w:p w14:paraId="7324740D"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5885088A"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02A56CAE"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1F46FAD2"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01111932"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0800418C"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0CDF5C0C"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6FDB0293"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3FFEAB2A"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861E33E" wp14:editId="3E57ABC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65D5B" w14:textId="2ADAB073" w:rsidR="00C17E43" w:rsidRPr="004B7EB6" w:rsidRDefault="00C17E43" w:rsidP="00C17E43">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A2E8D">
                              <w:rPr>
                                <w:rFonts w:asciiTheme="majorHAnsi" w:hAnsiTheme="majorHAnsi" w:cs="Arial"/>
                                <w:b/>
                                <w:bCs/>
                                <w:color w:val="0D0D0D" w:themeColor="text1" w:themeTint="F2"/>
                                <w:sz w:val="36"/>
                                <w:szCs w:val="40"/>
                              </w:rPr>
                              <w:t>150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6748260D" w14:textId="65E2C5DB" w:rsidR="00C17E43" w:rsidRPr="00744868" w:rsidRDefault="00C17E43" w:rsidP="00C17E43">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1602-14</w:t>
                            </w:r>
                          </w:p>
                          <w:p w14:paraId="55E8B130" w14:textId="7A040126" w:rsidR="00C17E43" w:rsidRPr="004B7EB6" w:rsidRDefault="00C17E43" w:rsidP="00C17E4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p>
                          <w:p w14:paraId="5AE270ED" w14:textId="77777777" w:rsidR="00C17E43" w:rsidRPr="004B7EB6" w:rsidRDefault="00C17E43" w:rsidP="00C17E43">
                            <w:pPr>
                              <w:spacing w:line="276" w:lineRule="auto"/>
                              <w:rPr>
                                <w:rFonts w:asciiTheme="majorHAnsi" w:hAnsiTheme="majorHAnsi" w:cs="Arial"/>
                                <w:color w:val="0D0D0D" w:themeColor="text1" w:themeTint="F2"/>
                                <w:szCs w:val="22"/>
                              </w:rPr>
                            </w:pPr>
                          </w:p>
                          <w:p w14:paraId="3C1322EB" w14:textId="250AB3DD" w:rsidR="00C17E43" w:rsidRPr="0010736F" w:rsidRDefault="00C17E43" w:rsidP="00C17E4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RAMÍREZ OSPINA ET AL.</w:t>
                            </w:r>
                          </w:p>
                          <w:p w14:paraId="45287FB2" w14:textId="2C3B71FF" w:rsidR="00C17E43" w:rsidRPr="004B7EB6" w:rsidRDefault="00C17E43" w:rsidP="00C17E43">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E33E"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7565D5B" w14:textId="2ADAB073" w:rsidR="00C17E43" w:rsidRPr="004B7EB6" w:rsidRDefault="00C17E43" w:rsidP="00C17E43">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A2E8D">
                        <w:rPr>
                          <w:rFonts w:asciiTheme="majorHAnsi" w:hAnsiTheme="majorHAnsi" w:cs="Arial"/>
                          <w:b/>
                          <w:bCs/>
                          <w:color w:val="0D0D0D" w:themeColor="text1" w:themeTint="F2"/>
                          <w:sz w:val="36"/>
                          <w:szCs w:val="40"/>
                        </w:rPr>
                        <w:t>150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6748260D" w14:textId="65E2C5DB" w:rsidR="00C17E43" w:rsidRPr="00744868" w:rsidRDefault="00C17E43" w:rsidP="00C17E43">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1602-14</w:t>
                      </w:r>
                    </w:p>
                    <w:p w14:paraId="55E8B130" w14:textId="7A040126" w:rsidR="00C17E43" w:rsidRPr="004B7EB6" w:rsidRDefault="00C17E43" w:rsidP="00C17E43">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p>
                    <w:p w14:paraId="5AE270ED" w14:textId="77777777" w:rsidR="00C17E43" w:rsidRPr="004B7EB6" w:rsidRDefault="00C17E43" w:rsidP="00C17E43">
                      <w:pPr>
                        <w:spacing w:line="276" w:lineRule="auto"/>
                        <w:rPr>
                          <w:rFonts w:asciiTheme="majorHAnsi" w:hAnsiTheme="majorHAnsi" w:cs="Arial"/>
                          <w:color w:val="0D0D0D" w:themeColor="text1" w:themeTint="F2"/>
                          <w:szCs w:val="22"/>
                        </w:rPr>
                      </w:pPr>
                    </w:p>
                    <w:p w14:paraId="3C1322EB" w14:textId="250AB3DD" w:rsidR="00C17E43" w:rsidRPr="0010736F" w:rsidRDefault="00C17E43" w:rsidP="00C17E4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AMPARO RAMÍREZ OSPINA ET AL.</w:t>
                      </w:r>
                    </w:p>
                    <w:p w14:paraId="45287FB2" w14:textId="2C3B71FF" w:rsidR="00C17E43" w:rsidRPr="004B7EB6" w:rsidRDefault="00C17E43" w:rsidP="00C17E43">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44659422" wp14:editId="07F0C7F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7BA10" w14:textId="51CC5E7F" w:rsidR="00C17E43" w:rsidRPr="0074077E" w:rsidRDefault="00C17E43" w:rsidP="00C17E43">
                            <w:pPr>
                              <w:jc w:val="right"/>
                              <w:rPr>
                                <w:rFonts w:asciiTheme="minorHAnsi" w:hAnsiTheme="minorHAnsi"/>
                                <w:color w:val="FFFFFF" w:themeColor="background1"/>
                                <w:sz w:val="22"/>
                                <w:lang w:val="pt-BR"/>
                              </w:rPr>
                            </w:pPr>
                            <w:r w:rsidRPr="0074077E">
                              <w:rPr>
                                <w:rFonts w:asciiTheme="minorHAnsi" w:hAnsiTheme="minorHAnsi"/>
                                <w:color w:val="FFFFFF" w:themeColor="background1"/>
                                <w:sz w:val="22"/>
                                <w:lang w:val="pt-BR"/>
                              </w:rPr>
                              <w:t>OAS/Ser.L/V/II</w:t>
                            </w:r>
                          </w:p>
                          <w:p w14:paraId="4C69CEF4" w14:textId="4C907D3A" w:rsidR="00C17E43" w:rsidRPr="00C6230E" w:rsidRDefault="00C17E43" w:rsidP="00C17E43">
                            <w:pPr>
                              <w:jc w:val="right"/>
                              <w:rPr>
                                <w:rFonts w:asciiTheme="minorHAnsi" w:hAnsiTheme="minorHAnsi"/>
                                <w:color w:val="FFFFFF" w:themeColor="background1"/>
                                <w:sz w:val="22"/>
                                <w:lang w:val="pt-BR"/>
                              </w:rPr>
                            </w:pPr>
                            <w:r w:rsidRPr="00C6230E">
                              <w:rPr>
                                <w:rFonts w:asciiTheme="minorHAnsi" w:hAnsiTheme="minorHAnsi"/>
                                <w:color w:val="FFFFFF" w:themeColor="background1"/>
                                <w:sz w:val="22"/>
                                <w:lang w:val="pt-BR"/>
                              </w:rPr>
                              <w:t xml:space="preserve">Doc. </w:t>
                            </w:r>
                            <w:r w:rsidR="00BA2E8D" w:rsidRPr="00C6230E">
                              <w:rPr>
                                <w:rFonts w:asciiTheme="minorHAnsi" w:hAnsiTheme="minorHAnsi"/>
                                <w:color w:val="FFFFFF" w:themeColor="background1"/>
                                <w:sz w:val="22"/>
                                <w:lang w:val="pt-BR"/>
                              </w:rPr>
                              <w:t>158</w:t>
                            </w:r>
                          </w:p>
                          <w:p w14:paraId="12354A00" w14:textId="21C6F127" w:rsidR="00C17E43" w:rsidRPr="00C17E43" w:rsidRDefault="00786F12" w:rsidP="00C17E43">
                            <w:pPr>
                              <w:jc w:val="right"/>
                              <w:rPr>
                                <w:rFonts w:asciiTheme="minorHAnsi" w:hAnsiTheme="minorHAnsi"/>
                                <w:color w:val="FFFFFF" w:themeColor="background1"/>
                                <w:sz w:val="22"/>
                              </w:rPr>
                            </w:pPr>
                            <w:r>
                              <w:rPr>
                                <w:rFonts w:asciiTheme="minorHAnsi" w:hAnsiTheme="minorHAnsi"/>
                                <w:color w:val="FFFFFF" w:themeColor="background1"/>
                                <w:sz w:val="22"/>
                              </w:rPr>
                              <w:t>16 September</w:t>
                            </w:r>
                            <w:r w:rsidR="00C17E43" w:rsidRPr="00C17E43">
                              <w:rPr>
                                <w:rFonts w:asciiTheme="minorHAnsi" w:hAnsiTheme="minorHAnsi"/>
                                <w:color w:val="FFFFFF" w:themeColor="background1"/>
                                <w:sz w:val="22"/>
                              </w:rPr>
                              <w:t xml:space="preserve"> 2024</w:t>
                            </w:r>
                          </w:p>
                          <w:p w14:paraId="21648FEF" w14:textId="77777777" w:rsidR="00C17E43" w:rsidRPr="004B7EB6" w:rsidRDefault="00C17E43" w:rsidP="00C17E43">
                            <w:pPr>
                              <w:jc w:val="right"/>
                              <w:rPr>
                                <w:rFonts w:asciiTheme="minorHAnsi" w:hAnsiTheme="minorHAnsi"/>
                                <w:color w:val="FFFFFF" w:themeColor="background1"/>
                                <w:sz w:val="22"/>
                              </w:rPr>
                            </w:pPr>
                            <w:r w:rsidRPr="00C17E4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59422"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DB7BA10" w14:textId="51CC5E7F" w:rsidR="00C17E43" w:rsidRPr="0074077E" w:rsidRDefault="00C17E43" w:rsidP="00C17E43">
                      <w:pPr>
                        <w:jc w:val="right"/>
                        <w:rPr>
                          <w:rFonts w:asciiTheme="minorHAnsi" w:hAnsiTheme="minorHAnsi"/>
                          <w:color w:val="FFFFFF" w:themeColor="background1"/>
                          <w:sz w:val="22"/>
                          <w:lang w:val="pt-BR"/>
                        </w:rPr>
                      </w:pPr>
                      <w:r w:rsidRPr="0074077E">
                        <w:rPr>
                          <w:rFonts w:asciiTheme="minorHAnsi" w:hAnsiTheme="minorHAnsi"/>
                          <w:color w:val="FFFFFF" w:themeColor="background1"/>
                          <w:sz w:val="22"/>
                          <w:lang w:val="pt-BR"/>
                        </w:rPr>
                        <w:t>OAS/Ser.L/V/II</w:t>
                      </w:r>
                    </w:p>
                    <w:p w14:paraId="4C69CEF4" w14:textId="4C907D3A" w:rsidR="00C17E43" w:rsidRPr="00C6230E" w:rsidRDefault="00C17E43" w:rsidP="00C17E43">
                      <w:pPr>
                        <w:jc w:val="right"/>
                        <w:rPr>
                          <w:rFonts w:asciiTheme="minorHAnsi" w:hAnsiTheme="minorHAnsi"/>
                          <w:color w:val="FFFFFF" w:themeColor="background1"/>
                          <w:sz w:val="22"/>
                          <w:lang w:val="pt-BR"/>
                        </w:rPr>
                      </w:pPr>
                      <w:r w:rsidRPr="00C6230E">
                        <w:rPr>
                          <w:rFonts w:asciiTheme="minorHAnsi" w:hAnsiTheme="minorHAnsi"/>
                          <w:color w:val="FFFFFF" w:themeColor="background1"/>
                          <w:sz w:val="22"/>
                          <w:lang w:val="pt-BR"/>
                        </w:rPr>
                        <w:t xml:space="preserve">Doc. </w:t>
                      </w:r>
                      <w:r w:rsidR="00BA2E8D" w:rsidRPr="00C6230E">
                        <w:rPr>
                          <w:rFonts w:asciiTheme="minorHAnsi" w:hAnsiTheme="minorHAnsi"/>
                          <w:color w:val="FFFFFF" w:themeColor="background1"/>
                          <w:sz w:val="22"/>
                          <w:lang w:val="pt-BR"/>
                        </w:rPr>
                        <w:t>158</w:t>
                      </w:r>
                    </w:p>
                    <w:p w14:paraId="12354A00" w14:textId="21C6F127" w:rsidR="00C17E43" w:rsidRPr="00C17E43" w:rsidRDefault="00786F12" w:rsidP="00C17E43">
                      <w:pPr>
                        <w:jc w:val="right"/>
                        <w:rPr>
                          <w:rFonts w:asciiTheme="minorHAnsi" w:hAnsiTheme="minorHAnsi"/>
                          <w:color w:val="FFFFFF" w:themeColor="background1"/>
                          <w:sz w:val="22"/>
                        </w:rPr>
                      </w:pPr>
                      <w:r>
                        <w:rPr>
                          <w:rFonts w:asciiTheme="minorHAnsi" w:hAnsiTheme="minorHAnsi"/>
                          <w:color w:val="FFFFFF" w:themeColor="background1"/>
                          <w:sz w:val="22"/>
                        </w:rPr>
                        <w:t>16 September</w:t>
                      </w:r>
                      <w:r w:rsidR="00C17E43" w:rsidRPr="00C17E43">
                        <w:rPr>
                          <w:rFonts w:asciiTheme="minorHAnsi" w:hAnsiTheme="minorHAnsi"/>
                          <w:color w:val="FFFFFF" w:themeColor="background1"/>
                          <w:sz w:val="22"/>
                        </w:rPr>
                        <w:t xml:space="preserve"> 2024</w:t>
                      </w:r>
                    </w:p>
                    <w:p w14:paraId="21648FEF" w14:textId="77777777" w:rsidR="00C17E43" w:rsidRPr="004B7EB6" w:rsidRDefault="00C17E43" w:rsidP="00C17E43">
                      <w:pPr>
                        <w:jc w:val="right"/>
                        <w:rPr>
                          <w:rFonts w:asciiTheme="minorHAnsi" w:hAnsiTheme="minorHAnsi"/>
                          <w:color w:val="FFFFFF" w:themeColor="background1"/>
                          <w:sz w:val="22"/>
                        </w:rPr>
                      </w:pPr>
                      <w:r w:rsidRPr="00C17E43">
                        <w:rPr>
                          <w:rFonts w:asciiTheme="minorHAnsi" w:hAnsiTheme="minorHAnsi"/>
                          <w:color w:val="FFFFFF" w:themeColor="background1"/>
                          <w:sz w:val="22"/>
                        </w:rPr>
                        <w:t>Original: Spanish</w:t>
                      </w:r>
                    </w:p>
                  </w:txbxContent>
                </v:textbox>
              </v:shape>
            </w:pict>
          </mc:Fallback>
        </mc:AlternateContent>
      </w:r>
    </w:p>
    <w:p w14:paraId="27F93FC1"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200F8C42" w14:textId="77777777" w:rsidR="00C17E43" w:rsidRPr="003C32BC" w:rsidRDefault="00C17E43" w:rsidP="00C17E43">
      <w:pPr>
        <w:tabs>
          <w:tab w:val="center" w:pos="5400"/>
        </w:tabs>
        <w:suppressAutoHyphens/>
        <w:jc w:val="center"/>
        <w:rPr>
          <w:rFonts w:asciiTheme="majorHAnsi" w:hAnsiTheme="majorHAnsi" w:cs="Arial"/>
          <w:sz w:val="22"/>
          <w:szCs w:val="22"/>
          <w:lang w:val="es-ES_tradnl"/>
        </w:rPr>
      </w:pPr>
    </w:p>
    <w:p w14:paraId="0F847BD9"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688FEC53"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746A2AB4"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27F53394"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04C875BB"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19594CEB"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11E89FE0"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244A1950"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49B9C9BC"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777D098F"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12E4B21B" w14:textId="77777777" w:rsidR="00C17E43" w:rsidRPr="003C32BC" w:rsidRDefault="00C17E43" w:rsidP="00C17E43">
      <w:pPr>
        <w:tabs>
          <w:tab w:val="center" w:pos="5400"/>
        </w:tabs>
        <w:suppressAutoHyphens/>
        <w:jc w:val="center"/>
        <w:rPr>
          <w:rFonts w:asciiTheme="majorHAnsi" w:hAnsiTheme="majorHAnsi"/>
          <w:sz w:val="22"/>
          <w:szCs w:val="22"/>
          <w:lang w:val="es-ES_tradnl"/>
        </w:rPr>
      </w:pPr>
    </w:p>
    <w:p w14:paraId="6A9172B9"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68EB16E5"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DDA3A6B"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57FFCB93"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0B31A2CB"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0A3EF7CD"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2CB533D6"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3E9273B5"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36DADDD"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71B3B938"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6D5938E"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A8A6BF4"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4B5C406A"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B3388D3" wp14:editId="4314CE6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28490" w14:textId="734E0F8B" w:rsidR="00C17E43" w:rsidRPr="003C32BC" w:rsidRDefault="00C17E43" w:rsidP="00C17E4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85794D">
                              <w:rPr>
                                <w:rFonts w:asciiTheme="majorHAnsi" w:hAnsiTheme="majorHAnsi"/>
                                <w:color w:val="0D0D0D" w:themeColor="text1" w:themeTint="F2"/>
                                <w:sz w:val="18"/>
                                <w:szCs w:val="22"/>
                              </w:rPr>
                              <w:t>September 16,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88D3"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29F28490" w14:textId="734E0F8B" w:rsidR="00C17E43" w:rsidRPr="003C32BC" w:rsidRDefault="00C17E43" w:rsidP="00C17E4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85794D">
                        <w:rPr>
                          <w:rFonts w:asciiTheme="majorHAnsi" w:hAnsiTheme="majorHAnsi"/>
                          <w:color w:val="0D0D0D" w:themeColor="text1" w:themeTint="F2"/>
                          <w:sz w:val="18"/>
                          <w:szCs w:val="22"/>
                        </w:rPr>
                        <w:t>September 16, 2024.</w:t>
                      </w:r>
                    </w:p>
                  </w:txbxContent>
                </v:textbox>
              </v:shape>
            </w:pict>
          </mc:Fallback>
        </mc:AlternateContent>
      </w:r>
    </w:p>
    <w:p w14:paraId="2D1FF501"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3E0700AE"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2DB1DA78"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B16FD78"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5C06B032"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040529E" wp14:editId="0EAE262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3522B" w14:textId="77777777" w:rsidR="0085794D" w:rsidRDefault="00C17E43" w:rsidP="00C17E43">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C17E43">
                              <w:rPr>
                                <w:rFonts w:asciiTheme="majorHAnsi" w:hAnsiTheme="majorHAnsi"/>
                                <w:color w:val="595959" w:themeColor="text1" w:themeTint="A6"/>
                                <w:sz w:val="18"/>
                              </w:rPr>
                              <w:t xml:space="preserve">IACHR Report No. </w:t>
                            </w:r>
                            <w:r w:rsidR="0085794D">
                              <w:rPr>
                                <w:rFonts w:asciiTheme="majorHAnsi" w:hAnsiTheme="majorHAnsi"/>
                                <w:color w:val="595959" w:themeColor="text1" w:themeTint="A6"/>
                                <w:sz w:val="18"/>
                              </w:rPr>
                              <w:t>150</w:t>
                            </w:r>
                            <w:r w:rsidRPr="00C17E43">
                              <w:rPr>
                                <w:rFonts w:asciiTheme="majorHAnsi" w:hAnsiTheme="majorHAnsi"/>
                                <w:color w:val="595959" w:themeColor="text1" w:themeTint="A6"/>
                                <w:sz w:val="18"/>
                              </w:rPr>
                              <w:t xml:space="preserve">/24. Petition 1602-14. Inadmissibility. </w:t>
                            </w:r>
                            <w:r>
                              <w:rPr>
                                <w:rFonts w:asciiTheme="majorHAnsi" w:hAnsiTheme="majorHAnsi"/>
                                <w:color w:val="595959" w:themeColor="text1" w:themeTint="A6"/>
                                <w:sz w:val="18"/>
                              </w:rPr>
                              <w:t xml:space="preserve"> </w:t>
                            </w:r>
                          </w:p>
                          <w:p w14:paraId="57D45FC1" w14:textId="39416B5E" w:rsidR="00C17E43" w:rsidRPr="0085794D" w:rsidRDefault="00C17E43" w:rsidP="00C17E43">
                            <w:pPr>
                              <w:spacing w:line="276" w:lineRule="auto"/>
                              <w:rPr>
                                <w:rFonts w:asciiTheme="majorHAnsi" w:hAnsiTheme="majorHAnsi"/>
                                <w:color w:val="595959" w:themeColor="text1" w:themeTint="A6"/>
                                <w:sz w:val="18"/>
                                <w:lang w:val="es-ES"/>
                              </w:rPr>
                            </w:pPr>
                            <w:r w:rsidRPr="0085794D">
                              <w:rPr>
                                <w:rFonts w:asciiTheme="majorHAnsi" w:hAnsiTheme="majorHAnsi"/>
                                <w:color w:val="595959" w:themeColor="text1" w:themeTint="A6"/>
                                <w:sz w:val="18"/>
                                <w:lang w:val="es-ES"/>
                              </w:rPr>
                              <w:t xml:space="preserve">Amparo Ramírez Ospina et al. Colombia. </w:t>
                            </w:r>
                            <w:r w:rsidR="0085794D">
                              <w:rPr>
                                <w:rFonts w:asciiTheme="majorHAnsi" w:hAnsiTheme="majorHAnsi"/>
                                <w:color w:val="595959" w:themeColor="text1" w:themeTint="A6"/>
                                <w:sz w:val="18"/>
                                <w:lang w:val="es-ES"/>
                              </w:rPr>
                              <w:t>September 16</w:t>
                            </w:r>
                            <w:r w:rsidRPr="0085794D">
                              <w:rPr>
                                <w:rFonts w:asciiTheme="majorHAnsi" w:hAnsiTheme="majorHAnsi"/>
                                <w:color w:val="595959" w:themeColor="text1" w:themeTint="A6"/>
                                <w:sz w:val="18"/>
                                <w:lang w:val="es-ES"/>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529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1C3522B" w14:textId="77777777" w:rsidR="0085794D" w:rsidRDefault="00C17E43" w:rsidP="00C17E43">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C17E43">
                        <w:rPr>
                          <w:rFonts w:asciiTheme="majorHAnsi" w:hAnsiTheme="majorHAnsi"/>
                          <w:color w:val="595959" w:themeColor="text1" w:themeTint="A6"/>
                          <w:sz w:val="18"/>
                        </w:rPr>
                        <w:t xml:space="preserve">IACHR Report No. </w:t>
                      </w:r>
                      <w:r w:rsidR="0085794D">
                        <w:rPr>
                          <w:rFonts w:asciiTheme="majorHAnsi" w:hAnsiTheme="majorHAnsi"/>
                          <w:color w:val="595959" w:themeColor="text1" w:themeTint="A6"/>
                          <w:sz w:val="18"/>
                        </w:rPr>
                        <w:t>150</w:t>
                      </w:r>
                      <w:r w:rsidRPr="00C17E43">
                        <w:rPr>
                          <w:rFonts w:asciiTheme="majorHAnsi" w:hAnsiTheme="majorHAnsi"/>
                          <w:color w:val="595959" w:themeColor="text1" w:themeTint="A6"/>
                          <w:sz w:val="18"/>
                        </w:rPr>
                        <w:t xml:space="preserve">/24. Petition 1602-14. Inadmissibility. </w:t>
                      </w:r>
                      <w:r>
                        <w:rPr>
                          <w:rFonts w:asciiTheme="majorHAnsi" w:hAnsiTheme="majorHAnsi"/>
                          <w:color w:val="595959" w:themeColor="text1" w:themeTint="A6"/>
                          <w:sz w:val="18"/>
                        </w:rPr>
                        <w:t xml:space="preserve"> </w:t>
                      </w:r>
                    </w:p>
                    <w:p w14:paraId="57D45FC1" w14:textId="39416B5E" w:rsidR="00C17E43" w:rsidRPr="0085794D" w:rsidRDefault="00C17E43" w:rsidP="00C17E43">
                      <w:pPr>
                        <w:spacing w:line="276" w:lineRule="auto"/>
                        <w:rPr>
                          <w:rFonts w:asciiTheme="majorHAnsi" w:hAnsiTheme="majorHAnsi"/>
                          <w:color w:val="595959" w:themeColor="text1" w:themeTint="A6"/>
                          <w:sz w:val="18"/>
                          <w:lang w:val="es-ES"/>
                        </w:rPr>
                      </w:pPr>
                      <w:r w:rsidRPr="0085794D">
                        <w:rPr>
                          <w:rFonts w:asciiTheme="majorHAnsi" w:hAnsiTheme="majorHAnsi"/>
                          <w:color w:val="595959" w:themeColor="text1" w:themeTint="A6"/>
                          <w:sz w:val="18"/>
                          <w:lang w:val="es-ES"/>
                        </w:rPr>
                        <w:t xml:space="preserve">Amparo Ramírez Ospina et al. Colombia. </w:t>
                      </w:r>
                      <w:r w:rsidR="0085794D">
                        <w:rPr>
                          <w:rFonts w:asciiTheme="majorHAnsi" w:hAnsiTheme="majorHAnsi"/>
                          <w:color w:val="595959" w:themeColor="text1" w:themeTint="A6"/>
                          <w:sz w:val="18"/>
                          <w:lang w:val="es-ES"/>
                        </w:rPr>
                        <w:t>September 16</w:t>
                      </w:r>
                      <w:r w:rsidRPr="0085794D">
                        <w:rPr>
                          <w:rFonts w:asciiTheme="majorHAnsi" w:hAnsiTheme="majorHAnsi"/>
                          <w:color w:val="595959" w:themeColor="text1" w:themeTint="A6"/>
                          <w:sz w:val="18"/>
                          <w:lang w:val="es-ES"/>
                        </w:rPr>
                        <w:t>, 2024.</w:t>
                      </w:r>
                    </w:p>
                  </w:txbxContent>
                </v:textbox>
              </v:shape>
            </w:pict>
          </mc:Fallback>
        </mc:AlternateContent>
      </w:r>
    </w:p>
    <w:p w14:paraId="07A25292"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79466DCC" w14:textId="77777777" w:rsidR="00C17E43" w:rsidRPr="003C32BC" w:rsidRDefault="00C17E43" w:rsidP="00C17E43">
      <w:pPr>
        <w:tabs>
          <w:tab w:val="center" w:pos="5400"/>
        </w:tabs>
        <w:suppressAutoHyphens/>
        <w:jc w:val="center"/>
        <w:rPr>
          <w:rFonts w:asciiTheme="majorHAnsi" w:hAnsiTheme="majorHAnsi"/>
          <w:sz w:val="18"/>
          <w:szCs w:val="22"/>
          <w:lang w:val="es-ES_tradnl"/>
        </w:rPr>
      </w:pPr>
    </w:p>
    <w:p w14:paraId="1DEF253F" w14:textId="77777777" w:rsidR="00C17E43" w:rsidRPr="003C32BC" w:rsidRDefault="00C17E43" w:rsidP="00C17E43">
      <w:pPr>
        <w:tabs>
          <w:tab w:val="center" w:pos="5400"/>
        </w:tabs>
        <w:suppressAutoHyphens/>
        <w:jc w:val="center"/>
        <w:rPr>
          <w:rFonts w:asciiTheme="majorHAnsi" w:hAnsiTheme="majorHAnsi"/>
          <w:sz w:val="18"/>
          <w:szCs w:val="22"/>
        </w:rPr>
      </w:pPr>
    </w:p>
    <w:p w14:paraId="7A74985B" w14:textId="2A0CD9CF" w:rsidR="00C17E43" w:rsidRPr="003C32BC" w:rsidRDefault="004171CF" w:rsidP="00C17E43">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37EB5534" wp14:editId="2D8D896E">
                <wp:simplePos x="0" y="0"/>
                <wp:positionH relativeFrom="column">
                  <wp:posOffset>1208598</wp:posOffset>
                </wp:positionH>
                <wp:positionV relativeFrom="paragraph">
                  <wp:posOffset>726578</wp:posOffset>
                </wp:positionV>
                <wp:extent cx="2085975" cy="493588"/>
                <wp:effectExtent l="0" t="0" r="9525" b="1905"/>
                <wp:wrapNone/>
                <wp:docPr id="2" name="Text Box 2"/>
                <wp:cNvGraphicFramePr/>
                <a:graphic xmlns:a="http://schemas.openxmlformats.org/drawingml/2006/main">
                  <a:graphicData uri="http://schemas.microsoft.com/office/word/2010/wordprocessingShape">
                    <wps:wsp>
                      <wps:cNvSpPr txBox="1"/>
                      <wps:spPr>
                        <a:xfrm>
                          <a:off x="0" y="0"/>
                          <a:ext cx="2085975" cy="493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2BFE" w14:textId="77777777" w:rsidR="00C17E43" w:rsidRDefault="00C17E43" w:rsidP="00C17E43">
                            <w:r>
                              <w:rPr>
                                <w:noProof/>
                              </w:rPr>
                              <w:drawing>
                                <wp:inline distT="0" distB="0" distL="0" distR="0" wp14:anchorId="4A9C97DF" wp14:editId="747B35B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5534" id="Text Box 2" o:spid="_x0000_s1031" type="#_x0000_t202" style="position:absolute;left:0;text-align:left;margin-left:95.15pt;margin-top:57.2pt;width:164.25pt;height:3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" fillcolor="white [3201]" stroked="f" strokeweight=".5pt">
                <v:textbox>
                  <w:txbxContent>
                    <w:p w14:paraId="4D582BFE" w14:textId="77777777" w:rsidR="00C17E43" w:rsidRDefault="00C17E43" w:rsidP="00C17E43">
                      <w:r>
                        <w:rPr>
                          <w:noProof/>
                        </w:rPr>
                        <w:drawing>
                          <wp:inline distT="0" distB="0" distL="0" distR="0" wp14:anchorId="4A9C97DF" wp14:editId="747B35BA">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C17E43"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49FA8D32" wp14:editId="3B2D390A">
                <wp:simplePos x="0" y="0"/>
                <wp:positionH relativeFrom="column">
                  <wp:posOffset>-306401</wp:posOffset>
                </wp:positionH>
                <wp:positionV relativeFrom="paragraph">
                  <wp:posOffset>842645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A47FB" w14:textId="1F2063A5" w:rsidR="00C17E43" w:rsidRPr="004B7EB6" w:rsidRDefault="00C17E43" w:rsidP="00C17E43">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171C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A8D32" id="Text Box 3" o:spid="_x0000_s1032" type="#_x0000_t202" style="position:absolute;left:0;text-align:left;margin-left:-24.15pt;margin-top:66.3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" filled="f" stroked="f" strokeweight=".5pt">
                <v:textbox>
                  <w:txbxContent>
                    <w:p w14:paraId="096A47FB" w14:textId="1F2063A5" w:rsidR="00C17E43" w:rsidRPr="004B7EB6" w:rsidRDefault="00C17E43" w:rsidP="00C17E43">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171C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6605DD48" w14:textId="77777777" w:rsidR="00C17E43" w:rsidRDefault="00C17E43" w:rsidP="00C17E43">
      <w:pPr>
        <w:tabs>
          <w:tab w:val="center" w:pos="5400"/>
        </w:tabs>
        <w:suppressAutoHyphens/>
        <w:jc w:val="center"/>
        <w:rPr>
          <w:rFonts w:asciiTheme="majorHAnsi" w:hAnsiTheme="majorHAnsi"/>
          <w:sz w:val="18"/>
          <w:szCs w:val="22"/>
        </w:rPr>
        <w:sectPr w:rsidR="00C17E43" w:rsidSect="00C17E4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F669F64" w14:textId="77777777" w:rsidR="006678F0" w:rsidRPr="00466D0B" w:rsidRDefault="006678F0" w:rsidP="006678F0">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EB4" w:rsidRPr="000B6B7A" w14:paraId="20221B83" w14:textId="77777777" w:rsidTr="00E01EF8">
        <w:tc>
          <w:tcPr>
            <w:tcW w:w="3690" w:type="dxa"/>
            <w:tcBorders>
              <w:top w:val="single" w:sz="4" w:space="0" w:color="auto"/>
              <w:bottom w:val="single" w:sz="6" w:space="0" w:color="auto"/>
            </w:tcBorders>
            <w:shd w:val="clear" w:color="auto" w:fill="67AE3C"/>
            <w:vAlign w:val="center"/>
          </w:tcPr>
          <w:p w14:paraId="7EFD99FD" w14:textId="77777777" w:rsidR="00F62EB4" w:rsidRPr="000B6B7A" w:rsidRDefault="00F62EB4" w:rsidP="00F62EB4">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tcPr>
          <w:p w14:paraId="620976DE" w14:textId="6E166AA4" w:rsidR="00F62EB4" w:rsidRPr="00F62EB4" w:rsidRDefault="00F62EB4" w:rsidP="00F62EB4">
            <w:pPr>
              <w:jc w:val="both"/>
              <w:rPr>
                <w:rFonts w:asciiTheme="majorHAnsi" w:hAnsiTheme="majorHAnsi"/>
                <w:bCs/>
                <w:sz w:val="20"/>
                <w:szCs w:val="20"/>
              </w:rPr>
            </w:pPr>
            <w:r w:rsidRPr="00F62EB4">
              <w:rPr>
                <w:rFonts w:asciiTheme="majorHAnsi" w:hAnsiTheme="majorHAnsi"/>
                <w:sz w:val="20"/>
                <w:szCs w:val="20"/>
              </w:rPr>
              <w:t>Oscar Gerardo Torres Trujillo</w:t>
            </w:r>
          </w:p>
        </w:tc>
      </w:tr>
      <w:tr w:rsidR="00F62EB4" w:rsidRPr="000B6B7A" w14:paraId="508985FC" w14:textId="77777777" w:rsidTr="00E01EF8">
        <w:tc>
          <w:tcPr>
            <w:tcW w:w="3690" w:type="dxa"/>
            <w:tcBorders>
              <w:top w:val="single" w:sz="6" w:space="0" w:color="auto"/>
              <w:bottom w:val="single" w:sz="6" w:space="0" w:color="auto"/>
            </w:tcBorders>
            <w:shd w:val="clear" w:color="auto" w:fill="67AE3C"/>
            <w:vAlign w:val="center"/>
          </w:tcPr>
          <w:p w14:paraId="5786238A" w14:textId="77777777" w:rsidR="00F62EB4" w:rsidRPr="000B6B7A" w:rsidRDefault="00AB1642" w:rsidP="00F62EB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8338284"/>
                <w:placeholder>
                  <w:docPart w:val="6F43BF9DB6E9E8429570475254499F15"/>
                </w:placeholder>
                <w:dropDownList>
                  <w:listItem w:value="Choose an item."/>
                  <w:listItem w:displayText="Alleged victim" w:value="Alleged victim"/>
                  <w:listItem w:displayText="Alleged victims" w:value="Alleged victims"/>
                </w:dropDownList>
              </w:sdtPr>
              <w:sdtEndPr/>
              <w:sdtContent>
                <w:r w:rsidR="00F62EB4">
                  <w:rPr>
                    <w:rFonts w:ascii="Cambria" w:hAnsi="Cambria"/>
                    <w:b/>
                    <w:bCs/>
                    <w:color w:val="FFFFFF" w:themeColor="background1"/>
                    <w:sz w:val="20"/>
                    <w:szCs w:val="20"/>
                  </w:rPr>
                  <w:t>Alleged victim</w:t>
                </w:r>
              </w:sdtContent>
            </w:sdt>
            <w:r w:rsidR="00F62EB4" w:rsidRPr="000C4365">
              <w:rPr>
                <w:rFonts w:ascii="Cambria" w:hAnsi="Cambria"/>
                <w:b/>
                <w:bCs/>
                <w:color w:val="FFFFFF" w:themeColor="background1"/>
                <w:sz w:val="20"/>
                <w:szCs w:val="20"/>
              </w:rPr>
              <w:t>:</w:t>
            </w:r>
          </w:p>
        </w:tc>
        <w:tc>
          <w:tcPr>
            <w:tcW w:w="5557" w:type="dxa"/>
          </w:tcPr>
          <w:p w14:paraId="500E52C1" w14:textId="57F9E894" w:rsidR="00F62EB4" w:rsidRPr="00F62EB4" w:rsidRDefault="00F62EB4" w:rsidP="00F62EB4">
            <w:pPr>
              <w:jc w:val="both"/>
              <w:rPr>
                <w:rFonts w:asciiTheme="majorHAnsi" w:hAnsiTheme="majorHAnsi"/>
                <w:bCs/>
                <w:sz w:val="20"/>
                <w:szCs w:val="20"/>
              </w:rPr>
            </w:pPr>
            <w:r w:rsidRPr="00F62EB4">
              <w:rPr>
                <w:rFonts w:asciiTheme="majorHAnsi" w:hAnsiTheme="majorHAnsi"/>
                <w:sz w:val="20"/>
                <w:szCs w:val="20"/>
              </w:rPr>
              <w:t xml:space="preserve">Amparo Ramírez Ospina </w:t>
            </w:r>
            <w:r w:rsidR="00473FD1">
              <w:rPr>
                <w:rFonts w:asciiTheme="majorHAnsi" w:hAnsiTheme="majorHAnsi"/>
                <w:sz w:val="20"/>
                <w:szCs w:val="20"/>
              </w:rPr>
              <w:t>et al</w:t>
            </w:r>
            <w:r w:rsidR="0027521F" w:rsidRPr="00321569">
              <w:rPr>
                <w:rStyle w:val="FootnoteReference"/>
                <w:rFonts w:ascii="Cambria" w:hAnsi="Cambria"/>
                <w:bCs/>
                <w:sz w:val="20"/>
                <w:szCs w:val="20"/>
              </w:rPr>
              <w:footnoteReference w:id="2"/>
            </w:r>
            <w:r w:rsidRPr="00F62EB4">
              <w:rPr>
                <w:rFonts w:asciiTheme="majorHAnsi" w:hAnsiTheme="majorHAnsi"/>
                <w:sz w:val="20"/>
                <w:szCs w:val="20"/>
              </w:rPr>
              <w:t xml:space="preserve"> </w:t>
            </w:r>
          </w:p>
        </w:tc>
      </w:tr>
      <w:tr w:rsidR="00F62EB4" w:rsidRPr="000B6B7A" w14:paraId="40CA0066" w14:textId="77777777" w:rsidTr="00E01EF8">
        <w:tc>
          <w:tcPr>
            <w:tcW w:w="3690" w:type="dxa"/>
            <w:tcBorders>
              <w:top w:val="single" w:sz="6" w:space="0" w:color="auto"/>
              <w:bottom w:val="single" w:sz="6" w:space="0" w:color="auto"/>
            </w:tcBorders>
            <w:shd w:val="clear" w:color="auto" w:fill="67AE3C"/>
            <w:vAlign w:val="center"/>
          </w:tcPr>
          <w:p w14:paraId="46E60683" w14:textId="77777777" w:rsidR="00F62EB4" w:rsidRPr="000B6B7A" w:rsidRDefault="00F62EB4" w:rsidP="00F62EB4">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tcPr>
          <w:p w14:paraId="0194B3FF" w14:textId="6155BB10" w:rsidR="00F62EB4" w:rsidRPr="00F62EB4" w:rsidRDefault="00F62EB4" w:rsidP="00F62EB4">
            <w:pPr>
              <w:jc w:val="both"/>
              <w:rPr>
                <w:rFonts w:asciiTheme="majorHAnsi" w:hAnsiTheme="majorHAnsi"/>
                <w:bCs/>
                <w:sz w:val="20"/>
                <w:szCs w:val="20"/>
              </w:rPr>
            </w:pPr>
            <w:r w:rsidRPr="00F62EB4">
              <w:rPr>
                <w:rFonts w:asciiTheme="majorHAnsi" w:hAnsiTheme="majorHAnsi"/>
                <w:sz w:val="20"/>
                <w:szCs w:val="20"/>
              </w:rPr>
              <w:t>Colombia</w:t>
            </w:r>
            <w:r w:rsidR="0027521F" w:rsidRPr="00321569">
              <w:rPr>
                <w:rStyle w:val="FootnoteReference"/>
                <w:rFonts w:ascii="Cambria" w:hAnsi="Cambria"/>
                <w:bCs/>
                <w:sz w:val="20"/>
                <w:szCs w:val="20"/>
              </w:rPr>
              <w:footnoteReference w:id="3"/>
            </w:r>
            <w:r w:rsidRPr="00F62EB4">
              <w:rPr>
                <w:rFonts w:asciiTheme="majorHAnsi" w:hAnsiTheme="majorHAnsi"/>
                <w:sz w:val="20"/>
                <w:szCs w:val="20"/>
              </w:rPr>
              <w:t xml:space="preserve"> </w:t>
            </w:r>
          </w:p>
        </w:tc>
      </w:tr>
      <w:tr w:rsidR="00F62EB4" w:rsidRPr="000B6B7A" w14:paraId="17EC4EBF" w14:textId="77777777" w:rsidTr="00E01EF8">
        <w:tc>
          <w:tcPr>
            <w:tcW w:w="3690" w:type="dxa"/>
            <w:tcBorders>
              <w:top w:val="single" w:sz="6" w:space="0" w:color="auto"/>
              <w:bottom w:val="single" w:sz="6" w:space="0" w:color="auto"/>
            </w:tcBorders>
            <w:shd w:val="clear" w:color="auto" w:fill="67AE3C"/>
            <w:vAlign w:val="center"/>
          </w:tcPr>
          <w:p w14:paraId="207E1CD4" w14:textId="77777777" w:rsidR="00F62EB4" w:rsidRPr="000B6B7A" w:rsidRDefault="00F62EB4" w:rsidP="00F62EB4">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tcPr>
          <w:p w14:paraId="2124B2CE" w14:textId="0DCDF3D8" w:rsidR="00F62EB4" w:rsidRPr="00F62EB4" w:rsidRDefault="00483640" w:rsidP="00F62EB4">
            <w:pPr>
              <w:jc w:val="both"/>
              <w:rPr>
                <w:rFonts w:asciiTheme="majorHAnsi" w:hAnsiTheme="majorHAnsi"/>
                <w:bCs/>
                <w:sz w:val="20"/>
                <w:szCs w:val="20"/>
              </w:rPr>
            </w:pPr>
            <w:r w:rsidRPr="00483640">
              <w:rPr>
                <w:rFonts w:asciiTheme="majorHAnsi" w:hAnsiTheme="majorHAnsi"/>
                <w:sz w:val="20"/>
                <w:szCs w:val="20"/>
              </w:rPr>
              <w:t>Articles 8 (right to a fair trial), 24 (right to equal protection)</w:t>
            </w:r>
            <w:r>
              <w:rPr>
                <w:rFonts w:asciiTheme="majorHAnsi" w:hAnsiTheme="majorHAnsi"/>
                <w:sz w:val="20"/>
                <w:szCs w:val="20"/>
              </w:rPr>
              <w:t>,</w:t>
            </w:r>
            <w:r w:rsidRPr="00483640">
              <w:rPr>
                <w:rFonts w:asciiTheme="majorHAnsi" w:hAnsiTheme="majorHAnsi"/>
                <w:sz w:val="20"/>
                <w:szCs w:val="20"/>
              </w:rPr>
              <w:t xml:space="preserve"> and 25 (</w:t>
            </w:r>
            <w:r>
              <w:rPr>
                <w:rFonts w:asciiTheme="majorHAnsi" w:hAnsiTheme="majorHAnsi"/>
                <w:sz w:val="20"/>
                <w:szCs w:val="20"/>
              </w:rPr>
              <w:t xml:space="preserve">right to </w:t>
            </w:r>
            <w:r w:rsidRPr="00483640">
              <w:rPr>
                <w:rFonts w:asciiTheme="majorHAnsi" w:hAnsiTheme="majorHAnsi"/>
                <w:sz w:val="20"/>
                <w:szCs w:val="20"/>
              </w:rPr>
              <w:t>judicial protection) of the American Convention on Human Rights</w:t>
            </w:r>
            <w:r w:rsidR="0027521F" w:rsidRPr="00321569">
              <w:rPr>
                <w:rStyle w:val="FootnoteReference"/>
                <w:rFonts w:ascii="Cambria" w:hAnsi="Cambria"/>
                <w:bCs/>
                <w:sz w:val="20"/>
                <w:szCs w:val="20"/>
              </w:rPr>
              <w:footnoteReference w:id="4"/>
            </w:r>
            <w:r w:rsidR="00F62EB4" w:rsidRPr="00F62EB4">
              <w:rPr>
                <w:rFonts w:asciiTheme="majorHAnsi" w:hAnsiTheme="majorHAnsi"/>
                <w:sz w:val="20"/>
                <w:szCs w:val="20"/>
              </w:rPr>
              <w:t xml:space="preserve"> </w:t>
            </w:r>
          </w:p>
        </w:tc>
      </w:tr>
    </w:tbl>
    <w:p w14:paraId="5F95BAEB" w14:textId="5925F795" w:rsidR="006678F0" w:rsidRPr="000B6B7A" w:rsidRDefault="006678F0" w:rsidP="006678F0">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27521F" w:rsidRPr="00321569">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27521F" w:rsidRPr="000B6B7A" w14:paraId="4504B0C9" w14:textId="77777777" w:rsidTr="00A15C0F">
        <w:tc>
          <w:tcPr>
            <w:tcW w:w="3690" w:type="dxa"/>
            <w:tcBorders>
              <w:top w:val="single" w:sz="6" w:space="0" w:color="auto"/>
              <w:bottom w:val="single" w:sz="6" w:space="0" w:color="auto"/>
            </w:tcBorders>
            <w:shd w:val="clear" w:color="auto" w:fill="67AE3C"/>
            <w:vAlign w:val="center"/>
          </w:tcPr>
          <w:p w14:paraId="0E30B8CB" w14:textId="77777777" w:rsidR="0027521F" w:rsidRPr="000B6B7A" w:rsidRDefault="0027521F" w:rsidP="0027521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557" w:type="dxa"/>
          </w:tcPr>
          <w:p w14:paraId="7E2DFB0A" w14:textId="4044D1D0" w:rsidR="0027521F" w:rsidRPr="0027521F" w:rsidRDefault="00483640" w:rsidP="0027521F">
            <w:pPr>
              <w:jc w:val="both"/>
              <w:rPr>
                <w:rFonts w:asciiTheme="majorHAnsi" w:hAnsiTheme="majorHAnsi"/>
                <w:bCs/>
                <w:sz w:val="20"/>
                <w:szCs w:val="20"/>
              </w:rPr>
            </w:pPr>
            <w:r>
              <w:rPr>
                <w:rFonts w:asciiTheme="majorHAnsi" w:hAnsiTheme="majorHAnsi"/>
                <w:sz w:val="20"/>
                <w:szCs w:val="20"/>
              </w:rPr>
              <w:t xml:space="preserve">November </w:t>
            </w:r>
            <w:r w:rsidR="0027521F" w:rsidRPr="0027521F">
              <w:rPr>
                <w:rFonts w:asciiTheme="majorHAnsi" w:hAnsiTheme="majorHAnsi"/>
                <w:sz w:val="20"/>
                <w:szCs w:val="20"/>
              </w:rPr>
              <w:t>21</w:t>
            </w:r>
            <w:r>
              <w:rPr>
                <w:rFonts w:asciiTheme="majorHAnsi" w:hAnsiTheme="majorHAnsi"/>
                <w:sz w:val="20"/>
                <w:szCs w:val="20"/>
              </w:rPr>
              <w:t xml:space="preserve">, </w:t>
            </w:r>
            <w:r w:rsidR="0027521F" w:rsidRPr="0027521F">
              <w:rPr>
                <w:rFonts w:asciiTheme="majorHAnsi" w:hAnsiTheme="majorHAnsi"/>
                <w:sz w:val="20"/>
                <w:szCs w:val="20"/>
              </w:rPr>
              <w:t>2014</w:t>
            </w:r>
          </w:p>
        </w:tc>
      </w:tr>
      <w:tr w:rsidR="0027521F" w:rsidRPr="000B6B7A" w14:paraId="3E4464F1" w14:textId="77777777" w:rsidTr="00A15C0F">
        <w:tc>
          <w:tcPr>
            <w:tcW w:w="3690" w:type="dxa"/>
            <w:tcBorders>
              <w:top w:val="single" w:sz="6" w:space="0" w:color="auto"/>
              <w:bottom w:val="single" w:sz="6" w:space="0" w:color="auto"/>
            </w:tcBorders>
            <w:shd w:val="clear" w:color="auto" w:fill="67AE3C"/>
            <w:vAlign w:val="center"/>
          </w:tcPr>
          <w:p w14:paraId="5FFED620" w14:textId="77777777" w:rsidR="0027521F" w:rsidRPr="000B6B7A" w:rsidRDefault="0027521F" w:rsidP="0027521F">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tcPr>
          <w:p w14:paraId="4E6971ED" w14:textId="290CE7DF" w:rsidR="0027521F" w:rsidRPr="0027521F" w:rsidRDefault="00483640" w:rsidP="0027521F">
            <w:pPr>
              <w:jc w:val="both"/>
              <w:rPr>
                <w:rFonts w:asciiTheme="majorHAnsi" w:hAnsiTheme="majorHAnsi"/>
                <w:bCs/>
                <w:sz w:val="20"/>
                <w:szCs w:val="20"/>
              </w:rPr>
            </w:pPr>
            <w:r w:rsidRPr="00483640">
              <w:rPr>
                <w:rFonts w:asciiTheme="majorHAnsi" w:hAnsiTheme="majorHAnsi"/>
                <w:sz w:val="20"/>
                <w:szCs w:val="20"/>
              </w:rPr>
              <w:t>June 9, 2015, May 24, 2017</w:t>
            </w:r>
            <w:r>
              <w:rPr>
                <w:rFonts w:asciiTheme="majorHAnsi" w:hAnsiTheme="majorHAnsi"/>
                <w:sz w:val="20"/>
                <w:szCs w:val="20"/>
              </w:rPr>
              <w:t>,</w:t>
            </w:r>
            <w:r w:rsidRPr="00483640">
              <w:rPr>
                <w:rFonts w:asciiTheme="majorHAnsi" w:hAnsiTheme="majorHAnsi"/>
                <w:sz w:val="20"/>
                <w:szCs w:val="20"/>
              </w:rPr>
              <w:t xml:space="preserve"> and November 27, 2016</w:t>
            </w:r>
          </w:p>
        </w:tc>
      </w:tr>
      <w:tr w:rsidR="0027521F" w:rsidRPr="000B6B7A" w14:paraId="5D05C211" w14:textId="77777777" w:rsidTr="00A15C0F">
        <w:tc>
          <w:tcPr>
            <w:tcW w:w="3690" w:type="dxa"/>
            <w:tcBorders>
              <w:top w:val="single" w:sz="6" w:space="0" w:color="auto"/>
              <w:bottom w:val="single" w:sz="6" w:space="0" w:color="auto"/>
            </w:tcBorders>
            <w:shd w:val="clear" w:color="auto" w:fill="67AE3C"/>
            <w:vAlign w:val="center"/>
          </w:tcPr>
          <w:p w14:paraId="60E15534" w14:textId="77777777" w:rsidR="0027521F" w:rsidRPr="000B6B7A" w:rsidRDefault="0027521F" w:rsidP="0027521F">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557" w:type="dxa"/>
          </w:tcPr>
          <w:p w14:paraId="3F8E9C0F" w14:textId="5197DA1C" w:rsidR="0027521F" w:rsidRPr="0027521F" w:rsidRDefault="00483640" w:rsidP="0027521F">
            <w:pPr>
              <w:jc w:val="both"/>
              <w:rPr>
                <w:rFonts w:asciiTheme="majorHAnsi" w:hAnsiTheme="majorHAnsi"/>
                <w:bCs/>
                <w:sz w:val="20"/>
                <w:szCs w:val="20"/>
              </w:rPr>
            </w:pPr>
            <w:r>
              <w:rPr>
                <w:rFonts w:asciiTheme="majorHAnsi" w:hAnsiTheme="majorHAnsi"/>
                <w:sz w:val="20"/>
                <w:szCs w:val="20"/>
              </w:rPr>
              <w:t>April 7,</w:t>
            </w:r>
            <w:r w:rsidR="0027521F" w:rsidRPr="0027521F">
              <w:rPr>
                <w:rFonts w:asciiTheme="majorHAnsi" w:hAnsiTheme="majorHAnsi"/>
                <w:sz w:val="20"/>
                <w:szCs w:val="20"/>
              </w:rPr>
              <w:t xml:space="preserve"> 2022</w:t>
            </w:r>
          </w:p>
        </w:tc>
      </w:tr>
      <w:tr w:rsidR="0027521F" w:rsidRPr="000B6B7A" w14:paraId="2F986D54" w14:textId="77777777" w:rsidTr="00A15C0F">
        <w:trPr>
          <w:trHeight w:val="264"/>
        </w:trPr>
        <w:tc>
          <w:tcPr>
            <w:tcW w:w="3690" w:type="dxa"/>
            <w:tcBorders>
              <w:top w:val="single" w:sz="6" w:space="0" w:color="auto"/>
              <w:bottom w:val="single" w:sz="6" w:space="0" w:color="auto"/>
            </w:tcBorders>
            <w:shd w:val="clear" w:color="auto" w:fill="67AE3C"/>
            <w:vAlign w:val="center"/>
          </w:tcPr>
          <w:p w14:paraId="40F2DF1E" w14:textId="4762D73D" w:rsidR="0027521F" w:rsidRPr="000B6B7A" w:rsidRDefault="0027521F" w:rsidP="0027521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FE1278">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557" w:type="dxa"/>
          </w:tcPr>
          <w:p w14:paraId="40664CAD" w14:textId="6B1D3A0F" w:rsidR="0027521F" w:rsidRPr="0027521F" w:rsidRDefault="00483640" w:rsidP="0027521F">
            <w:pPr>
              <w:jc w:val="both"/>
              <w:rPr>
                <w:rFonts w:asciiTheme="majorHAnsi" w:hAnsiTheme="majorHAnsi"/>
                <w:bCs/>
                <w:sz w:val="20"/>
                <w:szCs w:val="20"/>
              </w:rPr>
            </w:pPr>
            <w:r>
              <w:rPr>
                <w:rFonts w:asciiTheme="majorHAnsi" w:hAnsiTheme="majorHAnsi"/>
                <w:sz w:val="20"/>
                <w:szCs w:val="20"/>
              </w:rPr>
              <w:t xml:space="preserve">August </w:t>
            </w:r>
            <w:r w:rsidR="0027521F" w:rsidRPr="0027521F">
              <w:rPr>
                <w:rFonts w:asciiTheme="majorHAnsi" w:hAnsiTheme="majorHAnsi"/>
                <w:sz w:val="20"/>
                <w:szCs w:val="20"/>
              </w:rPr>
              <w:t>3</w:t>
            </w:r>
            <w:r>
              <w:rPr>
                <w:rFonts w:asciiTheme="majorHAnsi" w:hAnsiTheme="majorHAnsi"/>
                <w:sz w:val="20"/>
                <w:szCs w:val="20"/>
              </w:rPr>
              <w:t xml:space="preserve">, </w:t>
            </w:r>
            <w:r w:rsidR="0027521F" w:rsidRPr="0027521F">
              <w:rPr>
                <w:rFonts w:asciiTheme="majorHAnsi" w:hAnsiTheme="majorHAnsi"/>
                <w:sz w:val="20"/>
                <w:szCs w:val="20"/>
              </w:rPr>
              <w:t>2022</w:t>
            </w:r>
          </w:p>
        </w:tc>
      </w:tr>
      <w:tr w:rsidR="0027521F" w:rsidRPr="000B6B7A" w14:paraId="3CA525D5" w14:textId="77777777" w:rsidTr="00A15C0F">
        <w:tc>
          <w:tcPr>
            <w:tcW w:w="3690" w:type="dxa"/>
            <w:tcBorders>
              <w:top w:val="single" w:sz="6" w:space="0" w:color="auto"/>
              <w:bottom w:val="single" w:sz="6" w:space="0" w:color="auto"/>
            </w:tcBorders>
            <w:shd w:val="clear" w:color="auto" w:fill="67AE3C"/>
            <w:vAlign w:val="center"/>
          </w:tcPr>
          <w:p w14:paraId="05A6F940"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tcPr>
          <w:p w14:paraId="71B4B588" w14:textId="22C14E76" w:rsidR="0027521F" w:rsidRPr="0027521F" w:rsidRDefault="00483640" w:rsidP="0027521F">
            <w:pPr>
              <w:jc w:val="both"/>
              <w:rPr>
                <w:rFonts w:asciiTheme="majorHAnsi" w:hAnsiTheme="majorHAnsi"/>
                <w:bCs/>
                <w:sz w:val="20"/>
                <w:szCs w:val="20"/>
              </w:rPr>
            </w:pPr>
            <w:r w:rsidRPr="00483640">
              <w:rPr>
                <w:rFonts w:asciiTheme="majorHAnsi" w:hAnsiTheme="majorHAnsi"/>
                <w:sz w:val="20"/>
                <w:szCs w:val="20"/>
              </w:rPr>
              <w:t>February 10, 2023</w:t>
            </w:r>
            <w:r>
              <w:rPr>
                <w:rFonts w:asciiTheme="majorHAnsi" w:hAnsiTheme="majorHAnsi"/>
                <w:sz w:val="20"/>
                <w:szCs w:val="20"/>
              </w:rPr>
              <w:t>,</w:t>
            </w:r>
            <w:r w:rsidRPr="00483640">
              <w:rPr>
                <w:rFonts w:asciiTheme="majorHAnsi" w:hAnsiTheme="majorHAnsi"/>
                <w:sz w:val="20"/>
                <w:szCs w:val="20"/>
              </w:rPr>
              <w:t xml:space="preserve"> and February 28, 2023</w:t>
            </w:r>
          </w:p>
        </w:tc>
      </w:tr>
      <w:tr w:rsidR="0027521F" w:rsidRPr="000B6B7A" w14:paraId="4C66F602" w14:textId="77777777" w:rsidTr="00A15C0F">
        <w:tc>
          <w:tcPr>
            <w:tcW w:w="3690" w:type="dxa"/>
            <w:tcBorders>
              <w:top w:val="single" w:sz="6" w:space="0" w:color="auto"/>
              <w:bottom w:val="single" w:sz="6" w:space="0" w:color="auto"/>
            </w:tcBorders>
            <w:shd w:val="clear" w:color="auto" w:fill="67AE3C"/>
            <w:vAlign w:val="center"/>
          </w:tcPr>
          <w:p w14:paraId="792F2154" w14:textId="77777777" w:rsidR="0027521F" w:rsidRPr="000B6B7A" w:rsidRDefault="0027521F" w:rsidP="0027521F">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557" w:type="dxa"/>
          </w:tcPr>
          <w:p w14:paraId="201E7B25" w14:textId="3F5D1F38" w:rsidR="0027521F" w:rsidRPr="0027521F" w:rsidRDefault="00483640" w:rsidP="0027521F">
            <w:pPr>
              <w:jc w:val="both"/>
              <w:rPr>
                <w:rFonts w:asciiTheme="majorHAnsi" w:hAnsiTheme="majorHAnsi"/>
                <w:bCs/>
                <w:sz w:val="20"/>
                <w:szCs w:val="20"/>
              </w:rPr>
            </w:pPr>
            <w:r>
              <w:rPr>
                <w:rFonts w:asciiTheme="majorHAnsi" w:hAnsiTheme="majorHAnsi"/>
                <w:sz w:val="20"/>
                <w:szCs w:val="20"/>
              </w:rPr>
              <w:t xml:space="preserve">July </w:t>
            </w:r>
            <w:r w:rsidR="0027521F" w:rsidRPr="0027521F">
              <w:rPr>
                <w:rFonts w:asciiTheme="majorHAnsi" w:hAnsiTheme="majorHAnsi"/>
                <w:sz w:val="20"/>
                <w:szCs w:val="20"/>
              </w:rPr>
              <w:t>8</w:t>
            </w:r>
            <w:r>
              <w:rPr>
                <w:rFonts w:asciiTheme="majorHAnsi" w:hAnsiTheme="majorHAnsi"/>
                <w:sz w:val="20"/>
                <w:szCs w:val="20"/>
              </w:rPr>
              <w:t xml:space="preserve">, </w:t>
            </w:r>
            <w:r w:rsidR="0027521F" w:rsidRPr="0027521F">
              <w:rPr>
                <w:rFonts w:asciiTheme="majorHAnsi" w:hAnsiTheme="majorHAnsi"/>
                <w:sz w:val="20"/>
                <w:szCs w:val="20"/>
              </w:rPr>
              <w:t>2020</w:t>
            </w:r>
          </w:p>
        </w:tc>
      </w:tr>
      <w:tr w:rsidR="0027521F" w:rsidRPr="000B6B7A" w14:paraId="3EF24F17" w14:textId="77777777" w:rsidTr="00A15C0F">
        <w:tc>
          <w:tcPr>
            <w:tcW w:w="3690" w:type="dxa"/>
            <w:tcBorders>
              <w:top w:val="single" w:sz="6" w:space="0" w:color="auto"/>
              <w:bottom w:val="single" w:sz="6" w:space="0" w:color="auto"/>
            </w:tcBorders>
            <w:shd w:val="clear" w:color="auto" w:fill="67AE3C"/>
            <w:vAlign w:val="center"/>
          </w:tcPr>
          <w:p w14:paraId="24F89414" w14:textId="2707E4A9" w:rsidR="0027521F" w:rsidRDefault="0027521F" w:rsidP="0027521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E1278">
              <w:rPr>
                <w:rFonts w:ascii="Cambria" w:hAnsi="Cambria"/>
                <w:b/>
                <w:bCs/>
                <w:color w:val="FFFFFF" w:themeColor="background1"/>
                <w:sz w:val="20"/>
                <w:szCs w:val="20"/>
              </w:rPr>
              <w:t>’</w:t>
            </w:r>
            <w:r>
              <w:rPr>
                <w:rFonts w:ascii="Cambria" w:hAnsi="Cambria"/>
                <w:b/>
                <w:bCs/>
                <w:color w:val="FFFFFF" w:themeColor="background1"/>
                <w:sz w:val="20"/>
                <w:szCs w:val="20"/>
              </w:rPr>
              <w:t>s response to the notification regarding the possible archiving of the petition:</w:t>
            </w:r>
          </w:p>
        </w:tc>
        <w:tc>
          <w:tcPr>
            <w:tcW w:w="5557" w:type="dxa"/>
          </w:tcPr>
          <w:p w14:paraId="6F558593" w14:textId="2E25595E" w:rsidR="0027521F" w:rsidRPr="0027521F" w:rsidRDefault="00483640" w:rsidP="0027521F">
            <w:pPr>
              <w:jc w:val="both"/>
              <w:rPr>
                <w:rFonts w:asciiTheme="majorHAnsi" w:hAnsiTheme="majorHAnsi"/>
                <w:bCs/>
                <w:sz w:val="20"/>
                <w:szCs w:val="20"/>
              </w:rPr>
            </w:pPr>
            <w:r>
              <w:rPr>
                <w:rFonts w:asciiTheme="majorHAnsi" w:hAnsiTheme="majorHAnsi"/>
                <w:sz w:val="20"/>
                <w:szCs w:val="20"/>
              </w:rPr>
              <w:t xml:space="preserve">August </w:t>
            </w:r>
            <w:r w:rsidR="0027521F" w:rsidRPr="0027521F">
              <w:rPr>
                <w:rFonts w:asciiTheme="majorHAnsi" w:hAnsiTheme="majorHAnsi"/>
                <w:sz w:val="20"/>
                <w:szCs w:val="20"/>
              </w:rPr>
              <w:t>5</w:t>
            </w:r>
            <w:r>
              <w:rPr>
                <w:rFonts w:asciiTheme="majorHAnsi" w:hAnsiTheme="majorHAnsi"/>
                <w:sz w:val="20"/>
                <w:szCs w:val="20"/>
              </w:rPr>
              <w:t xml:space="preserve">, </w:t>
            </w:r>
            <w:r w:rsidR="0027521F" w:rsidRPr="0027521F">
              <w:rPr>
                <w:rFonts w:asciiTheme="majorHAnsi" w:hAnsiTheme="majorHAnsi"/>
                <w:sz w:val="20"/>
                <w:szCs w:val="20"/>
              </w:rPr>
              <w:t>2020</w:t>
            </w:r>
          </w:p>
        </w:tc>
      </w:tr>
    </w:tbl>
    <w:p w14:paraId="24EFEA1F" w14:textId="77777777" w:rsidR="006678F0" w:rsidRPr="000B6B7A" w:rsidRDefault="006678F0" w:rsidP="006678F0">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27521F" w:rsidRPr="000B6B7A" w14:paraId="3E242CA0" w14:textId="77777777" w:rsidTr="0027521F">
        <w:trPr>
          <w:cantSplit/>
        </w:trPr>
        <w:tc>
          <w:tcPr>
            <w:tcW w:w="3655" w:type="dxa"/>
            <w:tcBorders>
              <w:top w:val="single" w:sz="4" w:space="0" w:color="auto"/>
              <w:bottom w:val="single" w:sz="6" w:space="0" w:color="auto"/>
            </w:tcBorders>
            <w:shd w:val="clear" w:color="auto" w:fill="67AE3C"/>
            <w:vAlign w:val="center"/>
          </w:tcPr>
          <w:p w14:paraId="22F5732B" w14:textId="77777777" w:rsidR="0027521F" w:rsidRPr="000B6B7A" w:rsidRDefault="0027521F" w:rsidP="0027521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tcPr>
          <w:p w14:paraId="3D4FEC2C" w14:textId="51C4B59B" w:rsidR="0027521F" w:rsidRPr="0027521F" w:rsidRDefault="00AB7C42" w:rsidP="0027521F">
            <w:pPr>
              <w:rPr>
                <w:rFonts w:asciiTheme="majorHAnsi" w:hAnsiTheme="majorHAnsi"/>
                <w:bCs/>
                <w:sz w:val="20"/>
                <w:szCs w:val="20"/>
              </w:rPr>
            </w:pPr>
            <w:r>
              <w:rPr>
                <w:rFonts w:asciiTheme="majorHAnsi" w:hAnsiTheme="majorHAnsi"/>
                <w:sz w:val="20"/>
                <w:szCs w:val="20"/>
              </w:rPr>
              <w:t>Yes</w:t>
            </w:r>
          </w:p>
        </w:tc>
      </w:tr>
      <w:tr w:rsidR="0027521F" w:rsidRPr="000B6B7A" w14:paraId="44D2F57A" w14:textId="77777777" w:rsidTr="0027521F">
        <w:trPr>
          <w:cantSplit/>
        </w:trPr>
        <w:tc>
          <w:tcPr>
            <w:tcW w:w="3655" w:type="dxa"/>
            <w:tcBorders>
              <w:top w:val="single" w:sz="6" w:space="0" w:color="auto"/>
              <w:bottom w:val="single" w:sz="6" w:space="0" w:color="auto"/>
            </w:tcBorders>
            <w:shd w:val="clear" w:color="auto" w:fill="67AE3C"/>
            <w:vAlign w:val="center"/>
          </w:tcPr>
          <w:p w14:paraId="0CD0CB66"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tcPr>
          <w:p w14:paraId="4117B04B" w14:textId="2C4AE7D3" w:rsidR="0027521F" w:rsidRPr="0027521F" w:rsidRDefault="00AB7C42" w:rsidP="0027521F">
            <w:pPr>
              <w:rPr>
                <w:rFonts w:asciiTheme="majorHAnsi" w:hAnsiTheme="majorHAnsi"/>
                <w:bCs/>
                <w:sz w:val="20"/>
                <w:szCs w:val="20"/>
              </w:rPr>
            </w:pPr>
            <w:r>
              <w:rPr>
                <w:rFonts w:asciiTheme="majorHAnsi" w:hAnsiTheme="majorHAnsi"/>
                <w:sz w:val="20"/>
                <w:szCs w:val="20"/>
              </w:rPr>
              <w:t>Yes</w:t>
            </w:r>
          </w:p>
        </w:tc>
      </w:tr>
      <w:tr w:rsidR="0027521F" w:rsidRPr="000B6B7A" w14:paraId="63E9EF87" w14:textId="77777777" w:rsidTr="0027521F">
        <w:trPr>
          <w:cantSplit/>
        </w:trPr>
        <w:tc>
          <w:tcPr>
            <w:tcW w:w="3655" w:type="dxa"/>
            <w:tcBorders>
              <w:top w:val="single" w:sz="6" w:space="0" w:color="auto"/>
              <w:bottom w:val="single" w:sz="6" w:space="0" w:color="auto"/>
            </w:tcBorders>
            <w:shd w:val="clear" w:color="auto" w:fill="67AE3C"/>
            <w:vAlign w:val="center"/>
          </w:tcPr>
          <w:p w14:paraId="6C20270E"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tcPr>
          <w:p w14:paraId="288726D8" w14:textId="2DA3998D" w:rsidR="0027521F" w:rsidRPr="0027521F" w:rsidRDefault="00AB7C42" w:rsidP="0027521F">
            <w:pPr>
              <w:rPr>
                <w:rFonts w:asciiTheme="majorHAnsi" w:hAnsiTheme="majorHAnsi"/>
                <w:bCs/>
                <w:sz w:val="20"/>
                <w:szCs w:val="20"/>
              </w:rPr>
            </w:pPr>
            <w:r>
              <w:rPr>
                <w:rFonts w:asciiTheme="majorHAnsi" w:hAnsiTheme="majorHAnsi"/>
                <w:sz w:val="20"/>
                <w:szCs w:val="20"/>
              </w:rPr>
              <w:t>Yes</w:t>
            </w:r>
          </w:p>
        </w:tc>
      </w:tr>
      <w:tr w:rsidR="0027521F" w:rsidRPr="000B6B7A" w14:paraId="1B2AD581" w14:textId="77777777" w:rsidTr="00AB7C42">
        <w:trPr>
          <w:cantSplit/>
          <w:trHeight w:val="489"/>
        </w:trPr>
        <w:tc>
          <w:tcPr>
            <w:tcW w:w="3655" w:type="dxa"/>
            <w:tcBorders>
              <w:top w:val="single" w:sz="6" w:space="0" w:color="auto"/>
              <w:bottom w:val="single" w:sz="6" w:space="0" w:color="auto"/>
            </w:tcBorders>
            <w:shd w:val="clear" w:color="auto" w:fill="67AE3C"/>
            <w:vAlign w:val="center"/>
          </w:tcPr>
          <w:p w14:paraId="2096FDB0"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tcPr>
          <w:p w14:paraId="5B8F1523" w14:textId="6988E214" w:rsidR="0027521F" w:rsidRPr="0027521F" w:rsidRDefault="00AB7C42" w:rsidP="0027521F">
            <w:pPr>
              <w:jc w:val="both"/>
              <w:rPr>
                <w:rFonts w:asciiTheme="majorHAnsi" w:hAnsiTheme="majorHAnsi"/>
                <w:bCs/>
                <w:sz w:val="20"/>
                <w:szCs w:val="20"/>
              </w:rPr>
            </w:pPr>
            <w:r>
              <w:rPr>
                <w:rFonts w:asciiTheme="majorHAnsi" w:hAnsiTheme="majorHAnsi"/>
                <w:sz w:val="20"/>
                <w:szCs w:val="20"/>
              </w:rPr>
              <w:t>Yes</w:t>
            </w:r>
            <w:r w:rsidR="0027521F" w:rsidRPr="0027521F">
              <w:rPr>
                <w:rFonts w:asciiTheme="majorHAnsi" w:hAnsiTheme="majorHAnsi"/>
                <w:sz w:val="20"/>
                <w:szCs w:val="20"/>
              </w:rPr>
              <w:t xml:space="preserve">, </w:t>
            </w:r>
            <w:r>
              <w:rPr>
                <w:rFonts w:asciiTheme="majorHAnsi" w:hAnsiTheme="majorHAnsi"/>
                <w:sz w:val="20"/>
                <w:szCs w:val="20"/>
              </w:rPr>
              <w:t>American Convention</w:t>
            </w:r>
            <w:r w:rsidR="0027521F" w:rsidRPr="0027521F">
              <w:rPr>
                <w:rFonts w:asciiTheme="majorHAnsi" w:hAnsiTheme="majorHAnsi"/>
                <w:sz w:val="20"/>
                <w:szCs w:val="20"/>
              </w:rPr>
              <w:t xml:space="preserve"> (</w:t>
            </w:r>
            <w:r>
              <w:rPr>
                <w:rFonts w:asciiTheme="majorHAnsi" w:hAnsiTheme="majorHAnsi"/>
                <w:sz w:val="20"/>
                <w:szCs w:val="20"/>
              </w:rPr>
              <w:t>instrument deposited on July 31, 1973)</w:t>
            </w:r>
          </w:p>
        </w:tc>
      </w:tr>
    </w:tbl>
    <w:p w14:paraId="554D7E05" w14:textId="77777777" w:rsidR="006678F0" w:rsidRPr="000B6B7A" w:rsidRDefault="006678F0" w:rsidP="006678F0">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27521F" w:rsidRPr="000B6B7A" w14:paraId="6FF7BA43" w14:textId="77777777" w:rsidTr="0027521F">
        <w:trPr>
          <w:cantSplit/>
        </w:trPr>
        <w:tc>
          <w:tcPr>
            <w:tcW w:w="3656" w:type="dxa"/>
            <w:tcBorders>
              <w:top w:val="single" w:sz="4" w:space="0" w:color="auto"/>
              <w:bottom w:val="single" w:sz="6" w:space="0" w:color="auto"/>
            </w:tcBorders>
            <w:shd w:val="clear" w:color="auto" w:fill="67AE3C"/>
            <w:vAlign w:val="center"/>
          </w:tcPr>
          <w:p w14:paraId="18E85C96"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tcPr>
          <w:p w14:paraId="2534A702" w14:textId="4B02A2D7" w:rsidR="0027521F" w:rsidRPr="0027521F" w:rsidRDefault="0027521F" w:rsidP="0027521F">
            <w:pPr>
              <w:jc w:val="both"/>
              <w:rPr>
                <w:rFonts w:asciiTheme="majorHAnsi" w:hAnsiTheme="majorHAnsi"/>
                <w:bCs/>
                <w:sz w:val="20"/>
                <w:szCs w:val="20"/>
              </w:rPr>
            </w:pPr>
            <w:r w:rsidRPr="0027521F">
              <w:rPr>
                <w:rFonts w:asciiTheme="majorHAnsi" w:hAnsiTheme="majorHAnsi"/>
                <w:sz w:val="20"/>
                <w:szCs w:val="20"/>
              </w:rPr>
              <w:t>No</w:t>
            </w:r>
          </w:p>
        </w:tc>
      </w:tr>
      <w:tr w:rsidR="0027521F" w:rsidRPr="000B6B7A" w14:paraId="268E0C3F" w14:textId="77777777" w:rsidTr="0027521F">
        <w:trPr>
          <w:cantSplit/>
        </w:trPr>
        <w:tc>
          <w:tcPr>
            <w:tcW w:w="3656" w:type="dxa"/>
            <w:tcBorders>
              <w:top w:val="single" w:sz="6" w:space="0" w:color="auto"/>
              <w:bottom w:val="single" w:sz="6" w:space="0" w:color="auto"/>
            </w:tcBorders>
            <w:shd w:val="clear" w:color="auto" w:fill="67AE3C"/>
            <w:vAlign w:val="center"/>
          </w:tcPr>
          <w:p w14:paraId="0DB18192" w14:textId="77777777" w:rsidR="0027521F" w:rsidRPr="000B6B7A" w:rsidRDefault="0027521F" w:rsidP="0027521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tcPr>
          <w:p w14:paraId="6DC480CC" w14:textId="170D6CD1" w:rsidR="0027521F" w:rsidRPr="0027521F" w:rsidRDefault="0027521F" w:rsidP="0027521F">
            <w:pPr>
              <w:jc w:val="both"/>
              <w:rPr>
                <w:rFonts w:asciiTheme="majorHAnsi" w:hAnsiTheme="majorHAnsi"/>
                <w:bCs/>
                <w:sz w:val="20"/>
                <w:szCs w:val="20"/>
              </w:rPr>
            </w:pPr>
            <w:r w:rsidRPr="0027521F">
              <w:rPr>
                <w:rFonts w:asciiTheme="majorHAnsi" w:hAnsiTheme="majorHAnsi"/>
                <w:sz w:val="20"/>
                <w:szCs w:val="20"/>
              </w:rPr>
              <w:t>N</w:t>
            </w:r>
            <w:r w:rsidR="00AB7C42">
              <w:rPr>
                <w:rFonts w:asciiTheme="majorHAnsi" w:hAnsiTheme="majorHAnsi"/>
                <w:sz w:val="20"/>
                <w:szCs w:val="20"/>
              </w:rPr>
              <w:t>one</w:t>
            </w:r>
          </w:p>
        </w:tc>
      </w:tr>
      <w:tr w:rsidR="0027521F" w:rsidRPr="000B6B7A" w14:paraId="2363ED87" w14:textId="77777777" w:rsidTr="0027521F">
        <w:trPr>
          <w:cantSplit/>
        </w:trPr>
        <w:tc>
          <w:tcPr>
            <w:tcW w:w="3656" w:type="dxa"/>
            <w:tcBorders>
              <w:top w:val="single" w:sz="6" w:space="0" w:color="auto"/>
              <w:bottom w:val="single" w:sz="6" w:space="0" w:color="auto"/>
            </w:tcBorders>
            <w:shd w:val="clear" w:color="auto" w:fill="67AE3C"/>
            <w:vAlign w:val="center"/>
          </w:tcPr>
          <w:p w14:paraId="3278835C"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tcPr>
          <w:p w14:paraId="3E998A85" w14:textId="586EA71D" w:rsidR="0027521F" w:rsidRPr="0027521F" w:rsidRDefault="00AB7C42" w:rsidP="0027521F">
            <w:pPr>
              <w:rPr>
                <w:rFonts w:asciiTheme="majorHAnsi" w:hAnsiTheme="majorHAnsi"/>
                <w:bCs/>
                <w:sz w:val="20"/>
                <w:szCs w:val="20"/>
              </w:rPr>
            </w:pPr>
            <w:r w:rsidRPr="00AB7C42">
              <w:rPr>
                <w:rFonts w:asciiTheme="majorHAnsi" w:hAnsiTheme="majorHAnsi"/>
                <w:sz w:val="20"/>
                <w:szCs w:val="20"/>
              </w:rPr>
              <w:t>No, pursuant to the terms of Section VI</w:t>
            </w:r>
          </w:p>
        </w:tc>
      </w:tr>
      <w:tr w:rsidR="0027521F" w:rsidRPr="000B6B7A" w14:paraId="09722782" w14:textId="77777777" w:rsidTr="0027521F">
        <w:trPr>
          <w:cantSplit/>
        </w:trPr>
        <w:tc>
          <w:tcPr>
            <w:tcW w:w="3656" w:type="dxa"/>
            <w:tcBorders>
              <w:top w:val="single" w:sz="6" w:space="0" w:color="auto"/>
              <w:bottom w:val="single" w:sz="6" w:space="0" w:color="auto"/>
            </w:tcBorders>
            <w:shd w:val="clear" w:color="auto" w:fill="67AE3C"/>
            <w:vAlign w:val="center"/>
          </w:tcPr>
          <w:p w14:paraId="4B9C2C62" w14:textId="77777777" w:rsidR="0027521F" w:rsidRPr="000B6B7A" w:rsidRDefault="0027521F" w:rsidP="002752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tcPr>
          <w:p w14:paraId="415F8B5C" w14:textId="010B176D" w:rsidR="0027521F" w:rsidRPr="0027521F" w:rsidRDefault="00AB7C42" w:rsidP="0027521F">
            <w:pPr>
              <w:rPr>
                <w:rFonts w:asciiTheme="majorHAnsi" w:hAnsiTheme="majorHAnsi"/>
                <w:bCs/>
                <w:sz w:val="20"/>
                <w:szCs w:val="20"/>
              </w:rPr>
            </w:pPr>
            <w:r w:rsidRPr="00AB7C42">
              <w:rPr>
                <w:rFonts w:asciiTheme="majorHAnsi" w:hAnsiTheme="majorHAnsi"/>
                <w:sz w:val="20"/>
                <w:szCs w:val="20"/>
              </w:rPr>
              <w:t>No, pursuant to the terms of Section VI</w:t>
            </w:r>
          </w:p>
        </w:tc>
      </w:tr>
    </w:tbl>
    <w:p w14:paraId="39D7FE3D" w14:textId="77777777" w:rsidR="006678F0" w:rsidRDefault="006678F0" w:rsidP="0027521F">
      <w:pPr>
        <w:spacing w:after="240"/>
        <w:jc w:val="both"/>
        <w:rPr>
          <w:rFonts w:asciiTheme="majorHAnsi" w:hAnsiTheme="majorHAnsi"/>
          <w:b/>
          <w:bCs/>
          <w:sz w:val="20"/>
          <w:szCs w:val="20"/>
        </w:rPr>
        <w:sectPr w:rsidR="006678F0"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pPr>
    </w:p>
    <w:p w14:paraId="1D82661B" w14:textId="77777777" w:rsidR="009C00D6" w:rsidRPr="00321569" w:rsidRDefault="009C00D6" w:rsidP="0027521F">
      <w:pPr>
        <w:spacing w:before="240" w:after="240"/>
        <w:jc w:val="both"/>
        <w:rPr>
          <w:rFonts w:asciiTheme="majorHAnsi" w:hAnsiTheme="majorHAnsi"/>
          <w:b/>
          <w:sz w:val="20"/>
          <w:szCs w:val="20"/>
        </w:rPr>
      </w:pPr>
    </w:p>
    <w:p w14:paraId="18E6423B" w14:textId="3F2BA778" w:rsidR="003239B8" w:rsidRPr="00321569" w:rsidRDefault="00223A29" w:rsidP="003239B8">
      <w:pPr>
        <w:spacing w:before="240" w:after="240"/>
        <w:ind w:firstLine="720"/>
        <w:jc w:val="both"/>
        <w:rPr>
          <w:rFonts w:asciiTheme="majorHAnsi" w:hAnsiTheme="majorHAnsi"/>
          <w:b/>
          <w:sz w:val="20"/>
          <w:szCs w:val="20"/>
          <w:lang w:bidi="ar-MA"/>
        </w:rPr>
      </w:pPr>
      <w:r w:rsidRPr="00321569">
        <w:rPr>
          <w:rFonts w:asciiTheme="majorHAnsi" w:hAnsiTheme="majorHAnsi"/>
          <w:b/>
          <w:sz w:val="20"/>
          <w:szCs w:val="20"/>
        </w:rPr>
        <w:t xml:space="preserve">V. </w:t>
      </w:r>
      <w:r w:rsidRPr="00321569">
        <w:rPr>
          <w:rFonts w:asciiTheme="majorHAnsi" w:hAnsiTheme="majorHAnsi"/>
          <w:b/>
          <w:sz w:val="20"/>
          <w:szCs w:val="20"/>
        </w:rPr>
        <w:tab/>
      </w:r>
      <w:r w:rsidR="006678F0" w:rsidRPr="006678F0">
        <w:rPr>
          <w:rFonts w:asciiTheme="majorHAnsi" w:hAnsiTheme="majorHAnsi"/>
          <w:b/>
          <w:sz w:val="20"/>
          <w:szCs w:val="20"/>
          <w:lang w:bidi="ar-MA"/>
        </w:rPr>
        <w:t>POSITIONS</w:t>
      </w:r>
      <w:r w:rsidR="006678F0">
        <w:rPr>
          <w:rFonts w:asciiTheme="majorHAnsi" w:hAnsiTheme="majorHAnsi"/>
          <w:b/>
          <w:sz w:val="20"/>
          <w:szCs w:val="20"/>
          <w:lang w:bidi="ar-MA"/>
        </w:rPr>
        <w:t xml:space="preserve"> OF THE PARTIES</w:t>
      </w:r>
    </w:p>
    <w:p w14:paraId="5B849E5C" w14:textId="43113C89" w:rsidR="00A65EE1" w:rsidRPr="00321569" w:rsidRDefault="00807323" w:rsidP="003239B8">
      <w:pPr>
        <w:spacing w:before="240" w:after="240"/>
        <w:ind w:firstLine="720"/>
        <w:jc w:val="both"/>
        <w:rPr>
          <w:rFonts w:asciiTheme="majorHAnsi" w:hAnsiTheme="majorHAnsi"/>
          <w:bCs/>
          <w:i/>
          <w:iCs/>
          <w:sz w:val="20"/>
          <w:szCs w:val="20"/>
          <w:lang w:bidi="ar-MA"/>
        </w:rPr>
      </w:pPr>
      <w:r>
        <w:rPr>
          <w:rFonts w:asciiTheme="majorHAnsi" w:hAnsiTheme="majorHAnsi"/>
          <w:bCs/>
          <w:i/>
          <w:iCs/>
          <w:sz w:val="20"/>
          <w:szCs w:val="20"/>
          <w:lang w:bidi="ar-MA"/>
        </w:rPr>
        <w:t>Position of the petitioner</w:t>
      </w:r>
    </w:p>
    <w:p w14:paraId="681AC050" w14:textId="2C3F0103" w:rsidR="00F80313" w:rsidRPr="00321569" w:rsidRDefault="000F3305" w:rsidP="00F803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0F3305">
        <w:rPr>
          <w:rFonts w:asciiTheme="majorHAnsi" w:hAnsiTheme="majorHAnsi"/>
          <w:sz w:val="20"/>
          <w:szCs w:val="20"/>
          <w:lang w:bidi="ar-MA"/>
        </w:rPr>
        <w:t xml:space="preserve">The petitioner claims that the authorities have not complied with the </w:t>
      </w:r>
      <w:r>
        <w:rPr>
          <w:rFonts w:asciiTheme="majorHAnsi" w:hAnsiTheme="majorHAnsi"/>
          <w:sz w:val="20"/>
          <w:szCs w:val="20"/>
          <w:lang w:bidi="ar-MA"/>
        </w:rPr>
        <w:t xml:space="preserve">ruling on a </w:t>
      </w:r>
      <w:r w:rsidRPr="000F3305">
        <w:rPr>
          <w:rFonts w:asciiTheme="majorHAnsi" w:hAnsiTheme="majorHAnsi"/>
          <w:sz w:val="20"/>
          <w:szCs w:val="20"/>
          <w:lang w:bidi="ar-MA"/>
        </w:rPr>
        <w:t>petition for the protection of constitutional rights</w:t>
      </w:r>
      <w:r>
        <w:rPr>
          <w:rFonts w:asciiTheme="majorHAnsi" w:hAnsiTheme="majorHAnsi"/>
          <w:sz w:val="20"/>
          <w:szCs w:val="20"/>
          <w:lang w:bidi="ar-MA"/>
        </w:rPr>
        <w:t xml:space="preserve"> [</w:t>
      </w:r>
      <w:r w:rsidR="00F703AA" w:rsidRPr="00284040">
        <w:rPr>
          <w:rFonts w:asciiTheme="majorHAnsi" w:hAnsiTheme="majorHAnsi"/>
          <w:i/>
          <w:iCs/>
          <w:sz w:val="20"/>
          <w:szCs w:val="20"/>
          <w:lang w:bidi="ar-MA"/>
        </w:rPr>
        <w:t>acción de tutela</w:t>
      </w:r>
      <w:r>
        <w:rPr>
          <w:rFonts w:asciiTheme="majorHAnsi" w:hAnsiTheme="majorHAnsi"/>
          <w:sz w:val="20"/>
          <w:szCs w:val="20"/>
          <w:lang w:bidi="ar-MA"/>
        </w:rPr>
        <w:t>]</w:t>
      </w:r>
      <w:r w:rsidRPr="000F3305">
        <w:rPr>
          <w:rFonts w:asciiTheme="majorHAnsi" w:hAnsiTheme="majorHAnsi"/>
          <w:sz w:val="20"/>
          <w:szCs w:val="20"/>
          <w:lang w:bidi="ar-MA"/>
        </w:rPr>
        <w:t xml:space="preserve"> that ordered the payment of a </w:t>
      </w:r>
      <w:r>
        <w:rPr>
          <w:rFonts w:asciiTheme="majorHAnsi" w:hAnsiTheme="majorHAnsi"/>
          <w:sz w:val="20"/>
          <w:szCs w:val="20"/>
          <w:lang w:bidi="ar-MA"/>
        </w:rPr>
        <w:t>special</w:t>
      </w:r>
      <w:r w:rsidRPr="000F3305">
        <w:rPr>
          <w:rFonts w:asciiTheme="majorHAnsi" w:hAnsiTheme="majorHAnsi"/>
          <w:sz w:val="20"/>
          <w:szCs w:val="20"/>
          <w:lang w:bidi="ar-MA"/>
        </w:rPr>
        <w:t xml:space="preserve"> pension to the alleged victims for their work in education, </w:t>
      </w:r>
      <w:r w:rsidR="00D87378">
        <w:rPr>
          <w:rFonts w:asciiTheme="majorHAnsi" w:hAnsiTheme="majorHAnsi"/>
          <w:sz w:val="20"/>
          <w:szCs w:val="20"/>
          <w:lang w:bidi="ar-MA"/>
        </w:rPr>
        <w:t>violating</w:t>
      </w:r>
      <w:r w:rsidRPr="000F3305">
        <w:rPr>
          <w:rFonts w:asciiTheme="majorHAnsi" w:hAnsiTheme="majorHAnsi"/>
          <w:sz w:val="20"/>
          <w:szCs w:val="20"/>
          <w:lang w:bidi="ar-MA"/>
        </w:rPr>
        <w:t xml:space="preserve"> their right to judicial protection and </w:t>
      </w:r>
      <w:r>
        <w:rPr>
          <w:rFonts w:asciiTheme="majorHAnsi" w:hAnsiTheme="majorHAnsi"/>
          <w:sz w:val="20"/>
          <w:szCs w:val="20"/>
          <w:lang w:bidi="ar-MA"/>
        </w:rPr>
        <w:t>equal protection of</w:t>
      </w:r>
      <w:r w:rsidRPr="000F3305">
        <w:rPr>
          <w:rFonts w:asciiTheme="majorHAnsi" w:hAnsiTheme="majorHAnsi"/>
          <w:sz w:val="20"/>
          <w:szCs w:val="20"/>
          <w:lang w:bidi="ar-MA"/>
        </w:rPr>
        <w:t xml:space="preserve"> the law</w:t>
      </w:r>
      <w:r w:rsidR="00F96DE0" w:rsidRPr="00321569">
        <w:rPr>
          <w:rFonts w:asciiTheme="majorHAnsi" w:hAnsiTheme="majorHAnsi"/>
          <w:sz w:val="20"/>
          <w:szCs w:val="20"/>
          <w:lang w:bidi="ar-MA"/>
        </w:rPr>
        <w:t xml:space="preserve">. </w:t>
      </w:r>
      <w:r>
        <w:rPr>
          <w:rFonts w:asciiTheme="majorHAnsi" w:hAnsiTheme="majorHAnsi"/>
          <w:sz w:val="20"/>
          <w:szCs w:val="20"/>
          <w:lang w:bidi="ar-MA"/>
        </w:rPr>
        <w:t xml:space="preserve"> </w:t>
      </w:r>
      <w:r w:rsidR="007C1684">
        <w:rPr>
          <w:rFonts w:asciiTheme="majorHAnsi" w:hAnsiTheme="majorHAnsi"/>
          <w:sz w:val="20"/>
          <w:szCs w:val="20"/>
          <w:lang w:bidi="ar-MA"/>
        </w:rPr>
        <w:t xml:space="preserve"> </w:t>
      </w:r>
    </w:p>
    <w:p w14:paraId="2DBBAB74" w14:textId="48606F71" w:rsidR="00F80313" w:rsidRPr="00321569" w:rsidRDefault="00284040" w:rsidP="004900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284040">
        <w:rPr>
          <w:rFonts w:asciiTheme="majorHAnsi" w:hAnsiTheme="majorHAnsi"/>
          <w:sz w:val="20"/>
          <w:szCs w:val="20"/>
          <w:lang w:bidi="ar-MA"/>
        </w:rPr>
        <w:t xml:space="preserve">The petitioner states that the alleged victims worked as teachers, and therefore, under domestic law, are entitled to a special benefit called </w:t>
      </w:r>
      <w:r w:rsidR="00FE1278">
        <w:rPr>
          <w:rFonts w:asciiTheme="majorHAnsi" w:hAnsiTheme="majorHAnsi"/>
          <w:sz w:val="20"/>
          <w:szCs w:val="20"/>
          <w:lang w:bidi="ar-MA"/>
        </w:rPr>
        <w:t>“</w:t>
      </w:r>
      <w:r w:rsidR="00311833">
        <w:rPr>
          <w:rFonts w:asciiTheme="majorHAnsi" w:hAnsiTheme="majorHAnsi"/>
          <w:i/>
          <w:iCs/>
          <w:sz w:val="20"/>
          <w:szCs w:val="20"/>
          <w:lang w:bidi="ar-MA"/>
        </w:rPr>
        <w:t>special pension</w:t>
      </w:r>
      <w:r>
        <w:rPr>
          <w:rFonts w:asciiTheme="majorHAnsi" w:hAnsiTheme="majorHAnsi"/>
          <w:sz w:val="20"/>
          <w:szCs w:val="20"/>
          <w:lang w:bidi="ar-MA"/>
        </w:rPr>
        <w:t>,</w:t>
      </w:r>
      <w:r w:rsidR="00FE1278">
        <w:rPr>
          <w:rFonts w:asciiTheme="majorHAnsi" w:hAnsiTheme="majorHAnsi"/>
          <w:sz w:val="20"/>
          <w:szCs w:val="20"/>
          <w:lang w:bidi="ar-MA"/>
        </w:rPr>
        <w:t>”</w:t>
      </w:r>
      <w:r w:rsidRPr="00284040">
        <w:rPr>
          <w:rFonts w:asciiTheme="majorHAnsi" w:hAnsiTheme="majorHAnsi"/>
          <w:sz w:val="20"/>
          <w:szCs w:val="20"/>
          <w:lang w:bidi="ar-MA"/>
        </w:rPr>
        <w:t xml:space="preserve"> which consists of an additional pension allowance paid by the State</w:t>
      </w:r>
      <w:r w:rsidR="00F80313" w:rsidRPr="00321569">
        <w:rPr>
          <w:rFonts w:asciiTheme="majorHAnsi" w:hAnsiTheme="majorHAnsi"/>
          <w:sz w:val="20"/>
          <w:szCs w:val="20"/>
          <w:lang w:bidi="ar-MA"/>
        </w:rPr>
        <w:t xml:space="preserve">. </w:t>
      </w:r>
      <w:r w:rsidRPr="00284040">
        <w:rPr>
          <w:rFonts w:asciiTheme="majorHAnsi" w:hAnsiTheme="majorHAnsi"/>
          <w:sz w:val="20"/>
          <w:szCs w:val="20"/>
          <w:lang w:bidi="ar-MA"/>
        </w:rPr>
        <w:t xml:space="preserve">It claims that the National Social Security Fund (CAJANAL) denied this right to the alleged victims, who </w:t>
      </w:r>
      <w:r>
        <w:rPr>
          <w:rFonts w:asciiTheme="majorHAnsi" w:hAnsiTheme="majorHAnsi"/>
          <w:sz w:val="20"/>
          <w:szCs w:val="20"/>
          <w:lang w:bidi="ar-MA"/>
        </w:rPr>
        <w:t xml:space="preserve">subsequently </w:t>
      </w:r>
      <w:r w:rsidRPr="00284040">
        <w:rPr>
          <w:rFonts w:asciiTheme="majorHAnsi" w:hAnsiTheme="majorHAnsi"/>
          <w:sz w:val="20"/>
          <w:szCs w:val="20"/>
          <w:lang w:bidi="ar-MA"/>
        </w:rPr>
        <w:t xml:space="preserve">filed a </w:t>
      </w:r>
      <w:r w:rsidRPr="000F3305">
        <w:rPr>
          <w:rFonts w:asciiTheme="majorHAnsi" w:hAnsiTheme="majorHAnsi"/>
          <w:sz w:val="20"/>
          <w:szCs w:val="20"/>
          <w:lang w:bidi="ar-MA"/>
        </w:rPr>
        <w:t>petition for the protection of constitutional rights</w:t>
      </w:r>
      <w:r w:rsidRPr="00284040">
        <w:rPr>
          <w:rFonts w:asciiTheme="majorHAnsi" w:hAnsiTheme="majorHAnsi"/>
          <w:sz w:val="20"/>
          <w:szCs w:val="20"/>
          <w:lang w:bidi="ar-MA"/>
        </w:rPr>
        <w:t xml:space="preserve"> on June 8, 2006</w:t>
      </w:r>
      <w:r w:rsidR="00F80313" w:rsidRPr="00321569">
        <w:rPr>
          <w:rFonts w:asciiTheme="majorHAnsi" w:hAnsiTheme="majorHAnsi"/>
          <w:sz w:val="20"/>
          <w:szCs w:val="20"/>
          <w:lang w:bidi="ar-MA"/>
        </w:rPr>
        <w:t xml:space="preserve">. </w:t>
      </w:r>
      <w:r w:rsidR="005B5B88">
        <w:rPr>
          <w:rFonts w:asciiTheme="majorHAnsi" w:hAnsiTheme="majorHAnsi"/>
          <w:sz w:val="20"/>
          <w:szCs w:val="20"/>
          <w:lang w:bidi="ar-MA"/>
        </w:rPr>
        <w:t>On</w:t>
      </w:r>
      <w:r w:rsidR="005B5B88" w:rsidRPr="005B5B88">
        <w:rPr>
          <w:rFonts w:asciiTheme="majorHAnsi" w:hAnsiTheme="majorHAnsi"/>
          <w:sz w:val="20"/>
          <w:szCs w:val="20"/>
          <w:lang w:bidi="ar-MA"/>
        </w:rPr>
        <w:t xml:space="preserve"> June 22, 2006, the Ninth Criminal Court of the Cali Circuit found that it was appropriate to grant temporary protection to the alleged victims, and ordered CAJANAL to pay the claimed benefit to the plaintiffs until their situation was resolved through administrative litigation, </w:t>
      </w:r>
      <w:r w:rsidR="005B5B88">
        <w:rPr>
          <w:rFonts w:asciiTheme="majorHAnsi" w:hAnsiTheme="majorHAnsi"/>
          <w:sz w:val="20"/>
          <w:szCs w:val="20"/>
          <w:lang w:bidi="ar-MA"/>
        </w:rPr>
        <w:t>which is</w:t>
      </w:r>
      <w:r w:rsidR="005B5B88" w:rsidRPr="005B5B88">
        <w:rPr>
          <w:rFonts w:asciiTheme="majorHAnsi" w:hAnsiTheme="majorHAnsi"/>
          <w:sz w:val="20"/>
          <w:szCs w:val="20"/>
          <w:lang w:bidi="ar-MA"/>
        </w:rPr>
        <w:t xml:space="preserve"> the appropriate ordinary mechanism to decide such matters</w:t>
      </w:r>
      <w:r w:rsidR="00F80313" w:rsidRPr="00321569">
        <w:rPr>
          <w:rFonts w:asciiTheme="majorHAnsi" w:hAnsiTheme="majorHAnsi"/>
          <w:sz w:val="20"/>
          <w:szCs w:val="20"/>
          <w:lang w:bidi="ar-MA"/>
        </w:rPr>
        <w:t xml:space="preserve">. </w:t>
      </w:r>
      <w:r w:rsidR="005B5B88">
        <w:rPr>
          <w:rFonts w:asciiTheme="majorHAnsi" w:hAnsiTheme="majorHAnsi"/>
          <w:sz w:val="20"/>
          <w:szCs w:val="20"/>
          <w:lang w:bidi="ar-MA"/>
        </w:rPr>
        <w:t>The court</w:t>
      </w:r>
      <w:r w:rsidR="005B5B88" w:rsidRPr="005B5B88">
        <w:rPr>
          <w:rFonts w:asciiTheme="majorHAnsi" w:hAnsiTheme="majorHAnsi"/>
          <w:sz w:val="20"/>
          <w:szCs w:val="20"/>
          <w:lang w:bidi="ar-MA"/>
        </w:rPr>
        <w:t xml:space="preserve"> noted that if they had not done so, it was up to the alleged victims to file a</w:t>
      </w:r>
      <w:r w:rsidR="006F6400">
        <w:rPr>
          <w:rFonts w:asciiTheme="majorHAnsi" w:hAnsiTheme="majorHAnsi"/>
          <w:sz w:val="20"/>
          <w:szCs w:val="20"/>
          <w:lang w:bidi="ar-MA"/>
        </w:rPr>
        <w:t>n administrative</w:t>
      </w:r>
      <w:r w:rsidR="005B5B88" w:rsidRPr="005B5B88">
        <w:rPr>
          <w:rFonts w:asciiTheme="majorHAnsi" w:hAnsiTheme="majorHAnsi"/>
          <w:sz w:val="20"/>
          <w:szCs w:val="20"/>
          <w:lang w:bidi="ar-MA"/>
        </w:rPr>
        <w:t xml:space="preserve"> lawsuit. In the words of the judge</w:t>
      </w:r>
      <w:r w:rsidR="00F80313" w:rsidRPr="00321569">
        <w:rPr>
          <w:rFonts w:asciiTheme="majorHAnsi" w:hAnsiTheme="majorHAnsi"/>
          <w:sz w:val="20"/>
          <w:szCs w:val="20"/>
          <w:lang w:bidi="ar-MA"/>
        </w:rPr>
        <w:t>:</w:t>
      </w:r>
    </w:p>
    <w:p w14:paraId="43EC1254" w14:textId="2B339F7D" w:rsidR="00D251DA" w:rsidRPr="00321569" w:rsidRDefault="00565591" w:rsidP="000C16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bidi="ar-MA"/>
        </w:rPr>
      </w:pPr>
      <w:r w:rsidRPr="00321569">
        <w:rPr>
          <w:rFonts w:asciiTheme="majorHAnsi" w:hAnsiTheme="majorHAnsi"/>
          <w:color w:val="000000" w:themeColor="text1"/>
          <w:sz w:val="18"/>
          <w:szCs w:val="18"/>
          <w:lang w:bidi="ar-MA"/>
        </w:rPr>
        <w:t xml:space="preserve">[…] </w:t>
      </w:r>
      <w:r w:rsidR="00311833" w:rsidRPr="00311833">
        <w:rPr>
          <w:rFonts w:asciiTheme="majorHAnsi" w:hAnsiTheme="majorHAnsi"/>
          <w:color w:val="000000" w:themeColor="text1"/>
          <w:sz w:val="18"/>
          <w:szCs w:val="18"/>
          <w:lang w:bidi="ar-MA"/>
        </w:rPr>
        <w:t xml:space="preserve">the Court has reviewed the file and the documentation submitted by each of [the plaintiffs], </w:t>
      </w:r>
      <w:r w:rsidR="00311833">
        <w:rPr>
          <w:rFonts w:asciiTheme="majorHAnsi" w:hAnsiTheme="majorHAnsi"/>
          <w:color w:val="000000" w:themeColor="text1"/>
          <w:sz w:val="18"/>
          <w:szCs w:val="18"/>
          <w:lang w:bidi="ar-MA"/>
        </w:rPr>
        <w:t xml:space="preserve">and </w:t>
      </w:r>
      <w:r w:rsidR="00311833" w:rsidRPr="00311833">
        <w:rPr>
          <w:rFonts w:asciiTheme="majorHAnsi" w:hAnsiTheme="majorHAnsi"/>
          <w:color w:val="000000" w:themeColor="text1"/>
          <w:sz w:val="18"/>
          <w:szCs w:val="18"/>
          <w:lang w:bidi="ar-MA"/>
        </w:rPr>
        <w:t>it is clear that they met the legal requirements for accessing the special pension</w:t>
      </w:r>
      <w:r w:rsidR="00311833">
        <w:rPr>
          <w:rFonts w:asciiTheme="majorHAnsi" w:hAnsiTheme="majorHAnsi"/>
          <w:color w:val="000000" w:themeColor="text1"/>
          <w:sz w:val="18"/>
          <w:szCs w:val="18"/>
          <w:lang w:bidi="ar-MA"/>
        </w:rPr>
        <w:t xml:space="preserve"> </w:t>
      </w:r>
      <w:r w:rsidR="00394BB3" w:rsidRPr="00321569">
        <w:rPr>
          <w:rFonts w:asciiTheme="majorHAnsi" w:hAnsiTheme="majorHAnsi"/>
          <w:color w:val="000000" w:themeColor="text1"/>
          <w:sz w:val="18"/>
          <w:szCs w:val="18"/>
          <w:lang w:bidi="ar-MA"/>
        </w:rPr>
        <w:t>[…]</w:t>
      </w:r>
      <w:r w:rsidR="003F2F53" w:rsidRPr="00321569">
        <w:rPr>
          <w:rFonts w:asciiTheme="majorHAnsi" w:hAnsiTheme="majorHAnsi"/>
          <w:color w:val="000000" w:themeColor="text1"/>
          <w:sz w:val="18"/>
          <w:szCs w:val="18"/>
          <w:lang w:bidi="ar-MA"/>
        </w:rPr>
        <w:t xml:space="preserve">. </w:t>
      </w:r>
      <w:r w:rsidR="007E42D8" w:rsidRPr="007E42D8">
        <w:rPr>
          <w:rFonts w:asciiTheme="majorHAnsi" w:hAnsiTheme="majorHAnsi"/>
          <w:color w:val="000000" w:themeColor="text1"/>
          <w:sz w:val="18"/>
          <w:szCs w:val="18"/>
          <w:lang w:bidi="ar-MA"/>
        </w:rPr>
        <w:t xml:space="preserve">Based on the foregoing, this Court </w:t>
      </w:r>
      <w:r w:rsidR="007E42D8" w:rsidRPr="00803A07">
        <w:rPr>
          <w:rFonts w:asciiTheme="majorHAnsi" w:hAnsiTheme="majorHAnsi"/>
          <w:color w:val="000000" w:themeColor="text1"/>
          <w:sz w:val="18"/>
          <w:szCs w:val="18"/>
          <w:lang w:bidi="ar-MA"/>
        </w:rPr>
        <w:t xml:space="preserve">can verify the </w:t>
      </w:r>
      <w:r w:rsidR="005D71DC" w:rsidRPr="00803A07">
        <w:rPr>
          <w:rFonts w:asciiTheme="majorHAnsi" w:hAnsiTheme="majorHAnsi"/>
          <w:color w:val="000000" w:themeColor="text1"/>
          <w:sz w:val="18"/>
          <w:szCs w:val="18"/>
          <w:lang w:bidi="ar-MA"/>
        </w:rPr>
        <w:t xml:space="preserve">unlawful </w:t>
      </w:r>
      <w:r w:rsidR="00803A07">
        <w:rPr>
          <w:rFonts w:asciiTheme="majorHAnsi" w:hAnsiTheme="majorHAnsi"/>
          <w:color w:val="000000" w:themeColor="text1"/>
          <w:sz w:val="18"/>
          <w:szCs w:val="18"/>
          <w:lang w:bidi="ar-MA"/>
        </w:rPr>
        <w:t>and arbitrary nature of</w:t>
      </w:r>
      <w:r w:rsidR="007E42D8" w:rsidRPr="007E42D8">
        <w:rPr>
          <w:rFonts w:asciiTheme="majorHAnsi" w:hAnsiTheme="majorHAnsi"/>
          <w:color w:val="000000" w:themeColor="text1"/>
          <w:sz w:val="18"/>
          <w:szCs w:val="18"/>
          <w:lang w:bidi="ar-MA"/>
        </w:rPr>
        <w:t xml:space="preserve"> the decisions issued by the agency in question, in the way it </w:t>
      </w:r>
      <w:r w:rsidR="007E42D8" w:rsidRPr="00803A07">
        <w:rPr>
          <w:rFonts w:asciiTheme="majorHAnsi" w:hAnsiTheme="majorHAnsi"/>
          <w:color w:val="000000" w:themeColor="text1"/>
          <w:sz w:val="18"/>
          <w:szCs w:val="18"/>
          <w:lang w:bidi="ar-MA"/>
        </w:rPr>
        <w:t>denied the award of</w:t>
      </w:r>
      <w:r w:rsidR="007E42D8" w:rsidRPr="007E42D8">
        <w:rPr>
          <w:rFonts w:asciiTheme="majorHAnsi" w:hAnsiTheme="majorHAnsi"/>
          <w:color w:val="000000" w:themeColor="text1"/>
          <w:sz w:val="18"/>
          <w:szCs w:val="18"/>
          <w:lang w:bidi="ar-MA"/>
        </w:rPr>
        <w:t xml:space="preserve"> the </w:t>
      </w:r>
      <w:r w:rsidR="007E42D8">
        <w:rPr>
          <w:rFonts w:asciiTheme="majorHAnsi" w:hAnsiTheme="majorHAnsi"/>
          <w:color w:val="000000" w:themeColor="text1"/>
          <w:sz w:val="18"/>
          <w:szCs w:val="18"/>
          <w:lang w:bidi="ar-MA"/>
        </w:rPr>
        <w:t>special</w:t>
      </w:r>
      <w:r w:rsidR="007E42D8" w:rsidRPr="007E42D8">
        <w:rPr>
          <w:rFonts w:asciiTheme="majorHAnsi" w:hAnsiTheme="majorHAnsi"/>
          <w:color w:val="000000" w:themeColor="text1"/>
          <w:sz w:val="18"/>
          <w:szCs w:val="18"/>
          <w:lang w:bidi="ar-MA"/>
        </w:rPr>
        <w:t xml:space="preserve"> pension</w:t>
      </w:r>
      <w:r w:rsidR="00394BB3" w:rsidRPr="00321569">
        <w:rPr>
          <w:rFonts w:asciiTheme="majorHAnsi" w:hAnsiTheme="majorHAnsi"/>
          <w:color w:val="000000" w:themeColor="text1"/>
          <w:sz w:val="18"/>
          <w:szCs w:val="18"/>
          <w:lang w:bidi="ar-MA"/>
        </w:rPr>
        <w:t xml:space="preserve">; </w:t>
      </w:r>
      <w:r w:rsidR="00426435">
        <w:rPr>
          <w:rFonts w:asciiTheme="majorHAnsi" w:hAnsiTheme="majorHAnsi"/>
          <w:color w:val="000000" w:themeColor="text1"/>
          <w:sz w:val="18"/>
          <w:szCs w:val="18"/>
          <w:lang w:bidi="ar-MA"/>
        </w:rPr>
        <w:t>t</w:t>
      </w:r>
      <w:r w:rsidR="00426435" w:rsidRPr="00426435">
        <w:rPr>
          <w:rFonts w:asciiTheme="majorHAnsi" w:hAnsiTheme="majorHAnsi"/>
          <w:color w:val="000000" w:themeColor="text1"/>
          <w:sz w:val="18"/>
          <w:szCs w:val="18"/>
          <w:lang w:bidi="ar-MA"/>
        </w:rPr>
        <w:t>he difference between these teachers and other similarly situated teachers is also evident</w:t>
      </w:r>
      <w:r w:rsidR="00426435">
        <w:rPr>
          <w:rFonts w:asciiTheme="majorHAnsi" w:hAnsiTheme="majorHAnsi"/>
          <w:color w:val="000000" w:themeColor="text1"/>
          <w:sz w:val="18"/>
          <w:szCs w:val="18"/>
          <w:lang w:bidi="ar-MA"/>
        </w:rPr>
        <w:t xml:space="preserve"> in that decision</w:t>
      </w:r>
      <w:r w:rsidR="00426435" w:rsidRPr="00426435">
        <w:rPr>
          <w:rFonts w:asciiTheme="majorHAnsi" w:hAnsiTheme="majorHAnsi"/>
          <w:color w:val="000000" w:themeColor="text1"/>
          <w:sz w:val="18"/>
          <w:szCs w:val="18"/>
          <w:lang w:bidi="ar-MA"/>
        </w:rPr>
        <w:t>, in clear violation of the right to equality</w:t>
      </w:r>
      <w:r w:rsidR="00426435">
        <w:rPr>
          <w:rFonts w:asciiTheme="majorHAnsi" w:hAnsiTheme="majorHAnsi"/>
          <w:color w:val="000000" w:themeColor="text1"/>
          <w:sz w:val="18"/>
          <w:szCs w:val="18"/>
          <w:lang w:bidi="ar-MA"/>
        </w:rPr>
        <w:t xml:space="preserve"> </w:t>
      </w:r>
      <w:r w:rsidR="00394BB3" w:rsidRPr="00321569">
        <w:rPr>
          <w:rFonts w:asciiTheme="majorHAnsi" w:hAnsiTheme="majorHAnsi"/>
          <w:color w:val="000000" w:themeColor="text1"/>
          <w:sz w:val="18"/>
          <w:szCs w:val="18"/>
          <w:lang w:bidi="ar-MA"/>
        </w:rPr>
        <w:t>[…]</w:t>
      </w:r>
      <w:r w:rsidR="00426435">
        <w:rPr>
          <w:rFonts w:asciiTheme="majorHAnsi" w:hAnsiTheme="majorHAnsi"/>
          <w:color w:val="000000" w:themeColor="text1"/>
          <w:sz w:val="18"/>
          <w:szCs w:val="18"/>
          <w:lang w:bidi="ar-MA"/>
        </w:rPr>
        <w:t xml:space="preserve"> </w:t>
      </w:r>
      <w:r w:rsidR="00426435" w:rsidRPr="00426435">
        <w:rPr>
          <w:rFonts w:asciiTheme="majorHAnsi" w:hAnsiTheme="majorHAnsi"/>
          <w:color w:val="000000" w:themeColor="text1"/>
          <w:sz w:val="18"/>
          <w:szCs w:val="18"/>
          <w:lang w:bidi="ar-MA"/>
        </w:rPr>
        <w:t>in each administrative act denying the special pension to the plaintiff teachers, the National Social Security Fund</w:t>
      </w:r>
      <w:r w:rsidR="00426435">
        <w:rPr>
          <w:rFonts w:asciiTheme="majorHAnsi" w:hAnsiTheme="majorHAnsi"/>
          <w:color w:val="000000" w:themeColor="text1"/>
          <w:sz w:val="18"/>
          <w:szCs w:val="18"/>
          <w:lang w:bidi="ar-MA"/>
        </w:rPr>
        <w:t>,</w:t>
      </w:r>
      <w:r w:rsidR="00426435" w:rsidRPr="00426435">
        <w:rPr>
          <w:rFonts w:asciiTheme="majorHAnsi" w:hAnsiTheme="majorHAnsi"/>
          <w:color w:val="000000" w:themeColor="text1"/>
          <w:sz w:val="18"/>
          <w:szCs w:val="18"/>
          <w:lang w:bidi="ar-MA"/>
        </w:rPr>
        <w:t xml:space="preserve"> CAJANAL, issued decisions contrary to constitutional and legal provisions</w:t>
      </w:r>
      <w:r w:rsidR="00426435">
        <w:rPr>
          <w:rFonts w:asciiTheme="majorHAnsi" w:hAnsiTheme="majorHAnsi"/>
          <w:color w:val="000000" w:themeColor="text1"/>
          <w:sz w:val="18"/>
          <w:szCs w:val="18"/>
          <w:lang w:bidi="ar-MA"/>
        </w:rPr>
        <w:t>,</w:t>
      </w:r>
      <w:r w:rsidR="00D251DA" w:rsidRPr="00321569">
        <w:rPr>
          <w:rFonts w:asciiTheme="majorHAnsi" w:hAnsiTheme="majorHAnsi"/>
          <w:color w:val="000000" w:themeColor="text1"/>
          <w:sz w:val="18"/>
          <w:szCs w:val="18"/>
          <w:lang w:bidi="ar-MA"/>
        </w:rPr>
        <w:t xml:space="preserve"> </w:t>
      </w:r>
      <w:r w:rsidR="00426435" w:rsidRPr="00426435">
        <w:rPr>
          <w:rFonts w:asciiTheme="majorHAnsi" w:hAnsiTheme="majorHAnsi"/>
          <w:color w:val="000000" w:themeColor="text1"/>
          <w:sz w:val="18"/>
          <w:szCs w:val="18"/>
          <w:lang w:bidi="ar-MA"/>
        </w:rPr>
        <w:t>acting in flagrant violation of the principles that safeguard the due process of law to which every citizen is entitled</w:t>
      </w:r>
      <w:r w:rsidR="00D251DA" w:rsidRPr="00321569">
        <w:rPr>
          <w:rFonts w:asciiTheme="majorHAnsi" w:hAnsiTheme="majorHAnsi"/>
          <w:color w:val="000000" w:themeColor="text1"/>
          <w:sz w:val="18"/>
          <w:szCs w:val="18"/>
          <w:lang w:bidi="ar-MA"/>
        </w:rPr>
        <w:t xml:space="preserve">. </w:t>
      </w:r>
    </w:p>
    <w:p w14:paraId="0A71A1A2" w14:textId="3DA7937C" w:rsidR="00B85C78" w:rsidRPr="00321569" w:rsidRDefault="00B85C78" w:rsidP="000C16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bidi="ar-MA"/>
        </w:rPr>
      </w:pPr>
      <w:r w:rsidRPr="00321569">
        <w:rPr>
          <w:rFonts w:asciiTheme="majorHAnsi" w:hAnsiTheme="majorHAnsi"/>
          <w:color w:val="000000" w:themeColor="text1"/>
          <w:sz w:val="18"/>
          <w:szCs w:val="18"/>
          <w:lang w:bidi="ar-MA"/>
        </w:rPr>
        <w:t xml:space="preserve">[…] </w:t>
      </w:r>
      <w:r w:rsidR="0031512A" w:rsidRPr="0031512A">
        <w:rPr>
          <w:rFonts w:asciiTheme="majorHAnsi" w:hAnsiTheme="majorHAnsi"/>
          <w:color w:val="000000" w:themeColor="text1"/>
          <w:sz w:val="18"/>
          <w:szCs w:val="18"/>
          <w:lang w:bidi="ar-MA"/>
        </w:rPr>
        <w:t xml:space="preserve">in principle, the </w:t>
      </w:r>
      <w:r w:rsidR="0031512A" w:rsidRPr="0031512A">
        <w:rPr>
          <w:rFonts w:asciiTheme="majorHAnsi" w:hAnsiTheme="majorHAnsi"/>
          <w:i/>
          <w:iCs/>
          <w:color w:val="000000" w:themeColor="text1"/>
          <w:sz w:val="18"/>
          <w:szCs w:val="18"/>
          <w:lang w:bidi="ar-MA"/>
        </w:rPr>
        <w:t>tutela</w:t>
      </w:r>
      <w:r w:rsidR="0031512A" w:rsidRPr="0031512A">
        <w:rPr>
          <w:rFonts w:asciiTheme="majorHAnsi" w:hAnsiTheme="majorHAnsi"/>
          <w:color w:val="000000" w:themeColor="text1"/>
          <w:sz w:val="18"/>
          <w:szCs w:val="18"/>
          <w:lang w:bidi="ar-MA"/>
        </w:rPr>
        <w:t xml:space="preserve"> action, which is eminently </w:t>
      </w:r>
      <w:r w:rsidR="0031512A">
        <w:rPr>
          <w:rFonts w:asciiTheme="majorHAnsi" w:hAnsiTheme="majorHAnsi"/>
          <w:color w:val="000000" w:themeColor="text1"/>
          <w:sz w:val="18"/>
          <w:szCs w:val="18"/>
          <w:lang w:bidi="ar-MA"/>
        </w:rPr>
        <w:t>ancillary</w:t>
      </w:r>
      <w:r w:rsidR="0031512A" w:rsidRPr="0031512A">
        <w:rPr>
          <w:rFonts w:asciiTheme="majorHAnsi" w:hAnsiTheme="majorHAnsi"/>
          <w:color w:val="000000" w:themeColor="text1"/>
          <w:sz w:val="18"/>
          <w:szCs w:val="18"/>
          <w:lang w:bidi="ar-MA"/>
        </w:rPr>
        <w:t xml:space="preserve"> and subsidiary in nature, cannot be used for the recognition of this type of benefit</w:t>
      </w:r>
      <w:r w:rsidR="004E24B2" w:rsidRPr="00321569">
        <w:rPr>
          <w:rFonts w:asciiTheme="majorHAnsi" w:hAnsiTheme="majorHAnsi"/>
          <w:color w:val="000000" w:themeColor="text1"/>
          <w:sz w:val="18"/>
          <w:szCs w:val="18"/>
          <w:lang w:bidi="ar-MA"/>
        </w:rPr>
        <w:t xml:space="preserve">. </w:t>
      </w:r>
      <w:r w:rsidR="0031512A" w:rsidRPr="0031512A">
        <w:rPr>
          <w:rFonts w:asciiTheme="majorHAnsi" w:hAnsiTheme="majorHAnsi"/>
          <w:color w:val="000000" w:themeColor="text1"/>
          <w:sz w:val="18"/>
          <w:szCs w:val="18"/>
          <w:lang w:bidi="ar-MA"/>
        </w:rPr>
        <w:t>However, the Court has also established case law that can be extended to pensions, according to which, in exceptional circumstances, the recognition of pensions can be temporarily enforced by means of a</w:t>
      </w:r>
      <w:r w:rsidR="0031512A" w:rsidRPr="0031512A">
        <w:rPr>
          <w:rFonts w:asciiTheme="majorHAnsi" w:hAnsiTheme="majorHAnsi"/>
          <w:i/>
          <w:iCs/>
          <w:color w:val="000000" w:themeColor="text1"/>
          <w:sz w:val="18"/>
          <w:szCs w:val="18"/>
          <w:lang w:bidi="ar-MA"/>
        </w:rPr>
        <w:t xml:space="preserve"> tutela</w:t>
      </w:r>
      <w:r w:rsidR="0031512A" w:rsidRPr="0031512A">
        <w:rPr>
          <w:rFonts w:asciiTheme="majorHAnsi" w:hAnsiTheme="majorHAnsi"/>
          <w:color w:val="000000" w:themeColor="text1"/>
          <w:sz w:val="18"/>
          <w:szCs w:val="18"/>
          <w:lang w:bidi="ar-MA"/>
        </w:rPr>
        <w:t xml:space="preserve"> action</w:t>
      </w:r>
      <w:r w:rsidR="0031512A">
        <w:rPr>
          <w:rFonts w:asciiTheme="majorHAnsi" w:hAnsiTheme="majorHAnsi"/>
          <w:color w:val="000000" w:themeColor="text1"/>
          <w:sz w:val="18"/>
          <w:szCs w:val="18"/>
          <w:lang w:bidi="ar-MA"/>
        </w:rPr>
        <w:t xml:space="preserve"> </w:t>
      </w:r>
      <w:r w:rsidR="0016153B" w:rsidRPr="00321569">
        <w:rPr>
          <w:rFonts w:asciiTheme="majorHAnsi" w:hAnsiTheme="majorHAnsi"/>
          <w:color w:val="000000" w:themeColor="text1"/>
          <w:sz w:val="18"/>
          <w:szCs w:val="18"/>
          <w:lang w:bidi="ar-MA"/>
        </w:rPr>
        <w:t>[…]</w:t>
      </w:r>
      <w:r w:rsidR="00B1732E" w:rsidRPr="00321569">
        <w:rPr>
          <w:rFonts w:asciiTheme="majorHAnsi" w:hAnsiTheme="majorHAnsi"/>
          <w:color w:val="000000" w:themeColor="text1"/>
          <w:sz w:val="18"/>
          <w:szCs w:val="18"/>
          <w:lang w:bidi="ar-MA"/>
        </w:rPr>
        <w:t>.</w:t>
      </w:r>
      <w:r w:rsidR="00FA1E75" w:rsidRPr="00321569">
        <w:rPr>
          <w:rFonts w:asciiTheme="majorHAnsi" w:hAnsiTheme="majorHAnsi"/>
          <w:color w:val="000000" w:themeColor="text1"/>
          <w:sz w:val="18"/>
          <w:szCs w:val="18"/>
          <w:lang w:bidi="ar-MA"/>
        </w:rPr>
        <w:t xml:space="preserve"> </w:t>
      </w:r>
      <w:r w:rsidR="00263D07">
        <w:rPr>
          <w:rFonts w:asciiTheme="majorHAnsi" w:hAnsiTheme="majorHAnsi"/>
          <w:color w:val="000000" w:themeColor="text1"/>
          <w:sz w:val="18"/>
          <w:szCs w:val="18"/>
          <w:lang w:bidi="ar-MA"/>
        </w:rPr>
        <w:t>Hence,</w:t>
      </w:r>
      <w:r w:rsidR="0031512A" w:rsidRPr="0031512A">
        <w:rPr>
          <w:rFonts w:asciiTheme="majorHAnsi" w:hAnsiTheme="majorHAnsi"/>
          <w:color w:val="000000" w:themeColor="text1"/>
          <w:sz w:val="18"/>
          <w:szCs w:val="18"/>
          <w:lang w:bidi="ar-MA"/>
        </w:rPr>
        <w:t xml:space="preserve"> although the plaintiffs have another mechanism to defend their interests through administrative litigation, such as </w:t>
      </w:r>
      <w:r w:rsidR="0031512A">
        <w:rPr>
          <w:rFonts w:asciiTheme="majorHAnsi" w:hAnsiTheme="majorHAnsi"/>
          <w:color w:val="000000" w:themeColor="text1"/>
          <w:sz w:val="18"/>
          <w:szCs w:val="18"/>
          <w:lang w:bidi="ar-MA"/>
        </w:rPr>
        <w:t>motion</w:t>
      </w:r>
      <w:r w:rsidR="00263D07">
        <w:rPr>
          <w:rFonts w:asciiTheme="majorHAnsi" w:hAnsiTheme="majorHAnsi"/>
          <w:color w:val="000000" w:themeColor="text1"/>
          <w:sz w:val="18"/>
          <w:szCs w:val="18"/>
          <w:lang w:bidi="ar-MA"/>
        </w:rPr>
        <w:t>s</w:t>
      </w:r>
      <w:r w:rsidR="0031512A" w:rsidRPr="0031512A">
        <w:rPr>
          <w:rFonts w:asciiTheme="majorHAnsi" w:hAnsiTheme="majorHAnsi"/>
          <w:color w:val="000000" w:themeColor="text1"/>
          <w:sz w:val="18"/>
          <w:szCs w:val="18"/>
          <w:lang w:bidi="ar-MA"/>
        </w:rPr>
        <w:t xml:space="preserve"> to vacate the </w:t>
      </w:r>
      <w:r w:rsidR="0031512A">
        <w:rPr>
          <w:rFonts w:asciiTheme="majorHAnsi" w:hAnsiTheme="majorHAnsi"/>
          <w:color w:val="000000" w:themeColor="text1"/>
          <w:sz w:val="18"/>
          <w:szCs w:val="18"/>
          <w:lang w:bidi="ar-MA"/>
        </w:rPr>
        <w:t>decisions</w:t>
      </w:r>
      <w:r w:rsidR="0031512A" w:rsidRPr="0031512A">
        <w:rPr>
          <w:rFonts w:asciiTheme="majorHAnsi" w:hAnsiTheme="majorHAnsi"/>
          <w:color w:val="000000" w:themeColor="text1"/>
          <w:sz w:val="18"/>
          <w:szCs w:val="18"/>
          <w:lang w:bidi="ar-MA"/>
        </w:rPr>
        <w:t xml:space="preserve"> that denied recognition and payment of the benefit,</w:t>
      </w:r>
      <w:r w:rsidR="00FA1E75" w:rsidRPr="00321569">
        <w:rPr>
          <w:rFonts w:asciiTheme="majorHAnsi" w:hAnsiTheme="majorHAnsi"/>
          <w:color w:val="000000" w:themeColor="text1"/>
          <w:sz w:val="18"/>
          <w:szCs w:val="18"/>
          <w:lang w:bidi="ar-MA"/>
        </w:rPr>
        <w:t xml:space="preserve"> […] </w:t>
      </w:r>
      <w:r w:rsidR="00A927EC" w:rsidRPr="00A927EC">
        <w:rPr>
          <w:rFonts w:asciiTheme="majorHAnsi" w:hAnsiTheme="majorHAnsi"/>
          <w:color w:val="000000" w:themeColor="text1"/>
          <w:sz w:val="18"/>
          <w:szCs w:val="18"/>
          <w:lang w:bidi="ar-MA"/>
        </w:rPr>
        <w:t xml:space="preserve">the </w:t>
      </w:r>
      <w:r w:rsidR="00A927EC" w:rsidRPr="00AA3B6A">
        <w:rPr>
          <w:rFonts w:asciiTheme="majorHAnsi" w:hAnsiTheme="majorHAnsi"/>
          <w:i/>
          <w:iCs/>
          <w:color w:val="000000" w:themeColor="text1"/>
          <w:sz w:val="18"/>
          <w:szCs w:val="18"/>
          <w:lang w:bidi="ar-MA"/>
        </w:rPr>
        <w:t>tutela</w:t>
      </w:r>
      <w:r w:rsidR="00A927EC" w:rsidRPr="00A927EC">
        <w:rPr>
          <w:rFonts w:asciiTheme="majorHAnsi" w:hAnsiTheme="majorHAnsi"/>
          <w:color w:val="000000" w:themeColor="text1"/>
          <w:sz w:val="18"/>
          <w:szCs w:val="18"/>
          <w:lang w:bidi="ar-MA"/>
        </w:rPr>
        <w:t xml:space="preserve"> action </w:t>
      </w:r>
      <w:r w:rsidR="00C014F6">
        <w:rPr>
          <w:rFonts w:asciiTheme="majorHAnsi" w:hAnsiTheme="majorHAnsi"/>
          <w:color w:val="000000" w:themeColor="text1"/>
          <w:sz w:val="18"/>
          <w:szCs w:val="18"/>
          <w:lang w:bidi="ar-MA"/>
        </w:rPr>
        <w:t>is admissible</w:t>
      </w:r>
      <w:r w:rsidR="00A927EC" w:rsidRPr="00A927EC">
        <w:rPr>
          <w:rFonts w:asciiTheme="majorHAnsi" w:hAnsiTheme="majorHAnsi"/>
          <w:color w:val="000000" w:themeColor="text1"/>
          <w:sz w:val="18"/>
          <w:szCs w:val="18"/>
          <w:lang w:bidi="ar-MA"/>
        </w:rPr>
        <w:t xml:space="preserve"> as a temporary mechanism to prevent irreparable harm</w:t>
      </w:r>
      <w:r w:rsidR="00B1732E" w:rsidRPr="00321569">
        <w:rPr>
          <w:rFonts w:asciiTheme="majorHAnsi" w:hAnsiTheme="majorHAnsi"/>
          <w:color w:val="000000" w:themeColor="text1"/>
          <w:sz w:val="18"/>
          <w:szCs w:val="18"/>
          <w:lang w:bidi="ar-MA"/>
        </w:rPr>
        <w:t xml:space="preserve"> […]. </w:t>
      </w:r>
      <w:r w:rsidR="00A927EC">
        <w:rPr>
          <w:rFonts w:asciiTheme="majorHAnsi" w:hAnsiTheme="majorHAnsi"/>
          <w:color w:val="000000" w:themeColor="text1"/>
          <w:sz w:val="18"/>
          <w:szCs w:val="18"/>
          <w:lang w:bidi="ar-MA"/>
        </w:rPr>
        <w:t>Consequently</w:t>
      </w:r>
      <w:r w:rsidR="00B1732E" w:rsidRPr="00321569">
        <w:rPr>
          <w:rFonts w:asciiTheme="majorHAnsi" w:hAnsiTheme="majorHAnsi"/>
          <w:color w:val="000000" w:themeColor="text1"/>
          <w:sz w:val="18"/>
          <w:szCs w:val="18"/>
          <w:lang w:bidi="ar-MA"/>
        </w:rPr>
        <w:t xml:space="preserve">, […] </w:t>
      </w:r>
      <w:r w:rsidR="00A927EC">
        <w:rPr>
          <w:rFonts w:asciiTheme="majorHAnsi" w:hAnsiTheme="majorHAnsi"/>
          <w:color w:val="000000" w:themeColor="text1"/>
          <w:sz w:val="18"/>
          <w:szCs w:val="18"/>
          <w:lang w:bidi="ar-MA"/>
        </w:rPr>
        <w:t>protection will consist of requiring</w:t>
      </w:r>
      <w:r w:rsidR="00B1732E" w:rsidRPr="00321569">
        <w:rPr>
          <w:rFonts w:asciiTheme="majorHAnsi" w:hAnsiTheme="majorHAnsi"/>
          <w:color w:val="000000" w:themeColor="text1"/>
          <w:sz w:val="18"/>
          <w:szCs w:val="18"/>
          <w:lang w:bidi="ar-MA"/>
        </w:rPr>
        <w:t xml:space="preserve"> </w:t>
      </w:r>
      <w:r w:rsidR="00A927EC" w:rsidRPr="00426435">
        <w:rPr>
          <w:rFonts w:asciiTheme="majorHAnsi" w:hAnsiTheme="majorHAnsi"/>
          <w:color w:val="000000" w:themeColor="text1"/>
          <w:sz w:val="18"/>
          <w:szCs w:val="18"/>
          <w:lang w:bidi="ar-MA"/>
        </w:rPr>
        <w:t>the NATIONAL SOCIAL SECURITY FUND</w:t>
      </w:r>
      <w:r w:rsidR="00A927EC">
        <w:rPr>
          <w:rFonts w:asciiTheme="majorHAnsi" w:hAnsiTheme="majorHAnsi"/>
          <w:color w:val="000000" w:themeColor="text1"/>
          <w:sz w:val="18"/>
          <w:szCs w:val="18"/>
          <w:lang w:bidi="ar-MA"/>
        </w:rPr>
        <w:t>,</w:t>
      </w:r>
      <w:r w:rsidR="00A927EC" w:rsidRPr="00426435">
        <w:rPr>
          <w:rFonts w:asciiTheme="majorHAnsi" w:hAnsiTheme="majorHAnsi"/>
          <w:color w:val="000000" w:themeColor="text1"/>
          <w:sz w:val="18"/>
          <w:szCs w:val="18"/>
          <w:lang w:bidi="ar-MA"/>
        </w:rPr>
        <w:t xml:space="preserve"> CAJANAL</w:t>
      </w:r>
      <w:r w:rsidR="00B1732E" w:rsidRPr="00321569">
        <w:rPr>
          <w:rFonts w:asciiTheme="majorHAnsi" w:hAnsiTheme="majorHAnsi"/>
          <w:color w:val="000000" w:themeColor="text1"/>
          <w:sz w:val="18"/>
          <w:szCs w:val="18"/>
          <w:lang w:bidi="ar-MA"/>
        </w:rPr>
        <w:t xml:space="preserve">, </w:t>
      </w:r>
      <w:r w:rsidR="00A927EC">
        <w:rPr>
          <w:rFonts w:asciiTheme="majorHAnsi" w:hAnsiTheme="majorHAnsi"/>
          <w:color w:val="000000" w:themeColor="text1"/>
          <w:sz w:val="18"/>
          <w:szCs w:val="18"/>
          <w:lang w:bidi="ar-MA"/>
        </w:rPr>
        <w:t>to issue the appropriate</w:t>
      </w:r>
      <w:r w:rsidR="00A927EC" w:rsidRPr="00A927EC">
        <w:rPr>
          <w:rFonts w:asciiTheme="majorHAnsi" w:hAnsiTheme="majorHAnsi"/>
          <w:color w:val="000000" w:themeColor="text1"/>
          <w:sz w:val="18"/>
          <w:szCs w:val="18"/>
          <w:lang w:bidi="ar-MA"/>
        </w:rPr>
        <w:t xml:space="preserve"> decision regarding each one of the teachers from the date of not</w:t>
      </w:r>
      <w:r w:rsidR="00A927EC">
        <w:rPr>
          <w:rFonts w:asciiTheme="majorHAnsi" w:hAnsiTheme="majorHAnsi"/>
          <w:color w:val="000000" w:themeColor="text1"/>
          <w:sz w:val="18"/>
          <w:szCs w:val="18"/>
          <w:lang w:bidi="ar-MA"/>
        </w:rPr>
        <w:t>ice</w:t>
      </w:r>
      <w:r w:rsidR="00A927EC" w:rsidRPr="00A927EC">
        <w:rPr>
          <w:rFonts w:asciiTheme="majorHAnsi" w:hAnsiTheme="majorHAnsi"/>
          <w:color w:val="000000" w:themeColor="text1"/>
          <w:sz w:val="18"/>
          <w:szCs w:val="18"/>
          <w:lang w:bidi="ar-MA"/>
        </w:rPr>
        <w:t xml:space="preserve"> of this decision and until the administrative </w:t>
      </w:r>
      <w:r w:rsidR="00CA5FC4">
        <w:rPr>
          <w:rFonts w:asciiTheme="majorHAnsi" w:hAnsiTheme="majorHAnsi"/>
          <w:color w:val="000000" w:themeColor="text1"/>
          <w:sz w:val="18"/>
          <w:szCs w:val="18"/>
          <w:lang w:bidi="ar-MA"/>
        </w:rPr>
        <w:t xml:space="preserve">court </w:t>
      </w:r>
      <w:r w:rsidR="00A927EC">
        <w:rPr>
          <w:rFonts w:asciiTheme="majorHAnsi" w:hAnsiTheme="majorHAnsi"/>
          <w:color w:val="000000" w:themeColor="text1"/>
          <w:sz w:val="18"/>
          <w:szCs w:val="18"/>
          <w:lang w:bidi="ar-MA"/>
        </w:rPr>
        <w:t>renders</w:t>
      </w:r>
      <w:r w:rsidR="00A927EC" w:rsidRPr="00A927EC">
        <w:rPr>
          <w:rFonts w:asciiTheme="majorHAnsi" w:hAnsiTheme="majorHAnsi"/>
          <w:color w:val="000000" w:themeColor="text1"/>
          <w:sz w:val="18"/>
          <w:szCs w:val="18"/>
          <w:lang w:bidi="ar-MA"/>
        </w:rPr>
        <w:t xml:space="preserve"> a final decision</w:t>
      </w:r>
      <w:r w:rsidR="00A927EC">
        <w:rPr>
          <w:rFonts w:asciiTheme="majorHAnsi" w:hAnsiTheme="majorHAnsi"/>
          <w:color w:val="000000" w:themeColor="text1"/>
          <w:sz w:val="18"/>
          <w:szCs w:val="18"/>
          <w:lang w:bidi="ar-MA"/>
        </w:rPr>
        <w:t xml:space="preserve"> </w:t>
      </w:r>
      <w:r w:rsidR="00B1732E" w:rsidRPr="00321569">
        <w:rPr>
          <w:rFonts w:asciiTheme="majorHAnsi" w:hAnsiTheme="majorHAnsi"/>
          <w:color w:val="000000" w:themeColor="text1"/>
          <w:sz w:val="18"/>
          <w:szCs w:val="18"/>
          <w:lang w:bidi="ar-MA"/>
        </w:rPr>
        <w:t xml:space="preserve">[…]. </w:t>
      </w:r>
    </w:p>
    <w:p w14:paraId="227BA9CA" w14:textId="4E192C96" w:rsidR="00F56259" w:rsidRPr="00321569" w:rsidRDefault="00CD0ED1" w:rsidP="000C16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bidi="ar-MA"/>
        </w:rPr>
      </w:pPr>
      <w:r w:rsidRPr="00CD0ED1">
        <w:rPr>
          <w:rFonts w:asciiTheme="majorHAnsi" w:hAnsiTheme="majorHAnsi"/>
          <w:color w:val="000000" w:themeColor="text1"/>
          <w:sz w:val="18"/>
          <w:szCs w:val="18"/>
          <w:lang w:bidi="ar-MA"/>
        </w:rPr>
        <w:t xml:space="preserve">The plaintiff teachers are advised that, if they have not </w:t>
      </w:r>
      <w:r>
        <w:rPr>
          <w:rFonts w:asciiTheme="majorHAnsi" w:hAnsiTheme="majorHAnsi"/>
          <w:color w:val="000000" w:themeColor="text1"/>
          <w:sz w:val="18"/>
          <w:szCs w:val="18"/>
          <w:lang w:bidi="ar-MA"/>
        </w:rPr>
        <w:t xml:space="preserve">already </w:t>
      </w:r>
      <w:r w:rsidRPr="00CD0ED1">
        <w:rPr>
          <w:rFonts w:asciiTheme="majorHAnsi" w:hAnsiTheme="majorHAnsi"/>
          <w:color w:val="000000" w:themeColor="text1"/>
          <w:sz w:val="18"/>
          <w:szCs w:val="18"/>
          <w:lang w:bidi="ar-MA"/>
        </w:rPr>
        <w:t xml:space="preserve">done so, they </w:t>
      </w:r>
      <w:r w:rsidR="002D3D71">
        <w:rPr>
          <w:rFonts w:asciiTheme="majorHAnsi" w:hAnsiTheme="majorHAnsi"/>
          <w:color w:val="000000" w:themeColor="text1"/>
          <w:sz w:val="18"/>
          <w:szCs w:val="18"/>
          <w:lang w:bidi="ar-MA"/>
        </w:rPr>
        <w:t>should</w:t>
      </w:r>
      <w:r w:rsidRPr="00CD0ED1">
        <w:rPr>
          <w:rFonts w:asciiTheme="majorHAnsi" w:hAnsiTheme="majorHAnsi"/>
          <w:color w:val="000000" w:themeColor="text1"/>
          <w:sz w:val="18"/>
          <w:szCs w:val="18"/>
          <w:lang w:bidi="ar-MA"/>
        </w:rPr>
        <w:t xml:space="preserve"> file the respective action before the administrative court within four months from the date of notice of this decision</w:t>
      </w:r>
      <w:r w:rsidR="008E2EFE" w:rsidRPr="00321569">
        <w:rPr>
          <w:rFonts w:asciiTheme="majorHAnsi" w:hAnsiTheme="majorHAnsi"/>
          <w:color w:val="000000" w:themeColor="text1"/>
          <w:sz w:val="18"/>
          <w:szCs w:val="18"/>
          <w:lang w:bidi="ar-MA"/>
        </w:rPr>
        <w:t xml:space="preserve">. </w:t>
      </w:r>
      <w:r w:rsidR="0053131A" w:rsidRPr="0053131A">
        <w:rPr>
          <w:rFonts w:asciiTheme="majorHAnsi" w:hAnsiTheme="majorHAnsi"/>
          <w:color w:val="000000" w:themeColor="text1"/>
          <w:sz w:val="18"/>
          <w:szCs w:val="18"/>
          <w:lang w:bidi="ar-MA"/>
        </w:rPr>
        <w:t>The parties are also advised that this</w:t>
      </w:r>
      <w:r w:rsidR="0053131A">
        <w:rPr>
          <w:rFonts w:asciiTheme="majorHAnsi" w:hAnsiTheme="majorHAnsi"/>
          <w:color w:val="000000" w:themeColor="text1"/>
          <w:sz w:val="18"/>
          <w:szCs w:val="18"/>
          <w:lang w:bidi="ar-MA"/>
        </w:rPr>
        <w:t xml:space="preserve"> decision on the </w:t>
      </w:r>
      <w:r w:rsidR="0053131A" w:rsidRPr="0053131A">
        <w:rPr>
          <w:rFonts w:asciiTheme="majorHAnsi" w:hAnsiTheme="majorHAnsi"/>
          <w:color w:val="000000" w:themeColor="text1"/>
          <w:sz w:val="18"/>
          <w:szCs w:val="18"/>
          <w:lang w:bidi="ar-MA"/>
        </w:rPr>
        <w:t>petition for the protection of constitutional rights</w:t>
      </w:r>
      <w:r w:rsidR="0053131A">
        <w:rPr>
          <w:rFonts w:asciiTheme="majorHAnsi" w:hAnsiTheme="majorHAnsi"/>
          <w:color w:val="000000" w:themeColor="text1"/>
          <w:sz w:val="18"/>
          <w:szCs w:val="18"/>
          <w:lang w:bidi="ar-MA"/>
        </w:rPr>
        <w:t xml:space="preserve"> [</w:t>
      </w:r>
      <w:r w:rsidR="0053131A" w:rsidRPr="0053131A">
        <w:rPr>
          <w:rFonts w:asciiTheme="majorHAnsi" w:hAnsiTheme="majorHAnsi"/>
          <w:i/>
          <w:iCs/>
          <w:color w:val="000000" w:themeColor="text1"/>
          <w:sz w:val="18"/>
          <w:szCs w:val="18"/>
          <w:lang w:bidi="ar-MA"/>
        </w:rPr>
        <w:t>acción de</w:t>
      </w:r>
      <w:r w:rsidR="0053131A" w:rsidRPr="0053131A">
        <w:rPr>
          <w:rFonts w:asciiTheme="majorHAnsi" w:hAnsiTheme="majorHAnsi"/>
          <w:color w:val="000000" w:themeColor="text1"/>
          <w:sz w:val="18"/>
          <w:szCs w:val="18"/>
          <w:lang w:bidi="ar-MA"/>
        </w:rPr>
        <w:t xml:space="preserve"> </w:t>
      </w:r>
      <w:r w:rsidR="0053131A" w:rsidRPr="0053131A">
        <w:rPr>
          <w:rFonts w:asciiTheme="majorHAnsi" w:hAnsiTheme="majorHAnsi"/>
          <w:i/>
          <w:iCs/>
          <w:color w:val="000000" w:themeColor="text1"/>
          <w:sz w:val="18"/>
          <w:szCs w:val="18"/>
          <w:lang w:bidi="ar-MA"/>
        </w:rPr>
        <w:t>tutela</w:t>
      </w:r>
      <w:r w:rsidR="0053131A">
        <w:rPr>
          <w:rFonts w:asciiTheme="majorHAnsi" w:hAnsiTheme="majorHAnsi"/>
          <w:color w:val="000000" w:themeColor="text1"/>
          <w:sz w:val="18"/>
          <w:szCs w:val="18"/>
          <w:lang w:bidi="ar-MA"/>
        </w:rPr>
        <w:t>]</w:t>
      </w:r>
      <w:r w:rsidR="0053131A" w:rsidRPr="0053131A">
        <w:rPr>
          <w:rFonts w:asciiTheme="majorHAnsi" w:hAnsiTheme="majorHAnsi"/>
          <w:color w:val="000000" w:themeColor="text1"/>
          <w:sz w:val="18"/>
          <w:szCs w:val="18"/>
          <w:lang w:bidi="ar-MA"/>
        </w:rPr>
        <w:t xml:space="preserve"> will remain in force until the administrative court rules on the merits of the plaintiffs</w:t>
      </w:r>
      <w:r w:rsidR="00FE1278">
        <w:rPr>
          <w:rFonts w:asciiTheme="majorHAnsi" w:hAnsiTheme="majorHAnsi"/>
          <w:color w:val="000000" w:themeColor="text1"/>
          <w:sz w:val="18"/>
          <w:szCs w:val="18"/>
          <w:lang w:bidi="ar-MA"/>
        </w:rPr>
        <w:t>’</w:t>
      </w:r>
      <w:r w:rsidR="0053131A" w:rsidRPr="0053131A">
        <w:rPr>
          <w:rFonts w:asciiTheme="majorHAnsi" w:hAnsiTheme="majorHAnsi"/>
          <w:color w:val="000000" w:themeColor="text1"/>
          <w:sz w:val="18"/>
          <w:szCs w:val="18"/>
          <w:lang w:bidi="ar-MA"/>
        </w:rPr>
        <w:t xml:space="preserve"> claims</w:t>
      </w:r>
      <w:r w:rsidR="008E2EFE" w:rsidRPr="00321569">
        <w:rPr>
          <w:rFonts w:asciiTheme="majorHAnsi" w:hAnsiTheme="majorHAnsi"/>
          <w:color w:val="000000" w:themeColor="text1"/>
          <w:sz w:val="18"/>
          <w:szCs w:val="18"/>
          <w:lang w:bidi="ar-MA"/>
        </w:rPr>
        <w:t xml:space="preserve">. </w:t>
      </w:r>
    </w:p>
    <w:p w14:paraId="135A0AE0" w14:textId="070B1F3E" w:rsidR="00F80313" w:rsidRPr="00321569" w:rsidRDefault="00031500" w:rsidP="00F803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031500">
        <w:rPr>
          <w:rFonts w:asciiTheme="majorHAnsi" w:hAnsiTheme="majorHAnsi"/>
          <w:sz w:val="20"/>
          <w:szCs w:val="20"/>
          <w:lang w:bidi="ar-MA"/>
        </w:rPr>
        <w:t>Notwithstanding the above, the petitioner maintains that the authorities failed to comply with this ruling, prompting the alleged victims to file a contempt of court action against CAJANAL</w:t>
      </w:r>
      <w:r w:rsidR="00F80313" w:rsidRPr="00321569">
        <w:rPr>
          <w:rFonts w:asciiTheme="majorHAnsi" w:hAnsiTheme="majorHAnsi"/>
          <w:sz w:val="20"/>
          <w:szCs w:val="20"/>
          <w:lang w:bidi="ar-MA"/>
        </w:rPr>
        <w:t xml:space="preserve">. </w:t>
      </w:r>
      <w:r w:rsidRPr="00031500">
        <w:rPr>
          <w:rFonts w:asciiTheme="majorHAnsi" w:hAnsiTheme="majorHAnsi"/>
          <w:sz w:val="20"/>
          <w:szCs w:val="20"/>
          <w:lang w:bidi="ar-MA"/>
        </w:rPr>
        <w:t xml:space="preserve">Consequently, on April 10, 2007, the Ninth Criminal Court of the Cali Circuit </w:t>
      </w:r>
      <w:r>
        <w:rPr>
          <w:rFonts w:asciiTheme="majorHAnsi" w:hAnsiTheme="majorHAnsi"/>
          <w:sz w:val="20"/>
          <w:szCs w:val="20"/>
          <w:lang w:bidi="ar-MA"/>
        </w:rPr>
        <w:t>sentenced</w:t>
      </w:r>
      <w:r w:rsidRPr="00031500">
        <w:rPr>
          <w:rFonts w:asciiTheme="majorHAnsi" w:hAnsiTheme="majorHAnsi"/>
          <w:sz w:val="20"/>
          <w:szCs w:val="20"/>
          <w:lang w:bidi="ar-MA"/>
        </w:rPr>
        <w:t xml:space="preserve"> the head of this agency </w:t>
      </w:r>
      <w:r>
        <w:rPr>
          <w:rFonts w:asciiTheme="majorHAnsi" w:hAnsiTheme="majorHAnsi"/>
          <w:sz w:val="20"/>
          <w:szCs w:val="20"/>
          <w:lang w:bidi="ar-MA"/>
        </w:rPr>
        <w:t>to five days in detention</w:t>
      </w:r>
      <w:r w:rsidRPr="00031500">
        <w:rPr>
          <w:rFonts w:asciiTheme="majorHAnsi" w:hAnsiTheme="majorHAnsi"/>
          <w:sz w:val="20"/>
          <w:szCs w:val="20"/>
          <w:lang w:bidi="ar-MA"/>
        </w:rPr>
        <w:t xml:space="preserve"> and a fine of five </w:t>
      </w:r>
      <w:r>
        <w:rPr>
          <w:rFonts w:asciiTheme="majorHAnsi" w:hAnsiTheme="majorHAnsi"/>
          <w:sz w:val="20"/>
          <w:szCs w:val="20"/>
          <w:lang w:bidi="ar-MA"/>
        </w:rPr>
        <w:t xml:space="preserve">times the monthly </w:t>
      </w:r>
      <w:r w:rsidRPr="00031500">
        <w:rPr>
          <w:rFonts w:asciiTheme="majorHAnsi" w:hAnsiTheme="majorHAnsi"/>
          <w:sz w:val="20"/>
          <w:szCs w:val="20"/>
          <w:lang w:bidi="ar-MA"/>
        </w:rPr>
        <w:t>minimum</w:t>
      </w:r>
      <w:r>
        <w:rPr>
          <w:rFonts w:asciiTheme="majorHAnsi" w:hAnsiTheme="majorHAnsi"/>
          <w:sz w:val="20"/>
          <w:szCs w:val="20"/>
          <w:lang w:bidi="ar-MA"/>
        </w:rPr>
        <w:t xml:space="preserve"> wage</w:t>
      </w:r>
      <w:r w:rsidR="00F80313" w:rsidRPr="00321569">
        <w:rPr>
          <w:rFonts w:asciiTheme="majorHAnsi" w:hAnsiTheme="majorHAnsi"/>
          <w:sz w:val="20"/>
          <w:szCs w:val="20"/>
          <w:lang w:bidi="ar-MA"/>
        </w:rPr>
        <w:t xml:space="preserve">. </w:t>
      </w:r>
      <w:r w:rsidRPr="00031500">
        <w:rPr>
          <w:rFonts w:asciiTheme="majorHAnsi" w:hAnsiTheme="majorHAnsi"/>
          <w:sz w:val="20"/>
          <w:szCs w:val="20"/>
          <w:lang w:bidi="ar-MA"/>
        </w:rPr>
        <w:t>On October 29, 2007, the Criminal Chamber of the Superior Court of the Cali Judicial District affirmed this decision</w:t>
      </w:r>
      <w:r w:rsidR="00F80313" w:rsidRPr="00321569">
        <w:rPr>
          <w:rFonts w:asciiTheme="majorHAnsi" w:hAnsiTheme="majorHAnsi"/>
          <w:sz w:val="20"/>
          <w:szCs w:val="20"/>
          <w:lang w:bidi="ar-MA"/>
        </w:rPr>
        <w:t>.</w:t>
      </w:r>
    </w:p>
    <w:p w14:paraId="17BAD79D" w14:textId="69809AE7" w:rsidR="00B57B2C" w:rsidRPr="00321569" w:rsidRDefault="008E516E" w:rsidP="00B57B2C">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8E516E">
        <w:rPr>
          <w:rFonts w:asciiTheme="majorHAnsi" w:eastAsia="Arial Unicode MS" w:hAnsiTheme="majorHAnsi" w:cs="Times New Roman"/>
          <w:color w:val="auto"/>
          <w:sz w:val="20"/>
          <w:szCs w:val="20"/>
          <w:lang w:eastAsia="en-US" w:bidi="ar-MA"/>
        </w:rPr>
        <w:t xml:space="preserve">However, on July 22, 2010, the Fourth Review Chamber of the Constitutional Court suspended the penalty, </w:t>
      </w:r>
      <w:r>
        <w:rPr>
          <w:rFonts w:asciiTheme="majorHAnsi" w:eastAsia="Arial Unicode MS" w:hAnsiTheme="majorHAnsi" w:cs="Times New Roman"/>
          <w:color w:val="auto"/>
          <w:sz w:val="20"/>
          <w:szCs w:val="20"/>
          <w:lang w:eastAsia="en-US" w:bidi="ar-MA"/>
        </w:rPr>
        <w:t xml:space="preserve">on the grounds </w:t>
      </w:r>
      <w:r w:rsidRPr="008E516E">
        <w:rPr>
          <w:rFonts w:asciiTheme="majorHAnsi" w:eastAsia="Arial Unicode MS" w:hAnsiTheme="majorHAnsi" w:cs="Times New Roman"/>
          <w:color w:val="auto"/>
          <w:sz w:val="20"/>
          <w:szCs w:val="20"/>
          <w:lang w:eastAsia="en-US" w:bidi="ar-MA"/>
        </w:rPr>
        <w:t>that CAJANAL was in the process of being dissolved, so it was impossible to attribute all the responsibility to its director and order him to be placed under arrest</w:t>
      </w:r>
      <w:r w:rsidR="00B57B2C" w:rsidRPr="00321569">
        <w:rPr>
          <w:rFonts w:asciiTheme="majorHAnsi" w:eastAsia="Arial Unicode MS" w:hAnsiTheme="majorHAnsi" w:cs="Times New Roman"/>
          <w:color w:val="auto"/>
          <w:sz w:val="20"/>
          <w:szCs w:val="20"/>
          <w:lang w:eastAsia="en-US" w:bidi="ar-MA"/>
        </w:rPr>
        <w:t xml:space="preserve">. </w:t>
      </w:r>
      <w:r w:rsidR="001624A4" w:rsidRPr="001624A4">
        <w:rPr>
          <w:rFonts w:asciiTheme="majorHAnsi" w:eastAsia="Arial Unicode MS" w:hAnsiTheme="majorHAnsi" w:cs="Times New Roman"/>
          <w:color w:val="auto"/>
          <w:sz w:val="20"/>
          <w:szCs w:val="20"/>
          <w:lang w:eastAsia="en-US" w:bidi="ar-MA"/>
        </w:rPr>
        <w:t xml:space="preserve">It also ordered that no contempt penalties be enforced </w:t>
      </w:r>
      <w:r w:rsidR="001624A4">
        <w:rPr>
          <w:rFonts w:asciiTheme="majorHAnsi" w:eastAsia="Arial Unicode MS" w:hAnsiTheme="majorHAnsi" w:cs="Times New Roman"/>
          <w:color w:val="auto"/>
          <w:sz w:val="20"/>
          <w:szCs w:val="20"/>
          <w:lang w:eastAsia="en-US" w:bidi="ar-MA"/>
        </w:rPr>
        <w:t>before</w:t>
      </w:r>
      <w:r w:rsidR="001624A4" w:rsidRPr="001624A4">
        <w:rPr>
          <w:rFonts w:asciiTheme="majorHAnsi" w:eastAsia="Arial Unicode MS" w:hAnsiTheme="majorHAnsi" w:cs="Times New Roman"/>
          <w:color w:val="auto"/>
          <w:sz w:val="20"/>
          <w:szCs w:val="20"/>
          <w:lang w:eastAsia="en-US" w:bidi="ar-MA"/>
        </w:rPr>
        <w:t xml:space="preserve"> the approval of the action plan that was being prepared to </w:t>
      </w:r>
      <w:r w:rsidR="00874995">
        <w:rPr>
          <w:rFonts w:asciiTheme="majorHAnsi" w:eastAsia="Arial Unicode MS" w:hAnsiTheme="majorHAnsi" w:cs="Times New Roman"/>
          <w:color w:val="auto"/>
          <w:sz w:val="20"/>
          <w:szCs w:val="20"/>
          <w:lang w:eastAsia="en-US" w:bidi="ar-MA"/>
        </w:rPr>
        <w:t>adjudicate</w:t>
      </w:r>
      <w:r w:rsidR="001624A4" w:rsidRPr="001624A4">
        <w:rPr>
          <w:rFonts w:asciiTheme="majorHAnsi" w:eastAsia="Arial Unicode MS" w:hAnsiTheme="majorHAnsi" w:cs="Times New Roman"/>
          <w:color w:val="auto"/>
          <w:sz w:val="20"/>
          <w:szCs w:val="20"/>
          <w:lang w:eastAsia="en-US" w:bidi="ar-MA"/>
        </w:rPr>
        <w:t xml:space="preserve"> the cases of </w:t>
      </w:r>
      <w:r w:rsidR="001624A4" w:rsidRPr="001624A4">
        <w:rPr>
          <w:rFonts w:asciiTheme="majorHAnsi" w:eastAsia="Arial Unicode MS" w:hAnsiTheme="majorHAnsi" w:cs="Times New Roman"/>
          <w:color w:val="auto"/>
          <w:sz w:val="20"/>
          <w:szCs w:val="20"/>
          <w:lang w:eastAsia="en-US" w:bidi="ar-MA"/>
        </w:rPr>
        <w:lastRenderedPageBreak/>
        <w:t>those who were awaiting a response from the institution</w:t>
      </w:r>
      <w:r w:rsidR="00B57B2C" w:rsidRPr="00321569">
        <w:rPr>
          <w:rFonts w:asciiTheme="majorHAnsi" w:eastAsia="Arial Unicode MS" w:hAnsiTheme="majorHAnsi" w:cs="Times New Roman"/>
          <w:color w:val="auto"/>
          <w:sz w:val="20"/>
          <w:szCs w:val="20"/>
          <w:lang w:eastAsia="en-US" w:bidi="ar-MA"/>
        </w:rPr>
        <w:t xml:space="preserve">. </w:t>
      </w:r>
      <w:r w:rsidR="006F5216" w:rsidRPr="006F5216">
        <w:rPr>
          <w:rFonts w:asciiTheme="majorHAnsi" w:eastAsia="Arial Unicode MS" w:hAnsiTheme="majorHAnsi" w:cs="Times New Roman"/>
          <w:color w:val="auto"/>
          <w:sz w:val="20"/>
          <w:szCs w:val="20"/>
          <w:lang w:eastAsia="en-US" w:bidi="ar-MA"/>
        </w:rPr>
        <w:t>In the petitioner</w:t>
      </w:r>
      <w:r w:rsidR="00FE1278">
        <w:rPr>
          <w:rFonts w:asciiTheme="majorHAnsi" w:eastAsia="Arial Unicode MS" w:hAnsiTheme="majorHAnsi" w:cs="Times New Roman"/>
          <w:color w:val="auto"/>
          <w:sz w:val="20"/>
          <w:szCs w:val="20"/>
          <w:lang w:eastAsia="en-US" w:bidi="ar-MA"/>
        </w:rPr>
        <w:t>’</w:t>
      </w:r>
      <w:r w:rsidR="006F5216" w:rsidRPr="006F5216">
        <w:rPr>
          <w:rFonts w:asciiTheme="majorHAnsi" w:eastAsia="Arial Unicode MS" w:hAnsiTheme="majorHAnsi" w:cs="Times New Roman"/>
          <w:color w:val="auto"/>
          <w:sz w:val="20"/>
          <w:szCs w:val="20"/>
          <w:lang w:eastAsia="en-US" w:bidi="ar-MA"/>
        </w:rPr>
        <w:t xml:space="preserve">s opinion, this decision </w:t>
      </w:r>
      <w:r w:rsidR="00EB3334">
        <w:rPr>
          <w:rFonts w:asciiTheme="majorHAnsi" w:eastAsia="Arial Unicode MS" w:hAnsiTheme="majorHAnsi" w:cs="Times New Roman"/>
          <w:color w:val="auto"/>
          <w:sz w:val="20"/>
          <w:szCs w:val="20"/>
          <w:lang w:eastAsia="en-US" w:bidi="ar-MA"/>
        </w:rPr>
        <w:t xml:space="preserve">kept </w:t>
      </w:r>
      <w:r w:rsidR="006F5216" w:rsidRPr="006F5216">
        <w:rPr>
          <w:rFonts w:asciiTheme="majorHAnsi" w:eastAsia="Arial Unicode MS" w:hAnsiTheme="majorHAnsi" w:cs="Times New Roman"/>
          <w:color w:val="auto"/>
          <w:sz w:val="20"/>
          <w:szCs w:val="20"/>
          <w:lang w:eastAsia="en-US" w:bidi="ar-MA"/>
        </w:rPr>
        <w:t>the alleged victims</w:t>
      </w:r>
      <w:r w:rsidR="00EB3334">
        <w:rPr>
          <w:rFonts w:asciiTheme="majorHAnsi" w:eastAsia="Arial Unicode MS" w:hAnsiTheme="majorHAnsi" w:cs="Times New Roman"/>
          <w:color w:val="auto"/>
          <w:sz w:val="20"/>
          <w:szCs w:val="20"/>
          <w:lang w:eastAsia="en-US" w:bidi="ar-MA"/>
        </w:rPr>
        <w:t>’ interests</w:t>
      </w:r>
      <w:r w:rsidR="006F5216" w:rsidRPr="006F5216">
        <w:rPr>
          <w:rFonts w:asciiTheme="majorHAnsi" w:eastAsia="Arial Unicode MS" w:hAnsiTheme="majorHAnsi" w:cs="Times New Roman"/>
          <w:color w:val="auto"/>
          <w:sz w:val="20"/>
          <w:szCs w:val="20"/>
          <w:lang w:eastAsia="en-US" w:bidi="ar-MA"/>
        </w:rPr>
        <w:t xml:space="preserve"> from being limited until June 11, 2013, when CAJANAL</w:t>
      </w:r>
      <w:r w:rsidR="00FE1278">
        <w:rPr>
          <w:rFonts w:asciiTheme="majorHAnsi" w:eastAsia="Arial Unicode MS" w:hAnsiTheme="majorHAnsi" w:cs="Times New Roman"/>
          <w:color w:val="auto"/>
          <w:sz w:val="20"/>
          <w:szCs w:val="20"/>
          <w:lang w:eastAsia="en-US" w:bidi="ar-MA"/>
        </w:rPr>
        <w:t>’</w:t>
      </w:r>
      <w:r w:rsidR="006F5216" w:rsidRPr="006F5216">
        <w:rPr>
          <w:rFonts w:asciiTheme="majorHAnsi" w:eastAsia="Arial Unicode MS" w:hAnsiTheme="majorHAnsi" w:cs="Times New Roman"/>
          <w:color w:val="auto"/>
          <w:sz w:val="20"/>
          <w:szCs w:val="20"/>
          <w:lang w:eastAsia="en-US" w:bidi="ar-MA"/>
        </w:rPr>
        <w:t xml:space="preserve">s dissolution process concluded and the Pension and Parafiscal Management Unit (UGPP) assumed its obligations and became responsible for enforcing the </w:t>
      </w:r>
      <w:r w:rsidR="00471D86" w:rsidRPr="00471D86">
        <w:rPr>
          <w:rFonts w:asciiTheme="majorHAnsi" w:eastAsia="Arial Unicode MS" w:hAnsiTheme="majorHAnsi" w:cs="Times New Roman"/>
          <w:i/>
          <w:iCs/>
          <w:color w:val="auto"/>
          <w:sz w:val="20"/>
          <w:szCs w:val="20"/>
          <w:lang w:eastAsia="en-US" w:bidi="ar-MA"/>
        </w:rPr>
        <w:t>tutela</w:t>
      </w:r>
      <w:r w:rsidR="00471D86">
        <w:rPr>
          <w:rFonts w:asciiTheme="majorHAnsi" w:eastAsia="Arial Unicode MS" w:hAnsiTheme="majorHAnsi" w:cs="Times New Roman"/>
          <w:color w:val="auto"/>
          <w:sz w:val="20"/>
          <w:szCs w:val="20"/>
          <w:lang w:eastAsia="en-US" w:bidi="ar-MA"/>
        </w:rPr>
        <w:t xml:space="preserve"> </w:t>
      </w:r>
      <w:r w:rsidR="006F5216">
        <w:rPr>
          <w:rFonts w:asciiTheme="majorHAnsi" w:eastAsia="Arial Unicode MS" w:hAnsiTheme="majorHAnsi" w:cs="Times New Roman"/>
          <w:color w:val="auto"/>
          <w:sz w:val="20"/>
          <w:szCs w:val="20"/>
          <w:lang w:eastAsia="en-US" w:bidi="ar-MA"/>
        </w:rPr>
        <w:t>ruling</w:t>
      </w:r>
      <w:r w:rsidR="00B57B2C" w:rsidRPr="00321569">
        <w:rPr>
          <w:rFonts w:asciiTheme="majorHAnsi" w:eastAsia="Arial Unicode MS" w:hAnsiTheme="majorHAnsi" w:cs="Times New Roman"/>
          <w:color w:val="auto"/>
          <w:sz w:val="20"/>
          <w:szCs w:val="20"/>
          <w:lang w:eastAsia="en-US" w:bidi="ar-MA"/>
        </w:rPr>
        <w:t>.</w:t>
      </w:r>
      <w:r w:rsidR="006F5216">
        <w:rPr>
          <w:rFonts w:asciiTheme="majorHAnsi" w:eastAsia="Arial Unicode MS" w:hAnsiTheme="majorHAnsi" w:cs="Times New Roman"/>
          <w:color w:val="auto"/>
          <w:sz w:val="20"/>
          <w:szCs w:val="20"/>
          <w:lang w:eastAsia="en-US" w:bidi="ar-MA"/>
        </w:rPr>
        <w:t xml:space="preserve"> </w:t>
      </w:r>
    </w:p>
    <w:p w14:paraId="76369A17" w14:textId="77777777" w:rsidR="00B57B2C" w:rsidRPr="00321569" w:rsidRDefault="00B57B2C" w:rsidP="00B57B2C">
      <w:pPr>
        <w:pStyle w:val="ListParagraph"/>
        <w:jc w:val="both"/>
        <w:rPr>
          <w:rFonts w:asciiTheme="majorHAnsi" w:eastAsia="Arial Unicode MS" w:hAnsiTheme="majorHAnsi" w:cs="Times New Roman"/>
          <w:color w:val="auto"/>
          <w:sz w:val="20"/>
          <w:szCs w:val="20"/>
          <w:lang w:eastAsia="en-US" w:bidi="ar-MA"/>
        </w:rPr>
      </w:pPr>
    </w:p>
    <w:p w14:paraId="04A804F0" w14:textId="75421726" w:rsidR="004F4742" w:rsidRPr="00321569" w:rsidRDefault="00BC20DE" w:rsidP="004F47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BC20DE">
        <w:rPr>
          <w:rFonts w:asciiTheme="majorHAnsi" w:hAnsiTheme="majorHAnsi"/>
          <w:sz w:val="20"/>
          <w:szCs w:val="20"/>
          <w:lang w:bidi="ar-MA"/>
        </w:rPr>
        <w:t>In light of this new scenario, the alleged victims filed numerous petitions with the UGPP, requesting the enforcement of the decision ordering the payment of their special pension</w:t>
      </w:r>
      <w:r w:rsidR="004F4742" w:rsidRPr="00321569">
        <w:rPr>
          <w:rFonts w:asciiTheme="majorHAnsi" w:hAnsiTheme="majorHAnsi"/>
          <w:sz w:val="20"/>
          <w:szCs w:val="20"/>
          <w:lang w:bidi="ar-MA"/>
        </w:rPr>
        <w:t xml:space="preserve">. </w:t>
      </w:r>
      <w:r w:rsidRPr="00BC20DE">
        <w:rPr>
          <w:rFonts w:asciiTheme="majorHAnsi" w:hAnsiTheme="majorHAnsi"/>
          <w:sz w:val="20"/>
          <w:szCs w:val="20"/>
          <w:lang w:bidi="ar-MA"/>
        </w:rPr>
        <w:t xml:space="preserve">However, the petitioner </w:t>
      </w:r>
      <w:r>
        <w:rPr>
          <w:rFonts w:asciiTheme="majorHAnsi" w:hAnsiTheme="majorHAnsi"/>
          <w:sz w:val="20"/>
          <w:szCs w:val="20"/>
          <w:lang w:bidi="ar-MA"/>
        </w:rPr>
        <w:t>contends</w:t>
      </w:r>
      <w:r w:rsidRPr="00BC20DE">
        <w:rPr>
          <w:rFonts w:asciiTheme="majorHAnsi" w:hAnsiTheme="majorHAnsi"/>
          <w:sz w:val="20"/>
          <w:szCs w:val="20"/>
          <w:lang w:bidi="ar-MA"/>
        </w:rPr>
        <w:t xml:space="preserve"> that the agency continued to violate this court order, on the grounds that the alleged victims had failed to comply with the requirement to file a lawsuit in the administrative courts within four months of the notice of the decision</w:t>
      </w:r>
      <w:r w:rsidR="004F4742" w:rsidRPr="00321569">
        <w:rPr>
          <w:rFonts w:asciiTheme="majorHAnsi" w:hAnsiTheme="majorHAnsi"/>
          <w:sz w:val="20"/>
          <w:szCs w:val="20"/>
          <w:lang w:bidi="ar-MA"/>
        </w:rPr>
        <w:t>.</w:t>
      </w:r>
    </w:p>
    <w:p w14:paraId="49F1318D" w14:textId="27CDED88" w:rsidR="00445FC2" w:rsidRPr="00321569" w:rsidRDefault="005A23A1" w:rsidP="00445F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5A23A1">
        <w:rPr>
          <w:rFonts w:asciiTheme="majorHAnsi" w:hAnsiTheme="majorHAnsi"/>
          <w:sz w:val="20"/>
          <w:szCs w:val="20"/>
          <w:lang w:bidi="ar-MA"/>
        </w:rPr>
        <w:t xml:space="preserve">Subsequently, on May 9, 2014, the alleged victims requested </w:t>
      </w:r>
      <w:r>
        <w:rPr>
          <w:rFonts w:asciiTheme="majorHAnsi" w:hAnsiTheme="majorHAnsi"/>
          <w:sz w:val="20"/>
          <w:szCs w:val="20"/>
          <w:lang w:bidi="ar-MA"/>
        </w:rPr>
        <w:t>that</w:t>
      </w:r>
      <w:r w:rsidRPr="005A23A1">
        <w:rPr>
          <w:rFonts w:asciiTheme="majorHAnsi" w:hAnsiTheme="majorHAnsi"/>
          <w:sz w:val="20"/>
          <w:szCs w:val="20"/>
          <w:lang w:bidi="ar-MA"/>
        </w:rPr>
        <w:t xml:space="preserve"> a second contempt motion </w:t>
      </w:r>
      <w:r>
        <w:rPr>
          <w:rFonts w:asciiTheme="majorHAnsi" w:hAnsiTheme="majorHAnsi"/>
          <w:sz w:val="20"/>
          <w:szCs w:val="20"/>
          <w:lang w:bidi="ar-MA"/>
        </w:rPr>
        <w:t xml:space="preserve">be filed </w:t>
      </w:r>
      <w:r w:rsidRPr="005A23A1">
        <w:rPr>
          <w:rFonts w:asciiTheme="majorHAnsi" w:hAnsiTheme="majorHAnsi"/>
          <w:sz w:val="20"/>
          <w:szCs w:val="20"/>
          <w:lang w:bidi="ar-MA"/>
        </w:rPr>
        <w:t>for failure to comply with the judgment of June 22, 2006</w:t>
      </w:r>
      <w:r w:rsidR="00445FC2" w:rsidRPr="00321569">
        <w:rPr>
          <w:rFonts w:asciiTheme="majorHAnsi" w:hAnsiTheme="majorHAnsi"/>
          <w:sz w:val="20"/>
          <w:szCs w:val="20"/>
          <w:lang w:bidi="ar-MA"/>
        </w:rPr>
        <w:t xml:space="preserve">. </w:t>
      </w:r>
      <w:r w:rsidRPr="005A23A1">
        <w:rPr>
          <w:rFonts w:asciiTheme="majorHAnsi" w:hAnsiTheme="majorHAnsi"/>
          <w:sz w:val="20"/>
          <w:szCs w:val="20"/>
          <w:lang w:bidi="ar-MA"/>
        </w:rPr>
        <w:t>On August 25, 2014, the Ninth Criminal Court of the Cali Circuit ordered the UGPP</w:t>
      </w:r>
      <w:r w:rsidR="00FE1278">
        <w:rPr>
          <w:rFonts w:asciiTheme="majorHAnsi" w:hAnsiTheme="majorHAnsi"/>
          <w:sz w:val="20"/>
          <w:szCs w:val="20"/>
          <w:lang w:bidi="ar-MA"/>
        </w:rPr>
        <w:t>’</w:t>
      </w:r>
      <w:r>
        <w:rPr>
          <w:rFonts w:asciiTheme="majorHAnsi" w:hAnsiTheme="majorHAnsi"/>
          <w:sz w:val="20"/>
          <w:szCs w:val="20"/>
          <w:lang w:bidi="ar-MA"/>
        </w:rPr>
        <w:t xml:space="preserve">s </w:t>
      </w:r>
      <w:r w:rsidRPr="005A23A1">
        <w:rPr>
          <w:rFonts w:asciiTheme="majorHAnsi" w:hAnsiTheme="majorHAnsi"/>
          <w:sz w:val="20"/>
          <w:szCs w:val="20"/>
          <w:lang w:bidi="ar-MA"/>
        </w:rPr>
        <w:t>general</w:t>
      </w:r>
      <w:r>
        <w:rPr>
          <w:rFonts w:asciiTheme="majorHAnsi" w:hAnsiTheme="majorHAnsi"/>
          <w:sz w:val="20"/>
          <w:szCs w:val="20"/>
          <w:lang w:bidi="ar-MA"/>
        </w:rPr>
        <w:t xml:space="preserve"> director</w:t>
      </w:r>
      <w:r w:rsidRPr="005A23A1">
        <w:rPr>
          <w:rFonts w:asciiTheme="majorHAnsi" w:hAnsiTheme="majorHAnsi"/>
          <w:sz w:val="20"/>
          <w:szCs w:val="20"/>
          <w:lang w:bidi="ar-MA"/>
        </w:rPr>
        <w:t xml:space="preserve">, director of pensions, and deputy director </w:t>
      </w:r>
      <w:r>
        <w:rPr>
          <w:rFonts w:asciiTheme="majorHAnsi" w:hAnsiTheme="majorHAnsi"/>
          <w:sz w:val="20"/>
          <w:szCs w:val="20"/>
          <w:lang w:bidi="ar-MA"/>
        </w:rPr>
        <w:t>for the</w:t>
      </w:r>
      <w:r w:rsidRPr="005A23A1">
        <w:rPr>
          <w:rFonts w:asciiTheme="majorHAnsi" w:hAnsiTheme="majorHAnsi"/>
          <w:sz w:val="20"/>
          <w:szCs w:val="20"/>
          <w:lang w:bidi="ar-MA"/>
        </w:rPr>
        <w:t xml:space="preserve"> determination of pension rights</w:t>
      </w:r>
      <w:r>
        <w:rPr>
          <w:rFonts w:asciiTheme="majorHAnsi" w:hAnsiTheme="majorHAnsi"/>
          <w:sz w:val="20"/>
          <w:szCs w:val="20"/>
          <w:lang w:bidi="ar-MA"/>
        </w:rPr>
        <w:t xml:space="preserve"> </w:t>
      </w:r>
      <w:r w:rsidRPr="005A23A1">
        <w:rPr>
          <w:rFonts w:asciiTheme="majorHAnsi" w:hAnsiTheme="majorHAnsi"/>
          <w:sz w:val="20"/>
          <w:szCs w:val="20"/>
          <w:lang w:bidi="ar-MA"/>
        </w:rPr>
        <w:t xml:space="preserve">to serve five days </w:t>
      </w:r>
      <w:r>
        <w:rPr>
          <w:rFonts w:asciiTheme="majorHAnsi" w:hAnsiTheme="majorHAnsi"/>
          <w:sz w:val="20"/>
          <w:szCs w:val="20"/>
          <w:lang w:bidi="ar-MA"/>
        </w:rPr>
        <w:t>in detention</w:t>
      </w:r>
      <w:r w:rsidR="00445FC2" w:rsidRPr="00321569">
        <w:rPr>
          <w:rFonts w:asciiTheme="majorHAnsi" w:hAnsiTheme="majorHAnsi"/>
          <w:sz w:val="20"/>
          <w:szCs w:val="20"/>
          <w:lang w:bidi="ar-MA"/>
        </w:rPr>
        <w:t xml:space="preserve">. </w:t>
      </w:r>
      <w:r w:rsidR="0084670F" w:rsidRPr="0084670F">
        <w:rPr>
          <w:rFonts w:asciiTheme="majorHAnsi" w:hAnsiTheme="majorHAnsi"/>
          <w:sz w:val="20"/>
          <w:szCs w:val="20"/>
          <w:lang w:bidi="ar-MA"/>
        </w:rPr>
        <w:t xml:space="preserve">However, on March 19, 2015, the Criminal Chamber of the Superior Court of the Judicial District of Cali overturned this ruling, finding that the UGPP had complied with the court order, since it granted the special pension to 48 teachers for four months, as from the notice of the </w:t>
      </w:r>
      <w:r w:rsidR="00471D86" w:rsidRPr="00471D86">
        <w:rPr>
          <w:rFonts w:asciiTheme="majorHAnsi" w:hAnsiTheme="majorHAnsi"/>
          <w:i/>
          <w:iCs/>
          <w:sz w:val="20"/>
          <w:szCs w:val="20"/>
          <w:lang w:bidi="ar-MA"/>
        </w:rPr>
        <w:t>tutela</w:t>
      </w:r>
      <w:r w:rsidR="00471D86">
        <w:rPr>
          <w:rFonts w:asciiTheme="majorHAnsi" w:hAnsiTheme="majorHAnsi"/>
          <w:sz w:val="20"/>
          <w:szCs w:val="20"/>
          <w:lang w:bidi="ar-MA"/>
        </w:rPr>
        <w:t xml:space="preserve"> </w:t>
      </w:r>
      <w:r w:rsidR="0084670F">
        <w:rPr>
          <w:rFonts w:asciiTheme="majorHAnsi" w:hAnsiTheme="majorHAnsi"/>
          <w:sz w:val="20"/>
          <w:szCs w:val="20"/>
          <w:lang w:bidi="ar-MA"/>
        </w:rPr>
        <w:t>ruling</w:t>
      </w:r>
      <w:r w:rsidR="002D3040">
        <w:rPr>
          <w:rFonts w:asciiTheme="majorHAnsi" w:hAnsiTheme="majorHAnsi"/>
          <w:sz w:val="20"/>
          <w:szCs w:val="20"/>
          <w:lang w:bidi="ar-MA"/>
        </w:rPr>
        <w:t>. It further found</w:t>
      </w:r>
      <w:r w:rsidR="0084670F" w:rsidRPr="0084670F">
        <w:rPr>
          <w:rFonts w:asciiTheme="majorHAnsi" w:hAnsiTheme="majorHAnsi"/>
          <w:sz w:val="20"/>
          <w:szCs w:val="20"/>
          <w:lang w:bidi="ar-MA"/>
        </w:rPr>
        <w:t xml:space="preserve"> that the plaintiffs had not timely filed the appropriate appeal in the administrative courts, for which reason they did not continue to receive </w:t>
      </w:r>
      <w:r w:rsidR="0084670F">
        <w:rPr>
          <w:rFonts w:asciiTheme="majorHAnsi" w:hAnsiTheme="majorHAnsi"/>
          <w:sz w:val="20"/>
          <w:szCs w:val="20"/>
          <w:lang w:bidi="ar-MA"/>
        </w:rPr>
        <w:t xml:space="preserve">the </w:t>
      </w:r>
      <w:r w:rsidR="0084670F" w:rsidRPr="0084670F">
        <w:rPr>
          <w:rFonts w:asciiTheme="majorHAnsi" w:hAnsiTheme="majorHAnsi"/>
          <w:sz w:val="20"/>
          <w:szCs w:val="20"/>
          <w:lang w:bidi="ar-MA"/>
        </w:rPr>
        <w:t>benefit.</w:t>
      </w:r>
    </w:p>
    <w:p w14:paraId="434359EE" w14:textId="11494111" w:rsidR="00515236" w:rsidRPr="00321569" w:rsidRDefault="00471D86" w:rsidP="005152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471D86">
        <w:rPr>
          <w:rFonts w:asciiTheme="majorHAnsi" w:hAnsiTheme="majorHAnsi"/>
          <w:sz w:val="20"/>
          <w:szCs w:val="20"/>
          <w:lang w:bidi="ar-MA"/>
        </w:rPr>
        <w:t xml:space="preserve">Based on these considerations, the petitioner insists that the UGPP has not complied to date with what the court ordered in the </w:t>
      </w:r>
      <w:r w:rsidRPr="00471D86">
        <w:rPr>
          <w:rFonts w:asciiTheme="majorHAnsi" w:hAnsiTheme="majorHAnsi"/>
          <w:i/>
          <w:iCs/>
          <w:sz w:val="20"/>
          <w:szCs w:val="20"/>
          <w:lang w:bidi="ar-MA"/>
        </w:rPr>
        <w:t>tutela</w:t>
      </w:r>
      <w:r w:rsidRPr="00471D86">
        <w:rPr>
          <w:rFonts w:asciiTheme="majorHAnsi" w:hAnsiTheme="majorHAnsi"/>
          <w:sz w:val="20"/>
          <w:szCs w:val="20"/>
          <w:lang w:bidi="ar-MA"/>
        </w:rPr>
        <w:t xml:space="preserve"> ruling, since it erroneously conditioned the payment of the special pension to the alleged victims on their having filed an administrative lawsuit</w:t>
      </w:r>
      <w:r w:rsidR="002D3040">
        <w:rPr>
          <w:rFonts w:asciiTheme="majorHAnsi" w:hAnsiTheme="majorHAnsi"/>
          <w:sz w:val="20"/>
          <w:szCs w:val="20"/>
          <w:lang w:bidi="ar-MA"/>
        </w:rPr>
        <w:t>. C</w:t>
      </w:r>
      <w:r w:rsidRPr="00471D86">
        <w:rPr>
          <w:rFonts w:asciiTheme="majorHAnsi" w:hAnsiTheme="majorHAnsi"/>
          <w:sz w:val="20"/>
          <w:szCs w:val="20"/>
          <w:lang w:bidi="ar-MA"/>
        </w:rPr>
        <w:t xml:space="preserve">onsequently, </w:t>
      </w:r>
      <w:r w:rsidR="002D3040">
        <w:rPr>
          <w:rFonts w:asciiTheme="majorHAnsi" w:hAnsiTheme="majorHAnsi"/>
          <w:sz w:val="20"/>
          <w:szCs w:val="20"/>
          <w:lang w:bidi="ar-MA"/>
        </w:rPr>
        <w:t xml:space="preserve">it argues, </w:t>
      </w:r>
      <w:r w:rsidRPr="00471D86">
        <w:rPr>
          <w:rFonts w:asciiTheme="majorHAnsi" w:hAnsiTheme="majorHAnsi"/>
          <w:sz w:val="20"/>
          <w:szCs w:val="20"/>
          <w:lang w:bidi="ar-MA"/>
        </w:rPr>
        <w:t>the alleged victims</w:t>
      </w:r>
      <w:r w:rsidR="00FE1278">
        <w:rPr>
          <w:rFonts w:asciiTheme="majorHAnsi" w:hAnsiTheme="majorHAnsi"/>
          <w:sz w:val="20"/>
          <w:szCs w:val="20"/>
          <w:lang w:bidi="ar-MA"/>
        </w:rPr>
        <w:t>’</w:t>
      </w:r>
      <w:r w:rsidRPr="00471D86">
        <w:rPr>
          <w:rFonts w:asciiTheme="majorHAnsi" w:hAnsiTheme="majorHAnsi"/>
          <w:sz w:val="20"/>
          <w:szCs w:val="20"/>
          <w:lang w:bidi="ar-MA"/>
        </w:rPr>
        <w:t xml:space="preserve"> right to equality and judicial protection is being violated</w:t>
      </w:r>
      <w:r>
        <w:rPr>
          <w:rFonts w:asciiTheme="majorHAnsi" w:hAnsiTheme="majorHAnsi"/>
          <w:sz w:val="20"/>
          <w:szCs w:val="20"/>
          <w:lang w:bidi="ar-MA"/>
        </w:rPr>
        <w:t xml:space="preserve"> </w:t>
      </w:r>
      <w:r w:rsidRPr="00471D86">
        <w:rPr>
          <w:rFonts w:asciiTheme="majorHAnsi" w:hAnsiTheme="majorHAnsi"/>
          <w:sz w:val="20"/>
          <w:szCs w:val="20"/>
          <w:lang w:bidi="ar-MA"/>
        </w:rPr>
        <w:t xml:space="preserve">because, unlike other teachers, they are not </w:t>
      </w:r>
      <w:r w:rsidR="002D3040">
        <w:rPr>
          <w:rFonts w:asciiTheme="majorHAnsi" w:hAnsiTheme="majorHAnsi"/>
          <w:sz w:val="20"/>
          <w:szCs w:val="20"/>
          <w:lang w:bidi="ar-MA"/>
        </w:rPr>
        <w:t>receiving</w:t>
      </w:r>
      <w:r w:rsidRPr="00471D86">
        <w:rPr>
          <w:rFonts w:asciiTheme="majorHAnsi" w:hAnsiTheme="majorHAnsi"/>
          <w:sz w:val="20"/>
          <w:szCs w:val="20"/>
          <w:lang w:bidi="ar-MA"/>
        </w:rPr>
        <w:t xml:space="preserve"> the pension payments to which they believe they are entitled</w:t>
      </w:r>
      <w:r w:rsidR="00515236" w:rsidRPr="00321569">
        <w:rPr>
          <w:rFonts w:asciiTheme="majorHAnsi" w:hAnsiTheme="majorHAnsi"/>
          <w:sz w:val="20"/>
          <w:szCs w:val="20"/>
          <w:lang w:bidi="ar-MA"/>
        </w:rPr>
        <w:t xml:space="preserve">. </w:t>
      </w:r>
      <w:r w:rsidR="00F5130E" w:rsidRPr="00F5130E">
        <w:rPr>
          <w:rFonts w:asciiTheme="majorHAnsi" w:hAnsiTheme="majorHAnsi"/>
          <w:sz w:val="20"/>
          <w:szCs w:val="20"/>
          <w:lang w:bidi="ar-MA"/>
        </w:rPr>
        <w:t xml:space="preserve">Finally, </w:t>
      </w:r>
      <w:r w:rsidR="00F5130E">
        <w:rPr>
          <w:rFonts w:asciiTheme="majorHAnsi" w:hAnsiTheme="majorHAnsi"/>
          <w:sz w:val="20"/>
          <w:szCs w:val="20"/>
          <w:lang w:bidi="ar-MA"/>
        </w:rPr>
        <w:t>the petitioner</w:t>
      </w:r>
      <w:r w:rsidR="00F5130E" w:rsidRPr="00F5130E">
        <w:rPr>
          <w:rFonts w:asciiTheme="majorHAnsi" w:hAnsiTheme="majorHAnsi"/>
          <w:sz w:val="20"/>
          <w:szCs w:val="20"/>
          <w:lang w:bidi="ar-MA"/>
        </w:rPr>
        <w:t xml:space="preserve"> states that the alleged victims are </w:t>
      </w:r>
      <w:r w:rsidR="003A2441">
        <w:rPr>
          <w:rFonts w:asciiTheme="majorHAnsi" w:hAnsiTheme="majorHAnsi"/>
          <w:sz w:val="20"/>
          <w:szCs w:val="20"/>
          <w:lang w:bidi="ar-MA"/>
        </w:rPr>
        <w:t>older individuals</w:t>
      </w:r>
      <w:r w:rsidR="00F5130E" w:rsidRPr="00F5130E">
        <w:rPr>
          <w:rFonts w:asciiTheme="majorHAnsi" w:hAnsiTheme="majorHAnsi"/>
          <w:sz w:val="20"/>
          <w:szCs w:val="20"/>
          <w:lang w:bidi="ar-MA"/>
        </w:rPr>
        <w:t xml:space="preserve"> whose lives are </w:t>
      </w:r>
      <w:r w:rsidR="00F5130E">
        <w:rPr>
          <w:rFonts w:asciiTheme="majorHAnsi" w:hAnsiTheme="majorHAnsi"/>
          <w:sz w:val="20"/>
          <w:szCs w:val="20"/>
          <w:lang w:bidi="ar-MA"/>
        </w:rPr>
        <w:t xml:space="preserve">adversely </w:t>
      </w:r>
      <w:r w:rsidR="00F5130E" w:rsidRPr="00F5130E">
        <w:rPr>
          <w:rFonts w:asciiTheme="majorHAnsi" w:hAnsiTheme="majorHAnsi"/>
          <w:sz w:val="20"/>
          <w:szCs w:val="20"/>
          <w:lang w:bidi="ar-MA"/>
        </w:rPr>
        <w:t>affected by the lack of payment of this benefit</w:t>
      </w:r>
      <w:r w:rsidR="00515236" w:rsidRPr="00321569">
        <w:rPr>
          <w:rFonts w:asciiTheme="majorHAnsi" w:hAnsiTheme="majorHAnsi"/>
          <w:sz w:val="20"/>
          <w:szCs w:val="20"/>
          <w:lang w:bidi="ar-MA"/>
        </w:rPr>
        <w:t>.</w:t>
      </w:r>
    </w:p>
    <w:p w14:paraId="6BC8BF15" w14:textId="54431749" w:rsidR="00B6716C" w:rsidRPr="00321569" w:rsidRDefault="00807323" w:rsidP="00B6716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bidi="ar-MA"/>
        </w:rPr>
      </w:pPr>
      <w:r>
        <w:rPr>
          <w:rFonts w:asciiTheme="majorHAnsi" w:hAnsiTheme="majorHAnsi"/>
          <w:i/>
          <w:iCs/>
          <w:sz w:val="20"/>
          <w:szCs w:val="20"/>
          <w:lang w:bidi="ar-MA"/>
        </w:rPr>
        <w:t>Position of the State of Colombia</w:t>
      </w:r>
    </w:p>
    <w:p w14:paraId="5BBA68A1" w14:textId="09A8496D" w:rsidR="00600F03" w:rsidRPr="00321569" w:rsidRDefault="009E6DEC" w:rsidP="00600F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9E6DEC">
        <w:rPr>
          <w:rFonts w:asciiTheme="majorHAnsi" w:hAnsiTheme="majorHAnsi"/>
          <w:sz w:val="20"/>
          <w:szCs w:val="20"/>
          <w:lang w:bidi="ar-MA"/>
        </w:rPr>
        <w:t xml:space="preserve">Colombia </w:t>
      </w:r>
      <w:r>
        <w:rPr>
          <w:rFonts w:asciiTheme="majorHAnsi" w:hAnsiTheme="majorHAnsi"/>
          <w:sz w:val="20"/>
          <w:szCs w:val="20"/>
          <w:lang w:bidi="ar-MA"/>
        </w:rPr>
        <w:t>maintains</w:t>
      </w:r>
      <w:r w:rsidRPr="009E6DEC">
        <w:rPr>
          <w:rFonts w:asciiTheme="majorHAnsi" w:hAnsiTheme="majorHAnsi"/>
          <w:sz w:val="20"/>
          <w:szCs w:val="20"/>
          <w:lang w:bidi="ar-MA"/>
        </w:rPr>
        <w:t xml:space="preserve"> that the petition is inadmissible due to </w:t>
      </w:r>
      <w:r>
        <w:rPr>
          <w:rFonts w:asciiTheme="majorHAnsi" w:hAnsiTheme="majorHAnsi"/>
          <w:sz w:val="20"/>
          <w:szCs w:val="20"/>
          <w:lang w:bidi="ar-MA"/>
        </w:rPr>
        <w:t xml:space="preserve">the </w:t>
      </w:r>
      <w:r w:rsidRPr="009E6DEC">
        <w:rPr>
          <w:rFonts w:asciiTheme="majorHAnsi" w:hAnsiTheme="majorHAnsi"/>
          <w:sz w:val="20"/>
          <w:szCs w:val="20"/>
          <w:lang w:bidi="ar-MA"/>
        </w:rPr>
        <w:t>non-exhaustion of domestic remedies</w:t>
      </w:r>
      <w:r w:rsidR="00600F03" w:rsidRPr="00321569">
        <w:rPr>
          <w:rFonts w:asciiTheme="majorHAnsi" w:hAnsiTheme="majorHAnsi"/>
          <w:sz w:val="20"/>
          <w:szCs w:val="20"/>
          <w:lang w:bidi="ar-MA"/>
        </w:rPr>
        <w:t xml:space="preserve">. </w:t>
      </w:r>
      <w:r w:rsidRPr="009E6DEC">
        <w:rPr>
          <w:rFonts w:asciiTheme="majorHAnsi" w:hAnsiTheme="majorHAnsi"/>
          <w:sz w:val="20"/>
          <w:szCs w:val="20"/>
          <w:lang w:bidi="ar-MA"/>
        </w:rPr>
        <w:t>It argues that despite the fact that the Ninth Criminal Court of the Cali Circuit indicated in its June 2006 judgment that the alleged victims should file a motion to vacate the judgment and restore their rights, twelve of them had not yet availed themselves of this mechanism when they filed this petition with the IACHR</w:t>
      </w:r>
      <w:r w:rsidR="00600F03" w:rsidRPr="00321569">
        <w:rPr>
          <w:rFonts w:asciiTheme="majorHAnsi" w:hAnsiTheme="majorHAnsi"/>
          <w:sz w:val="20"/>
          <w:szCs w:val="20"/>
          <w:lang w:bidi="ar-MA"/>
        </w:rPr>
        <w:t xml:space="preserve">. </w:t>
      </w:r>
      <w:r w:rsidRPr="009E6DEC">
        <w:rPr>
          <w:rFonts w:asciiTheme="majorHAnsi" w:hAnsiTheme="majorHAnsi"/>
          <w:sz w:val="20"/>
          <w:szCs w:val="20"/>
          <w:lang w:bidi="ar-MA"/>
        </w:rPr>
        <w:t xml:space="preserve">It states that this procedure could </w:t>
      </w:r>
      <w:r w:rsidR="00B57243">
        <w:rPr>
          <w:rFonts w:asciiTheme="majorHAnsi" w:hAnsiTheme="majorHAnsi"/>
          <w:sz w:val="20"/>
          <w:szCs w:val="20"/>
          <w:lang w:bidi="ar-MA"/>
        </w:rPr>
        <w:t>have been</w:t>
      </w:r>
      <w:r w:rsidRPr="009E6DEC">
        <w:rPr>
          <w:rFonts w:asciiTheme="majorHAnsi" w:hAnsiTheme="majorHAnsi"/>
          <w:sz w:val="20"/>
          <w:szCs w:val="20"/>
          <w:lang w:bidi="ar-MA"/>
        </w:rPr>
        <w:t xml:space="preserve"> used even if the special pension had not yet been granted or paid, since the alleged victims had an administrative act that could be challenged</w:t>
      </w:r>
      <w:r w:rsidR="00600F03" w:rsidRPr="00321569">
        <w:rPr>
          <w:rFonts w:asciiTheme="majorHAnsi" w:hAnsiTheme="majorHAnsi"/>
          <w:sz w:val="20"/>
          <w:szCs w:val="20"/>
          <w:lang w:bidi="ar-MA"/>
        </w:rPr>
        <w:t xml:space="preserve">. </w:t>
      </w:r>
      <w:r w:rsidR="00B57243" w:rsidRPr="00B57243">
        <w:rPr>
          <w:rFonts w:asciiTheme="majorHAnsi" w:hAnsiTheme="majorHAnsi"/>
          <w:sz w:val="20"/>
          <w:szCs w:val="20"/>
          <w:lang w:bidi="ar-MA"/>
        </w:rPr>
        <w:t>In the State</w:t>
      </w:r>
      <w:r w:rsidR="00FE1278">
        <w:rPr>
          <w:rFonts w:asciiTheme="majorHAnsi" w:hAnsiTheme="majorHAnsi"/>
          <w:sz w:val="20"/>
          <w:szCs w:val="20"/>
          <w:lang w:bidi="ar-MA"/>
        </w:rPr>
        <w:t>’</w:t>
      </w:r>
      <w:r w:rsidR="00B57243" w:rsidRPr="00B57243">
        <w:rPr>
          <w:rFonts w:asciiTheme="majorHAnsi" w:hAnsiTheme="majorHAnsi"/>
          <w:sz w:val="20"/>
          <w:szCs w:val="20"/>
          <w:lang w:bidi="ar-MA"/>
        </w:rPr>
        <w:t>s opinion, this proves that in this case there is a clear failure to use the domestic courts</w:t>
      </w:r>
      <w:r w:rsidR="00600F03" w:rsidRPr="00321569">
        <w:rPr>
          <w:rFonts w:asciiTheme="majorHAnsi" w:hAnsiTheme="majorHAnsi"/>
          <w:sz w:val="20"/>
          <w:szCs w:val="20"/>
          <w:lang w:bidi="ar-MA"/>
        </w:rPr>
        <w:t>.</w:t>
      </w:r>
    </w:p>
    <w:p w14:paraId="375C8041" w14:textId="0036108E" w:rsidR="00A806DF" w:rsidRPr="00321569" w:rsidRDefault="00E163D9" w:rsidP="00A806DF">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E163D9">
        <w:rPr>
          <w:rFonts w:asciiTheme="majorHAnsi" w:eastAsia="Arial Unicode MS" w:hAnsiTheme="majorHAnsi" w:cs="Times New Roman"/>
          <w:color w:val="auto"/>
          <w:sz w:val="20"/>
          <w:szCs w:val="20"/>
          <w:lang w:eastAsia="en-US" w:bidi="ar-MA"/>
        </w:rPr>
        <w:t xml:space="preserve">With respect to the remaining fourteen alleged victims, Colombia submits that none of them complied with the respective legal action within four months </w:t>
      </w:r>
      <w:r>
        <w:rPr>
          <w:rFonts w:asciiTheme="majorHAnsi" w:eastAsia="Arial Unicode MS" w:hAnsiTheme="majorHAnsi" w:cs="Times New Roman"/>
          <w:color w:val="auto"/>
          <w:sz w:val="20"/>
          <w:szCs w:val="20"/>
          <w:lang w:eastAsia="en-US" w:bidi="ar-MA"/>
        </w:rPr>
        <w:t xml:space="preserve">after </w:t>
      </w:r>
      <w:r w:rsidRPr="00E163D9">
        <w:rPr>
          <w:rFonts w:asciiTheme="majorHAnsi" w:eastAsia="Arial Unicode MS" w:hAnsiTheme="majorHAnsi" w:cs="Times New Roman"/>
          <w:color w:val="auto"/>
          <w:sz w:val="20"/>
          <w:szCs w:val="20"/>
          <w:lang w:eastAsia="en-US" w:bidi="ar-MA"/>
        </w:rPr>
        <w:t xml:space="preserve">notice of the </w:t>
      </w:r>
      <w:r w:rsidRPr="00E163D9">
        <w:rPr>
          <w:rFonts w:asciiTheme="majorHAnsi" w:eastAsia="Arial Unicode MS" w:hAnsiTheme="majorHAnsi" w:cs="Times New Roman"/>
          <w:i/>
          <w:iCs/>
          <w:color w:val="auto"/>
          <w:sz w:val="20"/>
          <w:szCs w:val="20"/>
          <w:lang w:eastAsia="en-US" w:bidi="ar-MA"/>
        </w:rPr>
        <w:t xml:space="preserve">tutela </w:t>
      </w:r>
      <w:r w:rsidRPr="00E163D9">
        <w:rPr>
          <w:rFonts w:asciiTheme="majorHAnsi" w:eastAsia="Arial Unicode MS" w:hAnsiTheme="majorHAnsi" w:cs="Times New Roman"/>
          <w:color w:val="auto"/>
          <w:sz w:val="20"/>
          <w:szCs w:val="20"/>
          <w:lang w:eastAsia="en-US" w:bidi="ar-MA"/>
        </w:rPr>
        <w:t>ruling</w:t>
      </w:r>
      <w:r>
        <w:rPr>
          <w:rFonts w:asciiTheme="majorHAnsi" w:eastAsia="Arial Unicode MS" w:hAnsiTheme="majorHAnsi" w:cs="Times New Roman"/>
          <w:color w:val="auto"/>
          <w:sz w:val="20"/>
          <w:szCs w:val="20"/>
          <w:lang w:eastAsia="en-US" w:bidi="ar-MA"/>
        </w:rPr>
        <w:t xml:space="preserve"> was issued</w:t>
      </w:r>
      <w:r w:rsidRPr="00E163D9">
        <w:rPr>
          <w:rFonts w:asciiTheme="majorHAnsi" w:eastAsia="Arial Unicode MS" w:hAnsiTheme="majorHAnsi" w:cs="Times New Roman"/>
          <w:color w:val="auto"/>
          <w:sz w:val="20"/>
          <w:szCs w:val="20"/>
          <w:lang w:eastAsia="en-US" w:bidi="ar-MA"/>
        </w:rPr>
        <w:t>, and only did so after October 28, 2006, when the deadline set forth in that ruling had already passed</w:t>
      </w:r>
      <w:r w:rsidR="00A806DF" w:rsidRPr="00321569">
        <w:rPr>
          <w:rFonts w:asciiTheme="majorHAnsi" w:eastAsia="Arial Unicode MS" w:hAnsiTheme="majorHAnsi" w:cs="Times New Roman"/>
          <w:color w:val="auto"/>
          <w:sz w:val="20"/>
          <w:szCs w:val="20"/>
          <w:lang w:eastAsia="en-US" w:bidi="ar-MA"/>
        </w:rPr>
        <w:t xml:space="preserve">. </w:t>
      </w:r>
      <w:r w:rsidR="00A74F1F">
        <w:rPr>
          <w:rFonts w:asciiTheme="majorHAnsi" w:eastAsia="Arial Unicode MS" w:hAnsiTheme="majorHAnsi" w:cs="Times New Roman"/>
          <w:color w:val="auto"/>
          <w:sz w:val="20"/>
          <w:szCs w:val="20"/>
          <w:lang w:eastAsia="en-US" w:bidi="ar-MA"/>
        </w:rPr>
        <w:t>The State</w:t>
      </w:r>
      <w:r w:rsidR="00A74F1F" w:rsidRPr="00A74F1F">
        <w:rPr>
          <w:rFonts w:asciiTheme="majorHAnsi" w:eastAsia="Arial Unicode MS" w:hAnsiTheme="majorHAnsi" w:cs="Times New Roman"/>
          <w:color w:val="auto"/>
          <w:sz w:val="20"/>
          <w:szCs w:val="20"/>
          <w:lang w:eastAsia="en-US" w:bidi="ar-MA"/>
        </w:rPr>
        <w:t xml:space="preserve"> considers </w:t>
      </w:r>
      <w:r w:rsidR="00A74F1F">
        <w:rPr>
          <w:rFonts w:asciiTheme="majorHAnsi" w:eastAsia="Arial Unicode MS" w:hAnsiTheme="majorHAnsi" w:cs="Times New Roman"/>
          <w:color w:val="auto"/>
          <w:sz w:val="20"/>
          <w:szCs w:val="20"/>
          <w:lang w:eastAsia="en-US" w:bidi="ar-MA"/>
        </w:rPr>
        <w:t>it</w:t>
      </w:r>
      <w:r w:rsidR="00A74F1F" w:rsidRPr="00A74F1F">
        <w:rPr>
          <w:rFonts w:asciiTheme="majorHAnsi" w:eastAsia="Arial Unicode MS" w:hAnsiTheme="majorHAnsi" w:cs="Times New Roman"/>
          <w:color w:val="auto"/>
          <w:sz w:val="20"/>
          <w:szCs w:val="20"/>
          <w:lang w:eastAsia="en-US" w:bidi="ar-MA"/>
        </w:rPr>
        <w:t xml:space="preserve"> evident that none of these individuals exhausted domestic remedies as required by the Constitutional judgment of June 22, 2006; therefore, it </w:t>
      </w:r>
      <w:r w:rsidR="00A74F1F">
        <w:rPr>
          <w:rFonts w:asciiTheme="majorHAnsi" w:eastAsia="Arial Unicode MS" w:hAnsiTheme="majorHAnsi" w:cs="Times New Roman"/>
          <w:color w:val="auto"/>
          <w:sz w:val="20"/>
          <w:szCs w:val="20"/>
          <w:lang w:eastAsia="en-US" w:bidi="ar-MA"/>
        </w:rPr>
        <w:t>maintains</w:t>
      </w:r>
      <w:r w:rsidR="00A74F1F" w:rsidRPr="00A74F1F">
        <w:rPr>
          <w:rFonts w:asciiTheme="majorHAnsi" w:eastAsia="Arial Unicode MS" w:hAnsiTheme="majorHAnsi" w:cs="Times New Roman"/>
          <w:color w:val="auto"/>
          <w:sz w:val="20"/>
          <w:szCs w:val="20"/>
          <w:lang w:eastAsia="en-US" w:bidi="ar-MA"/>
        </w:rPr>
        <w:t xml:space="preserve"> that this petition should be declared inadmissible due to the improper exhaustion of domestic remedies</w:t>
      </w:r>
      <w:r w:rsidR="00A806DF" w:rsidRPr="00321569">
        <w:rPr>
          <w:rFonts w:asciiTheme="majorHAnsi" w:eastAsia="Arial Unicode MS" w:hAnsiTheme="majorHAnsi" w:cs="Times New Roman"/>
          <w:color w:val="auto"/>
          <w:sz w:val="20"/>
          <w:szCs w:val="20"/>
          <w:lang w:eastAsia="en-US" w:bidi="ar-MA"/>
        </w:rPr>
        <w:t>.</w:t>
      </w:r>
    </w:p>
    <w:p w14:paraId="0C98E8F1" w14:textId="77777777" w:rsidR="00A806DF" w:rsidRPr="00321569" w:rsidRDefault="00A806DF" w:rsidP="00A806DF">
      <w:pPr>
        <w:pStyle w:val="ListParagraph"/>
        <w:jc w:val="both"/>
        <w:rPr>
          <w:rFonts w:asciiTheme="majorHAnsi" w:eastAsia="Arial Unicode MS" w:hAnsiTheme="majorHAnsi" w:cs="Times New Roman"/>
          <w:color w:val="auto"/>
          <w:sz w:val="20"/>
          <w:szCs w:val="20"/>
          <w:lang w:eastAsia="en-US" w:bidi="ar-MA"/>
        </w:rPr>
      </w:pPr>
    </w:p>
    <w:p w14:paraId="4DCC8DBD" w14:textId="05B034CC" w:rsidR="002F42C6" w:rsidRPr="00321569" w:rsidRDefault="00B92557" w:rsidP="002F42C6">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B92557">
        <w:rPr>
          <w:rFonts w:asciiTheme="majorHAnsi" w:hAnsiTheme="majorHAnsi"/>
          <w:sz w:val="20"/>
          <w:szCs w:val="20"/>
          <w:lang w:bidi="ar-MA"/>
        </w:rPr>
        <w:t xml:space="preserve">Colombia further </w:t>
      </w:r>
      <w:r>
        <w:rPr>
          <w:rFonts w:asciiTheme="majorHAnsi" w:hAnsiTheme="majorHAnsi"/>
          <w:sz w:val="20"/>
          <w:szCs w:val="20"/>
          <w:lang w:bidi="ar-MA"/>
        </w:rPr>
        <w:t>asserts</w:t>
      </w:r>
      <w:r w:rsidRPr="00B92557">
        <w:rPr>
          <w:rFonts w:asciiTheme="majorHAnsi" w:hAnsiTheme="majorHAnsi"/>
          <w:sz w:val="20"/>
          <w:szCs w:val="20"/>
          <w:lang w:bidi="ar-MA"/>
        </w:rPr>
        <w:t xml:space="preserve"> that</w:t>
      </w:r>
      <w:r>
        <w:rPr>
          <w:rFonts w:asciiTheme="majorHAnsi" w:hAnsiTheme="majorHAnsi"/>
          <w:sz w:val="20"/>
          <w:szCs w:val="20"/>
          <w:lang w:bidi="ar-MA"/>
        </w:rPr>
        <w:t xml:space="preserve">, should </w:t>
      </w:r>
      <w:r w:rsidRPr="00B92557">
        <w:rPr>
          <w:rFonts w:asciiTheme="majorHAnsi" w:hAnsiTheme="majorHAnsi"/>
          <w:sz w:val="20"/>
          <w:szCs w:val="20"/>
          <w:lang w:bidi="ar-MA"/>
        </w:rPr>
        <w:t xml:space="preserve">the IACHR consider that the requirement of prior exhaustion of domestic remedies has been met, the alleged facts do not constitute even </w:t>
      </w:r>
      <w:r w:rsidRPr="00B92557">
        <w:rPr>
          <w:rFonts w:asciiTheme="majorHAnsi" w:hAnsiTheme="majorHAnsi"/>
          <w:i/>
          <w:iCs/>
          <w:sz w:val="20"/>
          <w:szCs w:val="20"/>
          <w:lang w:bidi="ar-MA"/>
        </w:rPr>
        <w:t>prima facie</w:t>
      </w:r>
      <w:r w:rsidRPr="00B92557">
        <w:rPr>
          <w:rFonts w:asciiTheme="majorHAnsi" w:hAnsiTheme="majorHAnsi"/>
          <w:sz w:val="20"/>
          <w:szCs w:val="20"/>
          <w:lang w:bidi="ar-MA"/>
        </w:rPr>
        <w:t xml:space="preserve"> violations of human rights attributable to the State</w:t>
      </w:r>
      <w:r w:rsidR="00A806DF" w:rsidRPr="00321569">
        <w:rPr>
          <w:rFonts w:asciiTheme="majorHAnsi" w:hAnsiTheme="majorHAnsi"/>
          <w:sz w:val="20"/>
          <w:szCs w:val="20"/>
          <w:lang w:bidi="ar-MA"/>
        </w:rPr>
        <w:t xml:space="preserve">. </w:t>
      </w:r>
      <w:r w:rsidR="00DB01D2" w:rsidRPr="00DB01D2">
        <w:rPr>
          <w:rFonts w:asciiTheme="majorHAnsi" w:hAnsiTheme="majorHAnsi"/>
          <w:sz w:val="20"/>
          <w:szCs w:val="20"/>
          <w:lang w:bidi="ar-MA"/>
        </w:rPr>
        <w:t xml:space="preserve">It maintains that, on the contrary, the petitioner is asking the Commission to act as a </w:t>
      </w:r>
      <w:r w:rsidR="007521A0">
        <w:rPr>
          <w:rFonts w:asciiTheme="majorHAnsi" w:hAnsiTheme="majorHAnsi"/>
          <w:sz w:val="20"/>
          <w:szCs w:val="20"/>
          <w:lang w:bidi="ar-MA"/>
        </w:rPr>
        <w:t xml:space="preserve">court of </w:t>
      </w:r>
      <w:r w:rsidR="00DB01D2" w:rsidRPr="00DB01D2">
        <w:rPr>
          <w:rFonts w:asciiTheme="majorHAnsi" w:hAnsiTheme="majorHAnsi"/>
          <w:sz w:val="20"/>
          <w:szCs w:val="20"/>
          <w:lang w:bidi="ar-MA"/>
        </w:rPr>
        <w:t>fourth instance to review the factual and legal assessments made by the domestic judges and courts that acted within the sphere of their competence</w:t>
      </w:r>
      <w:r w:rsidR="00A806DF" w:rsidRPr="00321569">
        <w:rPr>
          <w:rFonts w:asciiTheme="majorHAnsi" w:hAnsiTheme="majorHAnsi"/>
          <w:sz w:val="20"/>
          <w:szCs w:val="20"/>
          <w:lang w:bidi="ar-MA"/>
        </w:rPr>
        <w:t xml:space="preserve">. </w:t>
      </w:r>
      <w:r w:rsidR="00DB01D2" w:rsidRPr="00DB01D2">
        <w:rPr>
          <w:rFonts w:asciiTheme="majorHAnsi" w:hAnsiTheme="majorHAnsi"/>
          <w:sz w:val="20"/>
          <w:szCs w:val="20"/>
          <w:lang w:bidi="ar-MA"/>
        </w:rPr>
        <w:t>On this basis, it considers that it is not the Commission</w:t>
      </w:r>
      <w:r w:rsidR="00FE1278">
        <w:rPr>
          <w:rFonts w:asciiTheme="majorHAnsi" w:hAnsiTheme="majorHAnsi"/>
          <w:sz w:val="20"/>
          <w:szCs w:val="20"/>
          <w:lang w:bidi="ar-MA"/>
        </w:rPr>
        <w:t>’</w:t>
      </w:r>
      <w:r w:rsidR="00DB01D2" w:rsidRPr="00DB01D2">
        <w:rPr>
          <w:rFonts w:asciiTheme="majorHAnsi" w:hAnsiTheme="majorHAnsi"/>
          <w:sz w:val="20"/>
          <w:szCs w:val="20"/>
          <w:lang w:bidi="ar-MA"/>
        </w:rPr>
        <w:t>s responsibility to analyze this matter, since the existence of a ruling or decision that has been issued without due process or that appears to have violated any other right established in the American Convention has not been proven</w:t>
      </w:r>
      <w:r w:rsidR="00A806DF" w:rsidRPr="00321569">
        <w:rPr>
          <w:rFonts w:asciiTheme="majorHAnsi" w:hAnsiTheme="majorHAnsi"/>
          <w:sz w:val="20"/>
          <w:szCs w:val="20"/>
          <w:lang w:bidi="ar-MA"/>
        </w:rPr>
        <w:t>.</w:t>
      </w:r>
    </w:p>
    <w:p w14:paraId="65D74890" w14:textId="77777777" w:rsidR="002F42C6" w:rsidRPr="00321569" w:rsidRDefault="002F42C6" w:rsidP="002F42C6">
      <w:pPr>
        <w:pStyle w:val="ListParagraph"/>
        <w:jc w:val="both"/>
        <w:rPr>
          <w:rFonts w:asciiTheme="majorHAnsi" w:eastAsia="Arial Unicode MS" w:hAnsiTheme="majorHAnsi" w:cs="Times New Roman"/>
          <w:color w:val="auto"/>
          <w:sz w:val="20"/>
          <w:szCs w:val="20"/>
          <w:lang w:eastAsia="en-US" w:bidi="ar-MA"/>
        </w:rPr>
      </w:pPr>
    </w:p>
    <w:p w14:paraId="744AE0AE" w14:textId="02FDB74E" w:rsidR="002F42C6" w:rsidRPr="00321569" w:rsidRDefault="00DB01D2" w:rsidP="002F42C6">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DB01D2">
        <w:rPr>
          <w:sz w:val="20"/>
          <w:szCs w:val="20"/>
          <w:lang w:bidi="ar-MA"/>
        </w:rPr>
        <w:lastRenderedPageBreak/>
        <w:t xml:space="preserve">The State underscores that the domestic courts found that the alleged victims should have </w:t>
      </w:r>
      <w:r>
        <w:rPr>
          <w:sz w:val="20"/>
          <w:szCs w:val="20"/>
          <w:lang w:bidi="ar-MA"/>
        </w:rPr>
        <w:t>met</w:t>
      </w:r>
      <w:r w:rsidRPr="00DB01D2">
        <w:rPr>
          <w:sz w:val="20"/>
          <w:szCs w:val="20"/>
          <w:lang w:bidi="ar-MA"/>
        </w:rPr>
        <w:t xml:space="preserve"> the requirement established in the judgment of June 22, 2006, in order to </w:t>
      </w:r>
      <w:r>
        <w:rPr>
          <w:sz w:val="20"/>
          <w:szCs w:val="20"/>
          <w:lang w:bidi="ar-MA"/>
        </w:rPr>
        <w:t>prove</w:t>
      </w:r>
      <w:r w:rsidRPr="00DB01D2">
        <w:rPr>
          <w:sz w:val="20"/>
          <w:szCs w:val="20"/>
          <w:lang w:bidi="ar-MA"/>
        </w:rPr>
        <w:t xml:space="preserve"> noncompliance on the part of the UGPP</w:t>
      </w:r>
      <w:r w:rsidR="002F42C6" w:rsidRPr="00321569">
        <w:rPr>
          <w:sz w:val="20"/>
          <w:szCs w:val="20"/>
          <w:lang w:bidi="ar-MA"/>
        </w:rPr>
        <w:t xml:space="preserve">. </w:t>
      </w:r>
      <w:r w:rsidR="001C19A9">
        <w:rPr>
          <w:sz w:val="20"/>
          <w:szCs w:val="20"/>
          <w:lang w:bidi="ar-MA"/>
        </w:rPr>
        <w:t>It</w:t>
      </w:r>
      <w:r w:rsidR="001C19A9" w:rsidRPr="001C19A9">
        <w:rPr>
          <w:sz w:val="20"/>
          <w:szCs w:val="20"/>
          <w:lang w:bidi="ar-MA"/>
        </w:rPr>
        <w:t xml:space="preserve"> argues that the</w:t>
      </w:r>
      <w:r w:rsidR="001C19A9">
        <w:rPr>
          <w:sz w:val="20"/>
          <w:szCs w:val="20"/>
          <w:lang w:bidi="ar-MA"/>
        </w:rPr>
        <w:t>y</w:t>
      </w:r>
      <w:r w:rsidR="001C19A9" w:rsidRPr="001C19A9">
        <w:rPr>
          <w:sz w:val="20"/>
          <w:szCs w:val="20"/>
          <w:lang w:bidi="ar-MA"/>
        </w:rPr>
        <w:t xml:space="preserve"> should have filed the appropriate and effective remedy</w:t>
      </w:r>
      <w:r w:rsidR="001C19A9">
        <w:rPr>
          <w:sz w:val="20"/>
          <w:szCs w:val="20"/>
          <w:lang w:bidi="ar-MA"/>
        </w:rPr>
        <w:t>—</w:t>
      </w:r>
      <w:r w:rsidR="001C19A9" w:rsidRPr="001C19A9">
        <w:rPr>
          <w:sz w:val="20"/>
          <w:szCs w:val="20"/>
          <w:lang w:bidi="ar-MA"/>
        </w:rPr>
        <w:t xml:space="preserve">the motion to vacate the </w:t>
      </w:r>
      <w:r w:rsidR="001C19A9">
        <w:rPr>
          <w:sz w:val="20"/>
          <w:szCs w:val="20"/>
          <w:lang w:bidi="ar-MA"/>
        </w:rPr>
        <w:t>judgment</w:t>
      </w:r>
      <w:r w:rsidR="001C19A9" w:rsidRPr="001C19A9">
        <w:rPr>
          <w:sz w:val="20"/>
          <w:szCs w:val="20"/>
          <w:lang w:bidi="ar-MA"/>
        </w:rPr>
        <w:t xml:space="preserve"> and restore their rights</w:t>
      </w:r>
      <w:r w:rsidR="001C19A9">
        <w:rPr>
          <w:sz w:val="20"/>
          <w:szCs w:val="20"/>
          <w:lang w:bidi="ar-MA"/>
        </w:rPr>
        <w:t>—</w:t>
      </w:r>
      <w:r w:rsidR="001C19A9" w:rsidRPr="001C19A9">
        <w:rPr>
          <w:sz w:val="20"/>
          <w:szCs w:val="20"/>
          <w:lang w:bidi="ar-MA"/>
        </w:rPr>
        <w:t xml:space="preserve">within four months of being </w:t>
      </w:r>
      <w:r w:rsidR="001C19A9">
        <w:rPr>
          <w:sz w:val="20"/>
          <w:szCs w:val="20"/>
          <w:lang w:bidi="ar-MA"/>
        </w:rPr>
        <w:t>served notice</w:t>
      </w:r>
      <w:r w:rsidR="001C19A9" w:rsidRPr="001C19A9">
        <w:rPr>
          <w:sz w:val="20"/>
          <w:szCs w:val="20"/>
          <w:lang w:bidi="ar-MA"/>
        </w:rPr>
        <w:t xml:space="preserve"> of the ruling, so that the specialized courts could determine the</w:t>
      </w:r>
      <w:r w:rsidR="001C19A9">
        <w:rPr>
          <w:sz w:val="20"/>
          <w:szCs w:val="20"/>
          <w:lang w:bidi="ar-MA"/>
        </w:rPr>
        <w:t>ir</w:t>
      </w:r>
      <w:r w:rsidR="001C19A9" w:rsidRPr="001C19A9">
        <w:rPr>
          <w:sz w:val="20"/>
          <w:szCs w:val="20"/>
          <w:lang w:bidi="ar-MA"/>
        </w:rPr>
        <w:t xml:space="preserve"> legal status with respect to the special pension</w:t>
      </w:r>
      <w:r w:rsidR="001C19A9">
        <w:rPr>
          <w:sz w:val="20"/>
          <w:szCs w:val="20"/>
          <w:lang w:bidi="ar-MA"/>
        </w:rPr>
        <w:t>,</w:t>
      </w:r>
      <w:r w:rsidR="001C19A9" w:rsidRPr="001C19A9">
        <w:rPr>
          <w:sz w:val="20"/>
          <w:szCs w:val="20"/>
          <w:lang w:bidi="ar-MA"/>
        </w:rPr>
        <w:t xml:space="preserve"> since the </w:t>
      </w:r>
      <w:r w:rsidR="001C19A9" w:rsidRPr="001C19A9">
        <w:rPr>
          <w:i/>
          <w:iCs/>
          <w:sz w:val="20"/>
          <w:szCs w:val="20"/>
          <w:lang w:bidi="ar-MA"/>
        </w:rPr>
        <w:t xml:space="preserve">tutela </w:t>
      </w:r>
      <w:r w:rsidR="001C19A9" w:rsidRPr="001C19A9">
        <w:rPr>
          <w:sz w:val="20"/>
          <w:szCs w:val="20"/>
          <w:lang w:bidi="ar-MA"/>
        </w:rPr>
        <w:t xml:space="preserve">action was only a temporary mechanism and, therefore, was not suitable to </w:t>
      </w:r>
      <w:r w:rsidR="001C19A9">
        <w:rPr>
          <w:sz w:val="20"/>
          <w:szCs w:val="20"/>
          <w:lang w:bidi="ar-MA"/>
        </w:rPr>
        <w:t>address</w:t>
      </w:r>
      <w:r w:rsidR="001C19A9" w:rsidRPr="001C19A9">
        <w:rPr>
          <w:sz w:val="20"/>
          <w:szCs w:val="20"/>
          <w:lang w:bidi="ar-MA"/>
        </w:rPr>
        <w:t xml:space="preserve"> </w:t>
      </w:r>
      <w:r w:rsidR="001C19A9">
        <w:rPr>
          <w:sz w:val="20"/>
          <w:szCs w:val="20"/>
          <w:lang w:bidi="ar-MA"/>
        </w:rPr>
        <w:t>their claims</w:t>
      </w:r>
      <w:r w:rsidR="002F42C6" w:rsidRPr="00321569">
        <w:rPr>
          <w:sz w:val="20"/>
          <w:szCs w:val="20"/>
          <w:lang w:bidi="ar-MA"/>
        </w:rPr>
        <w:t>.</w:t>
      </w:r>
    </w:p>
    <w:p w14:paraId="329396C5" w14:textId="77777777" w:rsidR="002F42C6" w:rsidRPr="00321569" w:rsidRDefault="002F42C6" w:rsidP="002F42C6">
      <w:pPr>
        <w:pStyle w:val="ListParagraph"/>
        <w:jc w:val="both"/>
        <w:rPr>
          <w:rFonts w:asciiTheme="majorHAnsi" w:eastAsia="Arial Unicode MS" w:hAnsiTheme="majorHAnsi" w:cs="Times New Roman"/>
          <w:color w:val="auto"/>
          <w:sz w:val="20"/>
          <w:szCs w:val="20"/>
          <w:lang w:eastAsia="en-US" w:bidi="ar-MA"/>
        </w:rPr>
      </w:pPr>
    </w:p>
    <w:p w14:paraId="1FD59A00" w14:textId="66AD8877" w:rsidR="0064684E" w:rsidRPr="00B8508B" w:rsidRDefault="00DA46B6" w:rsidP="00B850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bidi="ar-MA"/>
        </w:rPr>
      </w:pPr>
      <w:r w:rsidRPr="00321569">
        <w:rPr>
          <w:rFonts w:asciiTheme="majorHAnsi" w:hAnsiTheme="majorHAnsi"/>
          <w:b/>
          <w:bCs/>
          <w:sz w:val="20"/>
          <w:szCs w:val="20"/>
          <w:lang w:bidi="ar-MA"/>
        </w:rPr>
        <w:t>VI.</w:t>
      </w:r>
      <w:r w:rsidRPr="00321569">
        <w:rPr>
          <w:rFonts w:asciiTheme="majorHAnsi" w:hAnsiTheme="majorHAnsi"/>
          <w:b/>
          <w:bCs/>
          <w:sz w:val="20"/>
          <w:szCs w:val="20"/>
          <w:lang w:bidi="ar-MA"/>
        </w:rPr>
        <w:tab/>
        <w:t>A</w:t>
      </w:r>
      <w:r w:rsidR="00B8508B" w:rsidRPr="00B8508B">
        <w:rPr>
          <w:rFonts w:asciiTheme="majorHAnsi" w:hAnsiTheme="majorHAnsi"/>
          <w:b/>
          <w:bCs/>
          <w:sz w:val="20"/>
          <w:szCs w:val="20"/>
          <w:lang w:bidi="ar-MA"/>
        </w:rPr>
        <w:t>NALYSIS OF EXHAUSTION OF DOMESTIC REMEDIES AND TIMELINESS OF THE</w:t>
      </w:r>
      <w:r w:rsidR="00B8508B">
        <w:rPr>
          <w:rFonts w:asciiTheme="majorHAnsi" w:hAnsiTheme="majorHAnsi"/>
          <w:b/>
          <w:bCs/>
          <w:sz w:val="20"/>
          <w:szCs w:val="20"/>
          <w:lang w:bidi="ar-MA"/>
        </w:rPr>
        <w:t xml:space="preserve"> </w:t>
      </w:r>
      <w:r w:rsidR="00B8508B" w:rsidRPr="00B8508B">
        <w:rPr>
          <w:rFonts w:asciiTheme="majorHAnsi" w:hAnsiTheme="majorHAnsi"/>
          <w:b/>
          <w:bCs/>
          <w:sz w:val="20"/>
          <w:szCs w:val="20"/>
          <w:lang w:bidi="ar-MA"/>
        </w:rPr>
        <w:t xml:space="preserve">PETITION </w:t>
      </w:r>
    </w:p>
    <w:p w14:paraId="3113E3CA" w14:textId="05237F67" w:rsidR="00E1770B" w:rsidRPr="00321569" w:rsidRDefault="00B8508B" w:rsidP="00E1770B">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B8508B">
        <w:rPr>
          <w:rFonts w:asciiTheme="majorHAnsi" w:hAnsiTheme="majorHAnsi"/>
          <w:sz w:val="20"/>
          <w:szCs w:val="20"/>
          <w:lang w:bidi="ar-MA"/>
        </w:rPr>
        <w:t xml:space="preserve">The Commission notes that the central focus of this petition is </w:t>
      </w:r>
      <w:r>
        <w:rPr>
          <w:rFonts w:asciiTheme="majorHAnsi" w:hAnsiTheme="majorHAnsi"/>
          <w:sz w:val="20"/>
          <w:szCs w:val="20"/>
          <w:lang w:bidi="ar-MA"/>
        </w:rPr>
        <w:t>the</w:t>
      </w:r>
      <w:r w:rsidRPr="00B8508B">
        <w:rPr>
          <w:rFonts w:asciiTheme="majorHAnsi" w:hAnsiTheme="majorHAnsi"/>
          <w:sz w:val="20"/>
          <w:szCs w:val="20"/>
          <w:lang w:bidi="ar-MA"/>
        </w:rPr>
        <w:t xml:space="preserve"> alleged failure to comply with a </w:t>
      </w:r>
      <w:r w:rsidRPr="00B8508B">
        <w:rPr>
          <w:rFonts w:asciiTheme="majorHAnsi" w:hAnsiTheme="majorHAnsi"/>
          <w:i/>
          <w:iCs/>
          <w:sz w:val="20"/>
          <w:szCs w:val="20"/>
          <w:lang w:bidi="ar-MA"/>
        </w:rPr>
        <w:t>tutela</w:t>
      </w:r>
      <w:r w:rsidRPr="00B8508B">
        <w:rPr>
          <w:rFonts w:asciiTheme="majorHAnsi" w:hAnsiTheme="majorHAnsi"/>
          <w:sz w:val="20"/>
          <w:szCs w:val="20"/>
          <w:lang w:bidi="ar-MA"/>
        </w:rPr>
        <w:t xml:space="preserve"> judgment that temporarily ordered the payment of a special pension to the alleged victims</w:t>
      </w:r>
      <w:r w:rsidR="00126F60" w:rsidRPr="00321569">
        <w:rPr>
          <w:rFonts w:asciiTheme="majorHAnsi" w:hAnsiTheme="majorHAnsi"/>
          <w:sz w:val="20"/>
          <w:szCs w:val="20"/>
          <w:lang w:bidi="ar-MA"/>
        </w:rPr>
        <w:t xml:space="preserve">. </w:t>
      </w:r>
      <w:r w:rsidRPr="00B8508B">
        <w:rPr>
          <w:rFonts w:asciiTheme="majorHAnsi" w:hAnsiTheme="majorHAnsi"/>
          <w:sz w:val="20"/>
          <w:szCs w:val="20"/>
          <w:lang w:bidi="ar-MA"/>
        </w:rPr>
        <w:t xml:space="preserve">However, the Commission notes that this ruling also ordered the plaintiffs to pursue administrative litigation by filing a motion </w:t>
      </w:r>
      <w:r>
        <w:rPr>
          <w:rFonts w:asciiTheme="majorHAnsi" w:hAnsiTheme="majorHAnsi"/>
          <w:sz w:val="20"/>
          <w:szCs w:val="20"/>
          <w:lang w:bidi="ar-MA"/>
        </w:rPr>
        <w:t>to vacate the judgment and restore their</w:t>
      </w:r>
      <w:r w:rsidRPr="00B8508B">
        <w:rPr>
          <w:rFonts w:asciiTheme="majorHAnsi" w:hAnsiTheme="majorHAnsi"/>
          <w:sz w:val="20"/>
          <w:szCs w:val="20"/>
          <w:lang w:bidi="ar-MA"/>
        </w:rPr>
        <w:t xml:space="preserve"> rights within four months, in order to </w:t>
      </w:r>
      <w:r w:rsidRPr="002675D5">
        <w:rPr>
          <w:rFonts w:asciiTheme="majorHAnsi" w:hAnsiTheme="majorHAnsi"/>
          <w:sz w:val="20"/>
          <w:szCs w:val="20"/>
          <w:lang w:bidi="ar-MA"/>
        </w:rPr>
        <w:t xml:space="preserve">obtain a final </w:t>
      </w:r>
      <w:r w:rsidR="00EB2429">
        <w:rPr>
          <w:rFonts w:asciiTheme="majorHAnsi" w:hAnsiTheme="majorHAnsi"/>
          <w:sz w:val="20"/>
          <w:szCs w:val="20"/>
          <w:lang w:bidi="ar-MA"/>
        </w:rPr>
        <w:t>determination</w:t>
      </w:r>
      <w:r w:rsidR="002675D5">
        <w:rPr>
          <w:rFonts w:asciiTheme="majorHAnsi" w:hAnsiTheme="majorHAnsi"/>
          <w:sz w:val="20"/>
          <w:szCs w:val="20"/>
          <w:lang w:bidi="ar-MA"/>
        </w:rPr>
        <w:t xml:space="preserve"> of their situation</w:t>
      </w:r>
      <w:r w:rsidRPr="00B8508B">
        <w:rPr>
          <w:rFonts w:asciiTheme="majorHAnsi" w:hAnsiTheme="majorHAnsi"/>
          <w:sz w:val="20"/>
          <w:szCs w:val="20"/>
          <w:lang w:bidi="ar-MA"/>
        </w:rPr>
        <w:t xml:space="preserve"> </w:t>
      </w:r>
      <w:r>
        <w:rPr>
          <w:rFonts w:asciiTheme="majorHAnsi" w:hAnsiTheme="majorHAnsi"/>
          <w:sz w:val="20"/>
          <w:szCs w:val="20"/>
          <w:lang w:bidi="ar-MA"/>
        </w:rPr>
        <w:t>from</w:t>
      </w:r>
      <w:r w:rsidRPr="00B8508B">
        <w:rPr>
          <w:rFonts w:asciiTheme="majorHAnsi" w:hAnsiTheme="majorHAnsi"/>
          <w:sz w:val="20"/>
          <w:szCs w:val="20"/>
          <w:lang w:bidi="ar-MA"/>
        </w:rPr>
        <w:t xml:space="preserve"> the competent courts</w:t>
      </w:r>
      <w:r w:rsidR="00126F60" w:rsidRPr="00321569">
        <w:rPr>
          <w:rFonts w:asciiTheme="majorHAnsi" w:hAnsiTheme="majorHAnsi"/>
          <w:sz w:val="20"/>
          <w:szCs w:val="20"/>
          <w:lang w:bidi="ar-MA"/>
        </w:rPr>
        <w:t xml:space="preserve">. </w:t>
      </w:r>
      <w:r w:rsidR="00765496" w:rsidRPr="00765496">
        <w:rPr>
          <w:rFonts w:asciiTheme="majorHAnsi" w:hAnsiTheme="majorHAnsi"/>
          <w:sz w:val="20"/>
          <w:szCs w:val="20"/>
          <w:lang w:bidi="ar-MA"/>
        </w:rPr>
        <w:t>Therefore, the recognition of their right in constitutional proceedings would only have effect until the ordinary courts issued a decision</w:t>
      </w:r>
      <w:r w:rsidR="00126F60" w:rsidRPr="00321569">
        <w:rPr>
          <w:rFonts w:asciiTheme="majorHAnsi" w:hAnsiTheme="majorHAnsi"/>
          <w:sz w:val="20"/>
          <w:szCs w:val="20"/>
          <w:lang w:bidi="ar-MA"/>
        </w:rPr>
        <w:t>.</w:t>
      </w:r>
    </w:p>
    <w:p w14:paraId="734908FD" w14:textId="77777777" w:rsidR="00E1770B" w:rsidRPr="00321569" w:rsidRDefault="00E1770B" w:rsidP="00E1770B">
      <w:pPr>
        <w:pStyle w:val="ListParagraph"/>
        <w:jc w:val="both"/>
        <w:rPr>
          <w:rFonts w:asciiTheme="majorHAnsi" w:eastAsia="Arial Unicode MS" w:hAnsiTheme="majorHAnsi" w:cs="Times New Roman"/>
          <w:color w:val="auto"/>
          <w:sz w:val="20"/>
          <w:szCs w:val="20"/>
          <w:lang w:eastAsia="en-US" w:bidi="ar-MA"/>
        </w:rPr>
      </w:pPr>
    </w:p>
    <w:p w14:paraId="7E86AD69" w14:textId="4A3A518B" w:rsidR="007F08ED" w:rsidRPr="00321569" w:rsidRDefault="000B6CF8" w:rsidP="007F08ED">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0B6CF8">
        <w:rPr>
          <w:sz w:val="20"/>
          <w:szCs w:val="20"/>
          <w:lang w:bidi="ar-MA"/>
        </w:rPr>
        <w:t xml:space="preserve">Based on the above, the Commission notes that, </w:t>
      </w:r>
      <w:r>
        <w:rPr>
          <w:sz w:val="20"/>
          <w:szCs w:val="20"/>
          <w:lang w:bidi="ar-MA"/>
        </w:rPr>
        <w:t>according to</w:t>
      </w:r>
      <w:r w:rsidRPr="000B6CF8">
        <w:rPr>
          <w:sz w:val="20"/>
          <w:szCs w:val="20"/>
          <w:lang w:bidi="ar-MA"/>
        </w:rPr>
        <w:t xml:space="preserve"> the decision of the Criminal Chamber of the Superior Court of the Cali Judicial District, CAJANAL complied with the temporary payment of the special pension to the alleged victims and only suspended the payment because they failed to comply with the constitutional ruling</w:t>
      </w:r>
      <w:r>
        <w:rPr>
          <w:sz w:val="20"/>
          <w:szCs w:val="20"/>
          <w:lang w:bidi="ar-MA"/>
        </w:rPr>
        <w:t xml:space="preserve"> by </w:t>
      </w:r>
      <w:r w:rsidRPr="000B6CF8">
        <w:rPr>
          <w:sz w:val="20"/>
          <w:szCs w:val="20"/>
          <w:lang w:bidi="ar-MA"/>
        </w:rPr>
        <w:t xml:space="preserve">not </w:t>
      </w:r>
      <w:r>
        <w:rPr>
          <w:sz w:val="20"/>
          <w:szCs w:val="20"/>
          <w:lang w:bidi="ar-MA"/>
        </w:rPr>
        <w:t>filing suit</w:t>
      </w:r>
      <w:r w:rsidRPr="000B6CF8">
        <w:rPr>
          <w:sz w:val="20"/>
          <w:szCs w:val="20"/>
          <w:lang w:bidi="ar-MA"/>
        </w:rPr>
        <w:t xml:space="preserve"> in the administrative </w:t>
      </w:r>
      <w:r>
        <w:rPr>
          <w:sz w:val="20"/>
          <w:szCs w:val="20"/>
          <w:lang w:bidi="ar-MA"/>
        </w:rPr>
        <w:t>courts</w:t>
      </w:r>
      <w:r w:rsidR="007F08ED" w:rsidRPr="00321569">
        <w:rPr>
          <w:rFonts w:asciiTheme="majorHAnsi" w:hAnsiTheme="majorHAnsi"/>
          <w:sz w:val="20"/>
          <w:szCs w:val="20"/>
          <w:lang w:bidi="ar-MA"/>
        </w:rPr>
        <w:t xml:space="preserve">. </w:t>
      </w:r>
      <w:r w:rsidRPr="000B6CF8">
        <w:rPr>
          <w:rFonts w:asciiTheme="majorHAnsi" w:hAnsiTheme="majorHAnsi"/>
          <w:sz w:val="20"/>
          <w:szCs w:val="20"/>
          <w:lang w:bidi="ar-MA"/>
        </w:rPr>
        <w:t xml:space="preserve">In this regard, the petitioner provides no arguments or documents </w:t>
      </w:r>
      <w:r w:rsidR="009A342A">
        <w:rPr>
          <w:rFonts w:asciiTheme="majorHAnsi" w:hAnsiTheme="majorHAnsi"/>
          <w:sz w:val="20"/>
          <w:szCs w:val="20"/>
          <w:lang w:bidi="ar-MA"/>
        </w:rPr>
        <w:t>to disprove</w:t>
      </w:r>
      <w:r w:rsidRPr="000B6CF8">
        <w:rPr>
          <w:rFonts w:asciiTheme="majorHAnsi" w:hAnsiTheme="majorHAnsi"/>
          <w:sz w:val="20"/>
          <w:szCs w:val="20"/>
          <w:lang w:bidi="ar-MA"/>
        </w:rPr>
        <w:t xml:space="preserve"> the conclusion of </w:t>
      </w:r>
      <w:r>
        <w:rPr>
          <w:rFonts w:asciiTheme="majorHAnsi" w:hAnsiTheme="majorHAnsi"/>
          <w:sz w:val="20"/>
          <w:szCs w:val="20"/>
          <w:lang w:bidi="ar-MA"/>
        </w:rPr>
        <w:t>that</w:t>
      </w:r>
      <w:r w:rsidRPr="000B6CF8">
        <w:rPr>
          <w:rFonts w:asciiTheme="majorHAnsi" w:hAnsiTheme="majorHAnsi"/>
          <w:sz w:val="20"/>
          <w:szCs w:val="20"/>
          <w:lang w:bidi="ar-MA"/>
        </w:rPr>
        <w:t xml:space="preserve"> judgment</w:t>
      </w:r>
      <w:r w:rsidR="007F08ED" w:rsidRPr="00321569">
        <w:rPr>
          <w:rFonts w:asciiTheme="majorHAnsi" w:hAnsiTheme="majorHAnsi"/>
          <w:sz w:val="20"/>
          <w:szCs w:val="20"/>
          <w:lang w:bidi="ar-MA"/>
        </w:rPr>
        <w:t xml:space="preserve">. </w:t>
      </w:r>
    </w:p>
    <w:p w14:paraId="10EC28E1" w14:textId="77777777" w:rsidR="007F08ED" w:rsidRPr="00321569" w:rsidRDefault="007F08ED" w:rsidP="007F08ED">
      <w:pPr>
        <w:pStyle w:val="ListParagraph"/>
        <w:jc w:val="both"/>
        <w:rPr>
          <w:rFonts w:asciiTheme="majorHAnsi" w:eastAsia="Arial Unicode MS" w:hAnsiTheme="majorHAnsi" w:cs="Times New Roman"/>
          <w:color w:val="auto"/>
          <w:sz w:val="20"/>
          <w:szCs w:val="20"/>
          <w:lang w:eastAsia="en-US" w:bidi="ar-MA"/>
        </w:rPr>
      </w:pPr>
    </w:p>
    <w:p w14:paraId="06928DBC" w14:textId="3361C996" w:rsidR="00294A54" w:rsidRPr="00321569" w:rsidRDefault="005A5FC0" w:rsidP="007F08ED">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5A5FC0">
        <w:rPr>
          <w:rFonts w:asciiTheme="majorHAnsi" w:hAnsiTheme="majorHAnsi"/>
          <w:sz w:val="20"/>
          <w:szCs w:val="20"/>
          <w:lang w:bidi="ar-MA"/>
        </w:rPr>
        <w:t>In the Commission</w:t>
      </w:r>
      <w:r w:rsidR="00FE1278">
        <w:rPr>
          <w:rFonts w:asciiTheme="majorHAnsi" w:hAnsiTheme="majorHAnsi"/>
          <w:sz w:val="20"/>
          <w:szCs w:val="20"/>
          <w:lang w:bidi="ar-MA"/>
        </w:rPr>
        <w:t>’</w:t>
      </w:r>
      <w:r w:rsidRPr="005A5FC0">
        <w:rPr>
          <w:rFonts w:asciiTheme="majorHAnsi" w:hAnsiTheme="majorHAnsi"/>
          <w:sz w:val="20"/>
          <w:szCs w:val="20"/>
          <w:lang w:bidi="ar-MA"/>
        </w:rPr>
        <w:t xml:space="preserve">s opinion, this shows that the alleged victims failed to </w:t>
      </w:r>
      <w:r w:rsidR="00C62DD6">
        <w:rPr>
          <w:rFonts w:asciiTheme="majorHAnsi" w:hAnsiTheme="majorHAnsi"/>
          <w:sz w:val="20"/>
          <w:szCs w:val="20"/>
          <w:lang w:bidi="ar-MA"/>
        </w:rPr>
        <w:t>meet</w:t>
      </w:r>
      <w:r w:rsidRPr="005A5FC0">
        <w:rPr>
          <w:rFonts w:asciiTheme="majorHAnsi" w:hAnsiTheme="majorHAnsi"/>
          <w:sz w:val="20"/>
          <w:szCs w:val="20"/>
          <w:lang w:bidi="ar-MA"/>
        </w:rPr>
        <w:t xml:space="preserve"> the requirement set forth in the court decision that they allege was not complied with, and as a result, they were unable to initiate a proceeding that would allow them to obtain their pensions</w:t>
      </w:r>
      <w:r w:rsidR="00E1770B" w:rsidRPr="00321569">
        <w:rPr>
          <w:rFonts w:asciiTheme="majorHAnsi" w:hAnsiTheme="majorHAnsi"/>
          <w:sz w:val="20"/>
          <w:szCs w:val="20"/>
          <w:lang w:bidi="ar-MA"/>
        </w:rPr>
        <w:t xml:space="preserve">. </w:t>
      </w:r>
      <w:r w:rsidRPr="005A5FC0">
        <w:rPr>
          <w:rFonts w:asciiTheme="majorHAnsi" w:hAnsiTheme="majorHAnsi"/>
          <w:sz w:val="20"/>
          <w:szCs w:val="20"/>
          <w:lang w:bidi="ar-MA"/>
        </w:rPr>
        <w:t>Although the petitioner asserts that the harm caused by the ineffectiveness of the constitutional ruling must be separated from the alleged victims</w:t>
      </w:r>
      <w:r w:rsidR="00FE1278">
        <w:rPr>
          <w:rFonts w:asciiTheme="majorHAnsi" w:hAnsiTheme="majorHAnsi"/>
          <w:sz w:val="20"/>
          <w:szCs w:val="20"/>
          <w:lang w:bidi="ar-MA"/>
        </w:rPr>
        <w:t>’</w:t>
      </w:r>
      <w:r w:rsidRPr="005A5FC0">
        <w:rPr>
          <w:rFonts w:asciiTheme="majorHAnsi" w:hAnsiTheme="majorHAnsi"/>
          <w:sz w:val="20"/>
          <w:szCs w:val="20"/>
          <w:lang w:bidi="ar-MA"/>
        </w:rPr>
        <w:t xml:space="preserve"> failure to file a lawsuit in the administrative courts, the Commission finds that the two issues are closely linked and only their joint analysis allows </w:t>
      </w:r>
      <w:r w:rsidR="007D328C">
        <w:rPr>
          <w:rFonts w:asciiTheme="majorHAnsi" w:hAnsiTheme="majorHAnsi"/>
          <w:sz w:val="20"/>
          <w:szCs w:val="20"/>
          <w:lang w:bidi="ar-MA"/>
        </w:rPr>
        <w:t>it</w:t>
      </w:r>
      <w:r w:rsidRPr="005A5FC0">
        <w:rPr>
          <w:rFonts w:asciiTheme="majorHAnsi" w:hAnsiTheme="majorHAnsi"/>
          <w:sz w:val="20"/>
          <w:szCs w:val="20"/>
          <w:lang w:bidi="ar-MA"/>
        </w:rPr>
        <w:t xml:space="preserve"> to assess whether the alleged victims had the opportunity to claim their special pensions</w:t>
      </w:r>
      <w:r w:rsidR="00E1770B" w:rsidRPr="00321569">
        <w:rPr>
          <w:rFonts w:asciiTheme="majorHAnsi" w:hAnsiTheme="majorHAnsi"/>
          <w:sz w:val="20"/>
          <w:szCs w:val="20"/>
          <w:lang w:bidi="ar-MA"/>
        </w:rPr>
        <w:t xml:space="preserve">. </w:t>
      </w:r>
      <w:r w:rsidR="000E49D5" w:rsidRPr="000E49D5">
        <w:rPr>
          <w:rFonts w:asciiTheme="majorHAnsi" w:hAnsiTheme="majorHAnsi"/>
          <w:sz w:val="20"/>
          <w:szCs w:val="20"/>
          <w:lang w:bidi="ar-MA"/>
        </w:rPr>
        <w:t xml:space="preserve">The Commission further notes that according to the information provided by the petitioner, </w:t>
      </w:r>
      <w:r w:rsidR="000E49D5">
        <w:rPr>
          <w:rFonts w:asciiTheme="majorHAnsi" w:hAnsiTheme="majorHAnsi"/>
          <w:sz w:val="20"/>
          <w:szCs w:val="20"/>
          <w:lang w:bidi="ar-MA"/>
        </w:rPr>
        <w:t>the</w:t>
      </w:r>
      <w:r w:rsidR="000E49D5" w:rsidRPr="000E49D5">
        <w:rPr>
          <w:rFonts w:asciiTheme="majorHAnsi" w:hAnsiTheme="majorHAnsi"/>
          <w:sz w:val="20"/>
          <w:szCs w:val="20"/>
          <w:lang w:bidi="ar-MA"/>
        </w:rPr>
        <w:t xml:space="preserve"> pensions</w:t>
      </w:r>
      <w:r w:rsidR="000E49D5">
        <w:rPr>
          <w:rFonts w:asciiTheme="majorHAnsi" w:hAnsiTheme="majorHAnsi"/>
          <w:sz w:val="20"/>
          <w:szCs w:val="20"/>
          <w:lang w:bidi="ar-MA"/>
        </w:rPr>
        <w:t xml:space="preserve"> in question</w:t>
      </w:r>
      <w:r w:rsidR="000E49D5" w:rsidRPr="000E49D5">
        <w:rPr>
          <w:rFonts w:asciiTheme="majorHAnsi" w:hAnsiTheme="majorHAnsi"/>
          <w:sz w:val="20"/>
          <w:szCs w:val="20"/>
          <w:lang w:bidi="ar-MA"/>
        </w:rPr>
        <w:t xml:space="preserve"> </w:t>
      </w:r>
      <w:r w:rsidR="004B2112">
        <w:rPr>
          <w:rFonts w:asciiTheme="majorHAnsi" w:hAnsiTheme="majorHAnsi"/>
          <w:sz w:val="20"/>
          <w:szCs w:val="20"/>
          <w:lang w:bidi="ar-MA"/>
        </w:rPr>
        <w:t>is</w:t>
      </w:r>
      <w:r w:rsidR="000E49D5" w:rsidRPr="000E49D5">
        <w:rPr>
          <w:rFonts w:asciiTheme="majorHAnsi" w:hAnsiTheme="majorHAnsi"/>
          <w:sz w:val="20"/>
          <w:szCs w:val="20"/>
          <w:lang w:bidi="ar-MA"/>
        </w:rPr>
        <w:t xml:space="preserve"> a special, additional benefit that the alleged victims </w:t>
      </w:r>
      <w:r w:rsidR="00986C46">
        <w:rPr>
          <w:rFonts w:asciiTheme="majorHAnsi" w:hAnsiTheme="majorHAnsi"/>
          <w:sz w:val="20"/>
          <w:szCs w:val="20"/>
          <w:lang w:bidi="ar-MA"/>
        </w:rPr>
        <w:t>would be</w:t>
      </w:r>
      <w:r w:rsidR="000E49D5" w:rsidRPr="000E49D5">
        <w:rPr>
          <w:rFonts w:asciiTheme="majorHAnsi" w:hAnsiTheme="majorHAnsi"/>
          <w:sz w:val="20"/>
          <w:szCs w:val="20"/>
          <w:lang w:bidi="ar-MA"/>
        </w:rPr>
        <w:t xml:space="preserve"> receiving, and that at no time does it state that they are not receiving their regular or main pensions</w:t>
      </w:r>
      <w:r w:rsidR="00072FC9" w:rsidRPr="00321569">
        <w:rPr>
          <w:rFonts w:asciiTheme="majorHAnsi" w:hAnsiTheme="majorHAnsi"/>
          <w:sz w:val="20"/>
          <w:szCs w:val="20"/>
          <w:lang w:bidi="ar-MA"/>
        </w:rPr>
        <w:t>.</w:t>
      </w:r>
    </w:p>
    <w:p w14:paraId="3F5416D3" w14:textId="77777777" w:rsidR="00294A54" w:rsidRPr="00321569" w:rsidRDefault="00294A54" w:rsidP="00294A54">
      <w:pPr>
        <w:pStyle w:val="ListParagraph"/>
        <w:rPr>
          <w:rFonts w:asciiTheme="majorHAnsi" w:hAnsiTheme="majorHAnsi"/>
          <w:sz w:val="20"/>
          <w:szCs w:val="20"/>
          <w:lang w:bidi="ar-MA"/>
        </w:rPr>
      </w:pPr>
    </w:p>
    <w:p w14:paraId="08A3AC72" w14:textId="242C3499" w:rsidR="00E1770B" w:rsidRPr="00321569" w:rsidRDefault="00272815" w:rsidP="007F08ED">
      <w:pPr>
        <w:pStyle w:val="ListParagraph"/>
        <w:numPr>
          <w:ilvl w:val="0"/>
          <w:numId w:val="103"/>
        </w:numPr>
        <w:jc w:val="both"/>
        <w:rPr>
          <w:rFonts w:asciiTheme="majorHAnsi" w:eastAsia="Arial Unicode MS" w:hAnsiTheme="majorHAnsi" w:cs="Times New Roman"/>
          <w:color w:val="auto"/>
          <w:sz w:val="20"/>
          <w:szCs w:val="20"/>
          <w:lang w:eastAsia="en-US" w:bidi="ar-MA"/>
        </w:rPr>
      </w:pPr>
      <w:r w:rsidRPr="00272815">
        <w:rPr>
          <w:rFonts w:asciiTheme="majorHAnsi" w:hAnsiTheme="majorHAnsi"/>
          <w:sz w:val="20"/>
          <w:szCs w:val="20"/>
          <w:lang w:bidi="ar-MA"/>
        </w:rPr>
        <w:t>In view of the foregoing, the Commission concludes that this case does not meet the requirement set forth in Article 46</w:t>
      </w:r>
      <w:r>
        <w:rPr>
          <w:rFonts w:asciiTheme="majorHAnsi" w:hAnsiTheme="majorHAnsi"/>
          <w:sz w:val="20"/>
          <w:szCs w:val="20"/>
          <w:lang w:bidi="ar-MA"/>
        </w:rPr>
        <w:t>.</w:t>
      </w:r>
      <w:r w:rsidRPr="00272815">
        <w:rPr>
          <w:rFonts w:asciiTheme="majorHAnsi" w:hAnsiTheme="majorHAnsi"/>
          <w:sz w:val="20"/>
          <w:szCs w:val="20"/>
          <w:lang w:bidi="ar-MA"/>
        </w:rPr>
        <w:t>1(a) of the American Convention.</w:t>
      </w:r>
    </w:p>
    <w:p w14:paraId="3DB7D4D0" w14:textId="1954662E" w:rsidR="0064684E" w:rsidRPr="00321569" w:rsidRDefault="0064684E" w:rsidP="00D9438A">
      <w:pPr>
        <w:pStyle w:val="ListParagraph"/>
        <w:jc w:val="both"/>
        <w:rPr>
          <w:rFonts w:asciiTheme="majorHAnsi" w:eastAsia="Arial Unicode MS" w:hAnsiTheme="majorHAnsi" w:cs="Times New Roman"/>
          <w:color w:val="auto"/>
          <w:sz w:val="20"/>
          <w:szCs w:val="20"/>
          <w:lang w:eastAsia="en-US" w:bidi="ar-MA"/>
        </w:rPr>
      </w:pPr>
    </w:p>
    <w:p w14:paraId="29BB41F5" w14:textId="1069E561" w:rsidR="003239B8" w:rsidRPr="0074077E" w:rsidRDefault="003239B8" w:rsidP="004A64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bidi="ar-MA"/>
        </w:rPr>
      </w:pPr>
      <w:r w:rsidRPr="00321569">
        <w:rPr>
          <w:rFonts w:asciiTheme="majorHAnsi" w:hAnsiTheme="majorHAnsi"/>
          <w:b/>
          <w:bCs/>
          <w:sz w:val="20"/>
          <w:szCs w:val="20"/>
          <w:lang w:bidi="ar-MA"/>
        </w:rPr>
        <w:t xml:space="preserve">VII. </w:t>
      </w:r>
      <w:r w:rsidRPr="00321569">
        <w:rPr>
          <w:rFonts w:asciiTheme="majorHAnsi" w:hAnsiTheme="majorHAnsi"/>
          <w:b/>
          <w:bCs/>
          <w:sz w:val="20"/>
          <w:szCs w:val="20"/>
          <w:lang w:bidi="ar-MA"/>
        </w:rPr>
        <w:tab/>
        <w:t>DECISI</w:t>
      </w:r>
      <w:r w:rsidR="005A5FC0">
        <w:rPr>
          <w:rFonts w:asciiTheme="majorHAnsi" w:hAnsiTheme="majorHAnsi"/>
          <w:b/>
          <w:bCs/>
          <w:sz w:val="20"/>
          <w:szCs w:val="20"/>
          <w:lang w:bidi="ar-MA"/>
        </w:rPr>
        <w:t>O</w:t>
      </w:r>
      <w:r w:rsidRPr="00321569">
        <w:rPr>
          <w:rFonts w:asciiTheme="majorHAnsi" w:hAnsiTheme="majorHAnsi"/>
          <w:b/>
          <w:bCs/>
          <w:sz w:val="20"/>
          <w:szCs w:val="20"/>
          <w:lang w:bidi="ar-MA"/>
        </w:rPr>
        <w:t>N</w:t>
      </w:r>
    </w:p>
    <w:p w14:paraId="570DA61C" w14:textId="1438A893" w:rsidR="000419AD" w:rsidRPr="0074077E" w:rsidRDefault="00272815" w:rsidP="000419AD">
      <w:pPr>
        <w:pStyle w:val="ListParagraph"/>
        <w:numPr>
          <w:ilvl w:val="0"/>
          <w:numId w:val="109"/>
        </w:numPr>
        <w:rPr>
          <w:rFonts w:eastAsia="Arial Unicode MS" w:cs="Times New Roman"/>
          <w:color w:val="auto"/>
          <w:sz w:val="20"/>
          <w:szCs w:val="20"/>
          <w:lang w:eastAsia="en-US" w:bidi="ar-MA"/>
        </w:rPr>
      </w:pPr>
      <w:r w:rsidRPr="0074077E">
        <w:rPr>
          <w:rFonts w:eastAsia="Arial Unicode MS" w:cs="Times New Roman"/>
          <w:color w:val="auto"/>
          <w:sz w:val="20"/>
          <w:szCs w:val="20"/>
          <w:lang w:eastAsia="en-US" w:bidi="ar-MA"/>
        </w:rPr>
        <w:t>To declare this petition</w:t>
      </w:r>
      <w:r w:rsidR="000419AD" w:rsidRPr="0074077E">
        <w:rPr>
          <w:rFonts w:eastAsia="Arial Unicode MS" w:cs="Times New Roman"/>
          <w:color w:val="auto"/>
          <w:sz w:val="20"/>
          <w:szCs w:val="20"/>
          <w:lang w:eastAsia="en-US" w:bidi="ar-MA"/>
        </w:rPr>
        <w:t xml:space="preserve"> inadmis</w:t>
      </w:r>
      <w:r w:rsidRPr="0074077E">
        <w:rPr>
          <w:rFonts w:eastAsia="Arial Unicode MS" w:cs="Times New Roman"/>
          <w:color w:val="auto"/>
          <w:sz w:val="20"/>
          <w:szCs w:val="20"/>
          <w:lang w:eastAsia="en-US" w:bidi="ar-MA"/>
        </w:rPr>
        <w:t>s</w:t>
      </w:r>
      <w:r w:rsidR="000419AD" w:rsidRPr="0074077E">
        <w:rPr>
          <w:rFonts w:eastAsia="Arial Unicode MS" w:cs="Times New Roman"/>
          <w:color w:val="auto"/>
          <w:sz w:val="20"/>
          <w:szCs w:val="20"/>
          <w:lang w:eastAsia="en-US" w:bidi="ar-MA"/>
        </w:rPr>
        <w:t>ible</w:t>
      </w:r>
      <w:r w:rsidR="0074077E">
        <w:rPr>
          <w:rFonts w:eastAsia="Arial Unicode MS" w:cs="Times New Roman"/>
          <w:color w:val="auto"/>
          <w:sz w:val="20"/>
          <w:szCs w:val="20"/>
          <w:lang w:eastAsia="en-US" w:bidi="ar-MA"/>
        </w:rPr>
        <w:t>.</w:t>
      </w:r>
    </w:p>
    <w:p w14:paraId="41AA5BF6" w14:textId="77777777" w:rsidR="000419AD" w:rsidRPr="0074077E" w:rsidRDefault="000419AD" w:rsidP="000419AD">
      <w:pPr>
        <w:pStyle w:val="ListParagraph"/>
        <w:rPr>
          <w:rFonts w:eastAsia="Arial Unicode MS" w:cs="Times New Roman"/>
          <w:color w:val="auto"/>
          <w:sz w:val="20"/>
          <w:szCs w:val="20"/>
          <w:lang w:eastAsia="en-US" w:bidi="ar-MA"/>
        </w:rPr>
      </w:pPr>
    </w:p>
    <w:p w14:paraId="6AC80CA6" w14:textId="5F2BB427" w:rsidR="00722C9F" w:rsidRDefault="00272815" w:rsidP="0027281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r w:rsidRPr="0074077E">
        <w:rPr>
          <w:rFonts w:asciiTheme="majorHAnsi" w:hAnsiTheme="majorHAnsi"/>
          <w:sz w:val="20"/>
          <w:szCs w:val="20"/>
          <w:lang w:bidi="ar-MA"/>
        </w:rPr>
        <w:t>To notify the parties of this decision; and to publish this decision and include it in its Annual Report to the General Assembly of the Organization of American States.</w:t>
      </w:r>
    </w:p>
    <w:p w14:paraId="67D151AA" w14:textId="154BA056" w:rsidR="0074077E" w:rsidRDefault="0074077E" w:rsidP="0074077E">
      <w:pPr>
        <w:suppressAutoHyphens/>
        <w:ind w:firstLine="720"/>
        <w:jc w:val="both"/>
        <w:rPr>
          <w:rStyle w:val="normaltextrun"/>
          <w:rFonts w:ascii="Cambria" w:hAnsi="Cambria" w:cs="Segoe UI"/>
          <w:sz w:val="20"/>
          <w:szCs w:val="20"/>
        </w:rPr>
      </w:pPr>
      <w:r w:rsidRPr="006D25D7">
        <w:rPr>
          <w:rFonts w:ascii="Cambria" w:hAnsi="Cambria"/>
          <w:spacing w:val="-2"/>
          <w:sz w:val="20"/>
        </w:rPr>
        <w:t>Approved by the Inter-American Commission on Human Rights on the</w:t>
      </w:r>
      <w:r w:rsidR="004171CF">
        <w:rPr>
          <w:rFonts w:ascii="Cambria" w:hAnsi="Cambria"/>
          <w:spacing w:val="-2"/>
          <w:sz w:val="20"/>
        </w:rPr>
        <w:t xml:space="preserve"> 16</w:t>
      </w:r>
      <w:r w:rsidRPr="008408D0">
        <w:rPr>
          <w:rFonts w:ascii="Cambria" w:hAnsi="Cambria"/>
          <w:spacing w:val="-2"/>
          <w:sz w:val="20"/>
          <w:vertAlign w:val="superscript"/>
        </w:rPr>
        <w:t>th</w:t>
      </w:r>
      <w:r>
        <w:rPr>
          <w:rFonts w:ascii="Cambria" w:hAnsi="Cambria"/>
          <w:spacing w:val="-2"/>
          <w:sz w:val="20"/>
        </w:rPr>
        <w:t xml:space="preserve"> day of the month of September,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D2809AD" w14:textId="77777777" w:rsidR="0074077E" w:rsidRPr="0074077E" w:rsidRDefault="0074077E" w:rsidP="007407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ar-MA"/>
        </w:rPr>
      </w:pPr>
    </w:p>
    <w:p w14:paraId="7C1E415E" w14:textId="77777777" w:rsidR="004A6446" w:rsidRPr="00321569" w:rsidRDefault="004A6446" w:rsidP="004A64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bidi="ar-MA"/>
        </w:rPr>
      </w:pPr>
    </w:p>
    <w:sectPr w:rsidR="004A6446" w:rsidRPr="00321569" w:rsidSect="006678F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3BC9" w14:textId="77777777" w:rsidR="00BB044D" w:rsidRDefault="00BB044D">
      <w:r>
        <w:separator/>
      </w:r>
    </w:p>
  </w:endnote>
  <w:endnote w:type="continuationSeparator" w:id="0">
    <w:p w14:paraId="55A76B8A" w14:textId="77777777" w:rsidR="00BB044D" w:rsidRDefault="00BB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E60E2BC" w14:textId="77777777" w:rsidR="00C17E43" w:rsidRPr="006311DA" w:rsidRDefault="00C17E4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45E7417B" w14:textId="77777777" w:rsidR="00C17E43" w:rsidRDefault="00C1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B0B3" w14:textId="77777777" w:rsidR="00C17E43" w:rsidRDefault="00C17E43">
    <w:pPr>
      <w:pStyle w:val="Footer"/>
      <w:jc w:val="center"/>
    </w:pPr>
  </w:p>
  <w:p w14:paraId="214C9E84" w14:textId="77777777" w:rsidR="00C17E43" w:rsidRDefault="00C1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54A4" w14:textId="77777777" w:rsidR="00BB044D" w:rsidRPr="000F35ED" w:rsidRDefault="00BB04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9254DE" w14:textId="77777777" w:rsidR="00BB044D" w:rsidRPr="000F35ED" w:rsidRDefault="00BB044D" w:rsidP="000F35ED">
      <w:pPr>
        <w:rPr>
          <w:rFonts w:asciiTheme="majorHAnsi" w:hAnsiTheme="majorHAnsi"/>
          <w:sz w:val="16"/>
          <w:szCs w:val="16"/>
        </w:rPr>
      </w:pPr>
      <w:r w:rsidRPr="000F35ED">
        <w:rPr>
          <w:rFonts w:asciiTheme="majorHAnsi" w:hAnsiTheme="majorHAnsi"/>
          <w:sz w:val="16"/>
          <w:szCs w:val="16"/>
        </w:rPr>
        <w:separator/>
      </w:r>
    </w:p>
    <w:p w14:paraId="41CE7E26" w14:textId="77777777" w:rsidR="00BB044D" w:rsidRPr="000F35ED" w:rsidRDefault="00BB04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FE4CD0C" w14:textId="77777777" w:rsidR="00BB044D" w:rsidRPr="000F35ED" w:rsidRDefault="00BB04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8ECACD" w14:textId="353CAD8F" w:rsidR="0027521F" w:rsidRPr="00AB7C42" w:rsidRDefault="0027521F" w:rsidP="0027521F">
      <w:pPr>
        <w:pStyle w:val="FootnoteText"/>
        <w:ind w:firstLine="720"/>
        <w:jc w:val="both"/>
        <w:rPr>
          <w:rFonts w:asciiTheme="majorHAnsi" w:hAnsiTheme="majorHAnsi"/>
          <w:sz w:val="16"/>
          <w:szCs w:val="16"/>
        </w:rPr>
      </w:pPr>
      <w:r w:rsidRPr="00AB7C42">
        <w:rPr>
          <w:rStyle w:val="FootnoteReference"/>
          <w:rFonts w:asciiTheme="majorHAnsi" w:hAnsiTheme="majorHAnsi"/>
          <w:sz w:val="16"/>
          <w:szCs w:val="16"/>
        </w:rPr>
        <w:footnoteRef/>
      </w:r>
      <w:r w:rsidRPr="00AB7C42">
        <w:rPr>
          <w:rFonts w:asciiTheme="majorHAnsi" w:hAnsiTheme="majorHAnsi"/>
          <w:sz w:val="16"/>
          <w:szCs w:val="16"/>
        </w:rPr>
        <w:t xml:space="preserve"> Amparo Victoria Manzano, Ana Mercedes Céspedes Tamayo, Armando Gordillo López, Bayardo Hely Usuga David, Benito Saucedo Rios, Bertha Blanco de Rodríguez, Blanca Lilia Morales Rios, Fredy Trujillo Otalvaro, Gladyes de la Roche Mendoza, Gladys Velasco Cuellar, Gloria Granada López, José Efraín Macana Forero, José Guillermo Nieto Pava, José Jesús Realpe Ortega, Julio César Guzman Ramírez, Julio Cesar Sandoval Patiño, Ligia Piedad Benavides Moran, Luis Eduardo Ossa, Maria Oidaliz Mendez de Paez, María Olga Arenas De Gaviria, María Orfidia Arboleda Olarte, Norberto Mayorga Sánchez, Olegario Ferro Meléndez, Omaira Capacho De Bueno, Osiris Martínez Valdeblanquez, Roque Rafael Campo Amaris </w:t>
      </w:r>
      <w:r w:rsidR="00AB7C42">
        <w:rPr>
          <w:rFonts w:asciiTheme="majorHAnsi" w:hAnsiTheme="majorHAnsi"/>
          <w:sz w:val="16"/>
          <w:szCs w:val="16"/>
        </w:rPr>
        <w:t>and</w:t>
      </w:r>
      <w:r w:rsidRPr="00AB7C42">
        <w:rPr>
          <w:rFonts w:asciiTheme="majorHAnsi" w:hAnsiTheme="majorHAnsi"/>
          <w:sz w:val="16"/>
          <w:szCs w:val="16"/>
        </w:rPr>
        <w:t xml:space="preserve"> Rosabel Diuza Jory, Teresa García de Orejuela.</w:t>
      </w:r>
    </w:p>
  </w:footnote>
  <w:footnote w:id="3">
    <w:p w14:paraId="30F64189" w14:textId="5BBE1EE2" w:rsidR="0027521F" w:rsidRPr="00AB7C42" w:rsidRDefault="0027521F" w:rsidP="0027521F">
      <w:pPr>
        <w:pStyle w:val="FootnoteText"/>
        <w:ind w:firstLine="720"/>
        <w:jc w:val="both"/>
        <w:rPr>
          <w:rFonts w:asciiTheme="majorHAnsi" w:hAnsiTheme="majorHAnsi"/>
          <w:sz w:val="16"/>
          <w:szCs w:val="16"/>
        </w:rPr>
      </w:pPr>
      <w:r w:rsidRPr="00AB7C42">
        <w:rPr>
          <w:rStyle w:val="FootnoteReference"/>
          <w:rFonts w:asciiTheme="majorHAnsi" w:hAnsiTheme="majorHAnsi"/>
          <w:sz w:val="16"/>
          <w:szCs w:val="16"/>
        </w:rPr>
        <w:footnoteRef/>
      </w:r>
      <w:r w:rsidRPr="00AB7C42">
        <w:rPr>
          <w:rFonts w:asciiTheme="majorHAnsi" w:hAnsiTheme="majorHAnsi"/>
          <w:sz w:val="16"/>
          <w:szCs w:val="16"/>
        </w:rPr>
        <w:t xml:space="preserve"> </w:t>
      </w:r>
      <w:r w:rsidR="00AB7C42">
        <w:rPr>
          <w:rFonts w:asciiTheme="majorHAnsi" w:hAnsiTheme="majorHAnsi"/>
          <w:sz w:val="16"/>
          <w:szCs w:val="16"/>
        </w:rPr>
        <w:t>In keeping with</w:t>
      </w:r>
      <w:r w:rsidR="00AB7C42" w:rsidRPr="00AB7C42">
        <w:rPr>
          <w:rFonts w:asciiTheme="majorHAnsi" w:hAnsiTheme="majorHAnsi"/>
          <w:sz w:val="16"/>
          <w:szCs w:val="16"/>
        </w:rPr>
        <w:t xml:space="preserve"> Article 17.2.a of the Commission</w:t>
      </w:r>
      <w:r w:rsidR="00FE1278">
        <w:rPr>
          <w:rFonts w:asciiTheme="majorHAnsi" w:hAnsiTheme="majorHAnsi"/>
          <w:sz w:val="16"/>
          <w:szCs w:val="16"/>
        </w:rPr>
        <w:t>’</w:t>
      </w:r>
      <w:r w:rsidR="00AB7C42" w:rsidRPr="00AB7C42">
        <w:rPr>
          <w:rFonts w:asciiTheme="majorHAnsi" w:hAnsiTheme="majorHAnsi"/>
          <w:sz w:val="16"/>
          <w:szCs w:val="16"/>
        </w:rPr>
        <w:t>s Rules of Procedure, Commissioner Carlos Bernal Pulido, a Colombian national, did not participate in the de</w:t>
      </w:r>
      <w:r w:rsidR="00AB7C42">
        <w:rPr>
          <w:rFonts w:asciiTheme="majorHAnsi" w:hAnsiTheme="majorHAnsi"/>
          <w:sz w:val="16"/>
          <w:szCs w:val="16"/>
        </w:rPr>
        <w:t>liberations</w:t>
      </w:r>
      <w:r w:rsidR="00AB7C42" w:rsidRPr="00AB7C42">
        <w:rPr>
          <w:rFonts w:asciiTheme="majorHAnsi" w:hAnsiTheme="majorHAnsi"/>
          <w:sz w:val="16"/>
          <w:szCs w:val="16"/>
        </w:rPr>
        <w:t xml:space="preserve"> or in the decision in this case</w:t>
      </w:r>
      <w:r w:rsidRPr="00AB7C42">
        <w:rPr>
          <w:rFonts w:asciiTheme="majorHAnsi" w:hAnsiTheme="majorHAnsi"/>
          <w:sz w:val="16"/>
          <w:szCs w:val="16"/>
        </w:rPr>
        <w:t>.</w:t>
      </w:r>
    </w:p>
  </w:footnote>
  <w:footnote w:id="4">
    <w:p w14:paraId="71EA08C7" w14:textId="4628EE0A" w:rsidR="0027521F" w:rsidRPr="00AB7C42" w:rsidRDefault="0027521F" w:rsidP="0027521F">
      <w:pPr>
        <w:pStyle w:val="FootnoteText"/>
        <w:ind w:firstLine="720"/>
        <w:jc w:val="both"/>
        <w:rPr>
          <w:rFonts w:asciiTheme="majorHAnsi" w:hAnsiTheme="majorHAnsi"/>
          <w:sz w:val="16"/>
          <w:szCs w:val="16"/>
        </w:rPr>
      </w:pPr>
      <w:r w:rsidRPr="00AB7C42">
        <w:rPr>
          <w:rStyle w:val="FootnoteReference"/>
          <w:rFonts w:asciiTheme="majorHAnsi" w:hAnsiTheme="majorHAnsi"/>
          <w:sz w:val="16"/>
          <w:szCs w:val="16"/>
        </w:rPr>
        <w:footnoteRef/>
      </w:r>
      <w:r w:rsidRPr="00AB7C42">
        <w:rPr>
          <w:rStyle w:val="FootnoteReference"/>
          <w:rFonts w:asciiTheme="majorHAnsi" w:hAnsiTheme="majorHAnsi"/>
          <w:sz w:val="16"/>
          <w:szCs w:val="16"/>
        </w:rPr>
        <w:t xml:space="preserve"> </w:t>
      </w:r>
      <w:r w:rsidR="00950EF0" w:rsidRPr="00950EF0">
        <w:rPr>
          <w:rFonts w:asciiTheme="majorHAnsi" w:hAnsiTheme="majorHAnsi"/>
          <w:sz w:val="16"/>
          <w:szCs w:val="16"/>
        </w:rPr>
        <w:t xml:space="preserve">Hereinafter </w:t>
      </w:r>
      <w:r w:rsidR="00FE1278">
        <w:rPr>
          <w:rFonts w:asciiTheme="majorHAnsi" w:hAnsiTheme="majorHAnsi"/>
          <w:sz w:val="16"/>
          <w:szCs w:val="16"/>
        </w:rPr>
        <w:t>“</w:t>
      </w:r>
      <w:r w:rsidR="00950EF0" w:rsidRPr="00950EF0">
        <w:rPr>
          <w:rFonts w:asciiTheme="majorHAnsi" w:hAnsiTheme="majorHAnsi"/>
          <w:sz w:val="16"/>
          <w:szCs w:val="16"/>
        </w:rPr>
        <w:t>the American Convention</w:t>
      </w:r>
      <w:r w:rsidR="00FE1278">
        <w:rPr>
          <w:rFonts w:asciiTheme="majorHAnsi" w:hAnsiTheme="majorHAnsi"/>
          <w:sz w:val="16"/>
          <w:szCs w:val="16"/>
        </w:rPr>
        <w:t>”</w:t>
      </w:r>
      <w:r w:rsidR="00950EF0" w:rsidRPr="00950EF0">
        <w:rPr>
          <w:rFonts w:asciiTheme="majorHAnsi" w:hAnsiTheme="majorHAnsi"/>
          <w:sz w:val="16"/>
          <w:szCs w:val="16"/>
        </w:rPr>
        <w:t xml:space="preserve"> or </w:t>
      </w:r>
      <w:r w:rsidR="00FE1278">
        <w:rPr>
          <w:rFonts w:asciiTheme="majorHAnsi" w:hAnsiTheme="majorHAnsi"/>
          <w:sz w:val="16"/>
          <w:szCs w:val="16"/>
        </w:rPr>
        <w:t>“</w:t>
      </w:r>
      <w:r w:rsidR="00950EF0" w:rsidRPr="00950EF0">
        <w:rPr>
          <w:rFonts w:asciiTheme="majorHAnsi" w:hAnsiTheme="majorHAnsi"/>
          <w:sz w:val="16"/>
          <w:szCs w:val="16"/>
        </w:rPr>
        <w:t>the Convention</w:t>
      </w:r>
      <w:r w:rsidR="00950EF0">
        <w:rPr>
          <w:rFonts w:asciiTheme="majorHAnsi" w:hAnsiTheme="majorHAnsi"/>
          <w:sz w:val="16"/>
          <w:szCs w:val="16"/>
        </w:rPr>
        <w:t>.</w:t>
      </w:r>
      <w:r w:rsidR="00FE1278">
        <w:rPr>
          <w:rFonts w:asciiTheme="majorHAnsi" w:hAnsiTheme="majorHAnsi"/>
          <w:sz w:val="16"/>
          <w:szCs w:val="16"/>
        </w:rPr>
        <w:t>”</w:t>
      </w:r>
      <w:r w:rsidRPr="00AB7C42">
        <w:rPr>
          <w:rFonts w:asciiTheme="majorHAnsi" w:hAnsiTheme="majorHAnsi"/>
          <w:sz w:val="16"/>
          <w:szCs w:val="16"/>
        </w:rPr>
        <w:tab/>
      </w:r>
    </w:p>
  </w:footnote>
  <w:footnote w:id="5">
    <w:p w14:paraId="2097F4A9" w14:textId="52B7BF65" w:rsidR="0027521F" w:rsidRPr="00AB7C42" w:rsidRDefault="0027521F" w:rsidP="0027521F">
      <w:pPr>
        <w:pStyle w:val="FootnoteText"/>
        <w:spacing w:after="120"/>
        <w:ind w:firstLine="720"/>
        <w:jc w:val="both"/>
        <w:rPr>
          <w:rFonts w:ascii="Cambria" w:hAnsi="Cambria"/>
          <w:sz w:val="16"/>
          <w:szCs w:val="16"/>
        </w:rPr>
      </w:pPr>
      <w:r w:rsidRPr="00AB7C42">
        <w:rPr>
          <w:rStyle w:val="FootnoteReference"/>
          <w:rFonts w:ascii="Cambria" w:hAnsi="Cambria"/>
          <w:sz w:val="16"/>
          <w:szCs w:val="16"/>
        </w:rPr>
        <w:footnoteRef/>
      </w:r>
      <w:r w:rsidRPr="00AB7C42">
        <w:rPr>
          <w:rFonts w:ascii="Cambria" w:hAnsi="Cambria"/>
          <w:sz w:val="16"/>
          <w:szCs w:val="16"/>
        </w:rPr>
        <w:t xml:space="preserve"> </w:t>
      </w:r>
      <w:r w:rsidR="00950EF0" w:rsidRPr="00950EF0">
        <w:rPr>
          <w:rFonts w:ascii="Cambria" w:hAnsi="Cambria"/>
          <w:sz w:val="16"/>
          <w:szCs w:val="16"/>
        </w:rPr>
        <w:t>The observations submitted by each party were duly transmitted to the opposing party</w:t>
      </w:r>
      <w:r w:rsidRPr="00AB7C42">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F47" w14:textId="77777777" w:rsidR="00C17E43" w:rsidRDefault="00C17E4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9EFEE64" w14:textId="77777777" w:rsidR="00C17E43" w:rsidRDefault="00C1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2E0A" w14:textId="77777777" w:rsidR="00C17E43" w:rsidRDefault="00C17E43" w:rsidP="002C1641">
    <w:pPr>
      <w:pStyle w:val="Header"/>
      <w:tabs>
        <w:tab w:val="clear" w:pos="4320"/>
        <w:tab w:val="clear" w:pos="8640"/>
      </w:tabs>
      <w:jc w:val="center"/>
      <w:rPr>
        <w:sz w:val="22"/>
        <w:szCs w:val="22"/>
      </w:rPr>
    </w:pPr>
    <w:r>
      <w:rPr>
        <w:noProof/>
        <w:sz w:val="22"/>
        <w:szCs w:val="22"/>
      </w:rPr>
      <w:drawing>
        <wp:inline distT="0" distB="0" distL="0" distR="0" wp14:anchorId="647AB6C5" wp14:editId="52C2A06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F26F219" w14:textId="77777777" w:rsidR="00C17E43" w:rsidRPr="00EC7D62" w:rsidRDefault="00AB1642" w:rsidP="002C1641">
    <w:pPr>
      <w:pStyle w:val="Header"/>
      <w:tabs>
        <w:tab w:val="clear" w:pos="4320"/>
        <w:tab w:val="clear" w:pos="8640"/>
      </w:tabs>
      <w:jc w:val="center"/>
      <w:rPr>
        <w:sz w:val="22"/>
        <w:szCs w:val="22"/>
      </w:rPr>
    </w:pPr>
    <w:r>
      <w:pict w14:anchorId="3762F214">
        <v:rect id="Horizontal Line 1"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25C120C0"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6678F0">
      <w:rPr>
        <w:rStyle w:val="PageNumber"/>
        <w:rFonts w:eastAsia="Trebuchet MS"/>
        <w:noProof/>
      </w:rPr>
      <w:t>1</w:t>
    </w:r>
    <w:r>
      <w:rPr>
        <w:rStyle w:val="PageNumber"/>
        <w:rFonts w:eastAsia="Trebuchet MS"/>
      </w:rPr>
      <w:fldChar w:fldCharType="end"/>
    </w:r>
  </w:p>
  <w:p w14:paraId="598FAFAB"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CF39B88" w:rsidR="00A50FCF" w:rsidRDefault="006678F0" w:rsidP="00A50FCF">
    <w:pPr>
      <w:pStyle w:val="Header"/>
      <w:tabs>
        <w:tab w:val="clear" w:pos="4320"/>
        <w:tab w:val="clear" w:pos="8640"/>
      </w:tabs>
      <w:jc w:val="center"/>
      <w:rPr>
        <w:sz w:val="22"/>
        <w:szCs w:val="22"/>
      </w:rPr>
    </w:pPr>
    <w:r>
      <w:rPr>
        <w:noProof/>
        <w:sz w:val="22"/>
        <w:szCs w:val="22"/>
      </w:rPr>
      <w:drawing>
        <wp:inline distT="0" distB="0" distL="0" distR="0" wp14:anchorId="1E09879F" wp14:editId="6EA492FC">
          <wp:extent cx="2209800" cy="117396"/>
          <wp:effectExtent l="0" t="0" r="0" b="0"/>
          <wp:docPr id="1292582576" name="Picture 129258257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AB1642" w:rsidP="00A50FCF">
    <w:pPr>
      <w:pStyle w:val="Header"/>
      <w:tabs>
        <w:tab w:val="clear" w:pos="4320"/>
        <w:tab w:val="clear" w:pos="8640"/>
      </w:tabs>
      <w:jc w:val="center"/>
      <w:rPr>
        <w:sz w:val="22"/>
        <w:szCs w:val="22"/>
      </w:rPr>
    </w:pPr>
    <w:r>
      <w:rPr>
        <w:noProof/>
        <w:sz w:val="22"/>
        <w:szCs w:val="22"/>
        <w:bdr w:val="nil"/>
      </w:rPr>
      <w:pict w14:anchorId="4367A34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04A46C5C"/>
    <w:lvl w:ilvl="0" w:tplc="848A09F8">
      <w:start w:val="1"/>
      <w:numFmt w:val="decimal"/>
      <w:lvlText w:val="%1."/>
      <w:lvlJc w:val="left"/>
      <w:pPr>
        <w:tabs>
          <w:tab w:val="num" w:pos="720"/>
        </w:tabs>
        <w:ind w:left="0" w:firstLine="720"/>
      </w:pPr>
      <w:rPr>
        <w:rFonts w:asciiTheme="majorHAnsi" w:hAnsiTheme="maj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6"/>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8"/>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9"/>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1"/>
  </w:num>
  <w:num w:numId="54" w16cid:durableId="2134210098">
    <w:abstractNumId w:val="41"/>
  </w:num>
  <w:num w:numId="55" w16cid:durableId="608663301">
    <w:abstractNumId w:val="42"/>
  </w:num>
  <w:num w:numId="56" w16cid:durableId="255601910">
    <w:abstractNumId w:val="48"/>
  </w:num>
  <w:num w:numId="57" w16cid:durableId="1761757703">
    <w:abstractNumId w:val="2"/>
  </w:num>
  <w:num w:numId="58" w16cid:durableId="1186796706">
    <w:abstractNumId w:val="3"/>
  </w:num>
  <w:num w:numId="59" w16cid:durableId="1606693034">
    <w:abstractNumId w:val="10"/>
  </w:num>
  <w:num w:numId="60" w16cid:durableId="1738476247">
    <w:abstractNumId w:val="11"/>
  </w:num>
  <w:num w:numId="61" w16cid:durableId="1484001738">
    <w:abstractNumId w:val="12"/>
  </w:num>
  <w:num w:numId="62" w16cid:durableId="866941465">
    <w:abstractNumId w:val="13"/>
  </w:num>
  <w:num w:numId="63" w16cid:durableId="891114917">
    <w:abstractNumId w:val="14"/>
  </w:num>
  <w:num w:numId="64" w16cid:durableId="1852600886">
    <w:abstractNumId w:val="16"/>
  </w:num>
  <w:num w:numId="65" w16cid:durableId="925655403">
    <w:abstractNumId w:val="17"/>
  </w:num>
  <w:num w:numId="66" w16cid:durableId="1122456303">
    <w:abstractNumId w:val="18"/>
  </w:num>
  <w:num w:numId="67" w16cid:durableId="2034264947">
    <w:abstractNumId w:val="19"/>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4"/>
  </w:num>
  <w:num w:numId="101" w16cid:durableId="1289773468">
    <w:abstractNumId w:val="28"/>
  </w:num>
  <w:num w:numId="102" w16cid:durableId="1186287539">
    <w:abstractNumId w:val="51"/>
  </w:num>
  <w:num w:numId="103" w16cid:durableId="1458334191">
    <w:abstractNumId w:val="7"/>
  </w:num>
  <w:num w:numId="104" w16cid:durableId="913318813">
    <w:abstractNumId w:val="66"/>
  </w:num>
  <w:num w:numId="105" w16cid:durableId="589050340">
    <w:abstractNumId w:val="55"/>
  </w:num>
  <w:num w:numId="106" w16cid:durableId="836576904">
    <w:abstractNumId w:val="5"/>
  </w:num>
  <w:num w:numId="107" w16cid:durableId="1173912010">
    <w:abstractNumId w:val="32"/>
  </w:num>
  <w:num w:numId="108" w16cid:durableId="2116440378">
    <w:abstractNumId w:val="15"/>
  </w:num>
  <w:num w:numId="109" w16cid:durableId="1694842942">
    <w:abstractNumId w:val="47"/>
  </w:num>
  <w:num w:numId="110" w16cid:durableId="14845085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198"/>
    <w:rsid w:val="0000036F"/>
    <w:rsid w:val="00000CDA"/>
    <w:rsid w:val="00006E1F"/>
    <w:rsid w:val="000070D7"/>
    <w:rsid w:val="00011A1F"/>
    <w:rsid w:val="000124B2"/>
    <w:rsid w:val="00014E47"/>
    <w:rsid w:val="00015DCA"/>
    <w:rsid w:val="0001788C"/>
    <w:rsid w:val="000225E7"/>
    <w:rsid w:val="000243FF"/>
    <w:rsid w:val="000258B1"/>
    <w:rsid w:val="000271DC"/>
    <w:rsid w:val="00031500"/>
    <w:rsid w:val="0003228B"/>
    <w:rsid w:val="000337EF"/>
    <w:rsid w:val="00040C3A"/>
    <w:rsid w:val="000419AD"/>
    <w:rsid w:val="000433C9"/>
    <w:rsid w:val="00045EDF"/>
    <w:rsid w:val="0005132C"/>
    <w:rsid w:val="000704F9"/>
    <w:rsid w:val="000716C5"/>
    <w:rsid w:val="00072FC9"/>
    <w:rsid w:val="00074D1E"/>
    <w:rsid w:val="00075050"/>
    <w:rsid w:val="00075E23"/>
    <w:rsid w:val="0009344A"/>
    <w:rsid w:val="0009709B"/>
    <w:rsid w:val="0009799B"/>
    <w:rsid w:val="000A21EC"/>
    <w:rsid w:val="000A392E"/>
    <w:rsid w:val="000A575F"/>
    <w:rsid w:val="000B062C"/>
    <w:rsid w:val="000B3BE6"/>
    <w:rsid w:val="000B5D97"/>
    <w:rsid w:val="000B6CF8"/>
    <w:rsid w:val="000C1614"/>
    <w:rsid w:val="000C79F5"/>
    <w:rsid w:val="000D0334"/>
    <w:rsid w:val="000D05CB"/>
    <w:rsid w:val="000D10DB"/>
    <w:rsid w:val="000E0562"/>
    <w:rsid w:val="000E49D5"/>
    <w:rsid w:val="000E5EB5"/>
    <w:rsid w:val="000F3305"/>
    <w:rsid w:val="000F35ED"/>
    <w:rsid w:val="0010023E"/>
    <w:rsid w:val="001065A7"/>
    <w:rsid w:val="00107131"/>
    <w:rsid w:val="0010736F"/>
    <w:rsid w:val="00113F73"/>
    <w:rsid w:val="00121CC2"/>
    <w:rsid w:val="00126F60"/>
    <w:rsid w:val="00131425"/>
    <w:rsid w:val="00132D40"/>
    <w:rsid w:val="00133EE5"/>
    <w:rsid w:val="00135468"/>
    <w:rsid w:val="00135AC1"/>
    <w:rsid w:val="001407E2"/>
    <w:rsid w:val="0016153B"/>
    <w:rsid w:val="001624A4"/>
    <w:rsid w:val="00167A34"/>
    <w:rsid w:val="00171C1E"/>
    <w:rsid w:val="00173B35"/>
    <w:rsid w:val="0017487E"/>
    <w:rsid w:val="00174D2D"/>
    <w:rsid w:val="00181598"/>
    <w:rsid w:val="0019566B"/>
    <w:rsid w:val="00197E72"/>
    <w:rsid w:val="001A38E7"/>
    <w:rsid w:val="001A574B"/>
    <w:rsid w:val="001A7870"/>
    <w:rsid w:val="001B3A00"/>
    <w:rsid w:val="001B4ABF"/>
    <w:rsid w:val="001C19A9"/>
    <w:rsid w:val="001C1B41"/>
    <w:rsid w:val="001D02D4"/>
    <w:rsid w:val="001D29D0"/>
    <w:rsid w:val="001D58DD"/>
    <w:rsid w:val="001D65EF"/>
    <w:rsid w:val="001D7945"/>
    <w:rsid w:val="001D7A61"/>
    <w:rsid w:val="001E3E1A"/>
    <w:rsid w:val="001E49E7"/>
    <w:rsid w:val="001F7201"/>
    <w:rsid w:val="00206AB3"/>
    <w:rsid w:val="002155FB"/>
    <w:rsid w:val="00223A29"/>
    <w:rsid w:val="002250A3"/>
    <w:rsid w:val="0023021E"/>
    <w:rsid w:val="002304B8"/>
    <w:rsid w:val="00235217"/>
    <w:rsid w:val="00237296"/>
    <w:rsid w:val="00244FD2"/>
    <w:rsid w:val="00245033"/>
    <w:rsid w:val="00245C73"/>
    <w:rsid w:val="002467D1"/>
    <w:rsid w:val="002469D2"/>
    <w:rsid w:val="00246D1F"/>
    <w:rsid w:val="00246E72"/>
    <w:rsid w:val="00247403"/>
    <w:rsid w:val="00247542"/>
    <w:rsid w:val="00255FBD"/>
    <w:rsid w:val="0026020D"/>
    <w:rsid w:val="00263D07"/>
    <w:rsid w:val="00266B61"/>
    <w:rsid w:val="0026712A"/>
    <w:rsid w:val="002675D5"/>
    <w:rsid w:val="00267694"/>
    <w:rsid w:val="002704DB"/>
    <w:rsid w:val="00271289"/>
    <w:rsid w:val="00272815"/>
    <w:rsid w:val="002728DA"/>
    <w:rsid w:val="0027521F"/>
    <w:rsid w:val="00284040"/>
    <w:rsid w:val="002900D8"/>
    <w:rsid w:val="00294A54"/>
    <w:rsid w:val="00295645"/>
    <w:rsid w:val="002A0AAE"/>
    <w:rsid w:val="002A24D0"/>
    <w:rsid w:val="002A5820"/>
    <w:rsid w:val="002B0FBC"/>
    <w:rsid w:val="002C35A8"/>
    <w:rsid w:val="002C6BCB"/>
    <w:rsid w:val="002D2B26"/>
    <w:rsid w:val="002D3040"/>
    <w:rsid w:val="002D3D71"/>
    <w:rsid w:val="002D7EA2"/>
    <w:rsid w:val="002E187C"/>
    <w:rsid w:val="002F0652"/>
    <w:rsid w:val="002F42C6"/>
    <w:rsid w:val="002F43D2"/>
    <w:rsid w:val="002F4E8A"/>
    <w:rsid w:val="003017FE"/>
    <w:rsid w:val="003018F5"/>
    <w:rsid w:val="00302733"/>
    <w:rsid w:val="00311833"/>
    <w:rsid w:val="00314078"/>
    <w:rsid w:val="0031512A"/>
    <w:rsid w:val="0031535D"/>
    <w:rsid w:val="00321569"/>
    <w:rsid w:val="003223E2"/>
    <w:rsid w:val="00322C19"/>
    <w:rsid w:val="003239B8"/>
    <w:rsid w:val="00325ECD"/>
    <w:rsid w:val="0033169F"/>
    <w:rsid w:val="00340D76"/>
    <w:rsid w:val="00344977"/>
    <w:rsid w:val="00346C95"/>
    <w:rsid w:val="00356185"/>
    <w:rsid w:val="00360380"/>
    <w:rsid w:val="0037519E"/>
    <w:rsid w:val="00376AA2"/>
    <w:rsid w:val="00380808"/>
    <w:rsid w:val="00386CF0"/>
    <w:rsid w:val="00394BB3"/>
    <w:rsid w:val="003A2441"/>
    <w:rsid w:val="003B0521"/>
    <w:rsid w:val="003B1B44"/>
    <w:rsid w:val="003B70FB"/>
    <w:rsid w:val="003C2239"/>
    <w:rsid w:val="003C676B"/>
    <w:rsid w:val="003D3BC2"/>
    <w:rsid w:val="003E228D"/>
    <w:rsid w:val="003E545F"/>
    <w:rsid w:val="003E6CA1"/>
    <w:rsid w:val="003F0106"/>
    <w:rsid w:val="003F2F53"/>
    <w:rsid w:val="00405F9C"/>
    <w:rsid w:val="004065A8"/>
    <w:rsid w:val="00406AA0"/>
    <w:rsid w:val="004155DD"/>
    <w:rsid w:val="004165C2"/>
    <w:rsid w:val="004168BE"/>
    <w:rsid w:val="004171CF"/>
    <w:rsid w:val="004218EB"/>
    <w:rsid w:val="00426435"/>
    <w:rsid w:val="00426EF1"/>
    <w:rsid w:val="00436B39"/>
    <w:rsid w:val="00441524"/>
    <w:rsid w:val="00441E0D"/>
    <w:rsid w:val="00441E83"/>
    <w:rsid w:val="00441ECB"/>
    <w:rsid w:val="004435A4"/>
    <w:rsid w:val="00445193"/>
    <w:rsid w:val="00445FC2"/>
    <w:rsid w:val="00451D13"/>
    <w:rsid w:val="00462C1B"/>
    <w:rsid w:val="00467B7E"/>
    <w:rsid w:val="00471D00"/>
    <w:rsid w:val="00471D86"/>
    <w:rsid w:val="00473BB4"/>
    <w:rsid w:val="00473FD1"/>
    <w:rsid w:val="00474697"/>
    <w:rsid w:val="00474CDA"/>
    <w:rsid w:val="00477592"/>
    <w:rsid w:val="0048262F"/>
    <w:rsid w:val="00483640"/>
    <w:rsid w:val="00486F1C"/>
    <w:rsid w:val="00490057"/>
    <w:rsid w:val="0049014B"/>
    <w:rsid w:val="004937CA"/>
    <w:rsid w:val="0049419D"/>
    <w:rsid w:val="004A6446"/>
    <w:rsid w:val="004A6657"/>
    <w:rsid w:val="004A6A54"/>
    <w:rsid w:val="004B0A30"/>
    <w:rsid w:val="004B2112"/>
    <w:rsid w:val="004B4A62"/>
    <w:rsid w:val="004C11DE"/>
    <w:rsid w:val="004C20D2"/>
    <w:rsid w:val="004C2312"/>
    <w:rsid w:val="004C4B62"/>
    <w:rsid w:val="004C54C9"/>
    <w:rsid w:val="004D09E1"/>
    <w:rsid w:val="004D4ABA"/>
    <w:rsid w:val="004D6025"/>
    <w:rsid w:val="004E063A"/>
    <w:rsid w:val="004E2178"/>
    <w:rsid w:val="004E24B2"/>
    <w:rsid w:val="004E2649"/>
    <w:rsid w:val="004E7992"/>
    <w:rsid w:val="004F4742"/>
    <w:rsid w:val="004F626F"/>
    <w:rsid w:val="00501399"/>
    <w:rsid w:val="0050633D"/>
    <w:rsid w:val="00507BC4"/>
    <w:rsid w:val="00510B2A"/>
    <w:rsid w:val="00510E88"/>
    <w:rsid w:val="005128E4"/>
    <w:rsid w:val="005133DB"/>
    <w:rsid w:val="00514504"/>
    <w:rsid w:val="00515236"/>
    <w:rsid w:val="00520D59"/>
    <w:rsid w:val="00525560"/>
    <w:rsid w:val="005259EF"/>
    <w:rsid w:val="0053131A"/>
    <w:rsid w:val="00532B1A"/>
    <w:rsid w:val="00544C49"/>
    <w:rsid w:val="00545E62"/>
    <w:rsid w:val="005516A1"/>
    <w:rsid w:val="005559EF"/>
    <w:rsid w:val="005564B7"/>
    <w:rsid w:val="00561A03"/>
    <w:rsid w:val="00563557"/>
    <w:rsid w:val="00565591"/>
    <w:rsid w:val="005731CB"/>
    <w:rsid w:val="0057402A"/>
    <w:rsid w:val="00575342"/>
    <w:rsid w:val="0057582D"/>
    <w:rsid w:val="005771D0"/>
    <w:rsid w:val="00581641"/>
    <w:rsid w:val="00584520"/>
    <w:rsid w:val="0059191A"/>
    <w:rsid w:val="005921FF"/>
    <w:rsid w:val="005A23A1"/>
    <w:rsid w:val="005A24ED"/>
    <w:rsid w:val="005A254F"/>
    <w:rsid w:val="005A29DB"/>
    <w:rsid w:val="005A5FC0"/>
    <w:rsid w:val="005A6D0E"/>
    <w:rsid w:val="005B00AA"/>
    <w:rsid w:val="005B1658"/>
    <w:rsid w:val="005B2BBA"/>
    <w:rsid w:val="005B52B0"/>
    <w:rsid w:val="005B5B88"/>
    <w:rsid w:val="005B6806"/>
    <w:rsid w:val="005C3EF2"/>
    <w:rsid w:val="005C4225"/>
    <w:rsid w:val="005D23D6"/>
    <w:rsid w:val="005D38F9"/>
    <w:rsid w:val="005D71DC"/>
    <w:rsid w:val="005E4156"/>
    <w:rsid w:val="005F0DAD"/>
    <w:rsid w:val="005F0F33"/>
    <w:rsid w:val="005F1E2F"/>
    <w:rsid w:val="005F4A6B"/>
    <w:rsid w:val="005F5C3F"/>
    <w:rsid w:val="00600DEB"/>
    <w:rsid w:val="00600F03"/>
    <w:rsid w:val="0060576F"/>
    <w:rsid w:val="006069CF"/>
    <w:rsid w:val="006135F1"/>
    <w:rsid w:val="00627C9F"/>
    <w:rsid w:val="006311E9"/>
    <w:rsid w:val="00632354"/>
    <w:rsid w:val="00635421"/>
    <w:rsid w:val="00642810"/>
    <w:rsid w:val="00644B16"/>
    <w:rsid w:val="0064684E"/>
    <w:rsid w:val="00652333"/>
    <w:rsid w:val="00666C7D"/>
    <w:rsid w:val="006678F0"/>
    <w:rsid w:val="006755D3"/>
    <w:rsid w:val="006764CD"/>
    <w:rsid w:val="0068009E"/>
    <w:rsid w:val="00684B6B"/>
    <w:rsid w:val="00692219"/>
    <w:rsid w:val="006A05B8"/>
    <w:rsid w:val="006A1529"/>
    <w:rsid w:val="006A17D2"/>
    <w:rsid w:val="006A668A"/>
    <w:rsid w:val="006A73E6"/>
    <w:rsid w:val="006B2D5C"/>
    <w:rsid w:val="006C359E"/>
    <w:rsid w:val="006C4100"/>
    <w:rsid w:val="006C4EB1"/>
    <w:rsid w:val="006D5B19"/>
    <w:rsid w:val="006E0166"/>
    <w:rsid w:val="006E2FFB"/>
    <w:rsid w:val="006E6CEC"/>
    <w:rsid w:val="006E7B34"/>
    <w:rsid w:val="006F00F1"/>
    <w:rsid w:val="006F5216"/>
    <w:rsid w:val="006F6400"/>
    <w:rsid w:val="0070697F"/>
    <w:rsid w:val="00720B5E"/>
    <w:rsid w:val="0072199C"/>
    <w:rsid w:val="00722C9F"/>
    <w:rsid w:val="00723473"/>
    <w:rsid w:val="007253B8"/>
    <w:rsid w:val="0073741F"/>
    <w:rsid w:val="0074077E"/>
    <w:rsid w:val="007521A0"/>
    <w:rsid w:val="0075476C"/>
    <w:rsid w:val="00760E0B"/>
    <w:rsid w:val="00765496"/>
    <w:rsid w:val="0076643F"/>
    <w:rsid w:val="00767718"/>
    <w:rsid w:val="00776E50"/>
    <w:rsid w:val="00777F63"/>
    <w:rsid w:val="00786F12"/>
    <w:rsid w:val="00794CD3"/>
    <w:rsid w:val="00797004"/>
    <w:rsid w:val="007A5817"/>
    <w:rsid w:val="007B05C4"/>
    <w:rsid w:val="007B06FA"/>
    <w:rsid w:val="007B1A56"/>
    <w:rsid w:val="007B4D16"/>
    <w:rsid w:val="007B60E9"/>
    <w:rsid w:val="007B6CC3"/>
    <w:rsid w:val="007B76D3"/>
    <w:rsid w:val="007B7980"/>
    <w:rsid w:val="007C1684"/>
    <w:rsid w:val="007C3334"/>
    <w:rsid w:val="007C76F0"/>
    <w:rsid w:val="007D06B8"/>
    <w:rsid w:val="007D1391"/>
    <w:rsid w:val="007D2B98"/>
    <w:rsid w:val="007D328C"/>
    <w:rsid w:val="007D4E4E"/>
    <w:rsid w:val="007D519A"/>
    <w:rsid w:val="007E21BC"/>
    <w:rsid w:val="007E33DF"/>
    <w:rsid w:val="007E42D8"/>
    <w:rsid w:val="007E7C82"/>
    <w:rsid w:val="007F08ED"/>
    <w:rsid w:val="007F11BD"/>
    <w:rsid w:val="007F2AA1"/>
    <w:rsid w:val="007F588D"/>
    <w:rsid w:val="00803A07"/>
    <w:rsid w:val="00803F1C"/>
    <w:rsid w:val="0080600E"/>
    <w:rsid w:val="00807323"/>
    <w:rsid w:val="00814688"/>
    <w:rsid w:val="00816E92"/>
    <w:rsid w:val="00817612"/>
    <w:rsid w:val="008338A4"/>
    <w:rsid w:val="00834D49"/>
    <w:rsid w:val="0083586A"/>
    <w:rsid w:val="00837C45"/>
    <w:rsid w:val="00841798"/>
    <w:rsid w:val="00844730"/>
    <w:rsid w:val="008457C2"/>
    <w:rsid w:val="008464B8"/>
    <w:rsid w:val="0084670F"/>
    <w:rsid w:val="0085794D"/>
    <w:rsid w:val="00857A82"/>
    <w:rsid w:val="00864880"/>
    <w:rsid w:val="00866D71"/>
    <w:rsid w:val="00867314"/>
    <w:rsid w:val="008731D6"/>
    <w:rsid w:val="00873836"/>
    <w:rsid w:val="00874995"/>
    <w:rsid w:val="00885737"/>
    <w:rsid w:val="00890650"/>
    <w:rsid w:val="00897E12"/>
    <w:rsid w:val="008A7E0F"/>
    <w:rsid w:val="008B12F5"/>
    <w:rsid w:val="008B17B5"/>
    <w:rsid w:val="008C5E2D"/>
    <w:rsid w:val="008C7C83"/>
    <w:rsid w:val="008D5922"/>
    <w:rsid w:val="008D768D"/>
    <w:rsid w:val="008E2EFE"/>
    <w:rsid w:val="008E3759"/>
    <w:rsid w:val="008E3BFE"/>
    <w:rsid w:val="008E516E"/>
    <w:rsid w:val="008F17E8"/>
    <w:rsid w:val="008F1912"/>
    <w:rsid w:val="0090270B"/>
    <w:rsid w:val="009041DC"/>
    <w:rsid w:val="00917B5A"/>
    <w:rsid w:val="00920A58"/>
    <w:rsid w:val="00920A8C"/>
    <w:rsid w:val="00927FB8"/>
    <w:rsid w:val="00933846"/>
    <w:rsid w:val="00934A2C"/>
    <w:rsid w:val="0094094A"/>
    <w:rsid w:val="00941BDA"/>
    <w:rsid w:val="00942C32"/>
    <w:rsid w:val="00943619"/>
    <w:rsid w:val="009474E6"/>
    <w:rsid w:val="00950EF0"/>
    <w:rsid w:val="00953F9D"/>
    <w:rsid w:val="0096706E"/>
    <w:rsid w:val="009708B8"/>
    <w:rsid w:val="00974491"/>
    <w:rsid w:val="009746B0"/>
    <w:rsid w:val="00975C4E"/>
    <w:rsid w:val="00981FBA"/>
    <w:rsid w:val="009850D3"/>
    <w:rsid w:val="00986C46"/>
    <w:rsid w:val="00997BC5"/>
    <w:rsid w:val="009A342A"/>
    <w:rsid w:val="009A4F41"/>
    <w:rsid w:val="009B2540"/>
    <w:rsid w:val="009B381B"/>
    <w:rsid w:val="009C00D6"/>
    <w:rsid w:val="009C2683"/>
    <w:rsid w:val="009C76BA"/>
    <w:rsid w:val="009D1753"/>
    <w:rsid w:val="009D7611"/>
    <w:rsid w:val="009E0B61"/>
    <w:rsid w:val="009E327C"/>
    <w:rsid w:val="009E53DE"/>
    <w:rsid w:val="009E6DEC"/>
    <w:rsid w:val="009F1F76"/>
    <w:rsid w:val="00A0519B"/>
    <w:rsid w:val="00A052F3"/>
    <w:rsid w:val="00A05AD4"/>
    <w:rsid w:val="00A0644C"/>
    <w:rsid w:val="00A07E51"/>
    <w:rsid w:val="00A101B5"/>
    <w:rsid w:val="00A103B8"/>
    <w:rsid w:val="00A11212"/>
    <w:rsid w:val="00A11E44"/>
    <w:rsid w:val="00A142AD"/>
    <w:rsid w:val="00A20786"/>
    <w:rsid w:val="00A20C43"/>
    <w:rsid w:val="00A21782"/>
    <w:rsid w:val="00A23907"/>
    <w:rsid w:val="00A2624C"/>
    <w:rsid w:val="00A30100"/>
    <w:rsid w:val="00A31C69"/>
    <w:rsid w:val="00A31FC3"/>
    <w:rsid w:val="00A328B3"/>
    <w:rsid w:val="00A50FCF"/>
    <w:rsid w:val="00A527EE"/>
    <w:rsid w:val="00A528D1"/>
    <w:rsid w:val="00A560F1"/>
    <w:rsid w:val="00A5680E"/>
    <w:rsid w:val="00A610CD"/>
    <w:rsid w:val="00A64614"/>
    <w:rsid w:val="00A65C08"/>
    <w:rsid w:val="00A65EE1"/>
    <w:rsid w:val="00A721FE"/>
    <w:rsid w:val="00A74F1F"/>
    <w:rsid w:val="00A758AA"/>
    <w:rsid w:val="00A75919"/>
    <w:rsid w:val="00A806DF"/>
    <w:rsid w:val="00A80941"/>
    <w:rsid w:val="00A83790"/>
    <w:rsid w:val="00A83D16"/>
    <w:rsid w:val="00A927EC"/>
    <w:rsid w:val="00AA09A2"/>
    <w:rsid w:val="00AA3B6A"/>
    <w:rsid w:val="00AA52AC"/>
    <w:rsid w:val="00AA7996"/>
    <w:rsid w:val="00AB1642"/>
    <w:rsid w:val="00AB2106"/>
    <w:rsid w:val="00AB7C42"/>
    <w:rsid w:val="00AC19CB"/>
    <w:rsid w:val="00AC4BF6"/>
    <w:rsid w:val="00AD254F"/>
    <w:rsid w:val="00AE17F5"/>
    <w:rsid w:val="00AE5488"/>
    <w:rsid w:val="00AE6F91"/>
    <w:rsid w:val="00AF1BE3"/>
    <w:rsid w:val="00AF5571"/>
    <w:rsid w:val="00B07341"/>
    <w:rsid w:val="00B13600"/>
    <w:rsid w:val="00B1732E"/>
    <w:rsid w:val="00B26F71"/>
    <w:rsid w:val="00B30539"/>
    <w:rsid w:val="00B314DB"/>
    <w:rsid w:val="00B361F2"/>
    <w:rsid w:val="00B3718B"/>
    <w:rsid w:val="00B3745F"/>
    <w:rsid w:val="00B43367"/>
    <w:rsid w:val="00B4632A"/>
    <w:rsid w:val="00B530F1"/>
    <w:rsid w:val="00B57243"/>
    <w:rsid w:val="00B57B2C"/>
    <w:rsid w:val="00B6716C"/>
    <w:rsid w:val="00B67EB0"/>
    <w:rsid w:val="00B74558"/>
    <w:rsid w:val="00B74A57"/>
    <w:rsid w:val="00B8508B"/>
    <w:rsid w:val="00B85C78"/>
    <w:rsid w:val="00B92557"/>
    <w:rsid w:val="00B938CC"/>
    <w:rsid w:val="00BA276C"/>
    <w:rsid w:val="00BA2E8D"/>
    <w:rsid w:val="00BA3DCF"/>
    <w:rsid w:val="00BB044D"/>
    <w:rsid w:val="00BB306F"/>
    <w:rsid w:val="00BC20DE"/>
    <w:rsid w:val="00BD1D82"/>
    <w:rsid w:val="00BD4918"/>
    <w:rsid w:val="00BD4B89"/>
    <w:rsid w:val="00BD587C"/>
    <w:rsid w:val="00BD5922"/>
    <w:rsid w:val="00BD7B80"/>
    <w:rsid w:val="00BF02CB"/>
    <w:rsid w:val="00BF1627"/>
    <w:rsid w:val="00BF26A6"/>
    <w:rsid w:val="00BF6FD8"/>
    <w:rsid w:val="00C00C7D"/>
    <w:rsid w:val="00C014F6"/>
    <w:rsid w:val="00C03680"/>
    <w:rsid w:val="00C054DF"/>
    <w:rsid w:val="00C11209"/>
    <w:rsid w:val="00C17E43"/>
    <w:rsid w:val="00C21762"/>
    <w:rsid w:val="00C21FEF"/>
    <w:rsid w:val="00C23BA4"/>
    <w:rsid w:val="00C24543"/>
    <w:rsid w:val="00C256A2"/>
    <w:rsid w:val="00C25ADB"/>
    <w:rsid w:val="00C41EFE"/>
    <w:rsid w:val="00C46E49"/>
    <w:rsid w:val="00C51515"/>
    <w:rsid w:val="00C5660B"/>
    <w:rsid w:val="00C6230E"/>
    <w:rsid w:val="00C62DD6"/>
    <w:rsid w:val="00C63676"/>
    <w:rsid w:val="00C66B72"/>
    <w:rsid w:val="00C741C1"/>
    <w:rsid w:val="00C75825"/>
    <w:rsid w:val="00C87AC4"/>
    <w:rsid w:val="00C937B9"/>
    <w:rsid w:val="00C9567A"/>
    <w:rsid w:val="00C972A4"/>
    <w:rsid w:val="00CA5FC4"/>
    <w:rsid w:val="00CA79D9"/>
    <w:rsid w:val="00CA7EE2"/>
    <w:rsid w:val="00CB212D"/>
    <w:rsid w:val="00CB2660"/>
    <w:rsid w:val="00CC58A4"/>
    <w:rsid w:val="00CC5E90"/>
    <w:rsid w:val="00CD046C"/>
    <w:rsid w:val="00CD06A4"/>
    <w:rsid w:val="00CD0ED1"/>
    <w:rsid w:val="00CD286D"/>
    <w:rsid w:val="00CD7F28"/>
    <w:rsid w:val="00CE076C"/>
    <w:rsid w:val="00CE13B3"/>
    <w:rsid w:val="00CE5199"/>
    <w:rsid w:val="00CE66D5"/>
    <w:rsid w:val="00CF0B45"/>
    <w:rsid w:val="00CF637A"/>
    <w:rsid w:val="00D059DE"/>
    <w:rsid w:val="00D05ABD"/>
    <w:rsid w:val="00D13530"/>
    <w:rsid w:val="00D13FCE"/>
    <w:rsid w:val="00D2004C"/>
    <w:rsid w:val="00D251DA"/>
    <w:rsid w:val="00D277E5"/>
    <w:rsid w:val="00D27B60"/>
    <w:rsid w:val="00D306D1"/>
    <w:rsid w:val="00D30800"/>
    <w:rsid w:val="00D34786"/>
    <w:rsid w:val="00D3548A"/>
    <w:rsid w:val="00D37BFC"/>
    <w:rsid w:val="00D4467C"/>
    <w:rsid w:val="00D47A8E"/>
    <w:rsid w:val="00D52D14"/>
    <w:rsid w:val="00D712D3"/>
    <w:rsid w:val="00D71422"/>
    <w:rsid w:val="00D71EAD"/>
    <w:rsid w:val="00D72DC6"/>
    <w:rsid w:val="00D7558D"/>
    <w:rsid w:val="00D756D0"/>
    <w:rsid w:val="00D81D92"/>
    <w:rsid w:val="00D84BF3"/>
    <w:rsid w:val="00D85332"/>
    <w:rsid w:val="00D87378"/>
    <w:rsid w:val="00D876F9"/>
    <w:rsid w:val="00D91BEF"/>
    <w:rsid w:val="00D9438A"/>
    <w:rsid w:val="00DA1064"/>
    <w:rsid w:val="00DA46B6"/>
    <w:rsid w:val="00DA7B5F"/>
    <w:rsid w:val="00DB01D2"/>
    <w:rsid w:val="00DB02CC"/>
    <w:rsid w:val="00DB2F7D"/>
    <w:rsid w:val="00DB550A"/>
    <w:rsid w:val="00DC11E7"/>
    <w:rsid w:val="00DC24E3"/>
    <w:rsid w:val="00DC2B4B"/>
    <w:rsid w:val="00DC5596"/>
    <w:rsid w:val="00DC7023"/>
    <w:rsid w:val="00DC769A"/>
    <w:rsid w:val="00DD3D86"/>
    <w:rsid w:val="00DD4AD2"/>
    <w:rsid w:val="00DE1ECF"/>
    <w:rsid w:val="00DE4647"/>
    <w:rsid w:val="00DF1EC4"/>
    <w:rsid w:val="00E0044E"/>
    <w:rsid w:val="00E0340B"/>
    <w:rsid w:val="00E03F31"/>
    <w:rsid w:val="00E04A90"/>
    <w:rsid w:val="00E0551F"/>
    <w:rsid w:val="00E118FD"/>
    <w:rsid w:val="00E1545F"/>
    <w:rsid w:val="00E163D9"/>
    <w:rsid w:val="00E1770B"/>
    <w:rsid w:val="00E219C7"/>
    <w:rsid w:val="00E4118C"/>
    <w:rsid w:val="00E43157"/>
    <w:rsid w:val="00E45D96"/>
    <w:rsid w:val="00E461CE"/>
    <w:rsid w:val="00E53A09"/>
    <w:rsid w:val="00E54D28"/>
    <w:rsid w:val="00E573E4"/>
    <w:rsid w:val="00E64C3D"/>
    <w:rsid w:val="00E720CA"/>
    <w:rsid w:val="00E82DDC"/>
    <w:rsid w:val="00E84EB5"/>
    <w:rsid w:val="00E85662"/>
    <w:rsid w:val="00E86CC8"/>
    <w:rsid w:val="00E8789F"/>
    <w:rsid w:val="00E94136"/>
    <w:rsid w:val="00E97B71"/>
    <w:rsid w:val="00EA0D0D"/>
    <w:rsid w:val="00EA3D34"/>
    <w:rsid w:val="00EB1234"/>
    <w:rsid w:val="00EB197F"/>
    <w:rsid w:val="00EB2429"/>
    <w:rsid w:val="00EB3334"/>
    <w:rsid w:val="00EB454D"/>
    <w:rsid w:val="00EC0D16"/>
    <w:rsid w:val="00EC0E04"/>
    <w:rsid w:val="00EC7CAD"/>
    <w:rsid w:val="00ED1D55"/>
    <w:rsid w:val="00ED549D"/>
    <w:rsid w:val="00ED6C06"/>
    <w:rsid w:val="00ED76BE"/>
    <w:rsid w:val="00EE00E9"/>
    <w:rsid w:val="00EF1AAA"/>
    <w:rsid w:val="00EF5FE9"/>
    <w:rsid w:val="00EF619B"/>
    <w:rsid w:val="00F00B55"/>
    <w:rsid w:val="00F02AD1"/>
    <w:rsid w:val="00F07A1A"/>
    <w:rsid w:val="00F23644"/>
    <w:rsid w:val="00F23BE2"/>
    <w:rsid w:val="00F253CC"/>
    <w:rsid w:val="00F27018"/>
    <w:rsid w:val="00F358DB"/>
    <w:rsid w:val="00F37106"/>
    <w:rsid w:val="00F37611"/>
    <w:rsid w:val="00F42E8C"/>
    <w:rsid w:val="00F44E25"/>
    <w:rsid w:val="00F5130E"/>
    <w:rsid w:val="00F519CF"/>
    <w:rsid w:val="00F53219"/>
    <w:rsid w:val="00F56259"/>
    <w:rsid w:val="00F56BA5"/>
    <w:rsid w:val="00F60E22"/>
    <w:rsid w:val="00F62EB4"/>
    <w:rsid w:val="00F6499C"/>
    <w:rsid w:val="00F65B8C"/>
    <w:rsid w:val="00F703AA"/>
    <w:rsid w:val="00F70498"/>
    <w:rsid w:val="00F778B8"/>
    <w:rsid w:val="00F80313"/>
    <w:rsid w:val="00F81395"/>
    <w:rsid w:val="00F81BB8"/>
    <w:rsid w:val="00F82A75"/>
    <w:rsid w:val="00F87E6E"/>
    <w:rsid w:val="00F90C64"/>
    <w:rsid w:val="00F911C7"/>
    <w:rsid w:val="00F917D1"/>
    <w:rsid w:val="00F95137"/>
    <w:rsid w:val="00F9653B"/>
    <w:rsid w:val="00F96DE0"/>
    <w:rsid w:val="00FA1E75"/>
    <w:rsid w:val="00FB62CF"/>
    <w:rsid w:val="00FC3960"/>
    <w:rsid w:val="00FC5712"/>
    <w:rsid w:val="00FD3C3B"/>
    <w:rsid w:val="00FD6D63"/>
    <w:rsid w:val="00FE07DD"/>
    <w:rsid w:val="00FE1278"/>
    <w:rsid w:val="00FE2CA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2D4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10B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CommentReference">
    <w:name w:val="annotation reference"/>
    <w:basedOn w:val="DefaultParagraphFont"/>
    <w:uiPriority w:val="99"/>
    <w:semiHidden/>
    <w:unhideWhenUsed/>
    <w:rsid w:val="00F82A75"/>
    <w:rPr>
      <w:sz w:val="16"/>
      <w:szCs w:val="16"/>
    </w:rPr>
  </w:style>
  <w:style w:type="paragraph" w:styleId="CommentText">
    <w:name w:val="annotation text"/>
    <w:basedOn w:val="Normal"/>
    <w:link w:val="CommentTextChar"/>
    <w:uiPriority w:val="99"/>
    <w:unhideWhenUsed/>
    <w:rsid w:val="00F82A75"/>
    <w:rPr>
      <w:sz w:val="20"/>
      <w:szCs w:val="20"/>
    </w:rPr>
  </w:style>
  <w:style w:type="character" w:customStyle="1" w:styleId="CommentTextChar">
    <w:name w:val="Comment Text Char"/>
    <w:basedOn w:val="DefaultParagraphFont"/>
    <w:link w:val="CommentText"/>
    <w:uiPriority w:val="99"/>
    <w:rsid w:val="00F82A75"/>
    <w:rPr>
      <w:lang w:val="en-US" w:eastAsia="en-US"/>
    </w:rPr>
  </w:style>
  <w:style w:type="paragraph" w:styleId="CommentSubject">
    <w:name w:val="annotation subject"/>
    <w:basedOn w:val="CommentText"/>
    <w:next w:val="CommentText"/>
    <w:link w:val="CommentSubjectChar"/>
    <w:uiPriority w:val="99"/>
    <w:semiHidden/>
    <w:unhideWhenUsed/>
    <w:rsid w:val="00F82A75"/>
    <w:rPr>
      <w:b/>
      <w:bCs/>
    </w:rPr>
  </w:style>
  <w:style w:type="character" w:customStyle="1" w:styleId="CommentSubjectChar">
    <w:name w:val="Comment Subject Char"/>
    <w:basedOn w:val="CommentTextChar"/>
    <w:link w:val="CommentSubject"/>
    <w:uiPriority w:val="99"/>
    <w:semiHidden/>
    <w:rsid w:val="00F82A75"/>
    <w:rPr>
      <w:b/>
      <w:bCs/>
      <w:lang w:val="en-US" w:eastAsia="en-US"/>
    </w:rPr>
  </w:style>
  <w:style w:type="character" w:customStyle="1" w:styleId="normaltextrun">
    <w:name w:val="normaltextrun"/>
    <w:basedOn w:val="DefaultParagraphFont"/>
    <w:rsid w:val="0074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950">
      <w:bodyDiv w:val="1"/>
      <w:marLeft w:val="0"/>
      <w:marRight w:val="0"/>
      <w:marTop w:val="0"/>
      <w:marBottom w:val="0"/>
      <w:divBdr>
        <w:top w:val="none" w:sz="0" w:space="0" w:color="auto"/>
        <w:left w:val="none" w:sz="0" w:space="0" w:color="auto"/>
        <w:bottom w:val="none" w:sz="0" w:space="0" w:color="auto"/>
        <w:right w:val="none" w:sz="0" w:space="0" w:color="auto"/>
      </w:divBdr>
      <w:divsChild>
        <w:div w:id="1722287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6296">
      <w:bodyDiv w:val="1"/>
      <w:marLeft w:val="0"/>
      <w:marRight w:val="0"/>
      <w:marTop w:val="0"/>
      <w:marBottom w:val="0"/>
      <w:divBdr>
        <w:top w:val="none" w:sz="0" w:space="0" w:color="auto"/>
        <w:left w:val="none" w:sz="0" w:space="0" w:color="auto"/>
        <w:bottom w:val="none" w:sz="0" w:space="0" w:color="auto"/>
        <w:right w:val="none" w:sz="0" w:space="0" w:color="auto"/>
      </w:divBdr>
      <w:divsChild>
        <w:div w:id="109420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3791">
      <w:bodyDiv w:val="1"/>
      <w:marLeft w:val="0"/>
      <w:marRight w:val="0"/>
      <w:marTop w:val="0"/>
      <w:marBottom w:val="0"/>
      <w:divBdr>
        <w:top w:val="none" w:sz="0" w:space="0" w:color="auto"/>
        <w:left w:val="none" w:sz="0" w:space="0" w:color="auto"/>
        <w:bottom w:val="none" w:sz="0" w:space="0" w:color="auto"/>
        <w:right w:val="none" w:sz="0" w:space="0" w:color="auto"/>
      </w:divBdr>
      <w:divsChild>
        <w:div w:id="185434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151300">
      <w:bodyDiv w:val="1"/>
      <w:marLeft w:val="0"/>
      <w:marRight w:val="0"/>
      <w:marTop w:val="0"/>
      <w:marBottom w:val="0"/>
      <w:divBdr>
        <w:top w:val="none" w:sz="0" w:space="0" w:color="auto"/>
        <w:left w:val="none" w:sz="0" w:space="0" w:color="auto"/>
        <w:bottom w:val="none" w:sz="0" w:space="0" w:color="auto"/>
        <w:right w:val="none" w:sz="0" w:space="0" w:color="auto"/>
      </w:divBdr>
      <w:divsChild>
        <w:div w:id="35080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251438">
      <w:bodyDiv w:val="1"/>
      <w:marLeft w:val="0"/>
      <w:marRight w:val="0"/>
      <w:marTop w:val="0"/>
      <w:marBottom w:val="0"/>
      <w:divBdr>
        <w:top w:val="none" w:sz="0" w:space="0" w:color="auto"/>
        <w:left w:val="none" w:sz="0" w:space="0" w:color="auto"/>
        <w:bottom w:val="none" w:sz="0" w:space="0" w:color="auto"/>
        <w:right w:val="none" w:sz="0" w:space="0" w:color="auto"/>
      </w:divBdr>
      <w:divsChild>
        <w:div w:id="18174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569215">
      <w:bodyDiv w:val="1"/>
      <w:marLeft w:val="0"/>
      <w:marRight w:val="0"/>
      <w:marTop w:val="0"/>
      <w:marBottom w:val="0"/>
      <w:divBdr>
        <w:top w:val="none" w:sz="0" w:space="0" w:color="auto"/>
        <w:left w:val="none" w:sz="0" w:space="0" w:color="auto"/>
        <w:bottom w:val="none" w:sz="0" w:space="0" w:color="auto"/>
        <w:right w:val="none" w:sz="0" w:space="0" w:color="auto"/>
      </w:divBdr>
    </w:div>
    <w:div w:id="585119352">
      <w:bodyDiv w:val="1"/>
      <w:marLeft w:val="0"/>
      <w:marRight w:val="0"/>
      <w:marTop w:val="0"/>
      <w:marBottom w:val="0"/>
      <w:divBdr>
        <w:top w:val="none" w:sz="0" w:space="0" w:color="auto"/>
        <w:left w:val="none" w:sz="0" w:space="0" w:color="auto"/>
        <w:bottom w:val="none" w:sz="0" w:space="0" w:color="auto"/>
        <w:right w:val="none" w:sz="0" w:space="0" w:color="auto"/>
      </w:divBdr>
      <w:divsChild>
        <w:div w:id="79089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394380">
      <w:bodyDiv w:val="1"/>
      <w:marLeft w:val="0"/>
      <w:marRight w:val="0"/>
      <w:marTop w:val="0"/>
      <w:marBottom w:val="0"/>
      <w:divBdr>
        <w:top w:val="none" w:sz="0" w:space="0" w:color="auto"/>
        <w:left w:val="none" w:sz="0" w:space="0" w:color="auto"/>
        <w:bottom w:val="none" w:sz="0" w:space="0" w:color="auto"/>
        <w:right w:val="none" w:sz="0" w:space="0" w:color="auto"/>
      </w:divBdr>
      <w:divsChild>
        <w:div w:id="856384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614543">
      <w:bodyDiv w:val="1"/>
      <w:marLeft w:val="0"/>
      <w:marRight w:val="0"/>
      <w:marTop w:val="0"/>
      <w:marBottom w:val="0"/>
      <w:divBdr>
        <w:top w:val="none" w:sz="0" w:space="0" w:color="auto"/>
        <w:left w:val="none" w:sz="0" w:space="0" w:color="auto"/>
        <w:bottom w:val="none" w:sz="0" w:space="0" w:color="auto"/>
        <w:right w:val="none" w:sz="0" w:space="0" w:color="auto"/>
      </w:divBdr>
      <w:divsChild>
        <w:div w:id="43001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312441">
      <w:bodyDiv w:val="1"/>
      <w:marLeft w:val="0"/>
      <w:marRight w:val="0"/>
      <w:marTop w:val="0"/>
      <w:marBottom w:val="0"/>
      <w:divBdr>
        <w:top w:val="none" w:sz="0" w:space="0" w:color="auto"/>
        <w:left w:val="none" w:sz="0" w:space="0" w:color="auto"/>
        <w:bottom w:val="none" w:sz="0" w:space="0" w:color="auto"/>
        <w:right w:val="none" w:sz="0" w:space="0" w:color="auto"/>
      </w:divBdr>
      <w:divsChild>
        <w:div w:id="693111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9122757">
      <w:bodyDiv w:val="1"/>
      <w:marLeft w:val="0"/>
      <w:marRight w:val="0"/>
      <w:marTop w:val="0"/>
      <w:marBottom w:val="0"/>
      <w:divBdr>
        <w:top w:val="none" w:sz="0" w:space="0" w:color="auto"/>
        <w:left w:val="none" w:sz="0" w:space="0" w:color="auto"/>
        <w:bottom w:val="none" w:sz="0" w:space="0" w:color="auto"/>
        <w:right w:val="none" w:sz="0" w:space="0" w:color="auto"/>
      </w:divBdr>
      <w:divsChild>
        <w:div w:id="1520967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3051">
      <w:bodyDiv w:val="1"/>
      <w:marLeft w:val="0"/>
      <w:marRight w:val="0"/>
      <w:marTop w:val="0"/>
      <w:marBottom w:val="0"/>
      <w:divBdr>
        <w:top w:val="none" w:sz="0" w:space="0" w:color="auto"/>
        <w:left w:val="none" w:sz="0" w:space="0" w:color="auto"/>
        <w:bottom w:val="none" w:sz="0" w:space="0" w:color="auto"/>
        <w:right w:val="none" w:sz="0" w:space="0" w:color="auto"/>
      </w:divBdr>
      <w:divsChild>
        <w:div w:id="1901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9690">
      <w:bodyDiv w:val="1"/>
      <w:marLeft w:val="0"/>
      <w:marRight w:val="0"/>
      <w:marTop w:val="0"/>
      <w:marBottom w:val="0"/>
      <w:divBdr>
        <w:top w:val="none" w:sz="0" w:space="0" w:color="auto"/>
        <w:left w:val="none" w:sz="0" w:space="0" w:color="auto"/>
        <w:bottom w:val="none" w:sz="0" w:space="0" w:color="auto"/>
        <w:right w:val="none" w:sz="0" w:space="0" w:color="auto"/>
      </w:divBdr>
      <w:divsChild>
        <w:div w:id="179236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84533">
      <w:bodyDiv w:val="1"/>
      <w:marLeft w:val="0"/>
      <w:marRight w:val="0"/>
      <w:marTop w:val="0"/>
      <w:marBottom w:val="0"/>
      <w:divBdr>
        <w:top w:val="none" w:sz="0" w:space="0" w:color="auto"/>
        <w:left w:val="none" w:sz="0" w:space="0" w:color="auto"/>
        <w:bottom w:val="none" w:sz="0" w:space="0" w:color="auto"/>
        <w:right w:val="none" w:sz="0" w:space="0" w:color="auto"/>
      </w:divBdr>
    </w:div>
    <w:div w:id="1484160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76987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65043">
      <w:bodyDiv w:val="1"/>
      <w:marLeft w:val="0"/>
      <w:marRight w:val="0"/>
      <w:marTop w:val="0"/>
      <w:marBottom w:val="0"/>
      <w:divBdr>
        <w:top w:val="none" w:sz="0" w:space="0" w:color="auto"/>
        <w:left w:val="none" w:sz="0" w:space="0" w:color="auto"/>
        <w:bottom w:val="none" w:sz="0" w:space="0" w:color="auto"/>
        <w:right w:val="none" w:sz="0" w:space="0" w:color="auto"/>
      </w:divBdr>
      <w:divsChild>
        <w:div w:id="103499057">
          <w:marLeft w:val="0"/>
          <w:marRight w:val="0"/>
          <w:marTop w:val="0"/>
          <w:marBottom w:val="0"/>
          <w:divBdr>
            <w:top w:val="none" w:sz="0" w:space="0" w:color="auto"/>
            <w:left w:val="none" w:sz="0" w:space="0" w:color="auto"/>
            <w:bottom w:val="none" w:sz="0" w:space="0" w:color="auto"/>
            <w:right w:val="none" w:sz="0" w:space="0" w:color="auto"/>
          </w:divBdr>
        </w:div>
      </w:divsChild>
    </w:div>
    <w:div w:id="1950745109">
      <w:bodyDiv w:val="1"/>
      <w:marLeft w:val="0"/>
      <w:marRight w:val="0"/>
      <w:marTop w:val="0"/>
      <w:marBottom w:val="0"/>
      <w:divBdr>
        <w:top w:val="none" w:sz="0" w:space="0" w:color="auto"/>
        <w:left w:val="none" w:sz="0" w:space="0" w:color="auto"/>
        <w:bottom w:val="none" w:sz="0" w:space="0" w:color="auto"/>
        <w:right w:val="none" w:sz="0" w:space="0" w:color="auto"/>
      </w:divBdr>
    </w:div>
    <w:div w:id="2069572115">
      <w:bodyDiv w:val="1"/>
      <w:marLeft w:val="0"/>
      <w:marRight w:val="0"/>
      <w:marTop w:val="0"/>
      <w:marBottom w:val="0"/>
      <w:divBdr>
        <w:top w:val="none" w:sz="0" w:space="0" w:color="auto"/>
        <w:left w:val="none" w:sz="0" w:space="0" w:color="auto"/>
        <w:bottom w:val="none" w:sz="0" w:space="0" w:color="auto"/>
        <w:right w:val="none" w:sz="0" w:space="0" w:color="auto"/>
      </w:divBdr>
    </w:div>
    <w:div w:id="2134714246">
      <w:bodyDiv w:val="1"/>
      <w:marLeft w:val="0"/>
      <w:marRight w:val="0"/>
      <w:marTop w:val="0"/>
      <w:marBottom w:val="0"/>
      <w:divBdr>
        <w:top w:val="none" w:sz="0" w:space="0" w:color="auto"/>
        <w:left w:val="none" w:sz="0" w:space="0" w:color="auto"/>
        <w:bottom w:val="none" w:sz="0" w:space="0" w:color="auto"/>
        <w:right w:val="none" w:sz="0" w:space="0" w:color="auto"/>
      </w:divBdr>
      <w:divsChild>
        <w:div w:id="721366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760638">
      <w:bodyDiv w:val="1"/>
      <w:marLeft w:val="0"/>
      <w:marRight w:val="0"/>
      <w:marTop w:val="0"/>
      <w:marBottom w:val="0"/>
      <w:divBdr>
        <w:top w:val="none" w:sz="0" w:space="0" w:color="auto"/>
        <w:left w:val="none" w:sz="0" w:space="0" w:color="auto"/>
        <w:bottom w:val="none" w:sz="0" w:space="0" w:color="auto"/>
        <w:right w:val="none" w:sz="0" w:space="0" w:color="auto"/>
      </w:divBdr>
      <w:divsChild>
        <w:div w:id="147957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3BF9DB6E9E8429570475254499F15"/>
        <w:category>
          <w:name w:val="General"/>
          <w:gallery w:val="placeholder"/>
        </w:category>
        <w:types>
          <w:type w:val="bbPlcHdr"/>
        </w:types>
        <w:behaviors>
          <w:behavior w:val="content"/>
        </w:behaviors>
        <w:guid w:val="{1E83C8E6-7F31-2F4C-B5E8-F46404B7B234}"/>
      </w:docPartPr>
      <w:docPartBody>
        <w:p w:rsidR="00A3678D" w:rsidRDefault="003F3853" w:rsidP="003F3853">
          <w:pPr>
            <w:pStyle w:val="6F43BF9DB6E9E8429570475254499F1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6451"/>
    <w:rsid w:val="00172150"/>
    <w:rsid w:val="001B68CE"/>
    <w:rsid w:val="00200821"/>
    <w:rsid w:val="00201CE6"/>
    <w:rsid w:val="0023021E"/>
    <w:rsid w:val="0025245B"/>
    <w:rsid w:val="002A3923"/>
    <w:rsid w:val="00394049"/>
    <w:rsid w:val="003F3853"/>
    <w:rsid w:val="004349EF"/>
    <w:rsid w:val="004B5BBB"/>
    <w:rsid w:val="004F0C91"/>
    <w:rsid w:val="004F2DF8"/>
    <w:rsid w:val="006F24A1"/>
    <w:rsid w:val="00742E4A"/>
    <w:rsid w:val="00783075"/>
    <w:rsid w:val="008B17BE"/>
    <w:rsid w:val="00904764"/>
    <w:rsid w:val="009474E6"/>
    <w:rsid w:val="009A261B"/>
    <w:rsid w:val="009C3CB6"/>
    <w:rsid w:val="00A3678D"/>
    <w:rsid w:val="00A4418E"/>
    <w:rsid w:val="00A75919"/>
    <w:rsid w:val="00AA2E17"/>
    <w:rsid w:val="00AC15A4"/>
    <w:rsid w:val="00B0336C"/>
    <w:rsid w:val="00B30277"/>
    <w:rsid w:val="00C743BE"/>
    <w:rsid w:val="00D241E9"/>
    <w:rsid w:val="00D7750D"/>
    <w:rsid w:val="00E266FF"/>
    <w:rsid w:val="00F00D2F"/>
    <w:rsid w:val="00F128DF"/>
    <w:rsid w:val="00F70498"/>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853"/>
    <w:rPr>
      <w:color w:val="808080"/>
    </w:rPr>
  </w:style>
  <w:style w:type="paragraph" w:customStyle="1" w:styleId="6F43BF9DB6E9E8429570475254499F15">
    <w:name w:val="6F43BF9DB6E9E8429570475254499F15"/>
    <w:rsid w:val="003F385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2024-11-27T16:05:00Z</dcterms:created>
  <dcterms:modified xsi:type="dcterms:W3CDTF">2024-11-27T16:05:00Z</dcterms:modified>
</cp:coreProperties>
</file>