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BC8D97F" w:rsidR="00040C3A" w:rsidRPr="007E054F" w:rsidRDefault="00EC773B"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634CD804" wp14:editId="6315DEE7">
                <wp:simplePos x="0" y="0"/>
                <wp:positionH relativeFrom="column">
                  <wp:posOffset>-295275</wp:posOffset>
                </wp:positionH>
                <wp:positionV relativeFrom="paragraph">
                  <wp:posOffset>-342900</wp:posOffset>
                </wp:positionV>
                <wp:extent cx="1409700" cy="904875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904875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BDF14D" id="Rectangle 1" o:spid="_x0000_s1026" style="position:absolute;margin-left:-23.25pt;margin-top:-27pt;width:111pt;height:71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DRgwIAAGAFAAAOAAAAZHJzL2Uyb0RvYy54bWysVE1PGzEQvVfqf7B8L7tJA4GIDYpCqSoh&#10;QEDF2fHa2ZW8HnfsfPXXd+z9CKWoh6o5OPbOmzczzzO+vNo3hm0V+hpswUcnOWfKSihruy749+eb&#10;T+ec+SBsKQxYVfCD8vxq/vHD5c7N1BgqMKVCRiTWz3au4FUIbpZlXlaqEf4EnLJk1ICNCHTEdVai&#10;2BF7Y7Jxnp9lO8DSIUjlPX29bo18nvi1VjLca+1VYKbglFtIK6Z1FddsfilmaxSuqmWXhviHLBpR&#10;Wwo6UF2LINgG6z+omloieNDhREKTgda1VKkGqmaUv6nmqRJOpVpIHO8Gmfz/o5V32yf3gCTDzvmZ&#10;p22sYq+xif+UH9snsQ6DWGofmKSPo0l+Mc1JU0m2i3xyPj1NcmZHd4c+fFXQsLgpONJtJJHE9tYH&#10;CknQHhKjeTB1eVMbkw64Xi0Nsq2gmzubLr58XsbLIpffYMZGsIXo1prjl+xYTNqFg1ERZ+yj0qwu&#10;Kf1xyiT1mRriCCmVDaPWVIlSteFPc/r10WNnRo+USyKMzJriD9wdQY9sSXruNssOH11VatPBOf9b&#10;Yq3z4JEigw2Dc1NbwPcIDFXVRW7xvUitNFGlFZSHB2QI7ZB4J29qurdb4cODQJoKumua9HBPizaw&#10;Kzh0O84qwJ/vfY94alaycrajKSu4/7ERqDgz3yy18cVoMoljmQ6T0+mYDvjasnptsZtmCdQOI3pT&#10;nEzbiA+m32qE5oUehEWMSiZhJcUuuAzYH5ahnX56UqRaLBKMRtGJcGufnIzkUdXYl8/7F4Gua95A&#10;fX8H/USK2ZsebrHR08JiE0DXqcGPunZ60xinxumenPhOvD4n1PFhnP8CAAD//wMAUEsDBBQABgAI&#10;AAAAIQC8NnCf5AAAAAwBAAAPAAAAZHJzL2Rvd25yZXYueG1sTI9LT8MwEITvSPwHa5G4oNYpNG0U&#10;4lQ8ilSQOPRxKDc3WZKIeB3FzqP/nu0JbrO7o9lvktVoatFj6ypLCmbTAARSZvOKCgWH/dskAuG8&#10;plzXllDBGR2s0uurRMe5HWiL/c4XgkPIxVpB6X0TS+myEo12U9sg8e3btkZ7HttC5q0eONzU8j4I&#10;FtLoivhDqRt8KTH72XVGQTR8PL/358/Ib9Z3h9f1ePzqjlap25vx6RGEx9H/meGCz+iQMtPJdpQ7&#10;USuYzBchW1mEcy51cSxD3pxYPCxnAcg0kf9LpL8AAAD//wMAUEsBAi0AFAAGAAgAAAAhALaDOJL+&#10;AAAA4QEAABMAAAAAAAAAAAAAAAAAAAAAAFtDb250ZW50X1R5cGVzXS54bWxQSwECLQAUAAYACAAA&#10;ACEAOP0h/9YAAACUAQAACwAAAAAAAAAAAAAAAAAvAQAAX3JlbHMvLnJlbHNQSwECLQAUAAYACAAA&#10;ACEApuyQ0YMCAABgBQAADgAAAAAAAAAAAAAAAAAuAgAAZHJzL2Uyb0RvYy54bWxQSwECLQAUAAYA&#10;CAAAACEAvDZwn+QAAAAMAQAADwAAAAAAAAAAAAAAAADdBAAAZHJzL2Rvd25yZXYueG1sUEsFBgAA&#10;AAAEAAQA8wAAAO4FA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1663553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lang w:val="en"/>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lang w:val="en"/>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Pr>
                          <w:lang w:val="en"/>
                        </w:rPr>
                        <w:tab/>
                        <w:t xml:space="preserve">                              </w:t>
                      </w:r>
                    </w:p>
                  </w:txbxContent>
                </v:textbox>
              </v:shape>
            </w:pict>
          </mc:Fallback>
        </mc:AlternateContent>
      </w:r>
      <w:r w:rsidR="00D306D1">
        <w:rPr>
          <w:rFonts w:asciiTheme="majorHAnsi" w:hAnsiTheme="majorHAnsi"/>
          <w:b/>
          <w:bCs/>
          <w:sz w:val="22"/>
          <w:szCs w:val="22"/>
          <w:lang w:val="en"/>
        </w:rPr>
        <w:t xml:space="preserve"> </w:t>
      </w:r>
    </w:p>
    <w:p w14:paraId="751BC92D" w14:textId="77777777" w:rsidR="00040C3A" w:rsidRPr="007E054F" w:rsidRDefault="00040C3A" w:rsidP="00040C3A">
      <w:pPr>
        <w:tabs>
          <w:tab w:val="center" w:pos="5400"/>
        </w:tabs>
        <w:suppressAutoHyphens/>
        <w:jc w:val="both"/>
        <w:rPr>
          <w:rFonts w:asciiTheme="majorHAnsi" w:hAnsiTheme="majorHAnsi"/>
          <w:sz w:val="22"/>
          <w:szCs w:val="22"/>
        </w:rPr>
      </w:pPr>
    </w:p>
    <w:p w14:paraId="4601B0E5" w14:textId="77777777" w:rsidR="00040C3A" w:rsidRPr="007E054F" w:rsidRDefault="00040C3A" w:rsidP="00040C3A">
      <w:pPr>
        <w:tabs>
          <w:tab w:val="center" w:pos="5400"/>
        </w:tabs>
        <w:suppressAutoHyphens/>
        <w:jc w:val="both"/>
        <w:rPr>
          <w:rFonts w:asciiTheme="majorHAnsi" w:hAnsiTheme="majorHAnsi"/>
          <w:sz w:val="22"/>
          <w:szCs w:val="22"/>
        </w:rPr>
      </w:pPr>
    </w:p>
    <w:p w14:paraId="49EC0A3F" w14:textId="77777777" w:rsidR="005128E4" w:rsidRPr="007E054F" w:rsidRDefault="005128E4" w:rsidP="00040C3A">
      <w:pPr>
        <w:tabs>
          <w:tab w:val="center" w:pos="5400"/>
        </w:tabs>
        <w:suppressAutoHyphens/>
        <w:rPr>
          <w:rFonts w:asciiTheme="majorHAnsi" w:hAnsiTheme="majorHAnsi"/>
          <w:sz w:val="22"/>
          <w:szCs w:val="22"/>
        </w:rPr>
      </w:pPr>
    </w:p>
    <w:p w14:paraId="7F51F08B" w14:textId="77777777" w:rsidR="005128E4" w:rsidRPr="007E054F" w:rsidRDefault="005128E4" w:rsidP="00040C3A">
      <w:pPr>
        <w:tabs>
          <w:tab w:val="center" w:pos="5400"/>
        </w:tabs>
        <w:suppressAutoHyphens/>
        <w:rPr>
          <w:rFonts w:asciiTheme="majorHAnsi" w:hAnsiTheme="majorHAnsi"/>
          <w:sz w:val="22"/>
          <w:szCs w:val="22"/>
        </w:rPr>
      </w:pPr>
    </w:p>
    <w:p w14:paraId="058606A7" w14:textId="77777777" w:rsidR="005128E4" w:rsidRPr="007E054F" w:rsidRDefault="005128E4" w:rsidP="00040C3A">
      <w:pPr>
        <w:tabs>
          <w:tab w:val="center" w:pos="5400"/>
        </w:tabs>
        <w:suppressAutoHyphens/>
        <w:rPr>
          <w:rFonts w:asciiTheme="majorHAnsi" w:hAnsiTheme="majorHAnsi"/>
          <w:sz w:val="22"/>
          <w:szCs w:val="22"/>
        </w:rPr>
      </w:pPr>
    </w:p>
    <w:p w14:paraId="01B9D56A" w14:textId="77777777" w:rsidR="00040C3A" w:rsidRPr="007E054F" w:rsidRDefault="00040C3A" w:rsidP="005128E4">
      <w:pPr>
        <w:tabs>
          <w:tab w:val="center" w:pos="5400"/>
        </w:tabs>
        <w:suppressAutoHyphens/>
        <w:jc w:val="center"/>
        <w:rPr>
          <w:rFonts w:asciiTheme="majorHAnsi" w:hAnsiTheme="majorHAnsi"/>
          <w:sz w:val="22"/>
          <w:szCs w:val="22"/>
        </w:rPr>
      </w:pPr>
    </w:p>
    <w:p w14:paraId="513D0572" w14:textId="77777777" w:rsidR="00040C3A" w:rsidRPr="007E054F" w:rsidRDefault="00040C3A" w:rsidP="005128E4">
      <w:pPr>
        <w:tabs>
          <w:tab w:val="center" w:pos="5400"/>
        </w:tabs>
        <w:suppressAutoHyphens/>
        <w:jc w:val="center"/>
        <w:rPr>
          <w:rFonts w:asciiTheme="majorHAnsi" w:hAnsiTheme="majorHAnsi"/>
          <w:sz w:val="22"/>
          <w:szCs w:val="22"/>
        </w:rPr>
      </w:pPr>
    </w:p>
    <w:p w14:paraId="2D06BA43" w14:textId="77777777" w:rsidR="005B52B0" w:rsidRPr="007E054F" w:rsidRDefault="005B52B0" w:rsidP="005128E4">
      <w:pPr>
        <w:tabs>
          <w:tab w:val="center" w:pos="5400"/>
        </w:tabs>
        <w:suppressAutoHyphens/>
        <w:jc w:val="center"/>
        <w:rPr>
          <w:rFonts w:asciiTheme="majorHAnsi" w:hAnsiTheme="majorHAnsi"/>
          <w:sz w:val="22"/>
          <w:szCs w:val="22"/>
        </w:rPr>
      </w:pPr>
    </w:p>
    <w:p w14:paraId="762470A2" w14:textId="77777777" w:rsidR="005B52B0" w:rsidRPr="007E054F" w:rsidRDefault="005B52B0" w:rsidP="005128E4">
      <w:pPr>
        <w:tabs>
          <w:tab w:val="center" w:pos="5400"/>
        </w:tabs>
        <w:suppressAutoHyphens/>
        <w:jc w:val="center"/>
        <w:rPr>
          <w:rFonts w:asciiTheme="majorHAnsi" w:hAnsiTheme="majorHAnsi"/>
          <w:sz w:val="22"/>
          <w:szCs w:val="22"/>
        </w:rPr>
      </w:pPr>
    </w:p>
    <w:p w14:paraId="6F01DDF3" w14:textId="77777777" w:rsidR="005B52B0" w:rsidRPr="007E054F" w:rsidRDefault="005B52B0" w:rsidP="005128E4">
      <w:pPr>
        <w:tabs>
          <w:tab w:val="center" w:pos="5400"/>
        </w:tabs>
        <w:suppressAutoHyphens/>
        <w:jc w:val="center"/>
        <w:rPr>
          <w:rFonts w:asciiTheme="majorHAnsi" w:hAnsiTheme="majorHAnsi"/>
          <w:sz w:val="22"/>
          <w:szCs w:val="22"/>
        </w:rPr>
      </w:pPr>
    </w:p>
    <w:p w14:paraId="35ACB115" w14:textId="77777777" w:rsidR="00040C3A" w:rsidRPr="007E054F" w:rsidRDefault="00040C3A" w:rsidP="00040C3A">
      <w:pPr>
        <w:tabs>
          <w:tab w:val="center" w:pos="5400"/>
        </w:tabs>
        <w:suppressAutoHyphens/>
        <w:jc w:val="center"/>
        <w:rPr>
          <w:rFonts w:asciiTheme="majorHAnsi" w:hAnsiTheme="majorHAnsi"/>
          <w:sz w:val="22"/>
          <w:szCs w:val="22"/>
        </w:rPr>
      </w:pPr>
    </w:p>
    <w:p w14:paraId="3D124B92" w14:textId="77777777" w:rsidR="00040C3A" w:rsidRPr="007E054F" w:rsidRDefault="00040C3A" w:rsidP="00040C3A">
      <w:pPr>
        <w:tabs>
          <w:tab w:val="center" w:pos="5400"/>
        </w:tabs>
        <w:suppressAutoHyphens/>
        <w:jc w:val="center"/>
        <w:rPr>
          <w:rFonts w:asciiTheme="majorHAnsi" w:hAnsiTheme="majorHAnsi"/>
          <w:sz w:val="22"/>
          <w:szCs w:val="22"/>
        </w:rPr>
      </w:pPr>
    </w:p>
    <w:p w14:paraId="01E9EAD2" w14:textId="77777777" w:rsidR="00040C3A" w:rsidRPr="007E054F"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772EF0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29FE8BA"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0579CC">
                              <w:rPr>
                                <w:rFonts w:asciiTheme="majorHAnsi" w:hAnsiTheme="majorHAnsi" w:cs="Arial"/>
                                <w:b/>
                                <w:bCs/>
                                <w:color w:val="0D0D0D" w:themeColor="text1" w:themeTint="F2"/>
                                <w:sz w:val="36"/>
                                <w:szCs w:val="22"/>
                                <w:lang w:val="en"/>
                              </w:rPr>
                              <w:t>22</w:t>
                            </w:r>
                            <w:r>
                              <w:rPr>
                                <w:rFonts w:asciiTheme="majorHAnsi" w:hAnsiTheme="majorHAnsi" w:cs="Arial"/>
                                <w:b/>
                                <w:bCs/>
                                <w:color w:val="0D0D0D" w:themeColor="text1" w:themeTint="F2"/>
                                <w:sz w:val="36"/>
                                <w:szCs w:val="22"/>
                                <w:lang w:val="en"/>
                              </w:rPr>
                              <w:t>/24</w:t>
                            </w:r>
                          </w:p>
                          <w:p w14:paraId="45F30ECA" w14:textId="085A4937"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2030-13 </w:t>
                            </w:r>
                          </w:p>
                          <w:p w14:paraId="188B4303" w14:textId="381B6DB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w:t>
                            </w:r>
                            <w:r w:rsidR="00EC773B">
                              <w:rPr>
                                <w:rFonts w:asciiTheme="majorHAnsi" w:hAnsiTheme="majorHAnsi" w:cs="Arial"/>
                                <w:color w:val="0D0D0D" w:themeColor="text1" w:themeTint="F2"/>
                                <w:szCs w:val="22"/>
                                <w:lang w:val="en"/>
                              </w:rPr>
                              <w:t>IN</w:t>
                            </w:r>
                            <w:r>
                              <w:rPr>
                                <w:rFonts w:asciiTheme="majorHAnsi" w:hAnsiTheme="majorHAnsi" w:cs="Arial"/>
                                <w:color w:val="0D0D0D" w:themeColor="text1" w:themeTint="F2"/>
                                <w:szCs w:val="22"/>
                                <w:lang w:val="en"/>
                              </w:rPr>
                              <w:t xml:space="preserve">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50D1E5C2" w:rsidR="005B52B0" w:rsidRPr="00474546" w:rsidRDefault="002E1798" w:rsidP="00997BC5">
                            <w:pPr>
                              <w:spacing w:line="276" w:lineRule="auto"/>
                              <w:rPr>
                                <w:rFonts w:asciiTheme="majorHAnsi" w:hAnsiTheme="majorHAnsi" w:cs="Arial"/>
                                <w:color w:val="0D0D0D" w:themeColor="text1" w:themeTint="F2"/>
                                <w:szCs w:val="22"/>
                                <w:lang w:val="es-ES"/>
                              </w:rPr>
                            </w:pPr>
                            <w:r w:rsidRPr="00474546">
                              <w:rPr>
                                <w:rFonts w:asciiTheme="majorHAnsi" w:hAnsiTheme="majorHAnsi" w:cs="Arial"/>
                                <w:color w:val="0D0D0D" w:themeColor="text1" w:themeTint="F2"/>
                                <w:szCs w:val="22"/>
                                <w:lang w:val="es-ES"/>
                              </w:rPr>
                              <w:t xml:space="preserve">LUCERO SARRIA REYES AND ALÓN ESTHEWAR SARRIA REYES </w:t>
                            </w:r>
                          </w:p>
                          <w:bookmarkEnd w:id="0"/>
                          <w:p w14:paraId="0B9F7D22" w14:textId="26E7F1C8" w:rsidR="005B52B0" w:rsidRPr="00AE5488" w:rsidRDefault="00AF1AF9" w:rsidP="007A5817">
                            <w:pPr>
                              <w:rPr>
                                <w:color w:val="0D0D0D" w:themeColor="text1" w:themeTint="F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29FE8BA"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0579CC">
                        <w:rPr>
                          <w:rFonts w:asciiTheme="majorHAnsi" w:hAnsiTheme="majorHAnsi" w:cs="Arial"/>
                          <w:b/>
                          <w:bCs/>
                          <w:color w:val="0D0D0D" w:themeColor="text1" w:themeTint="F2"/>
                          <w:sz w:val="36"/>
                          <w:szCs w:val="22"/>
                          <w:lang w:val="en"/>
                        </w:rPr>
                        <w:t>22</w:t>
                      </w:r>
                      <w:r>
                        <w:rPr>
                          <w:rFonts w:asciiTheme="majorHAnsi" w:hAnsiTheme="majorHAnsi" w:cs="Arial"/>
                          <w:b/>
                          <w:bCs/>
                          <w:color w:val="0D0D0D" w:themeColor="text1" w:themeTint="F2"/>
                          <w:sz w:val="36"/>
                          <w:szCs w:val="22"/>
                          <w:lang w:val="en"/>
                        </w:rPr>
                        <w:t>/24</w:t>
                      </w:r>
                    </w:p>
                    <w:p w14:paraId="45F30ECA" w14:textId="085A4937"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2030-13 </w:t>
                      </w:r>
                    </w:p>
                    <w:p w14:paraId="188B4303" w14:textId="381B6DB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w:t>
                      </w:r>
                      <w:r w:rsidR="00EC773B">
                        <w:rPr>
                          <w:rFonts w:asciiTheme="majorHAnsi" w:hAnsiTheme="majorHAnsi" w:cs="Arial"/>
                          <w:color w:val="0D0D0D" w:themeColor="text1" w:themeTint="F2"/>
                          <w:szCs w:val="22"/>
                          <w:lang w:val="en"/>
                        </w:rPr>
                        <w:t>IN</w:t>
                      </w:r>
                      <w:r>
                        <w:rPr>
                          <w:rFonts w:asciiTheme="majorHAnsi" w:hAnsiTheme="majorHAnsi" w:cs="Arial"/>
                          <w:color w:val="0D0D0D" w:themeColor="text1" w:themeTint="F2"/>
                          <w:szCs w:val="22"/>
                          <w:lang w:val="en"/>
                        </w:rPr>
                        <w:t xml:space="preserve">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50D1E5C2" w:rsidR="005B52B0" w:rsidRPr="00474546" w:rsidRDefault="002E1798" w:rsidP="00997BC5">
                      <w:pPr>
                        <w:spacing w:line="276" w:lineRule="auto"/>
                        <w:rPr>
                          <w:rFonts w:asciiTheme="majorHAnsi" w:hAnsiTheme="majorHAnsi" w:cs="Arial"/>
                          <w:color w:val="0D0D0D" w:themeColor="text1" w:themeTint="F2"/>
                          <w:szCs w:val="22"/>
                          <w:lang w:val="es-ES"/>
                        </w:rPr>
                      </w:pPr>
                      <w:r w:rsidRPr="00474546">
                        <w:rPr>
                          <w:rFonts w:asciiTheme="majorHAnsi" w:hAnsiTheme="majorHAnsi" w:cs="Arial"/>
                          <w:color w:val="0D0D0D" w:themeColor="text1" w:themeTint="F2"/>
                          <w:szCs w:val="22"/>
                          <w:lang w:val="es-ES"/>
                        </w:rPr>
                        <w:t xml:space="preserve">LUCERO SARRIA REYES AND ALÓN ESTHEWAR SARRIA REYES </w:t>
                      </w:r>
                    </w:p>
                    <w:bookmarkEnd w:id="1"/>
                    <w:p w14:paraId="0B9F7D22" w14:textId="26E7F1C8" w:rsidR="005B52B0" w:rsidRPr="00AE5488" w:rsidRDefault="00AF1AF9" w:rsidP="007A5817">
                      <w:pPr>
                        <w:rPr>
                          <w:color w:val="0D0D0D" w:themeColor="text1" w:themeTint="F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5AFBA6D" w:rsidR="00627C9F" w:rsidRPr="003847DD" w:rsidRDefault="00834D49" w:rsidP="007A5817">
                            <w:pPr>
                              <w:spacing w:line="276" w:lineRule="auto"/>
                              <w:jc w:val="right"/>
                              <w:rPr>
                                <w:rFonts w:asciiTheme="minorHAnsi" w:hAnsiTheme="minorHAnsi"/>
                                <w:color w:val="FFFFFF" w:themeColor="background1"/>
                                <w:sz w:val="22"/>
                              </w:rPr>
                            </w:pPr>
                            <w:r w:rsidRPr="003847DD">
                              <w:rPr>
                                <w:rFonts w:asciiTheme="minorHAnsi" w:hAnsiTheme="minorHAnsi"/>
                                <w:color w:val="FFFFFF" w:themeColor="background1"/>
                                <w:sz w:val="22"/>
                              </w:rPr>
                              <w:t>OEA/Ser.L/V/II</w:t>
                            </w:r>
                          </w:p>
                          <w:p w14:paraId="71D2D5D2" w14:textId="28DB6F88" w:rsidR="00627C9F" w:rsidRPr="003847DD" w:rsidRDefault="00627C9F" w:rsidP="007A5817">
                            <w:pPr>
                              <w:spacing w:line="276" w:lineRule="auto"/>
                              <w:jc w:val="right"/>
                              <w:rPr>
                                <w:rFonts w:asciiTheme="minorHAnsi" w:hAnsiTheme="minorHAnsi"/>
                                <w:color w:val="FFFFFF" w:themeColor="background1"/>
                                <w:sz w:val="22"/>
                              </w:rPr>
                            </w:pPr>
                            <w:r w:rsidRPr="003847DD">
                              <w:rPr>
                                <w:rFonts w:asciiTheme="minorHAnsi" w:hAnsiTheme="minorHAnsi"/>
                                <w:color w:val="FFFFFF" w:themeColor="background1"/>
                                <w:sz w:val="22"/>
                              </w:rPr>
                              <w:t>Doc.</w:t>
                            </w:r>
                            <w:r w:rsidR="00C63529" w:rsidRPr="003847DD">
                              <w:rPr>
                                <w:rFonts w:asciiTheme="minorHAnsi" w:hAnsiTheme="minorHAnsi"/>
                                <w:color w:val="FFFFFF" w:themeColor="background1"/>
                                <w:sz w:val="22"/>
                              </w:rPr>
                              <w:t xml:space="preserve"> 24</w:t>
                            </w:r>
                            <w:r w:rsidRPr="003847DD">
                              <w:rPr>
                                <w:rFonts w:asciiTheme="minorHAnsi" w:hAnsiTheme="minorHAnsi"/>
                                <w:color w:val="FFFFFF" w:themeColor="background1"/>
                                <w:sz w:val="22"/>
                              </w:rPr>
                              <w:t xml:space="preserve"> </w:t>
                            </w:r>
                          </w:p>
                          <w:p w14:paraId="4061DBBD" w14:textId="0C9E6229" w:rsidR="00627C9F" w:rsidRPr="00C25ADB" w:rsidRDefault="00C6352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30 April</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5AFBA6D" w:rsidR="00627C9F" w:rsidRPr="003847DD" w:rsidRDefault="00834D49" w:rsidP="007A5817">
                      <w:pPr>
                        <w:spacing w:line="276" w:lineRule="auto"/>
                        <w:jc w:val="right"/>
                        <w:rPr>
                          <w:rFonts w:asciiTheme="minorHAnsi" w:hAnsiTheme="minorHAnsi"/>
                          <w:color w:val="FFFFFF" w:themeColor="background1"/>
                          <w:sz w:val="22"/>
                        </w:rPr>
                      </w:pPr>
                      <w:r w:rsidRPr="003847DD">
                        <w:rPr>
                          <w:rFonts w:asciiTheme="minorHAnsi" w:hAnsiTheme="minorHAnsi"/>
                          <w:color w:val="FFFFFF" w:themeColor="background1"/>
                          <w:sz w:val="22"/>
                        </w:rPr>
                        <w:t>OEA/Ser.L/V/II</w:t>
                      </w:r>
                    </w:p>
                    <w:p w14:paraId="71D2D5D2" w14:textId="28DB6F88" w:rsidR="00627C9F" w:rsidRPr="003847DD" w:rsidRDefault="00627C9F" w:rsidP="007A5817">
                      <w:pPr>
                        <w:spacing w:line="276" w:lineRule="auto"/>
                        <w:jc w:val="right"/>
                        <w:rPr>
                          <w:rFonts w:asciiTheme="minorHAnsi" w:hAnsiTheme="minorHAnsi"/>
                          <w:color w:val="FFFFFF" w:themeColor="background1"/>
                          <w:sz w:val="22"/>
                        </w:rPr>
                      </w:pPr>
                      <w:r w:rsidRPr="003847DD">
                        <w:rPr>
                          <w:rFonts w:asciiTheme="minorHAnsi" w:hAnsiTheme="minorHAnsi"/>
                          <w:color w:val="FFFFFF" w:themeColor="background1"/>
                          <w:sz w:val="22"/>
                        </w:rPr>
                        <w:t>Doc.</w:t>
                      </w:r>
                      <w:r w:rsidR="00C63529" w:rsidRPr="003847DD">
                        <w:rPr>
                          <w:rFonts w:asciiTheme="minorHAnsi" w:hAnsiTheme="minorHAnsi"/>
                          <w:color w:val="FFFFFF" w:themeColor="background1"/>
                          <w:sz w:val="22"/>
                        </w:rPr>
                        <w:t xml:space="preserve"> 24</w:t>
                      </w:r>
                      <w:r w:rsidRPr="003847DD">
                        <w:rPr>
                          <w:rFonts w:asciiTheme="minorHAnsi" w:hAnsiTheme="minorHAnsi"/>
                          <w:color w:val="FFFFFF" w:themeColor="background1"/>
                          <w:sz w:val="22"/>
                        </w:rPr>
                        <w:t xml:space="preserve"> </w:t>
                      </w:r>
                    </w:p>
                    <w:p w14:paraId="4061DBBD" w14:textId="0C9E6229" w:rsidR="00627C9F" w:rsidRPr="00C25ADB" w:rsidRDefault="00C6352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30 April</w:t>
                      </w:r>
                      <w:r w:rsidR="00627C9F">
                        <w:rPr>
                          <w:rFonts w:asciiTheme="minorHAnsi" w:hAnsiTheme="minorHAnsi"/>
                          <w:color w:val="FFFFFF" w:themeColor="background1"/>
                          <w:sz w:val="22"/>
                          <w:lang w:val="en"/>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7E054F" w:rsidRDefault="00040C3A" w:rsidP="00040C3A">
      <w:pPr>
        <w:tabs>
          <w:tab w:val="center" w:pos="5400"/>
        </w:tabs>
        <w:suppressAutoHyphens/>
        <w:jc w:val="center"/>
        <w:rPr>
          <w:rFonts w:asciiTheme="majorHAnsi" w:hAnsiTheme="majorHAnsi"/>
          <w:sz w:val="22"/>
          <w:szCs w:val="22"/>
        </w:rPr>
      </w:pPr>
    </w:p>
    <w:p w14:paraId="529AB783" w14:textId="77777777" w:rsidR="00040C3A" w:rsidRPr="007E054F" w:rsidRDefault="00040C3A" w:rsidP="00040C3A">
      <w:pPr>
        <w:tabs>
          <w:tab w:val="center" w:pos="5400"/>
        </w:tabs>
        <w:suppressAutoHyphens/>
        <w:jc w:val="center"/>
        <w:rPr>
          <w:rFonts w:asciiTheme="majorHAnsi" w:hAnsiTheme="majorHAnsi"/>
          <w:sz w:val="22"/>
          <w:szCs w:val="22"/>
        </w:rPr>
      </w:pPr>
    </w:p>
    <w:p w14:paraId="147F033C" w14:textId="77777777" w:rsidR="00040C3A" w:rsidRPr="007E054F"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7E054F" w:rsidRDefault="00040C3A" w:rsidP="00040C3A">
      <w:pPr>
        <w:tabs>
          <w:tab w:val="center" w:pos="5400"/>
        </w:tabs>
        <w:suppressAutoHyphens/>
        <w:jc w:val="center"/>
        <w:rPr>
          <w:rFonts w:asciiTheme="majorHAnsi" w:hAnsiTheme="majorHAnsi"/>
          <w:sz w:val="22"/>
          <w:szCs w:val="22"/>
        </w:rPr>
      </w:pPr>
    </w:p>
    <w:p w14:paraId="46C4195B" w14:textId="77777777" w:rsidR="00040C3A" w:rsidRPr="007E054F" w:rsidRDefault="00040C3A" w:rsidP="00040C3A">
      <w:pPr>
        <w:tabs>
          <w:tab w:val="center" w:pos="5400"/>
        </w:tabs>
        <w:suppressAutoHyphens/>
        <w:jc w:val="center"/>
        <w:rPr>
          <w:rFonts w:asciiTheme="majorHAnsi" w:hAnsiTheme="majorHAnsi"/>
          <w:sz w:val="22"/>
          <w:szCs w:val="22"/>
        </w:rPr>
      </w:pPr>
    </w:p>
    <w:p w14:paraId="6C0D9CAF" w14:textId="77777777" w:rsidR="00040C3A" w:rsidRPr="007E054F" w:rsidRDefault="00040C3A" w:rsidP="00040C3A">
      <w:pPr>
        <w:tabs>
          <w:tab w:val="center" w:pos="5400"/>
        </w:tabs>
        <w:suppressAutoHyphens/>
        <w:jc w:val="center"/>
        <w:rPr>
          <w:rFonts w:asciiTheme="majorHAnsi" w:hAnsiTheme="majorHAnsi"/>
          <w:sz w:val="22"/>
          <w:szCs w:val="22"/>
        </w:rPr>
      </w:pPr>
    </w:p>
    <w:p w14:paraId="6140E39A" w14:textId="77777777" w:rsidR="00040C3A" w:rsidRPr="007E054F" w:rsidRDefault="00040C3A" w:rsidP="00040C3A">
      <w:pPr>
        <w:tabs>
          <w:tab w:val="center" w:pos="5400"/>
        </w:tabs>
        <w:suppressAutoHyphens/>
        <w:jc w:val="center"/>
        <w:rPr>
          <w:rFonts w:asciiTheme="majorHAnsi" w:hAnsiTheme="majorHAnsi"/>
          <w:sz w:val="22"/>
          <w:szCs w:val="22"/>
        </w:rPr>
      </w:pPr>
    </w:p>
    <w:p w14:paraId="116878DE" w14:textId="77777777" w:rsidR="005128E4" w:rsidRPr="007E054F" w:rsidRDefault="005128E4" w:rsidP="00040C3A">
      <w:pPr>
        <w:tabs>
          <w:tab w:val="center" w:pos="5400"/>
        </w:tabs>
        <w:suppressAutoHyphens/>
        <w:jc w:val="center"/>
        <w:rPr>
          <w:rFonts w:asciiTheme="majorHAnsi" w:hAnsiTheme="majorHAnsi"/>
          <w:sz w:val="22"/>
          <w:szCs w:val="22"/>
        </w:rPr>
      </w:pPr>
    </w:p>
    <w:p w14:paraId="6FF1A208" w14:textId="77777777" w:rsidR="00040C3A" w:rsidRPr="007E054F" w:rsidRDefault="00040C3A" w:rsidP="00040C3A">
      <w:pPr>
        <w:tabs>
          <w:tab w:val="center" w:pos="5400"/>
        </w:tabs>
        <w:suppressAutoHyphens/>
        <w:jc w:val="center"/>
        <w:rPr>
          <w:rFonts w:asciiTheme="majorHAnsi" w:hAnsiTheme="majorHAnsi"/>
          <w:sz w:val="22"/>
          <w:szCs w:val="22"/>
        </w:rPr>
      </w:pPr>
    </w:p>
    <w:p w14:paraId="23E1EE64" w14:textId="77777777" w:rsidR="005128E4" w:rsidRPr="007E054F" w:rsidRDefault="005128E4" w:rsidP="00040C3A">
      <w:pPr>
        <w:tabs>
          <w:tab w:val="center" w:pos="5400"/>
        </w:tabs>
        <w:suppressAutoHyphens/>
        <w:jc w:val="center"/>
        <w:rPr>
          <w:rFonts w:asciiTheme="majorHAnsi" w:hAnsiTheme="majorHAnsi"/>
          <w:sz w:val="22"/>
          <w:szCs w:val="22"/>
        </w:rPr>
      </w:pPr>
    </w:p>
    <w:p w14:paraId="2D8331F2" w14:textId="77777777" w:rsidR="005128E4" w:rsidRPr="007E054F" w:rsidRDefault="005128E4" w:rsidP="00040C3A">
      <w:pPr>
        <w:tabs>
          <w:tab w:val="center" w:pos="5400"/>
        </w:tabs>
        <w:suppressAutoHyphens/>
        <w:jc w:val="center"/>
        <w:rPr>
          <w:rFonts w:asciiTheme="majorHAnsi" w:hAnsiTheme="majorHAnsi"/>
          <w:sz w:val="22"/>
          <w:szCs w:val="22"/>
        </w:rPr>
      </w:pPr>
    </w:p>
    <w:p w14:paraId="1D1FCC8F" w14:textId="77777777" w:rsidR="005128E4" w:rsidRPr="007E054F" w:rsidRDefault="005128E4" w:rsidP="00040C3A">
      <w:pPr>
        <w:tabs>
          <w:tab w:val="center" w:pos="5400"/>
        </w:tabs>
        <w:suppressAutoHyphens/>
        <w:jc w:val="center"/>
        <w:rPr>
          <w:rFonts w:asciiTheme="majorHAnsi" w:hAnsiTheme="majorHAnsi"/>
          <w:sz w:val="22"/>
          <w:szCs w:val="22"/>
        </w:rPr>
      </w:pPr>
    </w:p>
    <w:p w14:paraId="67F753E7" w14:textId="77777777" w:rsidR="00040C3A" w:rsidRPr="007E054F" w:rsidRDefault="00040C3A" w:rsidP="00040C3A">
      <w:pPr>
        <w:tabs>
          <w:tab w:val="center" w:pos="5400"/>
        </w:tabs>
        <w:suppressAutoHyphens/>
        <w:jc w:val="center"/>
        <w:rPr>
          <w:rFonts w:asciiTheme="majorHAnsi" w:hAnsiTheme="majorHAnsi"/>
          <w:sz w:val="22"/>
          <w:szCs w:val="22"/>
        </w:rPr>
      </w:pPr>
    </w:p>
    <w:p w14:paraId="165AA979" w14:textId="77777777" w:rsidR="00040C3A" w:rsidRPr="007E054F" w:rsidRDefault="00040C3A" w:rsidP="00040C3A">
      <w:pPr>
        <w:tabs>
          <w:tab w:val="center" w:pos="5400"/>
        </w:tabs>
        <w:suppressAutoHyphens/>
        <w:jc w:val="center"/>
        <w:rPr>
          <w:rFonts w:asciiTheme="majorHAnsi" w:hAnsiTheme="majorHAnsi"/>
          <w:sz w:val="22"/>
          <w:szCs w:val="22"/>
        </w:rPr>
      </w:pPr>
    </w:p>
    <w:p w14:paraId="2F2457A8" w14:textId="77777777" w:rsidR="00A50FCF" w:rsidRPr="007E054F" w:rsidRDefault="00A50FCF" w:rsidP="00040C3A">
      <w:pPr>
        <w:tabs>
          <w:tab w:val="center" w:pos="5400"/>
        </w:tabs>
        <w:suppressAutoHyphens/>
        <w:jc w:val="center"/>
        <w:rPr>
          <w:rFonts w:asciiTheme="majorHAnsi" w:hAnsiTheme="majorHAnsi"/>
          <w:sz w:val="18"/>
          <w:szCs w:val="22"/>
        </w:rPr>
      </w:pPr>
    </w:p>
    <w:p w14:paraId="20439390" w14:textId="77777777" w:rsidR="00A50FCF" w:rsidRPr="007E054F" w:rsidRDefault="00A50FCF" w:rsidP="00040C3A">
      <w:pPr>
        <w:tabs>
          <w:tab w:val="center" w:pos="5400"/>
        </w:tabs>
        <w:suppressAutoHyphens/>
        <w:jc w:val="center"/>
        <w:rPr>
          <w:rFonts w:asciiTheme="majorHAnsi" w:hAnsiTheme="majorHAnsi"/>
          <w:sz w:val="18"/>
          <w:szCs w:val="22"/>
        </w:rPr>
      </w:pPr>
    </w:p>
    <w:p w14:paraId="5B80B262" w14:textId="77777777" w:rsidR="00A50FCF" w:rsidRPr="007E054F" w:rsidRDefault="00A50FCF" w:rsidP="00040C3A">
      <w:pPr>
        <w:tabs>
          <w:tab w:val="center" w:pos="5400"/>
        </w:tabs>
        <w:suppressAutoHyphens/>
        <w:jc w:val="center"/>
        <w:rPr>
          <w:rFonts w:asciiTheme="majorHAnsi" w:hAnsiTheme="majorHAnsi"/>
          <w:sz w:val="18"/>
          <w:szCs w:val="22"/>
        </w:rPr>
      </w:pPr>
    </w:p>
    <w:p w14:paraId="734846D8" w14:textId="77777777" w:rsidR="00A50FCF" w:rsidRPr="007E054F" w:rsidRDefault="00A50FCF" w:rsidP="00040C3A">
      <w:pPr>
        <w:tabs>
          <w:tab w:val="center" w:pos="5400"/>
        </w:tabs>
        <w:suppressAutoHyphens/>
        <w:jc w:val="center"/>
        <w:rPr>
          <w:rFonts w:asciiTheme="majorHAnsi" w:hAnsiTheme="majorHAnsi"/>
          <w:sz w:val="18"/>
          <w:szCs w:val="22"/>
        </w:rPr>
      </w:pPr>
    </w:p>
    <w:p w14:paraId="36D2C63A" w14:textId="77777777" w:rsidR="00A50FCF" w:rsidRPr="007E054F" w:rsidRDefault="00A50FCF" w:rsidP="00040C3A">
      <w:pPr>
        <w:tabs>
          <w:tab w:val="center" w:pos="5400"/>
        </w:tabs>
        <w:suppressAutoHyphens/>
        <w:jc w:val="center"/>
        <w:rPr>
          <w:rFonts w:asciiTheme="majorHAnsi" w:hAnsiTheme="majorHAnsi"/>
          <w:sz w:val="18"/>
          <w:szCs w:val="22"/>
        </w:rPr>
      </w:pPr>
    </w:p>
    <w:p w14:paraId="4F0B7F5A" w14:textId="77777777" w:rsidR="00A50FCF" w:rsidRPr="007E054F" w:rsidRDefault="00A50FCF" w:rsidP="00040C3A">
      <w:pPr>
        <w:tabs>
          <w:tab w:val="center" w:pos="5400"/>
        </w:tabs>
        <w:suppressAutoHyphens/>
        <w:jc w:val="center"/>
        <w:rPr>
          <w:rFonts w:asciiTheme="majorHAnsi" w:hAnsiTheme="majorHAnsi"/>
          <w:sz w:val="18"/>
          <w:szCs w:val="22"/>
        </w:rPr>
      </w:pPr>
    </w:p>
    <w:p w14:paraId="07218933" w14:textId="77777777" w:rsidR="00A50FCF" w:rsidRPr="007E054F" w:rsidRDefault="00A50FCF" w:rsidP="00040C3A">
      <w:pPr>
        <w:tabs>
          <w:tab w:val="center" w:pos="5400"/>
        </w:tabs>
        <w:suppressAutoHyphens/>
        <w:jc w:val="center"/>
        <w:rPr>
          <w:rFonts w:asciiTheme="majorHAnsi" w:hAnsiTheme="majorHAnsi"/>
          <w:sz w:val="18"/>
          <w:szCs w:val="22"/>
        </w:rPr>
      </w:pPr>
    </w:p>
    <w:p w14:paraId="2C99136A" w14:textId="77777777" w:rsidR="00A50FCF" w:rsidRPr="007E054F" w:rsidRDefault="00A50FCF" w:rsidP="00040C3A">
      <w:pPr>
        <w:tabs>
          <w:tab w:val="center" w:pos="5400"/>
        </w:tabs>
        <w:suppressAutoHyphens/>
        <w:jc w:val="center"/>
        <w:rPr>
          <w:rFonts w:asciiTheme="majorHAnsi" w:hAnsiTheme="majorHAnsi"/>
          <w:sz w:val="18"/>
          <w:szCs w:val="22"/>
        </w:rPr>
      </w:pPr>
    </w:p>
    <w:p w14:paraId="078A9198" w14:textId="77777777" w:rsidR="00A50FCF" w:rsidRPr="007E054F" w:rsidRDefault="00A50FCF" w:rsidP="00040C3A">
      <w:pPr>
        <w:tabs>
          <w:tab w:val="center" w:pos="5400"/>
        </w:tabs>
        <w:suppressAutoHyphens/>
        <w:jc w:val="center"/>
        <w:rPr>
          <w:rFonts w:asciiTheme="majorHAnsi" w:hAnsiTheme="majorHAnsi"/>
          <w:sz w:val="18"/>
          <w:szCs w:val="22"/>
        </w:rPr>
      </w:pPr>
    </w:p>
    <w:p w14:paraId="6A001DA7" w14:textId="77777777" w:rsidR="00A50FCF" w:rsidRPr="007E054F" w:rsidRDefault="00A50FCF" w:rsidP="00040C3A">
      <w:pPr>
        <w:tabs>
          <w:tab w:val="center" w:pos="5400"/>
        </w:tabs>
        <w:suppressAutoHyphens/>
        <w:jc w:val="center"/>
        <w:rPr>
          <w:rFonts w:asciiTheme="majorHAnsi" w:hAnsiTheme="majorHAnsi"/>
          <w:sz w:val="18"/>
          <w:szCs w:val="22"/>
        </w:rPr>
      </w:pPr>
    </w:p>
    <w:p w14:paraId="217E7AAB" w14:textId="77777777" w:rsidR="00A50FCF" w:rsidRPr="007E054F" w:rsidRDefault="00A50FCF" w:rsidP="00040C3A">
      <w:pPr>
        <w:tabs>
          <w:tab w:val="center" w:pos="5400"/>
        </w:tabs>
        <w:suppressAutoHyphens/>
        <w:jc w:val="center"/>
        <w:rPr>
          <w:rFonts w:asciiTheme="majorHAnsi" w:hAnsiTheme="majorHAnsi"/>
          <w:sz w:val="18"/>
          <w:szCs w:val="22"/>
        </w:rPr>
      </w:pPr>
    </w:p>
    <w:p w14:paraId="0C34B449" w14:textId="77777777" w:rsidR="00A50FCF" w:rsidRPr="007E054F" w:rsidRDefault="00A50FCF" w:rsidP="00040C3A">
      <w:pPr>
        <w:tabs>
          <w:tab w:val="center" w:pos="5400"/>
        </w:tabs>
        <w:suppressAutoHyphens/>
        <w:jc w:val="center"/>
        <w:rPr>
          <w:rFonts w:asciiTheme="majorHAnsi" w:hAnsiTheme="majorHAnsi"/>
          <w:sz w:val="18"/>
          <w:szCs w:val="22"/>
        </w:rPr>
      </w:pPr>
    </w:p>
    <w:p w14:paraId="5CF516E8" w14:textId="77777777" w:rsidR="00A50FCF" w:rsidRPr="007E054F" w:rsidRDefault="00A50FCF" w:rsidP="00040C3A">
      <w:pPr>
        <w:tabs>
          <w:tab w:val="center" w:pos="5400"/>
        </w:tabs>
        <w:suppressAutoHyphens/>
        <w:jc w:val="center"/>
        <w:rPr>
          <w:rFonts w:asciiTheme="majorHAnsi" w:hAnsiTheme="majorHAnsi"/>
          <w:sz w:val="18"/>
          <w:szCs w:val="22"/>
        </w:rPr>
      </w:pPr>
    </w:p>
    <w:p w14:paraId="417C9993" w14:textId="77777777" w:rsidR="00A50FCF" w:rsidRPr="007E054F" w:rsidRDefault="00A50FCF" w:rsidP="00040C3A">
      <w:pPr>
        <w:tabs>
          <w:tab w:val="center" w:pos="5400"/>
        </w:tabs>
        <w:suppressAutoHyphens/>
        <w:jc w:val="center"/>
        <w:rPr>
          <w:rFonts w:asciiTheme="majorHAnsi" w:hAnsiTheme="majorHAnsi"/>
          <w:sz w:val="18"/>
          <w:szCs w:val="22"/>
        </w:rPr>
      </w:pPr>
    </w:p>
    <w:p w14:paraId="641C6754" w14:textId="77777777" w:rsidR="00A50FCF" w:rsidRPr="007E054F"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F1457C9" w:rsidR="00DD3D86" w:rsidRPr="00890650" w:rsidRDefault="00C63529"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April 30,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F1457C9" w:rsidR="00DD3D86" w:rsidRPr="00890650" w:rsidRDefault="00C63529"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April 30,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7E054F" w:rsidRDefault="00A50FCF" w:rsidP="00040C3A">
      <w:pPr>
        <w:tabs>
          <w:tab w:val="center" w:pos="5400"/>
        </w:tabs>
        <w:suppressAutoHyphens/>
        <w:jc w:val="center"/>
        <w:rPr>
          <w:rFonts w:asciiTheme="majorHAnsi" w:hAnsiTheme="majorHAnsi"/>
          <w:sz w:val="18"/>
          <w:szCs w:val="22"/>
        </w:rPr>
      </w:pPr>
    </w:p>
    <w:p w14:paraId="28FED950" w14:textId="77777777" w:rsidR="00A50FCF" w:rsidRPr="007E054F" w:rsidRDefault="00A50FCF" w:rsidP="00040C3A">
      <w:pPr>
        <w:tabs>
          <w:tab w:val="center" w:pos="5400"/>
        </w:tabs>
        <w:suppressAutoHyphens/>
        <w:jc w:val="center"/>
        <w:rPr>
          <w:rFonts w:asciiTheme="majorHAnsi" w:hAnsiTheme="majorHAnsi"/>
          <w:sz w:val="18"/>
          <w:szCs w:val="22"/>
        </w:rPr>
      </w:pPr>
    </w:p>
    <w:p w14:paraId="53E3A276" w14:textId="77777777" w:rsidR="00A50FCF" w:rsidRPr="007E054F" w:rsidRDefault="00A50FCF" w:rsidP="00040C3A">
      <w:pPr>
        <w:tabs>
          <w:tab w:val="center" w:pos="5400"/>
        </w:tabs>
        <w:suppressAutoHyphens/>
        <w:jc w:val="center"/>
        <w:rPr>
          <w:rFonts w:asciiTheme="majorHAnsi" w:hAnsiTheme="majorHAnsi"/>
          <w:sz w:val="18"/>
          <w:szCs w:val="22"/>
        </w:rPr>
      </w:pPr>
    </w:p>
    <w:p w14:paraId="5EDC5EE2" w14:textId="77777777" w:rsidR="00A50FCF" w:rsidRPr="007E054F" w:rsidRDefault="00A50FCF" w:rsidP="00040C3A">
      <w:pPr>
        <w:tabs>
          <w:tab w:val="center" w:pos="5400"/>
        </w:tabs>
        <w:suppressAutoHyphens/>
        <w:jc w:val="center"/>
        <w:rPr>
          <w:rFonts w:asciiTheme="majorHAnsi" w:hAnsiTheme="majorHAnsi"/>
          <w:sz w:val="18"/>
          <w:szCs w:val="22"/>
        </w:rPr>
      </w:pPr>
    </w:p>
    <w:p w14:paraId="4730F205" w14:textId="77777777" w:rsidR="00A50FCF" w:rsidRPr="007E054F"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1A05DCB"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EB5CF8">
                              <w:rPr>
                                <w:rFonts w:asciiTheme="majorHAnsi" w:hAnsiTheme="majorHAnsi"/>
                                <w:color w:val="595959" w:themeColor="text1" w:themeTint="A6"/>
                                <w:sz w:val="18"/>
                                <w:szCs w:val="18"/>
                                <w:lang w:val="en"/>
                              </w:rPr>
                              <w:t>22</w:t>
                            </w:r>
                            <w:r>
                              <w:rPr>
                                <w:rFonts w:asciiTheme="majorHAnsi" w:hAnsiTheme="majorHAnsi"/>
                                <w:color w:val="595959" w:themeColor="text1" w:themeTint="A6"/>
                                <w:sz w:val="18"/>
                                <w:szCs w:val="18"/>
                                <w:lang w:val="en"/>
                              </w:rPr>
                              <w:t>/</w:t>
                            </w:r>
                            <w:r w:rsidR="00EB5CF8">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2030-13. </w:t>
                            </w:r>
                            <w:r w:rsidRPr="00DF2909">
                              <w:rPr>
                                <w:rFonts w:asciiTheme="majorHAnsi" w:hAnsiTheme="majorHAnsi"/>
                                <w:color w:val="595959" w:themeColor="text1" w:themeTint="A6"/>
                                <w:sz w:val="18"/>
                                <w:szCs w:val="18"/>
                                <w:lang w:val="es-ES"/>
                              </w:rPr>
                              <w:t xml:space="preserve">Inadmissibility. Lucero Sarria Reyes and Alón Esthewar Sarria Reyes. Colombia. </w:t>
                            </w:r>
                            <w:r w:rsidR="00EB5CF8">
                              <w:rPr>
                                <w:rFonts w:asciiTheme="majorHAnsi" w:hAnsiTheme="majorHAnsi"/>
                                <w:color w:val="595959" w:themeColor="text1" w:themeTint="A6"/>
                                <w:sz w:val="18"/>
                                <w:szCs w:val="18"/>
                                <w:lang w:val="en"/>
                              </w:rPr>
                              <w:t>April 30, 2024</w:t>
                            </w:r>
                            <w:r>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1A05DCB"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EB5CF8">
                        <w:rPr>
                          <w:rFonts w:asciiTheme="majorHAnsi" w:hAnsiTheme="majorHAnsi"/>
                          <w:color w:val="595959" w:themeColor="text1" w:themeTint="A6"/>
                          <w:sz w:val="18"/>
                          <w:szCs w:val="18"/>
                          <w:lang w:val="en"/>
                        </w:rPr>
                        <w:t>22</w:t>
                      </w:r>
                      <w:r>
                        <w:rPr>
                          <w:rFonts w:asciiTheme="majorHAnsi" w:hAnsiTheme="majorHAnsi"/>
                          <w:color w:val="595959" w:themeColor="text1" w:themeTint="A6"/>
                          <w:sz w:val="18"/>
                          <w:szCs w:val="18"/>
                          <w:lang w:val="en"/>
                        </w:rPr>
                        <w:t>/</w:t>
                      </w:r>
                      <w:r w:rsidR="00EB5CF8">
                        <w:rPr>
                          <w:rFonts w:asciiTheme="majorHAnsi" w:hAnsiTheme="majorHAnsi"/>
                          <w:color w:val="595959" w:themeColor="text1" w:themeTint="A6"/>
                          <w:sz w:val="18"/>
                          <w:szCs w:val="18"/>
                          <w:lang w:val="en"/>
                        </w:rPr>
                        <w:t>24.</w:t>
                      </w:r>
                      <w:r>
                        <w:rPr>
                          <w:rFonts w:asciiTheme="majorHAnsi" w:hAnsiTheme="majorHAnsi"/>
                          <w:color w:val="595959" w:themeColor="text1" w:themeTint="A6"/>
                          <w:sz w:val="18"/>
                          <w:szCs w:val="18"/>
                          <w:lang w:val="en"/>
                        </w:rPr>
                        <w:t xml:space="preserve"> Petition 2030-13. </w:t>
                      </w:r>
                      <w:r w:rsidRPr="00DF2909">
                        <w:rPr>
                          <w:rFonts w:asciiTheme="majorHAnsi" w:hAnsiTheme="majorHAnsi"/>
                          <w:color w:val="595959" w:themeColor="text1" w:themeTint="A6"/>
                          <w:sz w:val="18"/>
                          <w:szCs w:val="18"/>
                          <w:lang w:val="es-ES"/>
                        </w:rPr>
                        <w:t xml:space="preserve">Inadmissibility. Lucero Sarria Reyes and Alón Esthewar Sarria Reyes. Colombia. </w:t>
                      </w:r>
                      <w:r w:rsidR="00EB5CF8">
                        <w:rPr>
                          <w:rFonts w:asciiTheme="majorHAnsi" w:hAnsiTheme="majorHAnsi"/>
                          <w:color w:val="595959" w:themeColor="text1" w:themeTint="A6"/>
                          <w:sz w:val="18"/>
                          <w:szCs w:val="18"/>
                          <w:lang w:val="en"/>
                        </w:rPr>
                        <w:t>April 30, 2024</w:t>
                      </w:r>
                      <w:r>
                        <w:rPr>
                          <w:rFonts w:asciiTheme="majorHAnsi" w:hAnsiTheme="majorHAnsi"/>
                          <w:color w:val="595959" w:themeColor="text1" w:themeTint="A6"/>
                          <w:sz w:val="18"/>
                          <w:szCs w:val="18"/>
                          <w:lang w:val="en"/>
                        </w:rPr>
                        <w:t>.</w:t>
                      </w:r>
                    </w:p>
                  </w:txbxContent>
                </v:textbox>
              </v:shape>
            </w:pict>
          </mc:Fallback>
        </mc:AlternateContent>
      </w:r>
    </w:p>
    <w:p w14:paraId="3BC19590" w14:textId="77777777" w:rsidR="00A50FCF" w:rsidRPr="007E054F" w:rsidRDefault="00A50FCF" w:rsidP="00040C3A">
      <w:pPr>
        <w:tabs>
          <w:tab w:val="center" w:pos="5400"/>
        </w:tabs>
        <w:suppressAutoHyphens/>
        <w:jc w:val="center"/>
        <w:rPr>
          <w:rFonts w:asciiTheme="majorHAnsi" w:hAnsiTheme="majorHAnsi"/>
          <w:sz w:val="18"/>
          <w:szCs w:val="22"/>
        </w:rPr>
      </w:pPr>
    </w:p>
    <w:p w14:paraId="0C9396CC" w14:textId="69D5E277" w:rsidR="0090270B" w:rsidRPr="007E054F" w:rsidRDefault="00D306D1" w:rsidP="005516A1">
      <w:pPr>
        <w:tabs>
          <w:tab w:val="center" w:pos="5400"/>
        </w:tabs>
        <w:suppressAutoHyphens/>
        <w:jc w:val="center"/>
        <w:rPr>
          <w:rFonts w:asciiTheme="majorHAnsi" w:hAnsiTheme="majorHAnsi"/>
          <w:b/>
          <w:sz w:val="20"/>
        </w:rPr>
      </w:pP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2692143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150CCFA7" w14:textId="4D5DE7CA" w:rsidR="0070697F" w:rsidRPr="007E054F" w:rsidRDefault="00EB5CF8" w:rsidP="005516A1">
      <w:pPr>
        <w:tabs>
          <w:tab w:val="center" w:pos="5400"/>
        </w:tabs>
        <w:suppressAutoHyphens/>
        <w:jc w:val="center"/>
        <w:rPr>
          <w:rFonts w:asciiTheme="majorHAnsi" w:hAnsiTheme="majorHAnsi"/>
          <w:b/>
          <w:sz w:val="20"/>
        </w:rPr>
        <w:sectPr w:rsidR="0070697F" w:rsidRPr="007E054F" w:rsidSect="001E7805">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27D85D2A">
                <wp:simplePos x="0" y="0"/>
                <wp:positionH relativeFrom="column">
                  <wp:posOffset>1301115</wp:posOffset>
                </wp:positionH>
                <wp:positionV relativeFrom="paragraph">
                  <wp:posOffset>631825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AC61C51" w:rsidR="00D72DC6" w:rsidRPr="00D72DC6" w:rsidRDefault="001F539B" w:rsidP="00F02AD1">
                            <w:pPr>
                              <w:rPr>
                                <w:color w:val="FFFFFF" w:themeColor="background1"/>
                                <w14:textFill>
                                  <w14:noFill/>
                                </w14:textFill>
                              </w:rPr>
                            </w:pPr>
                            <w:r>
                              <w:rPr>
                                <w:noProof/>
                              </w:rPr>
                              <w:drawing>
                                <wp:inline distT="0" distB="0" distL="0" distR="0" wp14:anchorId="3D391988" wp14:editId="52954288">
                                  <wp:extent cx="1513840" cy="38798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9.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TqAPa&#10;4QAAAAoBAAAPAAAAZHJzL2Rvd25yZXYueG1sTI/BTsMwEETvSPyDtUhcUGvTEnBCnAohoBI3mgLi&#10;5sYmiYjXUewm4e9ZTnBc7dPMm3wzu46NdgitRwWXSwHMYuVNi7WCffm4kMBC1Gh059Eq+LYBNsXp&#10;Sa4z4yd8seMu1oxCMGRaQRNjn3EeqsY6HZa+t0i/Tz84Hekcam4GPVG46/hKiGvudIvU0Oje3je2&#10;+todnYKPi/r9OcxPr9M6WfcP27G8eTOlUudn890tsGjn+AfDrz6pQ0FOB39EE1inYCWuUkIVpGkC&#10;jACZCBp3IFJKCbzI+f8JxQ8AAAD//wMAUEsBAi0AFAAGAAgAAAAhALaDOJL+AAAA4QEAABMAAAAA&#10;AAAAAAAAAAAAAAAAAFtDb250ZW50X1R5cGVzXS54bWxQSwECLQAUAAYACAAAACEAOP0h/9YAAACU&#10;AQAACwAAAAAAAAAAAAAAAAAvAQAAX3JlbHMvLnJlbHNQSwECLQAUAAYACAAAACEAWVqe3HoCAABs&#10;BQAADgAAAAAAAAAAAAAAAAAuAgAAZHJzL2Uyb0RvYy54bWxQSwECLQAUAAYACAAAACEAk6gD2uEA&#10;AAAKAQAADwAAAAAAAAAAAAAAAADUBAAAZHJzL2Rvd25yZXYueG1sUEsFBgAAAAAEAAQA8wAAAOIF&#10;AAAAAA==&#10;" fillcolor="white [3201]" stroked="f" strokeweight=".5pt">
                <v:textbox>
                  <w:txbxContent>
                    <w:p w14:paraId="16E85441" w14:textId="1AC61C51" w:rsidR="00D72DC6" w:rsidRPr="00D72DC6" w:rsidRDefault="001F539B" w:rsidP="00F02AD1">
                      <w:pPr>
                        <w:rPr>
                          <w:color w:val="FFFFFF" w:themeColor="background1"/>
                          <w14:textFill>
                            <w14:noFill/>
                          </w14:textFill>
                        </w:rPr>
                      </w:pPr>
                      <w:r>
                        <w:rPr>
                          <w:noProof/>
                        </w:rPr>
                        <w:drawing>
                          <wp:inline distT="0" distB="0" distL="0" distR="0" wp14:anchorId="3D391988" wp14:editId="52954288">
                            <wp:extent cx="1513840" cy="38798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4A6A54">
        <w:rPr>
          <w:b/>
          <w:bCs/>
          <w:lang w:val="en"/>
        </w:rPr>
        <w:tab/>
      </w:r>
    </w:p>
    <w:p w14:paraId="2786EE58" w14:textId="77777777" w:rsidR="003239B8" w:rsidRPr="007E054F"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006CA" w14:paraId="6B58C8A4" w14:textId="77777777" w:rsidTr="00EC773B">
        <w:tc>
          <w:tcPr>
            <w:tcW w:w="3600" w:type="dxa"/>
            <w:tcBorders>
              <w:top w:val="single" w:sz="4" w:space="0" w:color="auto"/>
              <w:bottom w:val="single" w:sz="6" w:space="0" w:color="auto"/>
            </w:tcBorders>
            <w:shd w:val="clear" w:color="auto" w:fill="67AE3C"/>
            <w:vAlign w:val="center"/>
          </w:tcPr>
          <w:p w14:paraId="7E72740A" w14:textId="77777777" w:rsidR="003239B8" w:rsidRPr="007E054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760" w:type="dxa"/>
            <w:vAlign w:val="center"/>
          </w:tcPr>
          <w:p w14:paraId="07DAAE2E" w14:textId="7063147F" w:rsidR="003239B8" w:rsidRPr="007E054F" w:rsidRDefault="002E1798" w:rsidP="008D2290">
            <w:pPr>
              <w:jc w:val="both"/>
              <w:rPr>
                <w:rFonts w:ascii="Cambria" w:hAnsi="Cambria"/>
                <w:bCs/>
                <w:sz w:val="20"/>
                <w:szCs w:val="20"/>
              </w:rPr>
            </w:pPr>
            <w:r>
              <w:rPr>
                <w:rFonts w:ascii="Cambria" w:hAnsi="Cambria"/>
                <w:sz w:val="20"/>
                <w:szCs w:val="20"/>
                <w:lang w:val="en"/>
              </w:rPr>
              <w:t>José Alberto Leguizamo Velásquez and Margarita María Leguizamo Vaquero</w:t>
            </w:r>
          </w:p>
        </w:tc>
      </w:tr>
      <w:tr w:rsidR="003239B8" w:rsidRPr="003847DD" w14:paraId="0D7F9389" w14:textId="77777777" w:rsidTr="00EC773B">
        <w:tc>
          <w:tcPr>
            <w:tcW w:w="3600" w:type="dxa"/>
            <w:tcBorders>
              <w:top w:val="single" w:sz="6" w:space="0" w:color="auto"/>
              <w:bottom w:val="single" w:sz="6" w:space="0" w:color="auto"/>
            </w:tcBorders>
            <w:shd w:val="clear" w:color="auto" w:fill="67AE3C"/>
            <w:vAlign w:val="center"/>
          </w:tcPr>
          <w:p w14:paraId="481622AE" w14:textId="0BEA7C49" w:rsidR="003239B8" w:rsidRPr="007E054F" w:rsidRDefault="00CA3FC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9D30FC">
                  <w:rPr>
                    <w:rFonts w:ascii="Cambria" w:hAnsi="Cambria"/>
                    <w:b/>
                    <w:bCs/>
                    <w:color w:val="FFFFFF" w:themeColor="background1"/>
                    <w:sz w:val="20"/>
                    <w:szCs w:val="20"/>
                    <w:lang w:val="en"/>
                  </w:rPr>
                  <w:t>Alleged victims</w:t>
                </w:r>
              </w:sdtContent>
            </w:sdt>
            <w:r w:rsidR="009D30FC">
              <w:rPr>
                <w:rFonts w:ascii="Cambria" w:hAnsi="Cambria"/>
                <w:b/>
                <w:bCs/>
                <w:color w:val="FFFFFF" w:themeColor="background1"/>
                <w:sz w:val="20"/>
                <w:szCs w:val="20"/>
                <w:lang w:val="en"/>
              </w:rPr>
              <w:t>:</w:t>
            </w:r>
          </w:p>
        </w:tc>
        <w:tc>
          <w:tcPr>
            <w:tcW w:w="5760" w:type="dxa"/>
            <w:vAlign w:val="center"/>
          </w:tcPr>
          <w:p w14:paraId="143D44A8" w14:textId="036F5D92" w:rsidR="001D21C7" w:rsidRPr="00474546" w:rsidRDefault="002E1798" w:rsidP="00FC6219">
            <w:pPr>
              <w:jc w:val="both"/>
              <w:rPr>
                <w:rFonts w:ascii="Cambria" w:hAnsi="Cambria"/>
                <w:bCs/>
                <w:sz w:val="20"/>
                <w:szCs w:val="20"/>
                <w:lang w:val="es-ES"/>
              </w:rPr>
            </w:pPr>
            <w:r w:rsidRPr="00474546">
              <w:rPr>
                <w:rFonts w:ascii="Cambria" w:hAnsi="Cambria"/>
                <w:sz w:val="20"/>
                <w:szCs w:val="20"/>
                <w:lang w:val="es-ES"/>
              </w:rPr>
              <w:t>Lucero Sarria Reyes and Alón Esthewar Sarria Reyes</w:t>
            </w:r>
          </w:p>
        </w:tc>
      </w:tr>
      <w:tr w:rsidR="003239B8" w:rsidRPr="007E054F" w14:paraId="19F69F82" w14:textId="77777777" w:rsidTr="00EC773B">
        <w:tc>
          <w:tcPr>
            <w:tcW w:w="3600" w:type="dxa"/>
            <w:tcBorders>
              <w:top w:val="single" w:sz="6" w:space="0" w:color="auto"/>
              <w:bottom w:val="single" w:sz="6" w:space="0" w:color="auto"/>
            </w:tcBorders>
            <w:shd w:val="clear" w:color="auto" w:fill="67AE3C"/>
            <w:vAlign w:val="center"/>
          </w:tcPr>
          <w:p w14:paraId="724BB294" w14:textId="77777777" w:rsidR="003239B8" w:rsidRPr="007E054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760" w:type="dxa"/>
            <w:vAlign w:val="center"/>
          </w:tcPr>
          <w:p w14:paraId="5D0EC05D" w14:textId="6E3E6556" w:rsidR="003239B8" w:rsidRPr="007E054F" w:rsidRDefault="00E2321A" w:rsidP="008D2290">
            <w:pPr>
              <w:jc w:val="both"/>
              <w:rPr>
                <w:rFonts w:ascii="Cambria" w:hAnsi="Cambria"/>
                <w:bCs/>
                <w:sz w:val="20"/>
                <w:szCs w:val="20"/>
              </w:rPr>
            </w:pPr>
            <w:r>
              <w:rPr>
                <w:rFonts w:ascii="Cambria" w:hAnsi="Cambria"/>
                <w:sz w:val="20"/>
                <w:szCs w:val="20"/>
                <w:lang w:val="en"/>
              </w:rPr>
              <w:t>Colombia</w:t>
            </w:r>
            <w:r>
              <w:rPr>
                <w:rStyle w:val="FootnoteReference"/>
                <w:rFonts w:ascii="Cambria" w:hAnsi="Cambria"/>
                <w:sz w:val="20"/>
                <w:szCs w:val="20"/>
                <w:lang w:val="en"/>
              </w:rPr>
              <w:footnoteReference w:id="2"/>
            </w:r>
          </w:p>
        </w:tc>
      </w:tr>
      <w:tr w:rsidR="00223A29" w:rsidRPr="00B006CA" w14:paraId="256E66EF" w14:textId="77777777" w:rsidTr="00EC773B">
        <w:tc>
          <w:tcPr>
            <w:tcW w:w="3600" w:type="dxa"/>
            <w:tcBorders>
              <w:top w:val="single" w:sz="6" w:space="0" w:color="auto"/>
              <w:bottom w:val="single" w:sz="6" w:space="0" w:color="auto"/>
            </w:tcBorders>
            <w:shd w:val="clear" w:color="auto" w:fill="67AE3C"/>
            <w:vAlign w:val="center"/>
          </w:tcPr>
          <w:p w14:paraId="2551EB09" w14:textId="77777777" w:rsidR="00223A29" w:rsidRPr="007E054F"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760" w:type="dxa"/>
            <w:vAlign w:val="center"/>
          </w:tcPr>
          <w:p w14:paraId="52B28392" w14:textId="718A212F" w:rsidR="004809DF" w:rsidRPr="007E054F" w:rsidRDefault="00A34797" w:rsidP="004809DF">
            <w:pPr>
              <w:jc w:val="both"/>
              <w:rPr>
                <w:rFonts w:ascii="Cambria" w:hAnsi="Cambria"/>
                <w:bCs/>
                <w:sz w:val="20"/>
                <w:szCs w:val="20"/>
              </w:rPr>
            </w:pPr>
            <w:r>
              <w:rPr>
                <w:rFonts w:ascii="Cambria" w:hAnsi="Cambria"/>
                <w:sz w:val="20"/>
                <w:szCs w:val="20"/>
                <w:lang w:val="en"/>
              </w:rPr>
              <w:t>Articles 4 (life), 5 (humane treatment), 7 (personal liberty), 8 (judicial guarantees), 10 (compensation), 17 (rights of the family), 21 (private property), 22 (movement and residency) and 25 (judicial protection) of the American Convention on Human Rights</w:t>
            </w:r>
            <w:r>
              <w:rPr>
                <w:rFonts w:ascii="Cambria" w:hAnsi="Cambria"/>
                <w:sz w:val="20"/>
                <w:szCs w:val="20"/>
                <w:vertAlign w:val="superscript"/>
                <w:lang w:val="en"/>
              </w:rPr>
              <w:footnoteReference w:id="3"/>
            </w:r>
            <w:r>
              <w:rPr>
                <w:rFonts w:ascii="Cambria" w:hAnsi="Cambria"/>
                <w:sz w:val="20"/>
                <w:szCs w:val="20"/>
                <w:lang w:val="en"/>
              </w:rPr>
              <w:t>, read in conjunction with its Article 1(1) (obligation to respect rights)</w:t>
            </w:r>
          </w:p>
        </w:tc>
      </w:tr>
    </w:tbl>
    <w:p w14:paraId="176FB213" w14:textId="77777777" w:rsidR="003239B8" w:rsidRPr="007E054F"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A6644" w:rsidRPr="007E054F" w14:paraId="1D831514" w14:textId="77777777" w:rsidTr="00EC773B">
        <w:tc>
          <w:tcPr>
            <w:tcW w:w="3600" w:type="dxa"/>
            <w:tcBorders>
              <w:top w:val="single" w:sz="6" w:space="0" w:color="auto"/>
              <w:bottom w:val="single" w:sz="6" w:space="0" w:color="auto"/>
            </w:tcBorders>
            <w:shd w:val="clear" w:color="auto" w:fill="67AE3C"/>
            <w:vAlign w:val="center"/>
          </w:tcPr>
          <w:p w14:paraId="330F2ED0" w14:textId="77777777" w:rsidR="001A6644" w:rsidRPr="007E054F" w:rsidRDefault="001A6644" w:rsidP="001A664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760" w:type="dxa"/>
            <w:vAlign w:val="center"/>
          </w:tcPr>
          <w:p w14:paraId="6883A5F8" w14:textId="333C1D3B" w:rsidR="001A6644" w:rsidRPr="007E054F" w:rsidRDefault="001A6644" w:rsidP="001A6644">
            <w:pPr>
              <w:jc w:val="both"/>
              <w:rPr>
                <w:rFonts w:ascii="Cambria" w:hAnsi="Cambria"/>
                <w:bCs/>
                <w:sz w:val="20"/>
                <w:szCs w:val="20"/>
              </w:rPr>
            </w:pPr>
            <w:r>
              <w:rPr>
                <w:rFonts w:ascii="Cambria" w:hAnsi="Cambria"/>
                <w:sz w:val="20"/>
                <w:szCs w:val="20"/>
                <w:lang w:val="en"/>
              </w:rPr>
              <w:t>December 13, 2013.</w:t>
            </w:r>
          </w:p>
        </w:tc>
      </w:tr>
      <w:tr w:rsidR="001A6644" w:rsidRPr="007E054F" w14:paraId="6A9025D9" w14:textId="77777777" w:rsidTr="00EC773B">
        <w:tc>
          <w:tcPr>
            <w:tcW w:w="3600" w:type="dxa"/>
            <w:tcBorders>
              <w:top w:val="single" w:sz="6" w:space="0" w:color="auto"/>
              <w:bottom w:val="single" w:sz="6" w:space="0" w:color="auto"/>
            </w:tcBorders>
            <w:shd w:val="clear" w:color="auto" w:fill="67AE3C"/>
            <w:vAlign w:val="center"/>
          </w:tcPr>
          <w:p w14:paraId="01B3581F" w14:textId="5060866F" w:rsidR="001A6644" w:rsidRPr="007E054F" w:rsidRDefault="001A6644" w:rsidP="001A664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760" w:type="dxa"/>
            <w:vAlign w:val="center"/>
          </w:tcPr>
          <w:p w14:paraId="58485921" w14:textId="61006EB5" w:rsidR="001A6644" w:rsidRPr="007E054F" w:rsidRDefault="00203910" w:rsidP="001A6644">
            <w:pPr>
              <w:jc w:val="both"/>
              <w:rPr>
                <w:rFonts w:ascii="Cambria" w:hAnsi="Cambria"/>
                <w:bCs/>
                <w:sz w:val="20"/>
                <w:szCs w:val="20"/>
              </w:rPr>
            </w:pPr>
            <w:r>
              <w:rPr>
                <w:rFonts w:ascii="Cambria" w:hAnsi="Cambria"/>
                <w:sz w:val="20"/>
                <w:szCs w:val="20"/>
                <w:lang w:val="en"/>
              </w:rPr>
              <w:t>November 27, 2018.</w:t>
            </w:r>
          </w:p>
        </w:tc>
      </w:tr>
      <w:tr w:rsidR="00C972D6" w:rsidRPr="007E054F" w14:paraId="31D045BA" w14:textId="77777777" w:rsidTr="00EC773B">
        <w:tc>
          <w:tcPr>
            <w:tcW w:w="3600" w:type="dxa"/>
            <w:tcBorders>
              <w:top w:val="single" w:sz="6" w:space="0" w:color="auto"/>
              <w:bottom w:val="single" w:sz="6" w:space="0" w:color="auto"/>
            </w:tcBorders>
            <w:shd w:val="clear" w:color="auto" w:fill="67AE3C"/>
            <w:vAlign w:val="center"/>
          </w:tcPr>
          <w:p w14:paraId="7240562B" w14:textId="13623B7D" w:rsidR="00C972D6" w:rsidRPr="007E054F" w:rsidRDefault="00C972D6" w:rsidP="001A6644">
            <w:pPr>
              <w:jc w:val="center"/>
              <w:rPr>
                <w:rFonts w:ascii="Cambria" w:hAnsi="Cambria"/>
                <w:b/>
                <w:color w:val="FFFFFF" w:themeColor="background1"/>
                <w:sz w:val="20"/>
                <w:szCs w:val="20"/>
              </w:rPr>
            </w:pPr>
            <w:r>
              <w:rPr>
                <w:rFonts w:ascii="Cambria" w:hAnsi="Cambria"/>
                <w:b/>
                <w:bCs/>
                <w:color w:val="FFFFFF" w:themeColor="background1"/>
                <w:sz w:val="20"/>
                <w:szCs w:val="20"/>
                <w:lang w:val="en"/>
              </w:rPr>
              <w:t>Extension request</w:t>
            </w:r>
            <w:r w:rsidR="00EC773B">
              <w:rPr>
                <w:rFonts w:ascii="Cambria" w:hAnsi="Cambria"/>
                <w:b/>
                <w:bCs/>
                <w:color w:val="FFFFFF" w:themeColor="background1"/>
                <w:sz w:val="20"/>
                <w:szCs w:val="20"/>
                <w:lang w:val="en"/>
              </w:rPr>
              <w:t>ed</w:t>
            </w:r>
            <w:r>
              <w:rPr>
                <w:rFonts w:ascii="Cambria" w:hAnsi="Cambria"/>
                <w:b/>
                <w:bCs/>
                <w:color w:val="FFFFFF" w:themeColor="background1"/>
                <w:sz w:val="20"/>
                <w:szCs w:val="20"/>
                <w:lang w:val="en"/>
              </w:rPr>
              <w:t>:</w:t>
            </w:r>
          </w:p>
        </w:tc>
        <w:tc>
          <w:tcPr>
            <w:tcW w:w="5760" w:type="dxa"/>
            <w:vAlign w:val="center"/>
          </w:tcPr>
          <w:p w14:paraId="2936AE7A" w14:textId="009A0543" w:rsidR="00C972D6" w:rsidRPr="007E054F" w:rsidRDefault="00C972D6" w:rsidP="001A6644">
            <w:pPr>
              <w:jc w:val="both"/>
              <w:rPr>
                <w:rFonts w:ascii="Cambria" w:hAnsi="Cambria"/>
                <w:bCs/>
                <w:sz w:val="20"/>
                <w:szCs w:val="20"/>
              </w:rPr>
            </w:pPr>
            <w:r>
              <w:rPr>
                <w:rFonts w:ascii="Cambria" w:hAnsi="Cambria"/>
                <w:sz w:val="20"/>
                <w:szCs w:val="20"/>
                <w:lang w:val="en"/>
              </w:rPr>
              <w:t>February 28, 2019</w:t>
            </w:r>
          </w:p>
        </w:tc>
      </w:tr>
      <w:tr w:rsidR="001A6644" w:rsidRPr="007E054F" w14:paraId="1EC979C3" w14:textId="77777777" w:rsidTr="00EC773B">
        <w:tc>
          <w:tcPr>
            <w:tcW w:w="3600" w:type="dxa"/>
            <w:tcBorders>
              <w:top w:val="single" w:sz="6" w:space="0" w:color="auto"/>
              <w:bottom w:val="single" w:sz="6" w:space="0" w:color="auto"/>
            </w:tcBorders>
            <w:shd w:val="clear" w:color="auto" w:fill="67AE3C"/>
            <w:vAlign w:val="center"/>
          </w:tcPr>
          <w:p w14:paraId="3708E507" w14:textId="65D6B69E" w:rsidR="001A6644" w:rsidRPr="007E054F" w:rsidRDefault="001A6644" w:rsidP="001A6644">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State’s first response:</w:t>
            </w:r>
          </w:p>
        </w:tc>
        <w:tc>
          <w:tcPr>
            <w:tcW w:w="5760" w:type="dxa"/>
            <w:vAlign w:val="center"/>
          </w:tcPr>
          <w:p w14:paraId="6B47064C" w14:textId="03C558E8" w:rsidR="001A6644" w:rsidRPr="007E054F" w:rsidRDefault="00C972D6" w:rsidP="001A6644">
            <w:pPr>
              <w:jc w:val="both"/>
              <w:rPr>
                <w:rFonts w:ascii="Cambria" w:hAnsi="Cambria"/>
                <w:bCs/>
                <w:sz w:val="20"/>
                <w:szCs w:val="20"/>
              </w:rPr>
            </w:pPr>
            <w:r>
              <w:rPr>
                <w:rFonts w:ascii="Cambria" w:hAnsi="Cambria"/>
                <w:sz w:val="20"/>
                <w:szCs w:val="20"/>
                <w:lang w:val="en"/>
              </w:rPr>
              <w:t>August 15, 2019.</w:t>
            </w:r>
          </w:p>
        </w:tc>
      </w:tr>
    </w:tbl>
    <w:p w14:paraId="0FC6E9E8" w14:textId="77777777" w:rsidR="003239B8" w:rsidRPr="007E054F"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E054F" w14:paraId="7D299FC7" w14:textId="77777777" w:rsidTr="00EC773B">
        <w:trPr>
          <w:cantSplit/>
        </w:trPr>
        <w:tc>
          <w:tcPr>
            <w:tcW w:w="3561" w:type="dxa"/>
            <w:tcBorders>
              <w:top w:val="single" w:sz="4" w:space="0" w:color="auto"/>
              <w:bottom w:val="single" w:sz="6" w:space="0" w:color="auto"/>
            </w:tcBorders>
            <w:shd w:val="clear" w:color="auto" w:fill="67AE3C"/>
            <w:vAlign w:val="center"/>
          </w:tcPr>
          <w:p w14:paraId="5D0830E9" w14:textId="77777777" w:rsidR="003239B8" w:rsidRPr="007E054F"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76" w:type="dxa"/>
            <w:vAlign w:val="center"/>
          </w:tcPr>
          <w:p w14:paraId="1E494D5D" w14:textId="47C0DB82" w:rsidR="003239B8" w:rsidRPr="007E054F" w:rsidRDefault="00A004BB" w:rsidP="008D2290">
            <w:pPr>
              <w:rPr>
                <w:rFonts w:ascii="Cambria" w:hAnsi="Cambria"/>
                <w:bCs/>
                <w:sz w:val="20"/>
                <w:szCs w:val="20"/>
              </w:rPr>
            </w:pPr>
            <w:r>
              <w:rPr>
                <w:rFonts w:ascii="Cambria" w:hAnsi="Cambria"/>
                <w:sz w:val="20"/>
                <w:szCs w:val="20"/>
                <w:lang w:val="en"/>
              </w:rPr>
              <w:t>Yes</w:t>
            </w:r>
          </w:p>
        </w:tc>
      </w:tr>
      <w:tr w:rsidR="003239B8" w:rsidRPr="007E054F" w14:paraId="54503A4F" w14:textId="77777777" w:rsidTr="00EC773B">
        <w:trPr>
          <w:cantSplit/>
        </w:trPr>
        <w:tc>
          <w:tcPr>
            <w:tcW w:w="3561" w:type="dxa"/>
            <w:tcBorders>
              <w:top w:val="single" w:sz="6" w:space="0" w:color="auto"/>
              <w:bottom w:val="single" w:sz="6" w:space="0" w:color="auto"/>
            </w:tcBorders>
            <w:shd w:val="clear" w:color="auto" w:fill="67AE3C"/>
            <w:vAlign w:val="center"/>
          </w:tcPr>
          <w:p w14:paraId="40E3A1EF" w14:textId="77777777" w:rsidR="003239B8" w:rsidRPr="007E054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76" w:type="dxa"/>
            <w:vAlign w:val="center"/>
          </w:tcPr>
          <w:p w14:paraId="77C8256A" w14:textId="5E819D9D" w:rsidR="003239B8" w:rsidRPr="007E054F" w:rsidRDefault="00A004BB" w:rsidP="008D2290">
            <w:pPr>
              <w:rPr>
                <w:rFonts w:ascii="Cambria" w:hAnsi="Cambria"/>
                <w:bCs/>
                <w:sz w:val="20"/>
                <w:szCs w:val="20"/>
              </w:rPr>
            </w:pPr>
            <w:r>
              <w:rPr>
                <w:rFonts w:ascii="Cambria" w:hAnsi="Cambria"/>
                <w:sz w:val="20"/>
                <w:szCs w:val="20"/>
                <w:lang w:val="en"/>
              </w:rPr>
              <w:t>Yes</w:t>
            </w:r>
          </w:p>
        </w:tc>
      </w:tr>
      <w:tr w:rsidR="003239B8" w:rsidRPr="007E054F" w14:paraId="6618D96A" w14:textId="77777777" w:rsidTr="00EC773B">
        <w:trPr>
          <w:cantSplit/>
        </w:trPr>
        <w:tc>
          <w:tcPr>
            <w:tcW w:w="3561" w:type="dxa"/>
            <w:tcBorders>
              <w:top w:val="single" w:sz="6" w:space="0" w:color="auto"/>
              <w:bottom w:val="single" w:sz="6" w:space="0" w:color="auto"/>
            </w:tcBorders>
            <w:shd w:val="clear" w:color="auto" w:fill="67AE3C"/>
            <w:vAlign w:val="center"/>
          </w:tcPr>
          <w:p w14:paraId="24D9CAA2" w14:textId="77777777" w:rsidR="003239B8" w:rsidRPr="007E054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76" w:type="dxa"/>
            <w:vAlign w:val="center"/>
          </w:tcPr>
          <w:p w14:paraId="523F6BD6" w14:textId="69B6757A" w:rsidR="003239B8" w:rsidRPr="007E054F" w:rsidRDefault="00A004BB" w:rsidP="008D2290">
            <w:pPr>
              <w:rPr>
                <w:rFonts w:ascii="Cambria" w:hAnsi="Cambria"/>
                <w:bCs/>
                <w:sz w:val="20"/>
                <w:szCs w:val="20"/>
              </w:rPr>
            </w:pPr>
            <w:r>
              <w:rPr>
                <w:rFonts w:ascii="Cambria" w:hAnsi="Cambria"/>
                <w:sz w:val="20"/>
                <w:szCs w:val="20"/>
                <w:lang w:val="en"/>
              </w:rPr>
              <w:t>Yes</w:t>
            </w:r>
          </w:p>
        </w:tc>
      </w:tr>
      <w:tr w:rsidR="003239B8" w:rsidRPr="00B006CA" w14:paraId="34C2A0A9" w14:textId="77777777" w:rsidTr="00EC773B">
        <w:trPr>
          <w:cantSplit/>
        </w:trPr>
        <w:tc>
          <w:tcPr>
            <w:tcW w:w="3561" w:type="dxa"/>
            <w:tcBorders>
              <w:top w:val="single" w:sz="6" w:space="0" w:color="auto"/>
              <w:bottom w:val="single" w:sz="6" w:space="0" w:color="auto"/>
            </w:tcBorders>
            <w:shd w:val="clear" w:color="auto" w:fill="67AE3C"/>
            <w:vAlign w:val="center"/>
          </w:tcPr>
          <w:p w14:paraId="6259AE31" w14:textId="77777777" w:rsidR="003239B8" w:rsidRPr="007E054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76" w:type="dxa"/>
            <w:vAlign w:val="center"/>
          </w:tcPr>
          <w:p w14:paraId="257C8337" w14:textId="2AC13AD0" w:rsidR="003239B8" w:rsidRPr="007E054F" w:rsidRDefault="00A004BB" w:rsidP="008D2290">
            <w:pPr>
              <w:jc w:val="both"/>
              <w:rPr>
                <w:rFonts w:ascii="Cambria" w:hAnsi="Cambria"/>
                <w:bCs/>
                <w:sz w:val="20"/>
                <w:szCs w:val="20"/>
              </w:rPr>
            </w:pPr>
            <w:r>
              <w:rPr>
                <w:rFonts w:ascii="Cambria" w:hAnsi="Cambria"/>
                <w:sz w:val="20"/>
                <w:szCs w:val="20"/>
                <w:lang w:val="en"/>
              </w:rPr>
              <w:t xml:space="preserve">Yes, American Convention (instrument deposited on July 31, 1973) </w:t>
            </w:r>
          </w:p>
        </w:tc>
      </w:tr>
    </w:tbl>
    <w:p w14:paraId="299A3868" w14:textId="763E2446" w:rsidR="003239B8" w:rsidRPr="007E054F"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7E054F" w14:paraId="161C8568" w14:textId="77777777" w:rsidTr="00EC773B">
        <w:trPr>
          <w:cantSplit/>
        </w:trPr>
        <w:tc>
          <w:tcPr>
            <w:tcW w:w="3566" w:type="dxa"/>
            <w:tcBorders>
              <w:top w:val="single" w:sz="4" w:space="0" w:color="auto"/>
              <w:bottom w:val="single" w:sz="6" w:space="0" w:color="auto"/>
            </w:tcBorders>
            <w:shd w:val="clear" w:color="auto" w:fill="67AE3C"/>
            <w:vAlign w:val="center"/>
          </w:tcPr>
          <w:p w14:paraId="1C72AC6C" w14:textId="77777777" w:rsidR="00EE00E9" w:rsidRPr="007E054F"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771" w:type="dxa"/>
            <w:vAlign w:val="center"/>
          </w:tcPr>
          <w:p w14:paraId="764D7F60" w14:textId="003B40D1" w:rsidR="00EE00E9" w:rsidRPr="007E054F" w:rsidRDefault="00A004BB" w:rsidP="008D2290">
            <w:pPr>
              <w:jc w:val="both"/>
              <w:rPr>
                <w:rFonts w:ascii="Cambria" w:hAnsi="Cambria"/>
                <w:bCs/>
                <w:sz w:val="20"/>
                <w:szCs w:val="20"/>
              </w:rPr>
            </w:pPr>
            <w:r>
              <w:rPr>
                <w:rFonts w:ascii="Cambria" w:hAnsi="Cambria"/>
                <w:sz w:val="20"/>
                <w:szCs w:val="20"/>
                <w:lang w:val="en"/>
              </w:rPr>
              <w:t>No</w:t>
            </w:r>
          </w:p>
        </w:tc>
      </w:tr>
      <w:tr w:rsidR="003239B8" w:rsidRPr="007E054F" w14:paraId="3ED57BF3" w14:textId="77777777" w:rsidTr="00EC773B">
        <w:trPr>
          <w:cantSplit/>
        </w:trPr>
        <w:tc>
          <w:tcPr>
            <w:tcW w:w="3566" w:type="dxa"/>
            <w:tcBorders>
              <w:top w:val="single" w:sz="6" w:space="0" w:color="auto"/>
              <w:bottom w:val="single" w:sz="6" w:space="0" w:color="auto"/>
            </w:tcBorders>
            <w:shd w:val="clear" w:color="auto" w:fill="67AE3C"/>
            <w:vAlign w:val="center"/>
          </w:tcPr>
          <w:p w14:paraId="5F36A040" w14:textId="77777777" w:rsidR="003239B8" w:rsidRPr="007E054F"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771" w:type="dxa"/>
            <w:vAlign w:val="center"/>
          </w:tcPr>
          <w:p w14:paraId="4DAE9D4D" w14:textId="35DE3AAD" w:rsidR="0026174C" w:rsidRPr="007E054F" w:rsidRDefault="005A7453" w:rsidP="008D2290">
            <w:pPr>
              <w:jc w:val="both"/>
              <w:rPr>
                <w:rFonts w:ascii="Cambria" w:hAnsi="Cambria"/>
                <w:bCs/>
                <w:sz w:val="20"/>
                <w:szCs w:val="20"/>
              </w:rPr>
            </w:pPr>
            <w:r>
              <w:rPr>
                <w:rFonts w:asciiTheme="majorHAnsi" w:hAnsiTheme="majorHAnsi"/>
                <w:sz w:val="20"/>
                <w:szCs w:val="20"/>
                <w:lang w:val="en"/>
              </w:rPr>
              <w:t>None</w:t>
            </w:r>
          </w:p>
        </w:tc>
      </w:tr>
      <w:tr w:rsidR="003239B8" w:rsidRPr="00B006CA" w14:paraId="5702249F" w14:textId="77777777" w:rsidTr="00EC773B">
        <w:trPr>
          <w:cantSplit/>
        </w:trPr>
        <w:tc>
          <w:tcPr>
            <w:tcW w:w="3566" w:type="dxa"/>
            <w:tcBorders>
              <w:top w:val="single" w:sz="6" w:space="0" w:color="auto"/>
              <w:bottom w:val="single" w:sz="6" w:space="0" w:color="auto"/>
            </w:tcBorders>
            <w:shd w:val="clear" w:color="auto" w:fill="67AE3C"/>
            <w:vAlign w:val="center"/>
          </w:tcPr>
          <w:p w14:paraId="1F00DF1D" w14:textId="77777777" w:rsidR="003239B8" w:rsidRPr="007E054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771" w:type="dxa"/>
            <w:vAlign w:val="center"/>
          </w:tcPr>
          <w:p w14:paraId="7F7C1A19" w14:textId="76E8E522" w:rsidR="003239B8" w:rsidRPr="007E054F" w:rsidRDefault="005A7453" w:rsidP="00E038D4">
            <w:pPr>
              <w:jc w:val="both"/>
              <w:rPr>
                <w:rFonts w:ascii="Cambria" w:hAnsi="Cambria"/>
                <w:bCs/>
                <w:sz w:val="20"/>
                <w:szCs w:val="20"/>
              </w:rPr>
            </w:pPr>
            <w:r>
              <w:rPr>
                <w:rFonts w:ascii="Cambria" w:hAnsi="Cambria"/>
                <w:sz w:val="20"/>
                <w:szCs w:val="20"/>
                <w:lang w:val="en"/>
              </w:rPr>
              <w:t>No, pursuant to the terms of Section VI</w:t>
            </w:r>
          </w:p>
        </w:tc>
      </w:tr>
      <w:tr w:rsidR="003239B8" w:rsidRPr="00B006CA" w14:paraId="7A101B89" w14:textId="77777777" w:rsidTr="00EC773B">
        <w:trPr>
          <w:cantSplit/>
        </w:trPr>
        <w:tc>
          <w:tcPr>
            <w:tcW w:w="3566" w:type="dxa"/>
            <w:tcBorders>
              <w:top w:val="single" w:sz="6" w:space="0" w:color="auto"/>
              <w:bottom w:val="single" w:sz="6" w:space="0" w:color="auto"/>
            </w:tcBorders>
            <w:shd w:val="clear" w:color="auto" w:fill="67AE3C"/>
            <w:vAlign w:val="center"/>
          </w:tcPr>
          <w:p w14:paraId="0843C533" w14:textId="77777777" w:rsidR="003239B8" w:rsidRPr="007E054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771" w:type="dxa"/>
            <w:vAlign w:val="center"/>
          </w:tcPr>
          <w:p w14:paraId="2AF0FC69" w14:textId="3087394A" w:rsidR="003239B8" w:rsidRPr="007E054F" w:rsidRDefault="00274E6D" w:rsidP="008D2290">
            <w:pPr>
              <w:rPr>
                <w:rFonts w:ascii="Cambria" w:hAnsi="Cambria"/>
                <w:bCs/>
                <w:sz w:val="20"/>
                <w:szCs w:val="20"/>
              </w:rPr>
            </w:pPr>
            <w:r>
              <w:rPr>
                <w:rFonts w:ascii="Cambria" w:hAnsi="Cambria"/>
                <w:sz w:val="20"/>
                <w:szCs w:val="20"/>
                <w:lang w:val="en"/>
              </w:rPr>
              <w:t>No, pursuant to the terms of Section VI</w:t>
            </w:r>
          </w:p>
        </w:tc>
      </w:tr>
    </w:tbl>
    <w:p w14:paraId="56FD5D57" w14:textId="4A37A71A" w:rsidR="003239B8" w:rsidRPr="00E60A2E" w:rsidRDefault="00223A29" w:rsidP="001443F7">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r>
      <w:r w:rsidR="00F545AE">
        <w:rPr>
          <w:rFonts w:asciiTheme="majorHAnsi" w:hAnsiTheme="majorHAnsi"/>
          <w:b/>
          <w:bCs/>
          <w:sz w:val="20"/>
          <w:szCs w:val="20"/>
          <w:lang w:val="en"/>
        </w:rPr>
        <w:t>PARTIES’ POSITIONS</w:t>
      </w:r>
      <w:r>
        <w:rPr>
          <w:rFonts w:asciiTheme="majorHAnsi" w:hAnsiTheme="majorHAnsi"/>
          <w:b/>
          <w:bCs/>
          <w:sz w:val="20"/>
          <w:szCs w:val="20"/>
          <w:lang w:val="en"/>
        </w:rPr>
        <w:t xml:space="preserve"> </w:t>
      </w:r>
    </w:p>
    <w:p w14:paraId="4EA306E2" w14:textId="16946835" w:rsidR="00785B6C" w:rsidRPr="00E60A2E" w:rsidRDefault="00785B6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Pr>
          <w:rFonts w:asciiTheme="majorHAnsi" w:hAnsiTheme="majorHAnsi"/>
          <w:i/>
          <w:iCs/>
          <w:sz w:val="20"/>
          <w:szCs w:val="20"/>
          <w:lang w:val="en"/>
        </w:rPr>
        <w:t>Position of the petitioner</w:t>
      </w:r>
    </w:p>
    <w:p w14:paraId="5507D85F" w14:textId="640214C2" w:rsidR="00C972D6" w:rsidRPr="00E60A2E" w:rsidRDefault="00441827" w:rsidP="006B6F0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color w:val="auto"/>
          <w:sz w:val="20"/>
          <w:szCs w:val="20"/>
          <w:lang w:val="en"/>
        </w:rPr>
        <w:t>The petitioner alleges a failure to provide compensation for the forced displacement of Lucero Sarria Reyes and her son, Alón Esthewar Sarria Reyes, caused by members of the paramilitary group Autodefensas Unidas de Colombia (hereinafter "AUC").</w:t>
      </w:r>
    </w:p>
    <w:p w14:paraId="27F5894F" w14:textId="77777777" w:rsidR="00240488" w:rsidRPr="00E60A2E" w:rsidRDefault="00F02F62" w:rsidP="002D3B0D">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lastRenderedPageBreak/>
        <w:t xml:space="preserve">The petitioner states that </w:t>
      </w:r>
      <w:r>
        <w:rPr>
          <w:rFonts w:asciiTheme="majorHAnsi" w:hAnsiTheme="majorHAnsi"/>
          <w:sz w:val="20"/>
          <w:szCs w:val="20"/>
          <w:lang w:val="en"/>
        </w:rPr>
        <w:t xml:space="preserve">on May 4, 1998, in the municipality of Puerto Alvira, Meta, Lucero Sarria Reyes and her son, Alón Esthewar Sarria Reyes, were at the mercy of AUC paramilitaries and forcibly displaced by them. </w:t>
      </w:r>
      <w:r>
        <w:rPr>
          <w:rFonts w:asciiTheme="majorHAnsi" w:hAnsiTheme="majorHAnsi"/>
          <w:color w:val="auto"/>
          <w:sz w:val="20"/>
          <w:szCs w:val="20"/>
          <w:lang w:val="en"/>
        </w:rPr>
        <w:t xml:space="preserve">The petitioner argues that </w:t>
      </w:r>
      <w:r>
        <w:rPr>
          <w:rFonts w:asciiTheme="majorHAnsi" w:hAnsiTheme="majorHAnsi"/>
          <w:sz w:val="20"/>
          <w:szCs w:val="20"/>
          <w:lang w:val="en"/>
        </w:rPr>
        <w:t>military and police authorities should have been providing security at the location where the facts took place.</w:t>
      </w:r>
    </w:p>
    <w:p w14:paraId="23CA1816" w14:textId="56B1908C" w:rsidR="00AF58FC" w:rsidRPr="00E60A2E" w:rsidRDefault="00240488" w:rsidP="002D3B0D">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The petition also references the murder of Ms. Sarria Reyes and her son; however, the IACHR notes that the petition is not clear with respect to the alleged murder, as it presents information contradicting the claim that the alleged victims had died, since it indicates that the displacement caused them serious economic and moral damage that persists to this day, meaning that they are alive. </w:t>
      </w:r>
      <w:r>
        <w:rPr>
          <w:rFonts w:asciiTheme="majorHAnsi" w:hAnsiTheme="majorHAnsi"/>
          <w:color w:val="auto"/>
          <w:sz w:val="20"/>
          <w:szCs w:val="20"/>
          <w:lang w:val="en"/>
        </w:rPr>
        <w:t>In addition, the petitioner alleges a failure to compensate the alleged victims for the moral and economic damage caused. It therefore asks the IACHR to declare the Colombian State responsible for the forced displacement of the alleged victims and to order payment of fair compensation for the moral and economic damage caused.</w:t>
      </w:r>
    </w:p>
    <w:p w14:paraId="4CD89103" w14:textId="141E854C" w:rsidR="00B603D2" w:rsidRPr="00E60A2E" w:rsidRDefault="00212D52" w:rsidP="00307DF2">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With respect to domestic proceedings, the petition is quite brief. It indicates that "these crimes</w:t>
      </w:r>
      <w:r>
        <w:rPr>
          <w:rFonts w:asciiTheme="majorHAnsi" w:hAnsiTheme="majorHAnsi"/>
          <w:sz w:val="20"/>
          <w:szCs w:val="20"/>
          <w:lang w:val="en"/>
        </w:rPr>
        <w:t xml:space="preserve"> were reported to the authorities in Colombia, and the ordinary proceedings were handled by the Attorney General's Office." It indicates that the case was processed in a proceeding under Law 975 of 2005</w:t>
      </w:r>
      <w:r>
        <w:rPr>
          <w:rFonts w:asciiTheme="majorHAnsi" w:hAnsiTheme="majorHAnsi"/>
          <w:sz w:val="20"/>
          <w:szCs w:val="20"/>
          <w:vertAlign w:val="superscript"/>
          <w:lang w:val="en"/>
        </w:rPr>
        <w:footnoteReference w:id="5"/>
      </w:r>
      <w:r>
        <w:rPr>
          <w:rFonts w:asciiTheme="majorHAnsi" w:hAnsiTheme="majorHAnsi"/>
          <w:sz w:val="20"/>
          <w:szCs w:val="20"/>
          <w:lang w:val="en"/>
        </w:rPr>
        <w:t>—also known as the Justice and Peace Law—under case numbers 292778 and 157103, but does not indicate the status of the proceedings, nor does it provide any other information.</w:t>
      </w:r>
    </w:p>
    <w:p w14:paraId="5ADDDB3C" w14:textId="2278843F" w:rsidR="00AF58FC" w:rsidRPr="00E60A2E" w:rsidRDefault="007D52FE" w:rsidP="00307DF2">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The petitioner makes the general claim that the Justice and Peace Jurisdiction did not achieve the objectives of truth, justice and reparation it set out to achieve, since of the 35,200 perpetrators, only 11 had been sentenced as of 2013, and of the six million victims, approximately 5% had received reparations. The petitioner argues that the enactment of Law 1448 of 2011, the Victims and Land Restitution Act, eliminated reparations from the criminal Justice and Peace process, replacing it with administrative mechanisms for providing reparation to victims.</w:t>
      </w:r>
    </w:p>
    <w:p w14:paraId="5133F3E6" w14:textId="62417C59" w:rsidR="00212D52" w:rsidRPr="00E60A2E" w:rsidRDefault="00212D52" w:rsidP="00212D52">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rPr>
      </w:pPr>
      <w:r>
        <w:rPr>
          <w:rFonts w:asciiTheme="majorHAnsi" w:hAnsiTheme="majorHAnsi"/>
          <w:i/>
          <w:iCs/>
          <w:color w:val="auto"/>
          <w:sz w:val="20"/>
          <w:szCs w:val="20"/>
          <w:lang w:val="en"/>
        </w:rPr>
        <w:t>Position of the State of Colombia</w:t>
      </w:r>
    </w:p>
    <w:p w14:paraId="7483F6C2" w14:textId="382ACF6A" w:rsidR="000000CA" w:rsidRPr="00E60A2E" w:rsidRDefault="000000CA" w:rsidP="00CF79EA">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According to the State, </w:t>
      </w:r>
      <w:r>
        <w:rPr>
          <w:rFonts w:asciiTheme="majorHAnsi" w:hAnsiTheme="majorHAnsi"/>
          <w:sz w:val="20"/>
          <w:szCs w:val="20"/>
          <w:lang w:val="en"/>
        </w:rPr>
        <w:t>different sections of the initial petition erroneously state that the alleged violation by the State was a result of the "murder" of the alleged victims. However, the alleged victims have reported the alleged forced displacement to the competent authorities and are alive.</w:t>
      </w:r>
    </w:p>
    <w:p w14:paraId="40F40420" w14:textId="73D8BA45" w:rsidR="000000CA" w:rsidRPr="00E60A2E" w:rsidRDefault="000000CA" w:rsidP="00E7167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szCs w:val="20"/>
          <w:lang w:val="en"/>
        </w:rPr>
        <w:t xml:space="preserve">The State notes that it conducted a criminal investigation into the alleged facts, </w:t>
      </w:r>
      <w:r>
        <w:rPr>
          <w:rFonts w:asciiTheme="majorHAnsi" w:hAnsiTheme="majorHAnsi"/>
          <w:sz w:val="20"/>
          <w:szCs w:val="20"/>
          <w:lang w:val="en"/>
        </w:rPr>
        <w:t xml:space="preserve">No. SIJYP 116626, under Justice and Peace Law 975 of 2005. According to the State's August 2019 brief, it is ongoing—specifically, at the indictment hearing stage and awaiting a hearing. </w:t>
      </w:r>
      <w:r>
        <w:rPr>
          <w:rFonts w:asciiTheme="majorHAnsi" w:hAnsiTheme="majorHAnsi"/>
          <w:color w:val="auto"/>
          <w:sz w:val="20"/>
          <w:szCs w:val="20"/>
          <w:lang w:val="en"/>
        </w:rPr>
        <w:t xml:space="preserve">Likewise, </w:t>
      </w:r>
      <w:r>
        <w:rPr>
          <w:rFonts w:asciiTheme="majorHAnsi" w:hAnsiTheme="majorHAnsi"/>
          <w:sz w:val="20"/>
          <w:szCs w:val="20"/>
          <w:lang w:val="en"/>
        </w:rPr>
        <w:t>according to the information submitted by the Unit for Comprehensive Victim Response and Reparation, the alleged victims are included in the Unified Victims Registry for the forced displacement that took place in May 1998.</w:t>
      </w:r>
    </w:p>
    <w:p w14:paraId="2AD39CAC" w14:textId="77777777" w:rsidR="000000CA" w:rsidRPr="00E60A2E" w:rsidRDefault="000000CA" w:rsidP="00F60CC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For its part, the Ministry of National Defense reported that after reviewing its databases, it did not find any administrative litigation proceedings brought against the National Police for the facts in question.</w:t>
      </w:r>
    </w:p>
    <w:p w14:paraId="3649E255" w14:textId="5A3618AA" w:rsidR="000000CA" w:rsidRPr="00E60A2E" w:rsidRDefault="000000CA" w:rsidP="00B800F2">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The State argues that domestic remedies were not exhausted in relation to the criminal proceeding and the contentious-administrative proceeding. It also states that none of the grounds for exemption from the exhaustion of domestic remedies apply because the State's legislation provides for due process of law and access to criminal proceedings; and it argues there was no unjustified delay in the resolution of the case, considering the complexity of the matter and the diligent action of the Colombian State in the investigation of the facts.</w:t>
      </w:r>
    </w:p>
    <w:p w14:paraId="0EB1969D" w14:textId="77777777" w:rsidR="00BE6E20" w:rsidRPr="00E60A2E" w:rsidRDefault="00B800F2" w:rsidP="003474CF">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 xml:space="preserve">Regarding the complexity, it indicates that many of the facts took place in Puerto Alvira on May 3, 1998, and that they involved a massacre, multiple blocs of self-defense groups, acts of terrorism, and multiple crimes, among them aggravated homicide, forced disappearance, forced displacement, and aggravated theft, as well as damage to civilian structures and illegal seizure of property. The multiple actors involved and </w:t>
      </w:r>
      <w:r>
        <w:rPr>
          <w:rFonts w:asciiTheme="majorHAnsi" w:hAnsiTheme="majorHAnsi"/>
          <w:sz w:val="20"/>
          <w:szCs w:val="20"/>
          <w:lang w:val="en"/>
        </w:rPr>
        <w:lastRenderedPageBreak/>
        <w:t xml:space="preserve">the plurality of criminal acts, in a context of an internal armed conflict in a region that is difficult to access, justify the length of the process concerning the alleged victims. </w:t>
      </w:r>
    </w:p>
    <w:p w14:paraId="3C65B99A" w14:textId="710B5300" w:rsidR="00B800F2" w:rsidRPr="00E60A2E" w:rsidRDefault="00BE6E20" w:rsidP="003474CF">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Regarding diligent action, the State reports that at the domestic level, it adopted several measures aimed at clarifying the facts and identifying those responsible. It cites the following as among its investigative activities: taking of statements, field investigations to locate the victims and the alleged perpetrators, taking of voluntary confessions, interrogations, and the imposition of security measures.</w:t>
      </w:r>
    </w:p>
    <w:p w14:paraId="4CE90703" w14:textId="316E5CEB" w:rsidR="00C972D6" w:rsidRPr="00E60A2E" w:rsidRDefault="00BE6E20" w:rsidP="00F60CC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Furthermore, the State argues that the petition in question is time-barred, inasmuch as the facts that are the basis of the alleged victims' allegations took place May 4, 1998, but the international complaint was filed on December 13, 2013—that is, 15 years and 7 months after the facts took place.</w:t>
      </w:r>
    </w:p>
    <w:p w14:paraId="410FB374" w14:textId="1213A9D6" w:rsidR="00C972D6" w:rsidRPr="00E60A2E" w:rsidRDefault="000000CA" w:rsidP="00C972D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lang w:val="en"/>
        </w:rPr>
        <w:t>The State also argues that the petitioner's allegations are manifestly groundless. According to the State, in the investigation conducted by the Attorney General's Office, a confession was secured for the alleged act in joint deposition hearings held on November 25, 2010, December 2011, and January and August 2012, from former commanders of the Centauros Bloc of the AUC. In this sense, the petitioner cannot assert that the alleged violations of the alleged victims' rights are attributable to Colombia.</w:t>
      </w:r>
    </w:p>
    <w:p w14:paraId="6B466593" w14:textId="57173F11" w:rsidR="00B83158" w:rsidRPr="00E60A2E" w:rsidRDefault="00B83158" w:rsidP="001443F7">
      <w:pPr>
        <w:spacing w:before="240" w:after="240"/>
        <w:ind w:firstLine="720"/>
        <w:jc w:val="both"/>
        <w:rPr>
          <w:rFonts w:asciiTheme="majorHAnsi" w:hAnsiTheme="majorHAnsi"/>
          <w:sz w:val="20"/>
          <w:szCs w:val="20"/>
        </w:rPr>
      </w:pPr>
      <w:r>
        <w:rPr>
          <w:rFonts w:asciiTheme="majorHAnsi" w:hAnsiTheme="majorHAnsi"/>
          <w:b/>
          <w:bCs/>
          <w:sz w:val="20"/>
          <w:szCs w:val="20"/>
          <w:lang w:val="en"/>
        </w:rPr>
        <w:t xml:space="preserve">VI. </w:t>
      </w:r>
      <w:r>
        <w:rPr>
          <w:rFonts w:asciiTheme="majorHAnsi" w:hAnsiTheme="majorHAnsi"/>
          <w:sz w:val="20"/>
          <w:szCs w:val="2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41A08CA2" w14:textId="0C4072A9" w:rsidR="00686EAD" w:rsidRPr="00E60A2E" w:rsidRDefault="003B3829" w:rsidP="00FF396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szCs w:val="20"/>
          <w:lang w:val="en"/>
        </w:rPr>
        <w:t>For the purposes of assessing the suitability of the remedies available in the domestic legal system, the Commission usually establishes the specific claim that has been made and then identifies the judicial remedies provided by the domestic legal system that were available and adequate to air that particular claim. This is precisely where the suitability and effectiveness of each remedy, considered specifically, lies, in that it should provide a real opportunity for the alleged human rights violation to be remedied and resolved by the national authorities before a victim can turn to the Inter-American human rights protection system.</w:t>
      </w:r>
      <w:r>
        <w:rPr>
          <w:rStyle w:val="FootnoteReference"/>
          <w:sz w:val="20"/>
          <w:szCs w:val="20"/>
          <w:lang w:val="en"/>
        </w:rPr>
        <w:footnoteReference w:id="6"/>
      </w:r>
    </w:p>
    <w:p w14:paraId="7539636E" w14:textId="4EB03DA2" w:rsidR="00544626" w:rsidRPr="00E60A2E" w:rsidRDefault="0069595E" w:rsidP="00FF396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szCs w:val="20"/>
          <w:lang w:val="en"/>
        </w:rPr>
        <w:t xml:space="preserve">Thus, the Commission observes that the petitioner’s central claim is that the State failed to provide compensation for the forced displacement of the alleged victims. In effect, it emphasizes in its initial petition that </w:t>
      </w:r>
      <w:r w:rsidRPr="00F545AE">
        <w:rPr>
          <w:sz w:val="20"/>
          <w:szCs w:val="20"/>
          <w:lang w:val="en"/>
        </w:rPr>
        <w:t>"</w:t>
      </w:r>
      <w:r w:rsidR="00F545AE" w:rsidRPr="00F545AE">
        <w:rPr>
          <w:sz w:val="20"/>
          <w:szCs w:val="20"/>
          <w:lang w:val="en"/>
        </w:rPr>
        <w:t>[</w:t>
      </w:r>
      <w:r w:rsidRPr="00F545AE">
        <w:rPr>
          <w:sz w:val="20"/>
          <w:szCs w:val="20"/>
          <w:lang w:val="en"/>
        </w:rPr>
        <w:t>...</w:t>
      </w:r>
      <w:r w:rsidR="00F545AE" w:rsidRPr="00F545AE">
        <w:rPr>
          <w:sz w:val="20"/>
          <w:szCs w:val="20"/>
          <w:lang w:val="en"/>
        </w:rPr>
        <w:t>]</w:t>
      </w:r>
      <w:r w:rsidRPr="00F545AE">
        <w:rPr>
          <w:i/>
          <w:iCs/>
          <w:sz w:val="20"/>
          <w:szCs w:val="20"/>
          <w:lang w:val="en"/>
        </w:rPr>
        <w:t xml:space="preserve"> the State of Colombia has not fairly compensated the victims for the moral and economic harm caused, failing to comply with its international human rights obligations</w:t>
      </w:r>
      <w:r>
        <w:rPr>
          <w:sz w:val="20"/>
          <w:szCs w:val="20"/>
          <w:lang w:val="en"/>
        </w:rPr>
        <w:t>." This is evident from the fact that the petitioner emphasizes the remedies related to reparation within the criminal proceedings before Justice and Peace—of whose status it is unaware—and the exhaustion of the administrative remedy of reparation, with the victims’ inclusion in the Single Registry of Victims.</w:t>
      </w:r>
    </w:p>
    <w:p w14:paraId="7984F900" w14:textId="3FCF367F" w:rsidR="00D41A4E" w:rsidRPr="002B353F" w:rsidRDefault="004E7D52" w:rsidP="00FF396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szCs w:val="20"/>
          <w:lang w:val="en"/>
        </w:rPr>
        <w:t>The IACHR therefore considers that the remedy provided by domestic legislation to address the claim for compensation for human rights violations in Colombia is for direct reparation from the State—that is, the contentious-administrative remedy;</w:t>
      </w:r>
      <w:r>
        <w:rPr>
          <w:rStyle w:val="FootnoteReference"/>
          <w:sz w:val="20"/>
          <w:szCs w:val="20"/>
          <w:lang w:val="en"/>
        </w:rPr>
        <w:footnoteReference w:id="7"/>
      </w:r>
      <w:r>
        <w:rPr>
          <w:sz w:val="20"/>
          <w:szCs w:val="20"/>
          <w:lang w:val="en"/>
        </w:rPr>
        <w:t xml:space="preserve"> however, if the petitioner decides to resort to the administrative remedy for reparation, it must exhaust that procedure, as well as the ordinary judicial remedies available administratively in order to obtain “fair compensation.” In this regard, the State indicated that the petitioner had not filed any suit at the domestic level to make this claim, despite the fact that the petitioner argues that the State should have provided security to prevent forced displacement. It also indicated that the alleged victims are registered with the Victims Unit so they can receive the corresponding administrative compensation.</w:t>
      </w:r>
    </w:p>
    <w:p w14:paraId="51412042" w14:textId="77777777" w:rsidR="002B353F" w:rsidRPr="00E60A2E" w:rsidRDefault="002B353F" w:rsidP="002B353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rPr>
      </w:pPr>
    </w:p>
    <w:p w14:paraId="72E5828A" w14:textId="77777777" w:rsidR="00D043B3" w:rsidRPr="00D043B3" w:rsidRDefault="003B22DF" w:rsidP="00D043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szCs w:val="20"/>
          <w:lang w:val="en"/>
        </w:rPr>
        <w:lastRenderedPageBreak/>
        <w:t>Given that the petitioner failed to demonstrate that it had exhausted the claim for direct reparations, nor had it exhausted the administrative and judicial remedies for reparation before the Victims Unit, the Commission cannot conclude that the requirement of prior exhaustion of domestic remedies, established in Article 46(1)(a) of the American Convention, has been met. Consequently, this petition should be declared inadmissible.</w:t>
      </w:r>
    </w:p>
    <w:p w14:paraId="016AFBE5" w14:textId="588AFC0A" w:rsidR="00F54511" w:rsidRPr="00D043B3" w:rsidRDefault="00D043B3" w:rsidP="00D043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szCs w:val="20"/>
          <w:lang w:val="en"/>
        </w:rPr>
        <w:t>Lastly, the Inter-American Commission recalls that although due to the nature of the bodies of the inter-American human rights system, the presentation of contentious cases before them is, by its nature, not a very formalistic exercise compared to other legal proceedings at the domestic level, it does require compliance with a series of minimum requirements and conditions, and demands a level of commitment and ethics from the petitioners before the bodies of the Inter-American System, especially with respect to the victims, who are ultimately the objective and reason for international human rights law itself.</w:t>
      </w:r>
      <w:r>
        <w:rPr>
          <w:rStyle w:val="FootnoteReference"/>
          <w:sz w:val="20"/>
          <w:szCs w:val="20"/>
          <w:lang w:val="en"/>
        </w:rPr>
        <w:footnoteReference w:id="8"/>
      </w:r>
      <w:r>
        <w:rPr>
          <w:sz w:val="20"/>
          <w:szCs w:val="20"/>
          <w:lang w:val="en"/>
        </w:rPr>
        <w:t xml:space="preserve"> </w:t>
      </w:r>
    </w:p>
    <w:p w14:paraId="40DABB4D" w14:textId="2417D8CF" w:rsidR="006E3BAD" w:rsidRPr="00E60A2E" w:rsidRDefault="00C9124E" w:rsidP="002B353F">
      <w:pPr>
        <w:pStyle w:val="ListParagraph"/>
        <w:spacing w:before="240" w:after="240"/>
        <w:jc w:val="both"/>
        <w:rPr>
          <w:rFonts w:asciiTheme="majorHAnsi" w:hAnsiTheme="majorHAnsi"/>
          <w:b/>
          <w:color w:val="auto"/>
          <w:sz w:val="20"/>
          <w:szCs w:val="20"/>
        </w:rPr>
      </w:pPr>
      <w:r w:rsidRPr="002B353F">
        <w:rPr>
          <w:rFonts w:asciiTheme="majorHAnsi" w:eastAsia="Arial Unicode MS" w:hAnsiTheme="majorHAnsi" w:cs="Times New Roman"/>
          <w:b/>
          <w:bCs/>
          <w:color w:val="auto"/>
          <w:sz w:val="20"/>
          <w:szCs w:val="20"/>
          <w:lang w:val="en" w:eastAsia="en-US"/>
        </w:rPr>
        <w:t xml:space="preserve">VII. </w:t>
      </w:r>
      <w:r>
        <w:rPr>
          <w:rFonts w:asciiTheme="majorHAnsi" w:hAnsiTheme="majorHAnsi"/>
          <w:color w:val="auto"/>
          <w:sz w:val="20"/>
          <w:szCs w:val="20"/>
          <w:lang w:val="en"/>
        </w:rPr>
        <w:tab/>
      </w:r>
      <w:r>
        <w:rPr>
          <w:rFonts w:asciiTheme="majorHAnsi" w:hAnsiTheme="majorHAnsi"/>
          <w:b/>
          <w:bCs/>
          <w:color w:val="auto"/>
          <w:sz w:val="20"/>
          <w:szCs w:val="20"/>
          <w:lang w:val="en"/>
        </w:rPr>
        <w:t>DECISION</w:t>
      </w:r>
    </w:p>
    <w:p w14:paraId="15C58DEE" w14:textId="24D93A2F" w:rsidR="00E9667E" w:rsidRPr="00E60A2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To declare this petition inadmissible; </w:t>
      </w:r>
    </w:p>
    <w:p w14:paraId="245C05A6" w14:textId="3C99D3C6" w:rsidR="006E3BAD" w:rsidRPr="002B353F"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szCs w:val="20"/>
          <w:lang w:val="en"/>
        </w:rPr>
        <w:t>To notify the parties of this decision; and to publish this decision and include it in its Annual Report to the General Assembly of the Organization of American States.</w:t>
      </w:r>
    </w:p>
    <w:p w14:paraId="42BCC428" w14:textId="23B363BF" w:rsidR="0009193B" w:rsidRDefault="0009193B" w:rsidP="0009193B">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F53A9A">
        <w:rPr>
          <w:rFonts w:ascii="Cambria" w:hAnsi="Cambria"/>
          <w:spacing w:val="-2"/>
          <w:sz w:val="20"/>
        </w:rPr>
        <w:t>30</w:t>
      </w:r>
      <w:r w:rsidR="00F53A9A" w:rsidRPr="00F53A9A">
        <w:rPr>
          <w:rFonts w:ascii="Cambria" w:hAnsi="Cambria"/>
          <w:spacing w:val="-2"/>
          <w:sz w:val="20"/>
          <w:vertAlign w:val="superscript"/>
        </w:rPr>
        <w:t>th</w:t>
      </w:r>
      <w:r w:rsidR="00F53A9A">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F53A9A">
        <w:rPr>
          <w:rFonts w:ascii="Cambria" w:hAnsi="Cambria"/>
          <w:spacing w:val="-2"/>
          <w:sz w:val="20"/>
        </w:rPr>
        <w:t>April</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5EBE0E2B" w14:textId="77777777" w:rsidR="0009193B" w:rsidRPr="00CA3324" w:rsidRDefault="0009193B" w:rsidP="0009193B">
      <w:pPr>
        <w:suppressAutoHyphens/>
        <w:ind w:firstLine="720"/>
        <w:jc w:val="both"/>
        <w:rPr>
          <w:rFonts w:ascii="Cambria" w:hAnsi="Cambria"/>
          <w:spacing w:val="-2"/>
          <w:sz w:val="20"/>
        </w:rPr>
      </w:pPr>
    </w:p>
    <w:p w14:paraId="0979735F" w14:textId="7FDCCA8F" w:rsidR="0009193B" w:rsidRPr="00F23243" w:rsidRDefault="0009193B" w:rsidP="0009193B">
      <w:pPr>
        <w:suppressAutoHyphens/>
        <w:jc w:val="center"/>
        <w:rPr>
          <w:rFonts w:ascii="Cambria" w:hAnsi="Cambria" w:cs="Arial"/>
          <w:sz w:val="20"/>
        </w:rPr>
      </w:pPr>
    </w:p>
    <w:p w14:paraId="2CA94DEB" w14:textId="77777777" w:rsidR="002B353F" w:rsidRPr="00F23243" w:rsidRDefault="002B353F" w:rsidP="002B353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rPr>
      </w:pPr>
    </w:p>
    <w:p w14:paraId="153BB5B6" w14:textId="77777777" w:rsidR="002B353F" w:rsidRPr="00F23243" w:rsidRDefault="002B353F" w:rsidP="002B353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rPr>
      </w:pPr>
    </w:p>
    <w:sectPr w:rsidR="002B353F" w:rsidRPr="00F23243" w:rsidSect="001E780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137E" w14:textId="77777777" w:rsidR="001E7805" w:rsidRDefault="001E7805">
      <w:r>
        <w:separator/>
      </w:r>
    </w:p>
  </w:endnote>
  <w:endnote w:type="continuationSeparator" w:id="0">
    <w:p w14:paraId="12EE4784" w14:textId="77777777" w:rsidR="001E7805" w:rsidRDefault="001E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38FB" w14:textId="77777777" w:rsidR="001E7805" w:rsidRPr="000F35ED" w:rsidRDefault="001E7805">
      <w:pPr>
        <w:rPr>
          <w:rFonts w:asciiTheme="majorHAnsi" w:hAnsiTheme="majorHAnsi"/>
          <w:sz w:val="16"/>
          <w:szCs w:val="16"/>
        </w:rPr>
      </w:pPr>
      <w:r>
        <w:rPr>
          <w:rFonts w:asciiTheme="majorHAnsi" w:hAnsiTheme="majorHAnsi"/>
          <w:sz w:val="16"/>
          <w:szCs w:val="16"/>
        </w:rPr>
        <w:separator/>
      </w:r>
    </w:p>
  </w:footnote>
  <w:footnote w:type="continuationSeparator" w:id="0">
    <w:p w14:paraId="6605AEBB" w14:textId="77777777" w:rsidR="001E7805" w:rsidRPr="000F35ED" w:rsidRDefault="001E7805" w:rsidP="000F35ED">
      <w:pPr>
        <w:rPr>
          <w:rFonts w:asciiTheme="majorHAnsi" w:hAnsiTheme="majorHAnsi"/>
          <w:sz w:val="16"/>
          <w:szCs w:val="16"/>
        </w:rPr>
      </w:pPr>
      <w:r>
        <w:rPr>
          <w:rFonts w:asciiTheme="majorHAnsi" w:hAnsiTheme="majorHAnsi"/>
          <w:sz w:val="16"/>
          <w:szCs w:val="16"/>
        </w:rPr>
        <w:separator/>
      </w:r>
    </w:p>
    <w:p w14:paraId="030D1DDE" w14:textId="77777777" w:rsidR="001E7805" w:rsidRPr="000F35ED" w:rsidRDefault="001E7805"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069C7F88" w14:textId="77777777" w:rsidR="001E7805" w:rsidRPr="000F35ED" w:rsidRDefault="001E7805" w:rsidP="000F35ED">
      <w:pPr>
        <w:jc w:val="right"/>
        <w:rPr>
          <w:rFonts w:asciiTheme="majorHAnsi" w:hAnsiTheme="majorHAnsi"/>
          <w:sz w:val="16"/>
          <w:szCs w:val="16"/>
        </w:rPr>
      </w:pPr>
      <w:r>
        <w:rPr>
          <w:rFonts w:asciiTheme="majorHAnsi" w:hAnsiTheme="majorHAnsi"/>
          <w:sz w:val="16"/>
          <w:szCs w:val="16"/>
        </w:rPr>
        <w:t>[continúa…]</w:t>
      </w:r>
    </w:p>
  </w:footnote>
  <w:footnote w:id="2">
    <w:p w14:paraId="66E930B8" w14:textId="0F8D0D77" w:rsidR="004A6A54" w:rsidRPr="00982364" w:rsidRDefault="004A6A54" w:rsidP="00785B6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Carlos Bernal Pulido, of Colombian nationality, did not participate in the deliberations nor in the decision in this matter, in keeping with the provisions of Article 17(2)(a) of the Rules of Procedure of the Commission.</w:t>
      </w:r>
    </w:p>
  </w:footnote>
  <w:footnote w:id="3">
    <w:p w14:paraId="606B6CC7" w14:textId="77777777" w:rsidR="00785B6C" w:rsidRPr="00270D23" w:rsidRDefault="00785B6C" w:rsidP="00785B6C">
      <w:pPr>
        <w:pStyle w:val="FootnoteText"/>
        <w:ind w:firstLine="720"/>
        <w:jc w:val="both"/>
        <w:rPr>
          <w:rFonts w:asciiTheme="majorHAnsi" w:hAnsiTheme="majorHAnsi"/>
          <w:color w:val="auto"/>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w:t>
      </w:r>
      <w:r>
        <w:rPr>
          <w:rFonts w:asciiTheme="majorHAnsi" w:hAnsiTheme="majorHAnsi"/>
          <w:color w:val="auto"/>
          <w:sz w:val="16"/>
          <w:szCs w:val="16"/>
          <w:lang w:val="en"/>
        </w:rPr>
        <w:t>American Convention" or "the Convention."</w:t>
      </w:r>
    </w:p>
  </w:footnote>
  <w:footnote w:id="4">
    <w:p w14:paraId="1AFEF3B0" w14:textId="5E77B1D3" w:rsidR="008E3BFE" w:rsidRPr="00FE6060" w:rsidRDefault="008E3BFE" w:rsidP="00785B6C">
      <w:pPr>
        <w:pStyle w:val="FootnoteText"/>
        <w:ind w:firstLine="720"/>
        <w:jc w:val="both"/>
        <w:rPr>
          <w:rFonts w:asciiTheme="majorHAnsi" w:hAnsiTheme="majorHAnsi"/>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The observations presented by each party were duly considered and transmitted to the opposing party. The petitioner expressed its interest in pursuing the case before the IACHR in its brief dated December 2, 2021.</w:t>
      </w:r>
    </w:p>
  </w:footnote>
  <w:footnote w:id="5">
    <w:p w14:paraId="72D51C86" w14:textId="7FFB8920" w:rsidR="00FF396C" w:rsidRPr="00982364" w:rsidRDefault="00FF396C" w:rsidP="00FF396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Congress of Colombia, Law 975 of 2005 – “Dictating provisions for the reincorporation of members of organize armed groups operating outside the law who contribute effectively to attaining national peace, along with other provisions on humanitarian agreements.”</w:t>
      </w:r>
    </w:p>
  </w:footnote>
  <w:footnote w:id="6">
    <w:p w14:paraId="1F7B857A" w14:textId="4BFC3034" w:rsidR="003B3829" w:rsidRPr="003B3829" w:rsidRDefault="003B3829" w:rsidP="00F5577A">
      <w:pPr>
        <w:pStyle w:val="FootnoteText"/>
        <w:ind w:firstLine="720"/>
        <w:jc w:val="both"/>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279/21. Petition 2106-12. Admissibility. Huitosachi, Mogótavo and Bacajípare communities of the Rarámuri indigenous people. Mexico. October 29, 2021, para. 29; and IACHR. Report Report 89/21, Petition 5-12, Cananea Mine Workers and their relatives. Mexico. March 28, 2021, para. 32.</w:t>
      </w:r>
    </w:p>
  </w:footnote>
  <w:footnote w:id="7">
    <w:p w14:paraId="1C39EC0F" w14:textId="58AF25E8" w:rsidR="00472828" w:rsidRPr="0096010E" w:rsidRDefault="00472828" w:rsidP="00156D41">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241/22. Petition 2377-12. Inadmissibility. Zuluaga Obando Family. Colombia</w:t>
      </w:r>
      <w:r>
        <w:rPr>
          <w:rFonts w:asciiTheme="majorHAnsi" w:hAnsiTheme="majorHAnsi"/>
          <w:i/>
          <w:iCs/>
          <w:sz w:val="16"/>
          <w:szCs w:val="16"/>
          <w:lang w:val="en"/>
        </w:rPr>
        <w:t>.</w:t>
      </w:r>
      <w:r>
        <w:rPr>
          <w:rFonts w:asciiTheme="majorHAnsi" w:hAnsiTheme="majorHAnsi"/>
          <w:sz w:val="16"/>
          <w:szCs w:val="16"/>
          <w:lang w:val="en"/>
        </w:rPr>
        <w:t xml:space="preserve"> September 26, 2022, para. 18; IACHR, Report No. 236/22. Petition 1828-12. Inadmissibility. Relatives of Julio César Cardona Lozano. Colombia</w:t>
      </w:r>
      <w:r>
        <w:rPr>
          <w:rFonts w:asciiTheme="majorHAnsi" w:hAnsiTheme="majorHAnsi"/>
          <w:i/>
          <w:iCs/>
          <w:sz w:val="16"/>
          <w:szCs w:val="16"/>
          <w:lang w:val="en"/>
        </w:rPr>
        <w:t>.</w:t>
      </w:r>
      <w:r>
        <w:rPr>
          <w:rFonts w:asciiTheme="majorHAnsi" w:hAnsiTheme="majorHAnsi"/>
          <w:sz w:val="16"/>
          <w:szCs w:val="16"/>
          <w:lang w:val="en"/>
        </w:rPr>
        <w:t xml:space="preserve"> September 17, 2022, para. 12; and IACHR Report No. 328/22. Petition 657-08. Inadmissibility. Relatives of Julio Roldán Burbano Lasso. Colombia</w:t>
      </w:r>
      <w:r>
        <w:rPr>
          <w:rFonts w:asciiTheme="majorHAnsi" w:hAnsiTheme="majorHAnsi"/>
          <w:i/>
          <w:iCs/>
          <w:sz w:val="16"/>
          <w:szCs w:val="16"/>
          <w:lang w:val="en"/>
        </w:rPr>
        <w:t>.</w:t>
      </w:r>
      <w:r>
        <w:rPr>
          <w:rFonts w:asciiTheme="majorHAnsi" w:hAnsiTheme="majorHAnsi"/>
          <w:sz w:val="16"/>
          <w:szCs w:val="16"/>
          <w:lang w:val="en"/>
        </w:rPr>
        <w:t xml:space="preserve"> November 29, 2022, para. 10.</w:t>
      </w:r>
    </w:p>
  </w:footnote>
  <w:footnote w:id="8">
    <w:p w14:paraId="25277195" w14:textId="77777777" w:rsidR="00D043B3" w:rsidRPr="00A11B3B" w:rsidRDefault="00D043B3" w:rsidP="00D043B3">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193/22. Petition 1153-12 Inadmissibility. Luis Alejandro Cárdenas Tafur and Family. Colombia</w:t>
      </w:r>
      <w:r>
        <w:rPr>
          <w:rFonts w:ascii="Cambria" w:hAnsi="Cambria"/>
          <w:i/>
          <w:iCs/>
          <w:sz w:val="16"/>
          <w:szCs w:val="16"/>
          <w:lang w:val="en"/>
        </w:rPr>
        <w:t>.</w:t>
      </w:r>
      <w:r>
        <w:rPr>
          <w:rFonts w:ascii="Cambria" w:hAnsi="Cambria"/>
          <w:sz w:val="16"/>
          <w:szCs w:val="16"/>
          <w:lang w:val="en"/>
        </w:rPr>
        <w:t xml:space="preserve"> August 3, 2022, para.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separate"/>
    </w:r>
    <w:r>
      <w:rPr>
        <w:rStyle w:val="PageNumber"/>
        <w:rFonts w:eastAsia="Trebuchet MS"/>
        <w:noProof/>
        <w:lang w:val="en"/>
      </w:rPr>
      <w:t>1</w: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lang w:val="en"/>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A3FC6" w:rsidP="00A50FCF">
    <w:pPr>
      <w:pStyle w:val="Header"/>
      <w:tabs>
        <w:tab w:val="clear" w:pos="4320"/>
        <w:tab w:val="clear" w:pos="8640"/>
      </w:tabs>
      <w:jc w:val="center"/>
      <w:rPr>
        <w:sz w:val="22"/>
        <w:szCs w:val="22"/>
      </w:rPr>
    </w:pPr>
    <w:r>
      <w:rPr>
        <w:sz w:val="22"/>
        <w:szCs w:val="22"/>
        <w:lang w:val="en"/>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2"/>
  </w:num>
  <w:num w:numId="6" w16cid:durableId="1795514418">
    <w:abstractNumId w:val="30"/>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3"/>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32190905">
    <w:abstractNumId w:val="18"/>
  </w:num>
  <w:num w:numId="66" w16cid:durableId="1375812556">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CA"/>
    <w:rsid w:val="0000036F"/>
    <w:rsid w:val="00000CDA"/>
    <w:rsid w:val="000015BE"/>
    <w:rsid w:val="00006E1F"/>
    <w:rsid w:val="000070D7"/>
    <w:rsid w:val="00007831"/>
    <w:rsid w:val="00007E23"/>
    <w:rsid w:val="0001788C"/>
    <w:rsid w:val="00017979"/>
    <w:rsid w:val="00025725"/>
    <w:rsid w:val="00030ED7"/>
    <w:rsid w:val="00032246"/>
    <w:rsid w:val="000336E7"/>
    <w:rsid w:val="000337EF"/>
    <w:rsid w:val="0004086F"/>
    <w:rsid w:val="00040C3A"/>
    <w:rsid w:val="000419AD"/>
    <w:rsid w:val="000433C9"/>
    <w:rsid w:val="000444E7"/>
    <w:rsid w:val="0004514E"/>
    <w:rsid w:val="000472C6"/>
    <w:rsid w:val="00054D01"/>
    <w:rsid w:val="00057379"/>
    <w:rsid w:val="000579CC"/>
    <w:rsid w:val="00062E15"/>
    <w:rsid w:val="000630CE"/>
    <w:rsid w:val="00064179"/>
    <w:rsid w:val="00065AB4"/>
    <w:rsid w:val="00066C33"/>
    <w:rsid w:val="00071174"/>
    <w:rsid w:val="000716C0"/>
    <w:rsid w:val="000716C5"/>
    <w:rsid w:val="00075E23"/>
    <w:rsid w:val="000769B9"/>
    <w:rsid w:val="00081F88"/>
    <w:rsid w:val="0009193B"/>
    <w:rsid w:val="00091A11"/>
    <w:rsid w:val="00092479"/>
    <w:rsid w:val="0009344A"/>
    <w:rsid w:val="00094203"/>
    <w:rsid w:val="000970F4"/>
    <w:rsid w:val="000A1481"/>
    <w:rsid w:val="000A14D8"/>
    <w:rsid w:val="000A16D0"/>
    <w:rsid w:val="000A392E"/>
    <w:rsid w:val="000A575F"/>
    <w:rsid w:val="000A78E8"/>
    <w:rsid w:val="000B0FA5"/>
    <w:rsid w:val="000B66F4"/>
    <w:rsid w:val="000B7730"/>
    <w:rsid w:val="000D05CB"/>
    <w:rsid w:val="000D10DB"/>
    <w:rsid w:val="000D2618"/>
    <w:rsid w:val="000D5CBC"/>
    <w:rsid w:val="000E361A"/>
    <w:rsid w:val="000E5EB5"/>
    <w:rsid w:val="000E73F0"/>
    <w:rsid w:val="000F35ED"/>
    <w:rsid w:val="00100CDB"/>
    <w:rsid w:val="00104302"/>
    <w:rsid w:val="0010550C"/>
    <w:rsid w:val="001063FE"/>
    <w:rsid w:val="00107131"/>
    <w:rsid w:val="0010736F"/>
    <w:rsid w:val="0011075B"/>
    <w:rsid w:val="0011085F"/>
    <w:rsid w:val="001112E6"/>
    <w:rsid w:val="00113F73"/>
    <w:rsid w:val="0011794D"/>
    <w:rsid w:val="00121583"/>
    <w:rsid w:val="00121CC2"/>
    <w:rsid w:val="00131425"/>
    <w:rsid w:val="001334BA"/>
    <w:rsid w:val="00133EE5"/>
    <w:rsid w:val="00136D09"/>
    <w:rsid w:val="001443F7"/>
    <w:rsid w:val="00147696"/>
    <w:rsid w:val="00150855"/>
    <w:rsid w:val="00156D41"/>
    <w:rsid w:val="001615C0"/>
    <w:rsid w:val="001631C5"/>
    <w:rsid w:val="001633B3"/>
    <w:rsid w:val="00164460"/>
    <w:rsid w:val="00165562"/>
    <w:rsid w:val="00165CC7"/>
    <w:rsid w:val="00167A34"/>
    <w:rsid w:val="00167A7A"/>
    <w:rsid w:val="00172C07"/>
    <w:rsid w:val="001741BE"/>
    <w:rsid w:val="001757FF"/>
    <w:rsid w:val="00177297"/>
    <w:rsid w:val="0017734D"/>
    <w:rsid w:val="001912DA"/>
    <w:rsid w:val="00192BE2"/>
    <w:rsid w:val="00197AE7"/>
    <w:rsid w:val="001A02AD"/>
    <w:rsid w:val="001A1420"/>
    <w:rsid w:val="001A1BF2"/>
    <w:rsid w:val="001A462D"/>
    <w:rsid w:val="001A493B"/>
    <w:rsid w:val="001A520D"/>
    <w:rsid w:val="001A5FEE"/>
    <w:rsid w:val="001A6644"/>
    <w:rsid w:val="001A71D6"/>
    <w:rsid w:val="001A7870"/>
    <w:rsid w:val="001A7CC7"/>
    <w:rsid w:val="001A7D7B"/>
    <w:rsid w:val="001B3A00"/>
    <w:rsid w:val="001B3E22"/>
    <w:rsid w:val="001C1B41"/>
    <w:rsid w:val="001C205F"/>
    <w:rsid w:val="001D02A6"/>
    <w:rsid w:val="001D21C7"/>
    <w:rsid w:val="001D2F0F"/>
    <w:rsid w:val="001D65EF"/>
    <w:rsid w:val="001D79A1"/>
    <w:rsid w:val="001E15E7"/>
    <w:rsid w:val="001E49E7"/>
    <w:rsid w:val="001E6F56"/>
    <w:rsid w:val="001E7268"/>
    <w:rsid w:val="001E7805"/>
    <w:rsid w:val="001F44BF"/>
    <w:rsid w:val="001F539B"/>
    <w:rsid w:val="001F7201"/>
    <w:rsid w:val="00203028"/>
    <w:rsid w:val="00203769"/>
    <w:rsid w:val="00203910"/>
    <w:rsid w:val="00203FA8"/>
    <w:rsid w:val="00206C91"/>
    <w:rsid w:val="0020707C"/>
    <w:rsid w:val="002071AF"/>
    <w:rsid w:val="00210E6D"/>
    <w:rsid w:val="00212D52"/>
    <w:rsid w:val="00212F16"/>
    <w:rsid w:val="00221AD9"/>
    <w:rsid w:val="00223A29"/>
    <w:rsid w:val="002249E7"/>
    <w:rsid w:val="002250A3"/>
    <w:rsid w:val="0022545A"/>
    <w:rsid w:val="002261E0"/>
    <w:rsid w:val="002264B8"/>
    <w:rsid w:val="00234F71"/>
    <w:rsid w:val="00235217"/>
    <w:rsid w:val="00237C68"/>
    <w:rsid w:val="00240488"/>
    <w:rsid w:val="002410E9"/>
    <w:rsid w:val="00241B96"/>
    <w:rsid w:val="00246D1F"/>
    <w:rsid w:val="002470A6"/>
    <w:rsid w:val="00247403"/>
    <w:rsid w:val="00247542"/>
    <w:rsid w:val="00247FA5"/>
    <w:rsid w:val="00253993"/>
    <w:rsid w:val="00253A4F"/>
    <w:rsid w:val="00253EBA"/>
    <w:rsid w:val="00261578"/>
    <w:rsid w:val="0026174C"/>
    <w:rsid w:val="00266B61"/>
    <w:rsid w:val="0026712A"/>
    <w:rsid w:val="002678E1"/>
    <w:rsid w:val="002704DB"/>
    <w:rsid w:val="00270D23"/>
    <w:rsid w:val="002738A4"/>
    <w:rsid w:val="00274B08"/>
    <w:rsid w:val="00274E6D"/>
    <w:rsid w:val="002805FB"/>
    <w:rsid w:val="00280B37"/>
    <w:rsid w:val="00284E46"/>
    <w:rsid w:val="002878D8"/>
    <w:rsid w:val="00291449"/>
    <w:rsid w:val="00291B41"/>
    <w:rsid w:val="00292B66"/>
    <w:rsid w:val="00293819"/>
    <w:rsid w:val="002A0AAE"/>
    <w:rsid w:val="002A5820"/>
    <w:rsid w:val="002A6870"/>
    <w:rsid w:val="002B1533"/>
    <w:rsid w:val="002B15B4"/>
    <w:rsid w:val="002B353F"/>
    <w:rsid w:val="002C533A"/>
    <w:rsid w:val="002D2B26"/>
    <w:rsid w:val="002D7C23"/>
    <w:rsid w:val="002D7EA2"/>
    <w:rsid w:val="002E1798"/>
    <w:rsid w:val="002E187C"/>
    <w:rsid w:val="002E39F7"/>
    <w:rsid w:val="002E5103"/>
    <w:rsid w:val="002E516C"/>
    <w:rsid w:val="002E733F"/>
    <w:rsid w:val="002F3F8C"/>
    <w:rsid w:val="002F5D52"/>
    <w:rsid w:val="002F7694"/>
    <w:rsid w:val="00302733"/>
    <w:rsid w:val="003040AB"/>
    <w:rsid w:val="00304171"/>
    <w:rsid w:val="0030516A"/>
    <w:rsid w:val="00305835"/>
    <w:rsid w:val="00305B00"/>
    <w:rsid w:val="00306F33"/>
    <w:rsid w:val="00314078"/>
    <w:rsid w:val="0031535D"/>
    <w:rsid w:val="003239B8"/>
    <w:rsid w:val="003248A6"/>
    <w:rsid w:val="00325B3D"/>
    <w:rsid w:val="0033169F"/>
    <w:rsid w:val="00332232"/>
    <w:rsid w:val="00334BF5"/>
    <w:rsid w:val="00337472"/>
    <w:rsid w:val="00344977"/>
    <w:rsid w:val="003459D0"/>
    <w:rsid w:val="00346C95"/>
    <w:rsid w:val="003523F5"/>
    <w:rsid w:val="00356185"/>
    <w:rsid w:val="003568AD"/>
    <w:rsid w:val="00357269"/>
    <w:rsid w:val="00360380"/>
    <w:rsid w:val="00363074"/>
    <w:rsid w:val="003630FB"/>
    <w:rsid w:val="00371C5B"/>
    <w:rsid w:val="003728C2"/>
    <w:rsid w:val="003744E8"/>
    <w:rsid w:val="0037519E"/>
    <w:rsid w:val="0037725C"/>
    <w:rsid w:val="00380295"/>
    <w:rsid w:val="00380EAF"/>
    <w:rsid w:val="003847DD"/>
    <w:rsid w:val="003856A9"/>
    <w:rsid w:val="00386CF0"/>
    <w:rsid w:val="0039052A"/>
    <w:rsid w:val="003A4D4D"/>
    <w:rsid w:val="003B15CE"/>
    <w:rsid w:val="003B22DF"/>
    <w:rsid w:val="003B3829"/>
    <w:rsid w:val="003B70FB"/>
    <w:rsid w:val="003B7105"/>
    <w:rsid w:val="003C0D9B"/>
    <w:rsid w:val="003C676B"/>
    <w:rsid w:val="003D31E7"/>
    <w:rsid w:val="003D337C"/>
    <w:rsid w:val="003D3BC2"/>
    <w:rsid w:val="003D67A9"/>
    <w:rsid w:val="003E51E9"/>
    <w:rsid w:val="003E6CA1"/>
    <w:rsid w:val="003F333E"/>
    <w:rsid w:val="003F48E9"/>
    <w:rsid w:val="003F5154"/>
    <w:rsid w:val="004005A5"/>
    <w:rsid w:val="00405F9C"/>
    <w:rsid w:val="004065A8"/>
    <w:rsid w:val="0040784F"/>
    <w:rsid w:val="00410B10"/>
    <w:rsid w:val="00412879"/>
    <w:rsid w:val="004156D7"/>
    <w:rsid w:val="004165C2"/>
    <w:rsid w:val="00416A6D"/>
    <w:rsid w:val="004205D0"/>
    <w:rsid w:val="0042101C"/>
    <w:rsid w:val="004241A0"/>
    <w:rsid w:val="00425E83"/>
    <w:rsid w:val="00427B38"/>
    <w:rsid w:val="00441827"/>
    <w:rsid w:val="00441ECB"/>
    <w:rsid w:val="00445193"/>
    <w:rsid w:val="004452E4"/>
    <w:rsid w:val="0045796E"/>
    <w:rsid w:val="00461C5E"/>
    <w:rsid w:val="00462C1B"/>
    <w:rsid w:val="004666EB"/>
    <w:rsid w:val="00467B7E"/>
    <w:rsid w:val="00472828"/>
    <w:rsid w:val="00473BB4"/>
    <w:rsid w:val="00474546"/>
    <w:rsid w:val="00477592"/>
    <w:rsid w:val="004803DE"/>
    <w:rsid w:val="004809DF"/>
    <w:rsid w:val="00480BD1"/>
    <w:rsid w:val="00486F1C"/>
    <w:rsid w:val="0049419D"/>
    <w:rsid w:val="00494F22"/>
    <w:rsid w:val="0049602A"/>
    <w:rsid w:val="004A057B"/>
    <w:rsid w:val="004A1A74"/>
    <w:rsid w:val="004A6A54"/>
    <w:rsid w:val="004B2C41"/>
    <w:rsid w:val="004B421C"/>
    <w:rsid w:val="004B5553"/>
    <w:rsid w:val="004C20D2"/>
    <w:rsid w:val="004C2312"/>
    <w:rsid w:val="004C2F31"/>
    <w:rsid w:val="004C4B62"/>
    <w:rsid w:val="004C54C9"/>
    <w:rsid w:val="004D4ABA"/>
    <w:rsid w:val="004D6025"/>
    <w:rsid w:val="004E013A"/>
    <w:rsid w:val="004E1AB4"/>
    <w:rsid w:val="004E2649"/>
    <w:rsid w:val="004E5C96"/>
    <w:rsid w:val="004E7D52"/>
    <w:rsid w:val="004F0E6F"/>
    <w:rsid w:val="004F1840"/>
    <w:rsid w:val="004F1B17"/>
    <w:rsid w:val="004F626F"/>
    <w:rsid w:val="004F7A30"/>
    <w:rsid w:val="00501399"/>
    <w:rsid w:val="005040B1"/>
    <w:rsid w:val="005047ED"/>
    <w:rsid w:val="0050633D"/>
    <w:rsid w:val="00507BC4"/>
    <w:rsid w:val="005128E4"/>
    <w:rsid w:val="005133DB"/>
    <w:rsid w:val="00514504"/>
    <w:rsid w:val="00516EF3"/>
    <w:rsid w:val="00521E1F"/>
    <w:rsid w:val="00525560"/>
    <w:rsid w:val="00531925"/>
    <w:rsid w:val="005330EE"/>
    <w:rsid w:val="00535856"/>
    <w:rsid w:val="00535BE0"/>
    <w:rsid w:val="005403A2"/>
    <w:rsid w:val="005408A2"/>
    <w:rsid w:val="00544626"/>
    <w:rsid w:val="00544C49"/>
    <w:rsid w:val="005458E4"/>
    <w:rsid w:val="00546EC1"/>
    <w:rsid w:val="005511FD"/>
    <w:rsid w:val="005516A1"/>
    <w:rsid w:val="005517F8"/>
    <w:rsid w:val="0055373E"/>
    <w:rsid w:val="0055521B"/>
    <w:rsid w:val="005559EF"/>
    <w:rsid w:val="00556929"/>
    <w:rsid w:val="00560325"/>
    <w:rsid w:val="005621AD"/>
    <w:rsid w:val="005627DD"/>
    <w:rsid w:val="00563557"/>
    <w:rsid w:val="00564015"/>
    <w:rsid w:val="0057402A"/>
    <w:rsid w:val="005771D0"/>
    <w:rsid w:val="0058190C"/>
    <w:rsid w:val="00585D5C"/>
    <w:rsid w:val="0059191A"/>
    <w:rsid w:val="005921FF"/>
    <w:rsid w:val="005A23F4"/>
    <w:rsid w:val="005A24ED"/>
    <w:rsid w:val="005A6D0E"/>
    <w:rsid w:val="005A7453"/>
    <w:rsid w:val="005B039F"/>
    <w:rsid w:val="005B2E0D"/>
    <w:rsid w:val="005B52B0"/>
    <w:rsid w:val="005B6806"/>
    <w:rsid w:val="005C31B9"/>
    <w:rsid w:val="005C4225"/>
    <w:rsid w:val="005D46EA"/>
    <w:rsid w:val="005D70AA"/>
    <w:rsid w:val="005F0DAD"/>
    <w:rsid w:val="005F0F33"/>
    <w:rsid w:val="005F3595"/>
    <w:rsid w:val="005F3F88"/>
    <w:rsid w:val="00600DEB"/>
    <w:rsid w:val="00603BA0"/>
    <w:rsid w:val="006051A0"/>
    <w:rsid w:val="00606B5E"/>
    <w:rsid w:val="006101A2"/>
    <w:rsid w:val="006114A0"/>
    <w:rsid w:val="006136B1"/>
    <w:rsid w:val="00613F08"/>
    <w:rsid w:val="0061461E"/>
    <w:rsid w:val="00620C38"/>
    <w:rsid w:val="00627562"/>
    <w:rsid w:val="00627C9F"/>
    <w:rsid w:val="006311E9"/>
    <w:rsid w:val="00632354"/>
    <w:rsid w:val="00635421"/>
    <w:rsid w:val="00635B94"/>
    <w:rsid w:val="00637038"/>
    <w:rsid w:val="00637275"/>
    <w:rsid w:val="006404C3"/>
    <w:rsid w:val="00642810"/>
    <w:rsid w:val="0064403C"/>
    <w:rsid w:val="00652333"/>
    <w:rsid w:val="00652938"/>
    <w:rsid w:val="00660E83"/>
    <w:rsid w:val="00664052"/>
    <w:rsid w:val="00673C7E"/>
    <w:rsid w:val="00676794"/>
    <w:rsid w:val="00676B28"/>
    <w:rsid w:val="0068009E"/>
    <w:rsid w:val="00682474"/>
    <w:rsid w:val="00685450"/>
    <w:rsid w:val="00686178"/>
    <w:rsid w:val="00686EAD"/>
    <w:rsid w:val="00692219"/>
    <w:rsid w:val="00693EB9"/>
    <w:rsid w:val="0069595E"/>
    <w:rsid w:val="00696C8C"/>
    <w:rsid w:val="006A17D2"/>
    <w:rsid w:val="006A2CE3"/>
    <w:rsid w:val="006A73E6"/>
    <w:rsid w:val="006B2D5C"/>
    <w:rsid w:val="006C0ECF"/>
    <w:rsid w:val="006C1C8C"/>
    <w:rsid w:val="006C4EB1"/>
    <w:rsid w:val="006D3084"/>
    <w:rsid w:val="006D72EB"/>
    <w:rsid w:val="006E0166"/>
    <w:rsid w:val="006E2FFB"/>
    <w:rsid w:val="006E3BAD"/>
    <w:rsid w:val="006E77DA"/>
    <w:rsid w:val="006E7B34"/>
    <w:rsid w:val="00705CFF"/>
    <w:rsid w:val="00706596"/>
    <w:rsid w:val="0070697F"/>
    <w:rsid w:val="007103C4"/>
    <w:rsid w:val="00712D48"/>
    <w:rsid w:val="00715C19"/>
    <w:rsid w:val="00720931"/>
    <w:rsid w:val="0072199C"/>
    <w:rsid w:val="0072288A"/>
    <w:rsid w:val="00722C9F"/>
    <w:rsid w:val="00723817"/>
    <w:rsid w:val="007253B8"/>
    <w:rsid w:val="0073487D"/>
    <w:rsid w:val="00737314"/>
    <w:rsid w:val="0073741F"/>
    <w:rsid w:val="00737ED2"/>
    <w:rsid w:val="00747819"/>
    <w:rsid w:val="00747A5C"/>
    <w:rsid w:val="00750BAB"/>
    <w:rsid w:val="0075283E"/>
    <w:rsid w:val="0075590E"/>
    <w:rsid w:val="0076643F"/>
    <w:rsid w:val="00766BBA"/>
    <w:rsid w:val="007720FF"/>
    <w:rsid w:val="007778DA"/>
    <w:rsid w:val="00777F63"/>
    <w:rsid w:val="00783EC3"/>
    <w:rsid w:val="00785B6C"/>
    <w:rsid w:val="00791DD3"/>
    <w:rsid w:val="0079391D"/>
    <w:rsid w:val="00793F1C"/>
    <w:rsid w:val="007A0612"/>
    <w:rsid w:val="007A0A93"/>
    <w:rsid w:val="007A2194"/>
    <w:rsid w:val="007A5817"/>
    <w:rsid w:val="007B05C4"/>
    <w:rsid w:val="007B44CC"/>
    <w:rsid w:val="007B53DD"/>
    <w:rsid w:val="007B59B3"/>
    <w:rsid w:val="007B60E9"/>
    <w:rsid w:val="007B6595"/>
    <w:rsid w:val="007B6CC3"/>
    <w:rsid w:val="007B76D3"/>
    <w:rsid w:val="007B79D5"/>
    <w:rsid w:val="007C105C"/>
    <w:rsid w:val="007C3334"/>
    <w:rsid w:val="007C55DF"/>
    <w:rsid w:val="007C6179"/>
    <w:rsid w:val="007C6835"/>
    <w:rsid w:val="007D1789"/>
    <w:rsid w:val="007D2B98"/>
    <w:rsid w:val="007D52FE"/>
    <w:rsid w:val="007E054F"/>
    <w:rsid w:val="007E16F7"/>
    <w:rsid w:val="007E21BC"/>
    <w:rsid w:val="007E31E8"/>
    <w:rsid w:val="007E64CF"/>
    <w:rsid w:val="007E6888"/>
    <w:rsid w:val="007E6F63"/>
    <w:rsid w:val="007E7592"/>
    <w:rsid w:val="007E778E"/>
    <w:rsid w:val="007E7C82"/>
    <w:rsid w:val="007F01D7"/>
    <w:rsid w:val="007F2A55"/>
    <w:rsid w:val="007F2AA1"/>
    <w:rsid w:val="007F40EF"/>
    <w:rsid w:val="007F588D"/>
    <w:rsid w:val="00803F1C"/>
    <w:rsid w:val="0080600E"/>
    <w:rsid w:val="00814688"/>
    <w:rsid w:val="00816E32"/>
    <w:rsid w:val="00817612"/>
    <w:rsid w:val="00817A45"/>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10B7"/>
    <w:rsid w:val="00872CBE"/>
    <w:rsid w:val="00873836"/>
    <w:rsid w:val="008778B7"/>
    <w:rsid w:val="00882A97"/>
    <w:rsid w:val="00885737"/>
    <w:rsid w:val="00890650"/>
    <w:rsid w:val="00891115"/>
    <w:rsid w:val="008944DC"/>
    <w:rsid w:val="00895758"/>
    <w:rsid w:val="00895F48"/>
    <w:rsid w:val="00897E12"/>
    <w:rsid w:val="008A1721"/>
    <w:rsid w:val="008A5C6E"/>
    <w:rsid w:val="008A7E0F"/>
    <w:rsid w:val="008B089E"/>
    <w:rsid w:val="008B12F5"/>
    <w:rsid w:val="008B1BFA"/>
    <w:rsid w:val="008C5E2D"/>
    <w:rsid w:val="008C64F0"/>
    <w:rsid w:val="008D0969"/>
    <w:rsid w:val="008D768D"/>
    <w:rsid w:val="008E1F3D"/>
    <w:rsid w:val="008E2546"/>
    <w:rsid w:val="008E3759"/>
    <w:rsid w:val="008E3BFE"/>
    <w:rsid w:val="008E66C5"/>
    <w:rsid w:val="008F1912"/>
    <w:rsid w:val="0090270B"/>
    <w:rsid w:val="009041DC"/>
    <w:rsid w:val="00906AA1"/>
    <w:rsid w:val="00913A84"/>
    <w:rsid w:val="00917B5A"/>
    <w:rsid w:val="00920A58"/>
    <w:rsid w:val="00920A8C"/>
    <w:rsid w:val="00934A2C"/>
    <w:rsid w:val="00940CCB"/>
    <w:rsid w:val="00941FC4"/>
    <w:rsid w:val="009457A6"/>
    <w:rsid w:val="00953A17"/>
    <w:rsid w:val="00955D72"/>
    <w:rsid w:val="00957C0E"/>
    <w:rsid w:val="0096010E"/>
    <w:rsid w:val="0096706E"/>
    <w:rsid w:val="0096715E"/>
    <w:rsid w:val="009674E4"/>
    <w:rsid w:val="00971F9F"/>
    <w:rsid w:val="00973A6E"/>
    <w:rsid w:val="00973F6A"/>
    <w:rsid w:val="00974312"/>
    <w:rsid w:val="00974491"/>
    <w:rsid w:val="00974931"/>
    <w:rsid w:val="009752A7"/>
    <w:rsid w:val="00975C4E"/>
    <w:rsid w:val="00976C72"/>
    <w:rsid w:val="009773CC"/>
    <w:rsid w:val="009777F6"/>
    <w:rsid w:val="00981FBA"/>
    <w:rsid w:val="00982364"/>
    <w:rsid w:val="00983760"/>
    <w:rsid w:val="009840C7"/>
    <w:rsid w:val="00986C11"/>
    <w:rsid w:val="0099031C"/>
    <w:rsid w:val="00997BC5"/>
    <w:rsid w:val="009A3FFF"/>
    <w:rsid w:val="009A4F41"/>
    <w:rsid w:val="009A69A7"/>
    <w:rsid w:val="009B0226"/>
    <w:rsid w:val="009B381B"/>
    <w:rsid w:val="009B7371"/>
    <w:rsid w:val="009B7B09"/>
    <w:rsid w:val="009C009E"/>
    <w:rsid w:val="009D1753"/>
    <w:rsid w:val="009D2D7C"/>
    <w:rsid w:val="009D30CA"/>
    <w:rsid w:val="009D30FC"/>
    <w:rsid w:val="009D7611"/>
    <w:rsid w:val="009E0907"/>
    <w:rsid w:val="009E0B61"/>
    <w:rsid w:val="009E53DE"/>
    <w:rsid w:val="009E7F46"/>
    <w:rsid w:val="009F74EF"/>
    <w:rsid w:val="00A004BB"/>
    <w:rsid w:val="00A04DF9"/>
    <w:rsid w:val="00A11212"/>
    <w:rsid w:val="00A1150A"/>
    <w:rsid w:val="00A11E44"/>
    <w:rsid w:val="00A123CB"/>
    <w:rsid w:val="00A1740A"/>
    <w:rsid w:val="00A21438"/>
    <w:rsid w:val="00A2366E"/>
    <w:rsid w:val="00A2403D"/>
    <w:rsid w:val="00A2648A"/>
    <w:rsid w:val="00A30100"/>
    <w:rsid w:val="00A3063B"/>
    <w:rsid w:val="00A328B3"/>
    <w:rsid w:val="00A3329B"/>
    <w:rsid w:val="00A34797"/>
    <w:rsid w:val="00A42CE5"/>
    <w:rsid w:val="00A50FCF"/>
    <w:rsid w:val="00A528D1"/>
    <w:rsid w:val="00A53688"/>
    <w:rsid w:val="00A54CEE"/>
    <w:rsid w:val="00A610CD"/>
    <w:rsid w:val="00A638A7"/>
    <w:rsid w:val="00A63DCF"/>
    <w:rsid w:val="00A64D2B"/>
    <w:rsid w:val="00A654BB"/>
    <w:rsid w:val="00A729A8"/>
    <w:rsid w:val="00A734DC"/>
    <w:rsid w:val="00A758AA"/>
    <w:rsid w:val="00A84CD7"/>
    <w:rsid w:val="00A9343F"/>
    <w:rsid w:val="00A955F6"/>
    <w:rsid w:val="00A95FC1"/>
    <w:rsid w:val="00A96DAD"/>
    <w:rsid w:val="00AA09A2"/>
    <w:rsid w:val="00AA7996"/>
    <w:rsid w:val="00AA7EAD"/>
    <w:rsid w:val="00AB17B9"/>
    <w:rsid w:val="00AB3141"/>
    <w:rsid w:val="00AB3F6B"/>
    <w:rsid w:val="00AC01A2"/>
    <w:rsid w:val="00AC154F"/>
    <w:rsid w:val="00AC19CB"/>
    <w:rsid w:val="00AC5AE7"/>
    <w:rsid w:val="00AE27F4"/>
    <w:rsid w:val="00AE3067"/>
    <w:rsid w:val="00AE3244"/>
    <w:rsid w:val="00AE5488"/>
    <w:rsid w:val="00AE62FC"/>
    <w:rsid w:val="00AE6F91"/>
    <w:rsid w:val="00AF1AF9"/>
    <w:rsid w:val="00AF5571"/>
    <w:rsid w:val="00AF58FC"/>
    <w:rsid w:val="00AF7199"/>
    <w:rsid w:val="00B006CA"/>
    <w:rsid w:val="00B0247A"/>
    <w:rsid w:val="00B050D2"/>
    <w:rsid w:val="00B06FF5"/>
    <w:rsid w:val="00B07341"/>
    <w:rsid w:val="00B10793"/>
    <w:rsid w:val="00B12D92"/>
    <w:rsid w:val="00B132A5"/>
    <w:rsid w:val="00B30539"/>
    <w:rsid w:val="00B314DB"/>
    <w:rsid w:val="00B361F2"/>
    <w:rsid w:val="00B3718B"/>
    <w:rsid w:val="00B3745F"/>
    <w:rsid w:val="00B42C02"/>
    <w:rsid w:val="00B4632A"/>
    <w:rsid w:val="00B530F1"/>
    <w:rsid w:val="00B603D2"/>
    <w:rsid w:val="00B800F2"/>
    <w:rsid w:val="00B83158"/>
    <w:rsid w:val="00B8367C"/>
    <w:rsid w:val="00B8394D"/>
    <w:rsid w:val="00B862F9"/>
    <w:rsid w:val="00B87101"/>
    <w:rsid w:val="00B909C7"/>
    <w:rsid w:val="00B93D7F"/>
    <w:rsid w:val="00B9716F"/>
    <w:rsid w:val="00BA2401"/>
    <w:rsid w:val="00BA276C"/>
    <w:rsid w:val="00BA27E4"/>
    <w:rsid w:val="00BA383F"/>
    <w:rsid w:val="00BA7C0E"/>
    <w:rsid w:val="00BB019D"/>
    <w:rsid w:val="00BB27F4"/>
    <w:rsid w:val="00BB306F"/>
    <w:rsid w:val="00BB562C"/>
    <w:rsid w:val="00BB66C8"/>
    <w:rsid w:val="00BB6B26"/>
    <w:rsid w:val="00BC31F2"/>
    <w:rsid w:val="00BC3F49"/>
    <w:rsid w:val="00BC4CEA"/>
    <w:rsid w:val="00BD0FF5"/>
    <w:rsid w:val="00BD4655"/>
    <w:rsid w:val="00BD4B89"/>
    <w:rsid w:val="00BD53C8"/>
    <w:rsid w:val="00BD5922"/>
    <w:rsid w:val="00BE2FF6"/>
    <w:rsid w:val="00BE6E20"/>
    <w:rsid w:val="00BF02CB"/>
    <w:rsid w:val="00BF6FD8"/>
    <w:rsid w:val="00C03680"/>
    <w:rsid w:val="00C054DF"/>
    <w:rsid w:val="00C10E34"/>
    <w:rsid w:val="00C11E79"/>
    <w:rsid w:val="00C21762"/>
    <w:rsid w:val="00C21FEF"/>
    <w:rsid w:val="00C23BA4"/>
    <w:rsid w:val="00C24543"/>
    <w:rsid w:val="00C256A2"/>
    <w:rsid w:val="00C25ADB"/>
    <w:rsid w:val="00C318F3"/>
    <w:rsid w:val="00C3243D"/>
    <w:rsid w:val="00C338EC"/>
    <w:rsid w:val="00C46134"/>
    <w:rsid w:val="00C51515"/>
    <w:rsid w:val="00C51BE0"/>
    <w:rsid w:val="00C5660B"/>
    <w:rsid w:val="00C56831"/>
    <w:rsid w:val="00C63529"/>
    <w:rsid w:val="00C64F8D"/>
    <w:rsid w:val="00C66B72"/>
    <w:rsid w:val="00C70619"/>
    <w:rsid w:val="00C720E8"/>
    <w:rsid w:val="00C721DB"/>
    <w:rsid w:val="00C72500"/>
    <w:rsid w:val="00C740E3"/>
    <w:rsid w:val="00C76CAA"/>
    <w:rsid w:val="00C81094"/>
    <w:rsid w:val="00C813A3"/>
    <w:rsid w:val="00C8359E"/>
    <w:rsid w:val="00C866C7"/>
    <w:rsid w:val="00C87AC4"/>
    <w:rsid w:val="00C9124E"/>
    <w:rsid w:val="00C91C88"/>
    <w:rsid w:val="00C92925"/>
    <w:rsid w:val="00C93777"/>
    <w:rsid w:val="00C9567A"/>
    <w:rsid w:val="00C972D6"/>
    <w:rsid w:val="00CA3FC6"/>
    <w:rsid w:val="00CA6E9E"/>
    <w:rsid w:val="00CB16C7"/>
    <w:rsid w:val="00CB1A41"/>
    <w:rsid w:val="00CB212D"/>
    <w:rsid w:val="00CB22B8"/>
    <w:rsid w:val="00CB2660"/>
    <w:rsid w:val="00CB31A7"/>
    <w:rsid w:val="00CB3F74"/>
    <w:rsid w:val="00CB7424"/>
    <w:rsid w:val="00CC5E90"/>
    <w:rsid w:val="00CD046C"/>
    <w:rsid w:val="00CD165F"/>
    <w:rsid w:val="00CD443B"/>
    <w:rsid w:val="00CD7E57"/>
    <w:rsid w:val="00CE076C"/>
    <w:rsid w:val="00CE0C66"/>
    <w:rsid w:val="00CE0F8B"/>
    <w:rsid w:val="00CE4A5B"/>
    <w:rsid w:val="00CE5199"/>
    <w:rsid w:val="00CE66D5"/>
    <w:rsid w:val="00CF5E92"/>
    <w:rsid w:val="00CF637A"/>
    <w:rsid w:val="00D02C81"/>
    <w:rsid w:val="00D043B3"/>
    <w:rsid w:val="00D04EC2"/>
    <w:rsid w:val="00D059DE"/>
    <w:rsid w:val="00D05ABD"/>
    <w:rsid w:val="00D13321"/>
    <w:rsid w:val="00D13873"/>
    <w:rsid w:val="00D13FCE"/>
    <w:rsid w:val="00D27519"/>
    <w:rsid w:val="00D306D1"/>
    <w:rsid w:val="00D30800"/>
    <w:rsid w:val="00D34786"/>
    <w:rsid w:val="00D34D00"/>
    <w:rsid w:val="00D37BFC"/>
    <w:rsid w:val="00D41A4E"/>
    <w:rsid w:val="00D471A2"/>
    <w:rsid w:val="00D47A8E"/>
    <w:rsid w:val="00D507D0"/>
    <w:rsid w:val="00D52D14"/>
    <w:rsid w:val="00D557CC"/>
    <w:rsid w:val="00D57C4B"/>
    <w:rsid w:val="00D6739A"/>
    <w:rsid w:val="00D712D3"/>
    <w:rsid w:val="00D71422"/>
    <w:rsid w:val="00D72DC6"/>
    <w:rsid w:val="00D7558D"/>
    <w:rsid w:val="00D77CAD"/>
    <w:rsid w:val="00D81D92"/>
    <w:rsid w:val="00D844B4"/>
    <w:rsid w:val="00D8769D"/>
    <w:rsid w:val="00D876F9"/>
    <w:rsid w:val="00D87AC2"/>
    <w:rsid w:val="00D92F63"/>
    <w:rsid w:val="00D9403D"/>
    <w:rsid w:val="00D958A8"/>
    <w:rsid w:val="00DA3B04"/>
    <w:rsid w:val="00DA647E"/>
    <w:rsid w:val="00DA7B5F"/>
    <w:rsid w:val="00DB2530"/>
    <w:rsid w:val="00DB27E3"/>
    <w:rsid w:val="00DC11E7"/>
    <w:rsid w:val="00DC24E3"/>
    <w:rsid w:val="00DC466A"/>
    <w:rsid w:val="00DC7023"/>
    <w:rsid w:val="00DC769A"/>
    <w:rsid w:val="00DC7950"/>
    <w:rsid w:val="00DD227E"/>
    <w:rsid w:val="00DD3D86"/>
    <w:rsid w:val="00DD4AD2"/>
    <w:rsid w:val="00DD69E3"/>
    <w:rsid w:val="00DE0A58"/>
    <w:rsid w:val="00DE10D7"/>
    <w:rsid w:val="00DE1C05"/>
    <w:rsid w:val="00DE2862"/>
    <w:rsid w:val="00DE2B30"/>
    <w:rsid w:val="00DF1EC4"/>
    <w:rsid w:val="00DF2909"/>
    <w:rsid w:val="00DF2FFA"/>
    <w:rsid w:val="00DF4D42"/>
    <w:rsid w:val="00DF6877"/>
    <w:rsid w:val="00E017C5"/>
    <w:rsid w:val="00E01C97"/>
    <w:rsid w:val="00E0340B"/>
    <w:rsid w:val="00E0371E"/>
    <w:rsid w:val="00E038D4"/>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47F04"/>
    <w:rsid w:val="00E54FF5"/>
    <w:rsid w:val="00E56336"/>
    <w:rsid w:val="00E573E4"/>
    <w:rsid w:val="00E60A2E"/>
    <w:rsid w:val="00E64C3D"/>
    <w:rsid w:val="00E64E86"/>
    <w:rsid w:val="00E720CA"/>
    <w:rsid w:val="00E811FD"/>
    <w:rsid w:val="00E84EB5"/>
    <w:rsid w:val="00E85662"/>
    <w:rsid w:val="00E8789F"/>
    <w:rsid w:val="00E919A2"/>
    <w:rsid w:val="00E91BCA"/>
    <w:rsid w:val="00E960F7"/>
    <w:rsid w:val="00E9667E"/>
    <w:rsid w:val="00E97B71"/>
    <w:rsid w:val="00EA1149"/>
    <w:rsid w:val="00EA26F0"/>
    <w:rsid w:val="00EA3D34"/>
    <w:rsid w:val="00EA5E51"/>
    <w:rsid w:val="00EA641E"/>
    <w:rsid w:val="00EB0BBE"/>
    <w:rsid w:val="00EB0D15"/>
    <w:rsid w:val="00EB454D"/>
    <w:rsid w:val="00EB5CF8"/>
    <w:rsid w:val="00EB68FB"/>
    <w:rsid w:val="00EB77C7"/>
    <w:rsid w:val="00EC3ADA"/>
    <w:rsid w:val="00EC3C33"/>
    <w:rsid w:val="00EC4045"/>
    <w:rsid w:val="00EC5C31"/>
    <w:rsid w:val="00EC773B"/>
    <w:rsid w:val="00ED0D11"/>
    <w:rsid w:val="00ED549D"/>
    <w:rsid w:val="00ED5E10"/>
    <w:rsid w:val="00ED76BE"/>
    <w:rsid w:val="00EE00E9"/>
    <w:rsid w:val="00EE34B2"/>
    <w:rsid w:val="00EE36C0"/>
    <w:rsid w:val="00EE4586"/>
    <w:rsid w:val="00EF0606"/>
    <w:rsid w:val="00EF0623"/>
    <w:rsid w:val="00EF1AAA"/>
    <w:rsid w:val="00EF4ED0"/>
    <w:rsid w:val="00EF619B"/>
    <w:rsid w:val="00EF6401"/>
    <w:rsid w:val="00EF7EB3"/>
    <w:rsid w:val="00F00B55"/>
    <w:rsid w:val="00F00BC5"/>
    <w:rsid w:val="00F02AD1"/>
    <w:rsid w:val="00F02F62"/>
    <w:rsid w:val="00F046D0"/>
    <w:rsid w:val="00F06B84"/>
    <w:rsid w:val="00F1008B"/>
    <w:rsid w:val="00F14FC3"/>
    <w:rsid w:val="00F17870"/>
    <w:rsid w:val="00F23243"/>
    <w:rsid w:val="00F253CC"/>
    <w:rsid w:val="00F26F8C"/>
    <w:rsid w:val="00F3182C"/>
    <w:rsid w:val="00F33C9E"/>
    <w:rsid w:val="00F37106"/>
    <w:rsid w:val="00F40CA7"/>
    <w:rsid w:val="00F44E25"/>
    <w:rsid w:val="00F45B1C"/>
    <w:rsid w:val="00F465C4"/>
    <w:rsid w:val="00F519CF"/>
    <w:rsid w:val="00F51B08"/>
    <w:rsid w:val="00F53A9A"/>
    <w:rsid w:val="00F53F0C"/>
    <w:rsid w:val="00F54511"/>
    <w:rsid w:val="00F545AE"/>
    <w:rsid w:val="00F54C18"/>
    <w:rsid w:val="00F5577A"/>
    <w:rsid w:val="00F56BA5"/>
    <w:rsid w:val="00F60C89"/>
    <w:rsid w:val="00F60E22"/>
    <w:rsid w:val="00F62F24"/>
    <w:rsid w:val="00F65504"/>
    <w:rsid w:val="00F711C3"/>
    <w:rsid w:val="00F71A7B"/>
    <w:rsid w:val="00F80D59"/>
    <w:rsid w:val="00F81395"/>
    <w:rsid w:val="00F81BB8"/>
    <w:rsid w:val="00F8227D"/>
    <w:rsid w:val="00F85233"/>
    <w:rsid w:val="00F90926"/>
    <w:rsid w:val="00F90C64"/>
    <w:rsid w:val="00F917D1"/>
    <w:rsid w:val="00F93998"/>
    <w:rsid w:val="00F94136"/>
    <w:rsid w:val="00F941B1"/>
    <w:rsid w:val="00F95C17"/>
    <w:rsid w:val="00F9653B"/>
    <w:rsid w:val="00FA572C"/>
    <w:rsid w:val="00FA6AEF"/>
    <w:rsid w:val="00FB507A"/>
    <w:rsid w:val="00FB50BC"/>
    <w:rsid w:val="00FB6223"/>
    <w:rsid w:val="00FB62CF"/>
    <w:rsid w:val="00FC1EA3"/>
    <w:rsid w:val="00FC2060"/>
    <w:rsid w:val="00FC6136"/>
    <w:rsid w:val="00FC6219"/>
    <w:rsid w:val="00FC66E2"/>
    <w:rsid w:val="00FD0F47"/>
    <w:rsid w:val="00FD3C3B"/>
    <w:rsid w:val="00FD4A99"/>
    <w:rsid w:val="00FD6EC9"/>
    <w:rsid w:val="00FE07DD"/>
    <w:rsid w:val="00FE0AF1"/>
    <w:rsid w:val="00FE6060"/>
    <w:rsid w:val="00FE6B45"/>
    <w:rsid w:val="00FF2079"/>
    <w:rsid w:val="00FF396C"/>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09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7831"/>
    <w:rsid w:val="0008633E"/>
    <w:rsid w:val="000E60FB"/>
    <w:rsid w:val="00200821"/>
    <w:rsid w:val="0025245B"/>
    <w:rsid w:val="00267B52"/>
    <w:rsid w:val="002A3923"/>
    <w:rsid w:val="00394049"/>
    <w:rsid w:val="003B0C71"/>
    <w:rsid w:val="003E4777"/>
    <w:rsid w:val="004A5EA5"/>
    <w:rsid w:val="004B5BBB"/>
    <w:rsid w:val="004F2DF8"/>
    <w:rsid w:val="00517E2A"/>
    <w:rsid w:val="00557299"/>
    <w:rsid w:val="005728EF"/>
    <w:rsid w:val="006D12AA"/>
    <w:rsid w:val="006F24A1"/>
    <w:rsid w:val="00775C63"/>
    <w:rsid w:val="00863B9A"/>
    <w:rsid w:val="00875B8A"/>
    <w:rsid w:val="008D1382"/>
    <w:rsid w:val="0093734E"/>
    <w:rsid w:val="009A261B"/>
    <w:rsid w:val="00A30204"/>
    <w:rsid w:val="00A313FB"/>
    <w:rsid w:val="00A62A32"/>
    <w:rsid w:val="00AA2E17"/>
    <w:rsid w:val="00AC15A4"/>
    <w:rsid w:val="00B0336C"/>
    <w:rsid w:val="00B1042D"/>
    <w:rsid w:val="00B15CB6"/>
    <w:rsid w:val="00B678D2"/>
    <w:rsid w:val="00BB5BCF"/>
    <w:rsid w:val="00BD73DB"/>
    <w:rsid w:val="00C2121D"/>
    <w:rsid w:val="00CE6EC1"/>
    <w:rsid w:val="00D241E9"/>
    <w:rsid w:val="00D6237B"/>
    <w:rsid w:val="00D7750D"/>
    <w:rsid w:val="00DD52F0"/>
    <w:rsid w:val="00E50D65"/>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2024-07-15T13:24:00Z</dcterms:created>
  <dcterms:modified xsi:type="dcterms:W3CDTF">2024-07-15T13:24:00Z</dcterms:modified>
</cp:coreProperties>
</file>