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3B" w:rsidRDefault="0076253B">
      <w:pPr>
        <w:spacing w:after="160" w:line="259" w:lineRule="auto"/>
      </w:pPr>
      <w:bookmarkStart w:id="0" w:name="_GoBack"/>
      <w:bookmarkEnd w:id="0"/>
    </w:p>
    <w:p w:rsidR="0076253B" w:rsidRPr="00AF385B" w:rsidRDefault="0076253B" w:rsidP="0076253B">
      <w:pPr>
        <w:spacing w:after="0" w:line="240" w:lineRule="auto"/>
        <w:jc w:val="both"/>
        <w:rPr>
          <w:rFonts w:ascii="Cambria" w:hAnsi="Cambria" w:cs="Univers"/>
          <w:b/>
          <w:bCs/>
          <w:sz w:val="20"/>
          <w:szCs w:val="20"/>
          <w:lang w:val="es-ES_tradnl"/>
        </w:rPr>
      </w:pPr>
      <w:r w:rsidRPr="00AF385B">
        <w:rPr>
          <w:rFonts w:ascii="Cambria" w:hAnsi="Cambria"/>
          <w:noProof/>
          <w:sz w:val="20"/>
          <w:szCs w:val="20"/>
          <w:lang w:val="es-UY" w:eastAsia="es-UY"/>
        </w:rPr>
        <mc:AlternateContent>
          <mc:Choice Requires="wps">
            <w:drawing>
              <wp:anchor distT="0" distB="0" distL="114300" distR="114300" simplePos="0" relativeHeight="251671552" behindDoc="0" locked="0" layoutInCell="1" allowOverlap="1">
                <wp:simplePos x="0" y="0"/>
                <wp:positionH relativeFrom="column">
                  <wp:posOffset>107950</wp:posOffset>
                </wp:positionH>
                <wp:positionV relativeFrom="paragraph">
                  <wp:posOffset>162560</wp:posOffset>
                </wp:positionV>
                <wp:extent cx="452120" cy="835025"/>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835025"/>
                        </a:xfrm>
                        <a:prstGeom prst="rect">
                          <a:avLst/>
                        </a:prstGeom>
                        <a:noFill/>
                        <a:ln>
                          <a:noFill/>
                        </a:ln>
                        <a:effectLst/>
                      </wps:spPr>
                      <wps:txbx>
                        <w:txbxContent>
                          <w:p w:rsidR="00D53806" w:rsidRPr="000D5022" w:rsidRDefault="00D53806" w:rsidP="0076253B">
                            <w:pPr>
                              <w:jc w:val="center"/>
                              <w:rPr>
                                <w:rFonts w:ascii="Cambria" w:hAnsi="Cambria"/>
                                <w:b/>
                                <w:noProof/>
                                <w:color w:val="F0EEE5"/>
                                <w:sz w:val="72"/>
                                <w:szCs w:val="72"/>
                                <w:lang w:val="es-E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8.5pt;margin-top:12.8pt;width:35.6pt;height:65.7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" filled="f" stroked="f">
                <v:path arrowok="t"/>
                <v:textbox style="mso-fit-shape-to-text:t">
                  <w:txbxContent>
                    <w:p w:rsidR="00D53806" w:rsidRPr="000D5022" w:rsidRDefault="00D53806" w:rsidP="0076253B">
                      <w:pPr>
                        <w:jc w:val="center"/>
                        <w:rPr>
                          <w:rFonts w:ascii="Cambria" w:hAnsi="Cambria"/>
                          <w:b/>
                          <w:noProof/>
                          <w:color w:val="F0EEE5"/>
                          <w:sz w:val="72"/>
                          <w:szCs w:val="72"/>
                          <w:lang w:val="es-ES"/>
                        </w:rPr>
                      </w:pPr>
                    </w:p>
                  </w:txbxContent>
                </v:textbox>
              </v:shape>
            </w:pict>
          </mc:Fallback>
        </mc:AlternateContent>
      </w:r>
      <w:r w:rsidRPr="00AF385B">
        <w:rPr>
          <w:rFonts w:ascii="Cambria" w:hAnsi="Cambria"/>
          <w:noProof/>
          <w:sz w:val="20"/>
          <w:szCs w:val="20"/>
          <w:lang w:val="es-UY" w:eastAsia="es-UY"/>
        </w:rPr>
        <mc:AlternateContent>
          <mc:Choice Requires="wps">
            <w:drawing>
              <wp:anchor distT="0" distB="0" distL="114300" distR="114300" simplePos="0" relativeHeight="251663360"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txbx>
                        <w:txbxContent>
                          <w:p w:rsidR="00D53806" w:rsidRDefault="00D53806" w:rsidP="007625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left:0;text-align:left;margin-left:-32.75pt;margin-top:-28.1pt;width:111pt;height:70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" fillcolor="#67ae3c" stroked="f" strokeweight="2pt">
                <v:path arrowok="t"/>
                <v:textbox>
                  <w:txbxContent>
                    <w:p w:rsidR="00D53806" w:rsidRDefault="00D53806" w:rsidP="0076253B">
                      <w:pPr>
                        <w:jc w:val="center"/>
                      </w:pPr>
                    </w:p>
                  </w:txbxContent>
                </v:textbox>
              </v:rect>
            </w:pict>
          </mc:Fallback>
        </mc:AlternateContent>
      </w:r>
      <w:r w:rsidRPr="00AF385B">
        <w:rPr>
          <w:rFonts w:ascii="Cambria" w:hAnsi="Cambria"/>
          <w:noProof/>
          <w:sz w:val="20"/>
          <w:szCs w:val="20"/>
          <w:lang w:val="es-UY" w:eastAsia="es-UY"/>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D53806" w:rsidRDefault="00D53806" w:rsidP="0076253B">
                            <w:r w:rsidRPr="00052092">
                              <w:rPr>
                                <w:noProof/>
                                <w:lang w:val="es-UY" w:eastAsia="es-UY"/>
                              </w:rPr>
                              <w:drawing>
                                <wp:inline distT="0" distB="0" distL="0" distR="0">
                                  <wp:extent cx="2524125" cy="485775"/>
                                  <wp:effectExtent l="0" t="0" r="9525" b="9525"/>
                                  <wp:docPr id="9" name="Picture 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90pt;margin-top:-29.25pt;width:353.2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" filled="f" stroked="f" strokeweight=".5pt">
                <v:path arrowok="t"/>
                <v:textbox>
                  <w:txbxContent>
                    <w:p w:rsidR="00D53806" w:rsidRDefault="00D53806" w:rsidP="0076253B">
                      <w:r w:rsidRPr="00052092">
                        <w:rPr>
                          <w:noProof/>
                          <w:lang w:eastAsia="zh-CN"/>
                        </w:rPr>
                        <w:drawing>
                          <wp:inline distT="0" distB="0" distL="0" distR="0">
                            <wp:extent cx="2524125" cy="485775"/>
                            <wp:effectExtent l="0" t="0" r="9525" b="9525"/>
                            <wp:docPr id="9" name="Picture 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r>
                        <w:t xml:space="preserve">                                               </w:t>
                      </w:r>
                    </w:p>
                  </w:txbxContent>
                </v:textbox>
              </v:shape>
            </w:pict>
          </mc:Fallback>
        </mc:AlternateContent>
      </w:r>
    </w:p>
    <w:p w:rsidR="0076253B" w:rsidRPr="00AF385B" w:rsidRDefault="0076253B" w:rsidP="0076253B">
      <w:pPr>
        <w:tabs>
          <w:tab w:val="center" w:pos="5400"/>
        </w:tabs>
        <w:suppressAutoHyphens/>
        <w:spacing w:after="0" w:line="240" w:lineRule="auto"/>
        <w:jc w:val="both"/>
        <w:rPr>
          <w:rFonts w:ascii="Cambria" w:hAnsi="Cambria"/>
          <w:sz w:val="20"/>
          <w:szCs w:val="20"/>
          <w:lang w:val="es-ES"/>
        </w:rPr>
      </w:pPr>
    </w:p>
    <w:p w:rsidR="0076253B" w:rsidRPr="00AF385B" w:rsidRDefault="0076253B" w:rsidP="0076253B">
      <w:pPr>
        <w:tabs>
          <w:tab w:val="center" w:pos="5400"/>
        </w:tabs>
        <w:suppressAutoHyphens/>
        <w:spacing w:after="0" w:line="240" w:lineRule="auto"/>
        <w:jc w:val="both"/>
        <w:rPr>
          <w:rFonts w:ascii="Cambria" w:hAnsi="Cambria"/>
          <w:sz w:val="20"/>
          <w:szCs w:val="20"/>
          <w:lang w:val="es-ES"/>
        </w:rPr>
      </w:pPr>
    </w:p>
    <w:p w:rsidR="0076253B" w:rsidRPr="00AF385B" w:rsidRDefault="0076253B" w:rsidP="0076253B">
      <w:pPr>
        <w:tabs>
          <w:tab w:val="center" w:pos="5400"/>
        </w:tabs>
        <w:suppressAutoHyphens/>
        <w:spacing w:after="0" w:line="240" w:lineRule="auto"/>
        <w:rPr>
          <w:rFonts w:ascii="Cambria" w:hAnsi="Cambria"/>
          <w:sz w:val="20"/>
          <w:szCs w:val="20"/>
          <w:lang w:val="es-ES_tradnl"/>
        </w:rPr>
      </w:pPr>
    </w:p>
    <w:p w:rsidR="0076253B" w:rsidRPr="00AF385B" w:rsidRDefault="0076253B" w:rsidP="0076253B">
      <w:pPr>
        <w:tabs>
          <w:tab w:val="center" w:pos="5400"/>
        </w:tabs>
        <w:suppressAutoHyphens/>
        <w:spacing w:after="0" w:line="240" w:lineRule="auto"/>
        <w:rPr>
          <w:rFonts w:ascii="Cambria" w:hAnsi="Cambria"/>
          <w:sz w:val="20"/>
          <w:szCs w:val="20"/>
          <w:lang w:val="es-ES_tradnl"/>
        </w:rPr>
      </w:pPr>
    </w:p>
    <w:p w:rsidR="0076253B" w:rsidRPr="00AF385B" w:rsidRDefault="0076253B" w:rsidP="0076253B">
      <w:pPr>
        <w:tabs>
          <w:tab w:val="center" w:pos="5400"/>
        </w:tabs>
        <w:suppressAutoHyphens/>
        <w:spacing w:after="0" w:line="240" w:lineRule="auto"/>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r w:rsidRPr="00AF385B">
        <w:rPr>
          <w:rFonts w:ascii="Cambria" w:hAnsi="Cambria"/>
          <w:noProof/>
          <w:sz w:val="20"/>
          <w:szCs w:val="20"/>
          <w:lang w:val="es-UY" w:eastAsia="es-UY"/>
        </w:rPr>
        <mc:AlternateContent>
          <mc:Choice Requires="wps">
            <w:drawing>
              <wp:anchor distT="0" distB="0" distL="114300" distR="114300" simplePos="0" relativeHeight="251664384" behindDoc="0" locked="0" layoutInCell="1" allowOverlap="1">
                <wp:simplePos x="0" y="0"/>
                <wp:positionH relativeFrom="column">
                  <wp:posOffset>1209675</wp:posOffset>
                </wp:positionH>
                <wp:positionV relativeFrom="paragraph">
                  <wp:posOffset>79375</wp:posOffset>
                </wp:positionV>
                <wp:extent cx="4333875" cy="24777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477770"/>
                        </a:xfrm>
                        <a:prstGeom prst="rect">
                          <a:avLst/>
                        </a:prstGeom>
                        <a:noFill/>
                        <a:ln w="6350">
                          <a:noFill/>
                        </a:ln>
                        <a:effectLst/>
                      </wps:spPr>
                      <wps:txbx>
                        <w:txbxContent>
                          <w:p w:rsidR="00D53806" w:rsidRPr="00C419D4" w:rsidRDefault="00D53806" w:rsidP="00C419D4">
                            <w:pPr>
                              <w:pStyle w:val="NoSpacing"/>
                              <w:rPr>
                                <w:rFonts w:ascii="Cambria" w:hAnsi="Cambria"/>
                                <w:b/>
                                <w:sz w:val="36"/>
                                <w:szCs w:val="36"/>
                              </w:rPr>
                            </w:pPr>
                            <w:r>
                              <w:rPr>
                                <w:rFonts w:ascii="Cambria" w:hAnsi="Cambria"/>
                                <w:b/>
                                <w:sz w:val="36"/>
                                <w:szCs w:val="36"/>
                              </w:rPr>
                              <w:t>REPORT No. 71</w:t>
                            </w:r>
                            <w:r w:rsidRPr="00C419D4">
                              <w:rPr>
                                <w:rFonts w:ascii="Cambria" w:hAnsi="Cambria"/>
                                <w:b/>
                                <w:sz w:val="36"/>
                                <w:szCs w:val="36"/>
                              </w:rPr>
                              <w:t>/15</w:t>
                            </w:r>
                          </w:p>
                          <w:p w:rsidR="00D53806" w:rsidRPr="00C419D4" w:rsidRDefault="00D53806" w:rsidP="00C419D4">
                            <w:pPr>
                              <w:pStyle w:val="NoSpacing"/>
                              <w:rPr>
                                <w:rFonts w:ascii="Cambria" w:hAnsi="Cambria"/>
                                <w:b/>
                                <w:sz w:val="36"/>
                                <w:szCs w:val="36"/>
                              </w:rPr>
                            </w:pPr>
                            <w:r w:rsidRPr="00C419D4">
                              <w:rPr>
                                <w:rFonts w:ascii="Cambria" w:hAnsi="Cambria"/>
                                <w:b/>
                                <w:sz w:val="36"/>
                                <w:szCs w:val="36"/>
                              </w:rPr>
                              <w:t>CASE 12.879</w:t>
                            </w:r>
                          </w:p>
                          <w:p w:rsidR="00D53806" w:rsidRPr="00C419D4" w:rsidRDefault="00D53806" w:rsidP="00C419D4">
                            <w:pPr>
                              <w:rPr>
                                <w:rFonts w:ascii="Cambria" w:hAnsi="Cambria" w:cs="Arial"/>
                                <w:color w:val="0D0D0D"/>
                              </w:rPr>
                            </w:pPr>
                            <w:r>
                              <w:rPr>
                                <w:rFonts w:ascii="Cambria" w:hAnsi="Cambria"/>
                                <w:color w:val="0D0D0D"/>
                              </w:rPr>
                              <w:t xml:space="preserve">REPORT ON THE MERITS </w:t>
                            </w:r>
                            <w:bookmarkStart w:id="1" w:name="_ftnref1"/>
                          </w:p>
                          <w:bookmarkEnd w:id="1"/>
                          <w:p w:rsidR="00D53806" w:rsidRPr="00C419D4" w:rsidRDefault="00D53806" w:rsidP="00C419D4">
                            <w:pPr>
                              <w:pStyle w:val="NoSpacing"/>
                              <w:rPr>
                                <w:rFonts w:ascii="Cambria" w:hAnsi="Cambria"/>
                              </w:rPr>
                            </w:pPr>
                            <w:r w:rsidRPr="00C419D4">
                              <w:rPr>
                                <w:rFonts w:ascii="Cambria" w:hAnsi="Cambria"/>
                              </w:rPr>
                              <w:t>VLADIMIR HERZOG AND OTHERS</w:t>
                            </w:r>
                          </w:p>
                          <w:p w:rsidR="00D53806" w:rsidRPr="00C419D4" w:rsidRDefault="00D53806" w:rsidP="00C419D4">
                            <w:pPr>
                              <w:pStyle w:val="NoSpacing"/>
                              <w:rPr>
                                <w:rFonts w:ascii="Cambria" w:hAnsi="Cambria"/>
                              </w:rPr>
                            </w:pPr>
                            <w:r w:rsidRPr="00C419D4">
                              <w:rPr>
                                <w:rFonts w:ascii="Cambria" w:hAnsi="Cambria"/>
                              </w:rPr>
                              <w:t>BRAZIL</w:t>
                            </w:r>
                          </w:p>
                          <w:p w:rsidR="00D53806" w:rsidRPr="00D00285" w:rsidRDefault="00D53806" w:rsidP="0076253B">
                            <w:pPr>
                              <w:rPr>
                                <w:rFonts w:ascii="Cambria" w:hAnsi="Cambria" w:cs="Arial"/>
                                <w:b/>
                                <w:bCs/>
                                <w:color w:val="0D0D0D"/>
                                <w:sz w:val="36"/>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95.25pt;margin-top:6.25pt;width:341.25pt;height:19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" filled="f" stroked="f" strokeweight=".5pt">
                <v:path arrowok="t"/>
                <v:textbox>
                  <w:txbxContent>
                    <w:p w:rsidR="00D53806" w:rsidRPr="00C419D4" w:rsidRDefault="00D53806" w:rsidP="00C419D4">
                      <w:pPr>
                        <w:pStyle w:val="NoSpacing"/>
                        <w:rPr>
                          <w:rFonts w:ascii="Cambria" w:hAnsi="Cambria"/>
                          <w:b/>
                          <w:sz w:val="36"/>
                          <w:szCs w:val="36"/>
                        </w:rPr>
                      </w:pPr>
                      <w:r>
                        <w:rPr>
                          <w:rFonts w:ascii="Cambria" w:hAnsi="Cambria"/>
                          <w:b/>
                          <w:sz w:val="36"/>
                          <w:szCs w:val="36"/>
                        </w:rPr>
                        <w:t>REPORT No. 71</w:t>
                      </w:r>
                      <w:r w:rsidRPr="00C419D4">
                        <w:rPr>
                          <w:rFonts w:ascii="Cambria" w:hAnsi="Cambria"/>
                          <w:b/>
                          <w:sz w:val="36"/>
                          <w:szCs w:val="36"/>
                        </w:rPr>
                        <w:t>/15</w:t>
                      </w:r>
                    </w:p>
                    <w:p w:rsidR="00D53806" w:rsidRPr="00C419D4" w:rsidRDefault="00D53806" w:rsidP="00C419D4">
                      <w:pPr>
                        <w:pStyle w:val="NoSpacing"/>
                        <w:rPr>
                          <w:rFonts w:ascii="Cambria" w:hAnsi="Cambria"/>
                          <w:b/>
                          <w:sz w:val="36"/>
                          <w:szCs w:val="36"/>
                        </w:rPr>
                      </w:pPr>
                      <w:r w:rsidRPr="00C419D4">
                        <w:rPr>
                          <w:rFonts w:ascii="Cambria" w:hAnsi="Cambria"/>
                          <w:b/>
                          <w:sz w:val="36"/>
                          <w:szCs w:val="36"/>
                        </w:rPr>
                        <w:t>CASE 12.879</w:t>
                      </w:r>
                    </w:p>
                    <w:p w:rsidR="00D53806" w:rsidRPr="00C419D4" w:rsidRDefault="00D53806" w:rsidP="00C419D4">
                      <w:pPr>
                        <w:rPr>
                          <w:rFonts w:ascii="Cambria" w:hAnsi="Cambria" w:cs="Arial"/>
                          <w:color w:val="0D0D0D"/>
                        </w:rPr>
                      </w:pPr>
                      <w:r>
                        <w:rPr>
                          <w:rFonts w:ascii="Cambria" w:hAnsi="Cambria"/>
                          <w:color w:val="0D0D0D"/>
                        </w:rPr>
                        <w:t xml:space="preserve">REPORT ON THE MERITS </w:t>
                      </w:r>
                      <w:bookmarkStart w:id="1" w:name="_ftnref1"/>
                    </w:p>
                    <w:bookmarkEnd w:id="1"/>
                    <w:p w:rsidR="00D53806" w:rsidRPr="00C419D4" w:rsidRDefault="00D53806" w:rsidP="00C419D4">
                      <w:pPr>
                        <w:pStyle w:val="NoSpacing"/>
                        <w:rPr>
                          <w:rFonts w:ascii="Cambria" w:hAnsi="Cambria"/>
                        </w:rPr>
                      </w:pPr>
                      <w:r w:rsidRPr="00C419D4">
                        <w:rPr>
                          <w:rFonts w:ascii="Cambria" w:hAnsi="Cambria"/>
                        </w:rPr>
                        <w:t>VLADIMIR HERZOG AND OTHERS</w:t>
                      </w:r>
                    </w:p>
                    <w:p w:rsidR="00D53806" w:rsidRPr="00C419D4" w:rsidRDefault="00D53806" w:rsidP="00C419D4">
                      <w:pPr>
                        <w:pStyle w:val="NoSpacing"/>
                        <w:rPr>
                          <w:rFonts w:ascii="Cambria" w:hAnsi="Cambria"/>
                        </w:rPr>
                      </w:pPr>
                      <w:r w:rsidRPr="00C419D4">
                        <w:rPr>
                          <w:rFonts w:ascii="Cambria" w:hAnsi="Cambria"/>
                        </w:rPr>
                        <w:t>BRAZIL</w:t>
                      </w:r>
                    </w:p>
                    <w:p w:rsidR="00D53806" w:rsidRPr="00D00285" w:rsidRDefault="00D53806" w:rsidP="0076253B">
                      <w:pPr>
                        <w:rPr>
                          <w:rFonts w:ascii="Cambria" w:hAnsi="Cambria" w:cs="Arial"/>
                          <w:b/>
                          <w:bCs/>
                          <w:color w:val="0D0D0D"/>
                          <w:sz w:val="36"/>
                          <w:szCs w:val="40"/>
                        </w:rPr>
                      </w:pPr>
                    </w:p>
                  </w:txbxContent>
                </v:textbox>
              </v:shape>
            </w:pict>
          </mc:Fallback>
        </mc:AlternateContent>
      </w:r>
      <w:r w:rsidRPr="00AF385B">
        <w:rPr>
          <w:rFonts w:ascii="Cambria" w:hAnsi="Cambria"/>
          <w:noProof/>
          <w:sz w:val="20"/>
          <w:szCs w:val="20"/>
          <w:lang w:val="es-UY" w:eastAsia="es-UY"/>
        </w:rPr>
        <mc:AlternateContent>
          <mc:Choice Requires="wps">
            <w:drawing>
              <wp:anchor distT="0" distB="0" distL="114300" distR="114300" simplePos="0" relativeHeight="251666432"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D53806" w:rsidRPr="000367BD" w:rsidRDefault="00D53806" w:rsidP="00C419D4">
                            <w:pPr>
                              <w:pStyle w:val="NoSpacing"/>
                              <w:jc w:val="both"/>
                              <w:rPr>
                                <w:lang w:val="es-UY"/>
                              </w:rPr>
                            </w:pPr>
                            <w:r w:rsidRPr="000367BD">
                              <w:rPr>
                                <w:lang w:val="es-UY"/>
                              </w:rPr>
                              <w:t>OEA/Ser.L/V/II.156</w:t>
                            </w:r>
                          </w:p>
                          <w:p w:rsidR="00D53806" w:rsidRPr="00D53806" w:rsidRDefault="00D53806" w:rsidP="00C419D4">
                            <w:pPr>
                              <w:pStyle w:val="NoSpacing"/>
                              <w:jc w:val="both"/>
                            </w:pPr>
                            <w:r w:rsidRPr="00D53806">
                              <w:t>Doc. 2</w:t>
                            </w:r>
                            <w:r>
                              <w:t>4</w:t>
                            </w:r>
                          </w:p>
                          <w:p w:rsidR="00D53806" w:rsidRPr="00C419D4" w:rsidRDefault="00D53806" w:rsidP="00C419D4">
                            <w:pPr>
                              <w:pStyle w:val="NoSpacing"/>
                              <w:jc w:val="both"/>
                            </w:pPr>
                            <w:r>
                              <w:t>28</w:t>
                            </w:r>
                            <w:r w:rsidRPr="00C419D4">
                              <w:t xml:space="preserve"> October 2015</w:t>
                            </w:r>
                          </w:p>
                          <w:p w:rsidR="00D53806" w:rsidRPr="00C419D4" w:rsidRDefault="00D53806" w:rsidP="00C419D4">
                            <w:pPr>
                              <w:pStyle w:val="NoSpacing"/>
                              <w:jc w:val="both"/>
                            </w:pPr>
                            <w:r w:rsidRPr="00C419D4">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9.25pt;margin-top:10pt;width:105.05pt;height:10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NDtd4NBAgAAgAQA&#10;AA4AAAAAAAAAAAAAAAAALgIAAGRycy9lMm9Eb2MueG1sUEsBAi0AFAAGAAgAAAAhAGKknRffAAAA&#10;CgEAAA8AAAAAAAAAAAAAAAAAmwQAAGRycy9kb3ducmV2LnhtbFBLBQYAAAAABAAEAPMAAACnBQAA&#10;AAA=&#10;" filled="f" stroked="f" strokeweight=".5pt">
                <v:path arrowok="t"/>
                <v:textbox>
                  <w:txbxContent>
                    <w:p w:rsidR="00D53806" w:rsidRPr="00D53806" w:rsidRDefault="00D53806" w:rsidP="00C419D4">
                      <w:pPr>
                        <w:pStyle w:val="NoSpacing"/>
                        <w:jc w:val="both"/>
                      </w:pPr>
                      <w:r w:rsidRPr="00D53806">
                        <w:t>OEA/</w:t>
                      </w:r>
                      <w:proofErr w:type="spellStart"/>
                      <w:r w:rsidRPr="00D53806">
                        <w:t>Ser.L</w:t>
                      </w:r>
                      <w:proofErr w:type="spellEnd"/>
                      <w:r w:rsidRPr="00D53806">
                        <w:t>/V/II.156</w:t>
                      </w:r>
                    </w:p>
                    <w:p w:rsidR="00D53806" w:rsidRPr="00D53806" w:rsidRDefault="00D53806" w:rsidP="00C419D4">
                      <w:pPr>
                        <w:pStyle w:val="NoSpacing"/>
                        <w:jc w:val="both"/>
                      </w:pPr>
                      <w:r w:rsidRPr="00D53806">
                        <w:t>Doc. 2</w:t>
                      </w:r>
                      <w:r>
                        <w:t>4</w:t>
                      </w:r>
                    </w:p>
                    <w:p w:rsidR="00D53806" w:rsidRPr="00C419D4" w:rsidRDefault="00D53806" w:rsidP="00C419D4">
                      <w:pPr>
                        <w:pStyle w:val="NoSpacing"/>
                        <w:jc w:val="both"/>
                      </w:pPr>
                      <w:r>
                        <w:t>28</w:t>
                      </w:r>
                      <w:r w:rsidRPr="00C419D4">
                        <w:t xml:space="preserve"> October 2015</w:t>
                      </w:r>
                    </w:p>
                    <w:p w:rsidR="00D53806" w:rsidRPr="00C419D4" w:rsidRDefault="00D53806" w:rsidP="00C419D4">
                      <w:pPr>
                        <w:pStyle w:val="NoSpacing"/>
                        <w:jc w:val="both"/>
                      </w:pPr>
                      <w:r w:rsidRPr="00C419D4">
                        <w:t>Original: Spanish</w:t>
                      </w:r>
                    </w:p>
                  </w:txbxContent>
                </v:textbox>
              </v:shape>
            </w:pict>
          </mc:Fallback>
        </mc:AlternateContent>
      </w: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cs="Arial"/>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r w:rsidRPr="00AF385B">
        <w:rPr>
          <w:rFonts w:ascii="Cambria" w:hAnsi="Cambria"/>
          <w:noProof/>
          <w:sz w:val="20"/>
          <w:szCs w:val="20"/>
          <w:lang w:val="es-UY" w:eastAsia="es-UY"/>
        </w:rPr>
        <mc:AlternateContent>
          <mc:Choice Requires="wps">
            <w:drawing>
              <wp:anchor distT="0" distB="0" distL="114300" distR="114300" simplePos="0" relativeHeight="251665408"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D53806" w:rsidRPr="001D618E" w:rsidRDefault="00D53806" w:rsidP="0076253B">
                            <w:pPr>
                              <w:tabs>
                                <w:tab w:val="center" w:pos="5400"/>
                              </w:tabs>
                              <w:suppressAutoHyphens/>
                              <w:spacing w:before="60"/>
                              <w:jc w:val="both"/>
                              <w:rPr>
                                <w:rFonts w:ascii="Cambria" w:hAnsi="Cambria" w:cs="Univers"/>
                                <w:color w:val="0D0D0D"/>
                                <w:sz w:val="18"/>
                                <w:szCs w:val="20"/>
                              </w:rPr>
                            </w:pPr>
                            <w:r>
                              <w:rPr>
                                <w:rFonts w:ascii="Cambria" w:hAnsi="Cambria"/>
                                <w:color w:val="0D0D0D"/>
                                <w:sz w:val="18"/>
                              </w:rPr>
                              <w:t>Approved by the Commission at its meeting No. 2053 held on October 28, 2015, during its 156th regular session</w:t>
                            </w:r>
                          </w:p>
                          <w:p w:rsidR="00D53806" w:rsidRPr="001D618E" w:rsidRDefault="00D53806" w:rsidP="0076253B">
                            <w:pPr>
                              <w:tabs>
                                <w:tab w:val="center" w:pos="5400"/>
                              </w:tabs>
                              <w:suppressAutoHyphens/>
                              <w:spacing w:before="60"/>
                              <w:rPr>
                                <w:rFonts w:cs="Univers"/>
                                <w:color w:val="0D0D0D"/>
                                <w:sz w:val="20"/>
                                <w:szCs w:val="20"/>
                              </w:rPr>
                            </w:pPr>
                          </w:p>
                          <w:p w:rsidR="00D53806" w:rsidRPr="001D618E" w:rsidRDefault="00D53806" w:rsidP="0076253B">
                            <w:pPr>
                              <w:tabs>
                                <w:tab w:val="center" w:pos="5400"/>
                              </w:tabs>
                              <w:suppressAutoHyphens/>
                              <w:spacing w:before="60"/>
                              <w:rPr>
                                <w:color w:val="FFFFFF"/>
                                <w:spacing w:val="-2"/>
                                <w:sz w:val="16"/>
                              </w:rPr>
                            </w:pPr>
                          </w:p>
                          <w:p w:rsidR="00D53806" w:rsidRPr="00D00285" w:rsidRDefault="00D53806" w:rsidP="0076253B">
                            <w:pPr>
                              <w:tabs>
                                <w:tab w:val="center" w:pos="5400"/>
                              </w:tabs>
                              <w:suppressAutoHyphens/>
                              <w:spacing w:before="60"/>
                              <w:rPr>
                                <w:rFonts w:ascii="Cambria" w:hAnsi="Cambria"/>
                                <w:color w:val="0D0D0D"/>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95.25pt;margin-top:5.6pt;width:361.8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" filled="f" stroked="f" strokeweight=".5pt">
                <v:path arrowok="t"/>
                <v:textbox>
                  <w:txbxContent>
                    <w:p w:rsidR="00D53806" w:rsidRPr="001D618E" w:rsidRDefault="00D53806" w:rsidP="0076253B">
                      <w:pPr>
                        <w:tabs>
                          <w:tab w:val="center" w:pos="5400"/>
                        </w:tabs>
                        <w:suppressAutoHyphens/>
                        <w:spacing w:before="60"/>
                        <w:jc w:val="both"/>
                        <w:rPr>
                          <w:rFonts w:ascii="Cambria" w:hAnsi="Cambria" w:cs="Univers"/>
                          <w:color w:val="0D0D0D"/>
                          <w:sz w:val="18"/>
                          <w:szCs w:val="20"/>
                        </w:rPr>
                      </w:pPr>
                      <w:r>
                        <w:rPr>
                          <w:rFonts w:ascii="Cambria" w:hAnsi="Cambria"/>
                          <w:color w:val="0D0D0D"/>
                          <w:sz w:val="18"/>
                        </w:rPr>
                        <w:t>Approved by the Commission at its meeting No. 2053 held on October 28, 2015, during its 156th regular session</w:t>
                      </w:r>
                    </w:p>
                    <w:p w:rsidR="00D53806" w:rsidRPr="001D618E" w:rsidRDefault="00D53806" w:rsidP="0076253B">
                      <w:pPr>
                        <w:tabs>
                          <w:tab w:val="center" w:pos="5400"/>
                        </w:tabs>
                        <w:suppressAutoHyphens/>
                        <w:spacing w:before="60"/>
                        <w:rPr>
                          <w:rFonts w:cs="Univers"/>
                          <w:color w:val="0D0D0D"/>
                          <w:sz w:val="20"/>
                          <w:szCs w:val="20"/>
                        </w:rPr>
                      </w:pPr>
                    </w:p>
                    <w:p w:rsidR="00D53806" w:rsidRPr="001D618E" w:rsidRDefault="00D53806" w:rsidP="0076253B">
                      <w:pPr>
                        <w:tabs>
                          <w:tab w:val="center" w:pos="5400"/>
                        </w:tabs>
                        <w:suppressAutoHyphens/>
                        <w:spacing w:before="60"/>
                        <w:rPr>
                          <w:color w:val="FFFFFF"/>
                          <w:spacing w:val="-2"/>
                          <w:sz w:val="16"/>
                        </w:rPr>
                      </w:pPr>
                    </w:p>
                    <w:p w:rsidR="00D53806" w:rsidRPr="00D00285" w:rsidRDefault="00D53806" w:rsidP="0076253B">
                      <w:pPr>
                        <w:tabs>
                          <w:tab w:val="center" w:pos="5400"/>
                        </w:tabs>
                        <w:suppressAutoHyphens/>
                        <w:spacing w:before="60"/>
                        <w:rPr>
                          <w:rFonts w:ascii="Cambria" w:hAnsi="Cambria"/>
                          <w:color w:val="0D0D0D"/>
                          <w:sz w:val="18"/>
                        </w:rPr>
                      </w:pPr>
                    </w:p>
                  </w:txbxContent>
                </v:textbox>
              </v:shape>
            </w:pict>
          </mc:Fallback>
        </mc:AlternateContent>
      </w: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r w:rsidRPr="00AF385B">
        <w:rPr>
          <w:rFonts w:ascii="Cambria" w:hAnsi="Cambria"/>
          <w:noProof/>
          <w:sz w:val="20"/>
          <w:szCs w:val="20"/>
          <w:lang w:val="es-UY" w:eastAsia="es-UY"/>
        </w:rPr>
        <mc:AlternateContent>
          <mc:Choice Requires="wps">
            <w:drawing>
              <wp:anchor distT="0" distB="0" distL="114300" distR="114300" simplePos="0" relativeHeight="251668480"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D53806" w:rsidRPr="001D618E" w:rsidRDefault="00D53806" w:rsidP="0076253B">
                            <w:pPr>
                              <w:jc w:val="both"/>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Report No. 71/15, Case 12.879, Merits, Vladimir Herzog and others. Brazil. October 28, 2015. </w:t>
                            </w:r>
                          </w:p>
                          <w:p w:rsidR="00D53806" w:rsidRPr="00D00285" w:rsidRDefault="00D53806" w:rsidP="0076253B">
                            <w:pPr>
                              <w:rPr>
                                <w:rFonts w:ascii="Cambria" w:hAnsi="Cambria"/>
                                <w:color w:val="595959"/>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95.25pt;margin-top:7.25pt;width:379.8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" filled="f" stroked="f" strokeweight=".5pt">
                <v:path arrowok="t"/>
                <v:textbox>
                  <w:txbxContent>
                    <w:p w:rsidR="00D53806" w:rsidRPr="001D618E" w:rsidRDefault="00D53806" w:rsidP="0076253B">
                      <w:pPr>
                        <w:jc w:val="both"/>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Report No. 71/15, Case 12.879, Merits, Vladimir Herzog and others. Brazil. October 28, 2015. </w:t>
                      </w:r>
                    </w:p>
                    <w:p w:rsidR="00D53806" w:rsidRPr="00D00285" w:rsidRDefault="00D53806" w:rsidP="0076253B">
                      <w:pPr>
                        <w:rPr>
                          <w:rFonts w:ascii="Cambria" w:hAnsi="Cambria"/>
                          <w:color w:val="595959"/>
                          <w:sz w:val="18"/>
                        </w:rPr>
                      </w:pPr>
                    </w:p>
                  </w:txbxContent>
                </v:textbox>
              </v:shape>
            </w:pict>
          </mc:Fallback>
        </mc:AlternateContent>
      </w: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lang w:val="es-ES_tradnl"/>
        </w:rPr>
      </w:pPr>
    </w:p>
    <w:p w:rsidR="0076253B" w:rsidRPr="00AF385B" w:rsidRDefault="0076253B" w:rsidP="0076253B">
      <w:pPr>
        <w:tabs>
          <w:tab w:val="center" w:pos="5400"/>
        </w:tabs>
        <w:suppressAutoHyphens/>
        <w:spacing w:after="0" w:line="240" w:lineRule="auto"/>
        <w:jc w:val="center"/>
        <w:rPr>
          <w:rFonts w:ascii="Cambria" w:hAnsi="Cambria"/>
          <w:sz w:val="20"/>
          <w:szCs w:val="20"/>
        </w:rPr>
      </w:pPr>
    </w:p>
    <w:p w:rsidR="0076253B" w:rsidRPr="00AF385B" w:rsidRDefault="0076253B" w:rsidP="0076253B">
      <w:pPr>
        <w:tabs>
          <w:tab w:val="center" w:pos="5400"/>
        </w:tabs>
        <w:suppressAutoHyphens/>
        <w:spacing w:after="0" w:line="240" w:lineRule="auto"/>
        <w:jc w:val="center"/>
        <w:rPr>
          <w:rFonts w:ascii="Cambria" w:hAnsi="Cambria"/>
          <w:sz w:val="20"/>
          <w:szCs w:val="20"/>
        </w:rPr>
      </w:pPr>
      <w:r w:rsidRPr="00AF385B">
        <w:rPr>
          <w:rFonts w:ascii="Cambria" w:hAnsi="Cambria"/>
          <w:noProof/>
          <w:sz w:val="20"/>
          <w:szCs w:val="20"/>
          <w:lang w:val="es-UY" w:eastAsia="es-UY"/>
        </w:rPr>
        <mc:AlternateContent>
          <mc:Choice Requires="wps">
            <w:drawing>
              <wp:anchor distT="0" distB="0" distL="114300" distR="114300" simplePos="0" relativeHeight="251670528"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D53806" w:rsidRPr="00D00285" w:rsidRDefault="00D53806" w:rsidP="0076253B">
                            <w:pPr>
                              <w:jc w:val="center"/>
                              <w:rPr>
                                <w:b/>
                                <w:color w:val="FFFFFF"/>
                              </w:rPr>
                            </w:pPr>
                            <w:r w:rsidRPr="00D00285">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23.55pt;margin-top:67.65pt;width:93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m5pUz8CAAB/BAAA&#10;DgAAAAAAAAAAAAAAAAAuAgAAZHJzL2Uyb0RvYy54bWxQSwECLQAUAAYACAAAACEAPoC6aOAAAAAL&#10;AQAADwAAAAAAAAAAAAAAAACZBAAAZHJzL2Rvd25yZXYueG1sUEsFBgAAAAAEAAQA8wAAAKYFAAAA&#10;AA==&#10;" filled="f" stroked="f" strokeweight=".5pt">
                <v:path arrowok="t"/>
                <v:textbox>
                  <w:txbxContent>
                    <w:p w:rsidR="00D53806" w:rsidRPr="00D00285" w:rsidRDefault="00D53806" w:rsidP="0076253B">
                      <w:pPr>
                        <w:jc w:val="center"/>
                        <w:rPr>
                          <w:b/>
                          <w:color w:val="FFFFFF"/>
                        </w:rPr>
                      </w:pPr>
                      <w:r w:rsidRPr="00D00285">
                        <w:rPr>
                          <w:b/>
                          <w:color w:val="FFFFFF"/>
                          <w:lang w:val="pt-BR"/>
                        </w:rPr>
                        <w:t>www.cidh.org</w:t>
                      </w:r>
                    </w:p>
                  </w:txbxContent>
                </v:textbox>
              </v:shape>
            </w:pict>
          </mc:Fallback>
        </mc:AlternateContent>
      </w:r>
      <w:r w:rsidRPr="00AF385B">
        <w:rPr>
          <w:rFonts w:ascii="Cambria" w:hAnsi="Cambria"/>
          <w:noProof/>
          <w:sz w:val="20"/>
          <w:szCs w:val="20"/>
          <w:lang w:val="es-UY" w:eastAsia="es-UY"/>
        </w:rPr>
        <mc:AlternateContent>
          <mc:Choice Requires="wps">
            <w:drawing>
              <wp:anchor distT="0" distB="0" distL="114300" distR="114300" simplePos="0" relativeHeight="251669504"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D53806" w:rsidRDefault="00D53806" w:rsidP="0076253B">
                            <w:r w:rsidRPr="00052092">
                              <w:rPr>
                                <w:noProof/>
                                <w:lang w:val="es-UY" w:eastAsia="es-UY"/>
                              </w:rPr>
                              <w:drawing>
                                <wp:inline distT="0" distB="0" distL="0" distR="0">
                                  <wp:extent cx="1123950" cy="381000"/>
                                  <wp:effectExtent l="0" t="0" r="0" b="0"/>
                                  <wp:docPr id="3" name="Picture 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95.15pt;margin-top:56.9pt;width:164.2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" fillcolor="window" stroked="f" strokeweight=".5pt">
                <v:path arrowok="t"/>
                <v:textbox>
                  <w:txbxContent>
                    <w:p w:rsidR="00D53806" w:rsidRDefault="00D53806" w:rsidP="0076253B">
                      <w:r w:rsidRPr="00052092">
                        <w:rPr>
                          <w:noProof/>
                          <w:lang w:eastAsia="zh-CN"/>
                        </w:rPr>
                        <w:drawing>
                          <wp:inline distT="0" distB="0" distL="0" distR="0">
                            <wp:extent cx="1123950" cy="381000"/>
                            <wp:effectExtent l="0" t="0" r="0" b="0"/>
                            <wp:docPr id="3" name="Picture 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xbxContent>
                </v:textbox>
              </v:shape>
            </w:pict>
          </mc:Fallback>
        </mc:AlternateContent>
      </w:r>
    </w:p>
    <w:p w:rsidR="0076253B" w:rsidRPr="00AF385B" w:rsidRDefault="0076253B" w:rsidP="0076253B">
      <w:pPr>
        <w:tabs>
          <w:tab w:val="center" w:pos="5400"/>
        </w:tabs>
        <w:suppressAutoHyphens/>
        <w:spacing w:after="0" w:line="240" w:lineRule="auto"/>
        <w:jc w:val="center"/>
        <w:rPr>
          <w:rFonts w:ascii="Cambria" w:hAnsi="Cambria"/>
          <w:sz w:val="20"/>
          <w:szCs w:val="20"/>
        </w:rPr>
        <w:sectPr w:rsidR="0076253B" w:rsidRPr="00AF385B" w:rsidSect="007F35B9">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rsidR="0076253B" w:rsidRPr="00AF385B" w:rsidRDefault="00D53806" w:rsidP="0076253B">
      <w:pPr>
        <w:spacing w:after="0" w:line="240" w:lineRule="auto"/>
        <w:jc w:val="center"/>
        <w:rPr>
          <w:rFonts w:ascii="Cambria" w:hAnsi="Cambria"/>
          <w:b/>
          <w:sz w:val="20"/>
          <w:szCs w:val="20"/>
        </w:rPr>
      </w:pPr>
      <w:r>
        <w:rPr>
          <w:rFonts w:ascii="Cambria" w:hAnsi="Cambria"/>
          <w:b/>
          <w:sz w:val="20"/>
          <w:szCs w:val="20"/>
        </w:rPr>
        <w:lastRenderedPageBreak/>
        <w:t>REPORT No. 71</w:t>
      </w:r>
      <w:r w:rsidR="0076253B" w:rsidRPr="00AF385B">
        <w:rPr>
          <w:rFonts w:ascii="Cambria" w:hAnsi="Cambria"/>
          <w:b/>
          <w:sz w:val="20"/>
          <w:szCs w:val="20"/>
        </w:rPr>
        <w:t>/15</w:t>
      </w:r>
      <w:r w:rsidR="0076253B" w:rsidRPr="00AF385B">
        <w:rPr>
          <w:rStyle w:val="FootnoteReference"/>
          <w:rFonts w:ascii="Cambria" w:hAnsi="Cambria"/>
          <w:sz w:val="20"/>
          <w:szCs w:val="20"/>
          <w:lang w:val="es-AR"/>
        </w:rPr>
        <w:footnoteReference w:id="1"/>
      </w:r>
    </w:p>
    <w:p w:rsidR="0076253B" w:rsidRPr="00AF385B" w:rsidRDefault="0076253B" w:rsidP="0076253B">
      <w:pPr>
        <w:spacing w:after="0" w:line="240" w:lineRule="auto"/>
        <w:jc w:val="center"/>
        <w:rPr>
          <w:rFonts w:ascii="Cambria" w:hAnsi="Cambria"/>
          <w:b/>
          <w:sz w:val="20"/>
          <w:szCs w:val="20"/>
        </w:rPr>
      </w:pPr>
      <w:r>
        <w:rPr>
          <w:rFonts w:ascii="Cambria" w:hAnsi="Cambria"/>
          <w:b/>
          <w:sz w:val="20"/>
          <w:szCs w:val="20"/>
        </w:rPr>
        <w:t>CASE 12.879</w:t>
      </w:r>
    </w:p>
    <w:p w:rsidR="0076253B" w:rsidRPr="00AF385B" w:rsidRDefault="0076253B" w:rsidP="0076253B">
      <w:pPr>
        <w:spacing w:after="0" w:line="240" w:lineRule="auto"/>
        <w:jc w:val="center"/>
        <w:rPr>
          <w:rFonts w:ascii="Cambria" w:hAnsi="Cambria"/>
          <w:sz w:val="20"/>
          <w:szCs w:val="20"/>
        </w:rPr>
      </w:pPr>
      <w:r>
        <w:rPr>
          <w:rFonts w:ascii="Cambria" w:hAnsi="Cambria"/>
          <w:sz w:val="20"/>
          <w:szCs w:val="20"/>
        </w:rPr>
        <w:t>VLADIMIR HERZOG AND OTHERS</w:t>
      </w:r>
    </w:p>
    <w:p w:rsidR="0076253B" w:rsidRPr="00AF385B" w:rsidRDefault="0076253B" w:rsidP="0076253B">
      <w:pPr>
        <w:spacing w:after="0" w:line="240" w:lineRule="auto"/>
        <w:jc w:val="center"/>
        <w:rPr>
          <w:rFonts w:ascii="Cambria" w:hAnsi="Cambria"/>
          <w:sz w:val="20"/>
          <w:szCs w:val="20"/>
        </w:rPr>
      </w:pPr>
      <w:r w:rsidRPr="00AF385B">
        <w:rPr>
          <w:rFonts w:ascii="Cambria" w:hAnsi="Cambria"/>
          <w:sz w:val="20"/>
          <w:szCs w:val="20"/>
        </w:rPr>
        <w:t>MERITS</w:t>
      </w:r>
    </w:p>
    <w:p w:rsidR="0076253B" w:rsidRPr="00AF385B" w:rsidRDefault="0076253B" w:rsidP="0076253B">
      <w:pPr>
        <w:spacing w:after="0" w:line="240" w:lineRule="auto"/>
        <w:jc w:val="center"/>
        <w:rPr>
          <w:rFonts w:ascii="Cambria" w:hAnsi="Cambria"/>
          <w:sz w:val="20"/>
          <w:szCs w:val="20"/>
        </w:rPr>
      </w:pPr>
      <w:r w:rsidRPr="00AF385B">
        <w:rPr>
          <w:rFonts w:ascii="Cambria" w:hAnsi="Cambria"/>
          <w:sz w:val="20"/>
          <w:szCs w:val="20"/>
        </w:rPr>
        <w:t>BRAZIL</w:t>
      </w:r>
    </w:p>
    <w:p w:rsidR="0076253B" w:rsidRDefault="00D53806" w:rsidP="00845EA8">
      <w:pPr>
        <w:spacing w:after="0" w:line="240" w:lineRule="auto"/>
        <w:jc w:val="center"/>
        <w:rPr>
          <w:rFonts w:ascii="Cambria" w:hAnsi="Cambria"/>
          <w:sz w:val="20"/>
          <w:szCs w:val="20"/>
        </w:rPr>
      </w:pPr>
      <w:r>
        <w:rPr>
          <w:rFonts w:ascii="Cambria" w:hAnsi="Cambria"/>
          <w:sz w:val="20"/>
          <w:szCs w:val="20"/>
        </w:rPr>
        <w:t>October 28</w:t>
      </w:r>
      <w:r w:rsidR="0076253B" w:rsidRPr="00AF385B">
        <w:rPr>
          <w:rFonts w:ascii="Cambria" w:hAnsi="Cambria"/>
          <w:sz w:val="20"/>
          <w:szCs w:val="20"/>
        </w:rPr>
        <w:t>, 2015</w:t>
      </w:r>
    </w:p>
    <w:p w:rsidR="00845EA8" w:rsidRPr="00AF385B" w:rsidRDefault="00845EA8" w:rsidP="00845EA8">
      <w:pPr>
        <w:spacing w:after="0" w:line="240" w:lineRule="auto"/>
        <w:jc w:val="center"/>
        <w:rPr>
          <w:rFonts w:ascii="Cambria" w:hAnsi="Cambria"/>
          <w:sz w:val="20"/>
          <w:szCs w:val="20"/>
        </w:rPr>
      </w:pPr>
    </w:p>
    <w:p w:rsidR="0076253B" w:rsidRPr="00AF385B" w:rsidRDefault="0076253B" w:rsidP="0076253B">
      <w:pPr>
        <w:tabs>
          <w:tab w:val="center" w:pos="5400"/>
        </w:tabs>
        <w:suppressAutoHyphens/>
        <w:spacing w:after="0" w:line="240" w:lineRule="auto"/>
        <w:jc w:val="center"/>
        <w:rPr>
          <w:rFonts w:ascii="Cambria" w:hAnsi="Cambria"/>
          <w:b/>
          <w:sz w:val="20"/>
          <w:szCs w:val="20"/>
        </w:rPr>
      </w:pPr>
      <w:r w:rsidRPr="00AF385B">
        <w:rPr>
          <w:rFonts w:ascii="Cambria" w:hAnsi="Cambria"/>
          <w:b/>
          <w:sz w:val="20"/>
          <w:szCs w:val="20"/>
        </w:rPr>
        <w:t>INDEX</w:t>
      </w:r>
    </w:p>
    <w:p w:rsidR="0076253B" w:rsidRPr="00AF385B" w:rsidRDefault="0076253B" w:rsidP="00845EA8">
      <w:pPr>
        <w:tabs>
          <w:tab w:val="left" w:pos="720"/>
          <w:tab w:val="center" w:pos="5400"/>
        </w:tabs>
        <w:suppressAutoHyphens/>
        <w:spacing w:after="0" w:line="240" w:lineRule="auto"/>
        <w:rPr>
          <w:rFonts w:ascii="Cambria" w:hAnsi="Cambria"/>
          <w:sz w:val="20"/>
          <w:szCs w:val="20"/>
          <w:lang w:val="en-AU"/>
        </w:rPr>
      </w:pPr>
    </w:p>
    <w:p w:rsidR="00C07D55" w:rsidRPr="00845EA8" w:rsidRDefault="00C07D55" w:rsidP="00845EA8">
      <w:pPr>
        <w:pStyle w:val="TOC1"/>
        <w:rPr>
          <w:rFonts w:ascii="Cambria" w:eastAsiaTheme="minorEastAsia" w:hAnsi="Cambria" w:cstheme="minorBidi"/>
          <w:noProof/>
          <w:sz w:val="22"/>
          <w:szCs w:val="22"/>
        </w:rPr>
      </w:pPr>
      <w:r w:rsidRPr="00845EA8">
        <w:rPr>
          <w:rFonts w:ascii="Cambria" w:hAnsi="Cambria"/>
          <w:lang w:val="en-AU"/>
        </w:rPr>
        <w:fldChar w:fldCharType="begin"/>
      </w:r>
      <w:r w:rsidRPr="00845EA8">
        <w:rPr>
          <w:rFonts w:ascii="Cambria" w:hAnsi="Cambria"/>
          <w:lang w:val="en-AU"/>
        </w:rPr>
        <w:instrText xml:space="preserve"> TOC \o "1-3" \h \z \u </w:instrText>
      </w:r>
      <w:r w:rsidRPr="00845EA8">
        <w:rPr>
          <w:rFonts w:ascii="Cambria" w:hAnsi="Cambria"/>
          <w:lang w:val="en-AU"/>
        </w:rPr>
        <w:fldChar w:fldCharType="separate"/>
      </w:r>
      <w:hyperlink w:anchor="_Toc433359792" w:history="1">
        <w:r w:rsidRPr="00845EA8">
          <w:rPr>
            <w:rStyle w:val="Hyperlink"/>
            <w:rFonts w:ascii="Cambria" w:hAnsi="Cambria"/>
            <w:noProof/>
          </w:rPr>
          <w:t>I.</w:t>
        </w:r>
        <w:r w:rsidRPr="00845EA8">
          <w:rPr>
            <w:rFonts w:ascii="Cambria" w:eastAsiaTheme="minorEastAsia" w:hAnsi="Cambria" w:cstheme="minorBidi"/>
            <w:noProof/>
            <w:sz w:val="22"/>
            <w:szCs w:val="22"/>
          </w:rPr>
          <w:tab/>
        </w:r>
        <w:r w:rsidRPr="00845EA8">
          <w:rPr>
            <w:rStyle w:val="Hyperlink"/>
            <w:rFonts w:ascii="Cambria" w:hAnsi="Cambria"/>
            <w:noProof/>
          </w:rPr>
          <w:t>SUMMARY</w:t>
        </w:r>
        <w:r w:rsidRPr="00845EA8">
          <w:rPr>
            <w:rFonts w:ascii="Cambria" w:hAnsi="Cambria"/>
            <w:b w:val="0"/>
            <w:noProof/>
            <w:webHidden/>
          </w:rPr>
          <w:tab/>
        </w:r>
        <w:r w:rsidRPr="00845EA8">
          <w:rPr>
            <w:rFonts w:ascii="Cambria" w:hAnsi="Cambria"/>
            <w:b w:val="0"/>
            <w:noProof/>
            <w:webHidden/>
          </w:rPr>
          <w:fldChar w:fldCharType="begin"/>
        </w:r>
        <w:r w:rsidRPr="00845EA8">
          <w:rPr>
            <w:rFonts w:ascii="Cambria" w:hAnsi="Cambria"/>
            <w:b w:val="0"/>
            <w:noProof/>
            <w:webHidden/>
          </w:rPr>
          <w:instrText xml:space="preserve"> PAGEREF _Toc433359792 \h </w:instrText>
        </w:r>
        <w:r w:rsidRPr="00845EA8">
          <w:rPr>
            <w:rFonts w:ascii="Cambria" w:hAnsi="Cambria"/>
            <w:b w:val="0"/>
            <w:noProof/>
            <w:webHidden/>
          </w:rPr>
        </w:r>
        <w:r w:rsidRPr="00845EA8">
          <w:rPr>
            <w:rFonts w:ascii="Cambria" w:hAnsi="Cambria"/>
            <w:b w:val="0"/>
            <w:noProof/>
            <w:webHidden/>
          </w:rPr>
          <w:fldChar w:fldCharType="separate"/>
        </w:r>
        <w:r w:rsidR="009C66AC">
          <w:rPr>
            <w:rFonts w:ascii="Cambria" w:hAnsi="Cambria"/>
            <w:b w:val="0"/>
            <w:noProof/>
            <w:webHidden/>
          </w:rPr>
          <w:t>3</w:t>
        </w:r>
        <w:r w:rsidRPr="00845EA8">
          <w:rPr>
            <w:rFonts w:ascii="Cambria" w:hAnsi="Cambria"/>
            <w:b w:val="0"/>
            <w:noProof/>
            <w:webHidden/>
          </w:rPr>
          <w:fldChar w:fldCharType="end"/>
        </w:r>
      </w:hyperlink>
    </w:p>
    <w:p w:rsidR="00C07D55" w:rsidRPr="00845EA8" w:rsidRDefault="002A0E3E" w:rsidP="00845EA8">
      <w:pPr>
        <w:pStyle w:val="TOC1"/>
        <w:rPr>
          <w:rFonts w:ascii="Cambria" w:eastAsiaTheme="minorEastAsia" w:hAnsi="Cambria" w:cstheme="minorBidi"/>
          <w:noProof/>
          <w:sz w:val="22"/>
          <w:szCs w:val="22"/>
        </w:rPr>
      </w:pPr>
      <w:hyperlink w:anchor="_Toc433359793" w:history="1">
        <w:r w:rsidR="00C07D55" w:rsidRPr="00845EA8">
          <w:rPr>
            <w:rStyle w:val="Hyperlink"/>
            <w:rFonts w:ascii="Cambria" w:hAnsi="Cambria"/>
            <w:noProof/>
          </w:rPr>
          <w:t>II.</w:t>
        </w:r>
        <w:r w:rsidR="00C07D55" w:rsidRPr="00845EA8">
          <w:rPr>
            <w:rFonts w:ascii="Cambria" w:eastAsiaTheme="minorEastAsia" w:hAnsi="Cambria" w:cstheme="minorBidi"/>
            <w:noProof/>
            <w:sz w:val="22"/>
            <w:szCs w:val="22"/>
          </w:rPr>
          <w:tab/>
        </w:r>
        <w:r w:rsidR="00C07D55" w:rsidRPr="00845EA8">
          <w:rPr>
            <w:rStyle w:val="Hyperlink"/>
            <w:rFonts w:ascii="Cambria" w:hAnsi="Cambria"/>
            <w:noProof/>
          </w:rPr>
          <w:t>PROCEEDINGS SUBSEQUENT TO THE ADMISSIBILITY REPORT</w:t>
        </w:r>
        <w:r w:rsidR="00C07D55" w:rsidRPr="00845EA8">
          <w:rPr>
            <w:rFonts w:ascii="Cambria" w:hAnsi="Cambria"/>
            <w:b w:val="0"/>
            <w:noProof/>
            <w:webHidden/>
          </w:rPr>
          <w:tab/>
        </w:r>
        <w:r w:rsidR="00C07D55" w:rsidRPr="00845EA8">
          <w:rPr>
            <w:rFonts w:ascii="Cambria" w:hAnsi="Cambria"/>
            <w:b w:val="0"/>
            <w:noProof/>
            <w:webHidden/>
          </w:rPr>
          <w:fldChar w:fldCharType="begin"/>
        </w:r>
        <w:r w:rsidR="00C07D55" w:rsidRPr="00845EA8">
          <w:rPr>
            <w:rFonts w:ascii="Cambria" w:hAnsi="Cambria"/>
            <w:b w:val="0"/>
            <w:noProof/>
            <w:webHidden/>
          </w:rPr>
          <w:instrText xml:space="preserve"> PAGEREF _Toc433359793 \h </w:instrText>
        </w:r>
        <w:r w:rsidR="00C07D55" w:rsidRPr="00845EA8">
          <w:rPr>
            <w:rFonts w:ascii="Cambria" w:hAnsi="Cambria"/>
            <w:b w:val="0"/>
            <w:noProof/>
            <w:webHidden/>
          </w:rPr>
        </w:r>
        <w:r w:rsidR="00C07D55" w:rsidRPr="00845EA8">
          <w:rPr>
            <w:rFonts w:ascii="Cambria" w:hAnsi="Cambria"/>
            <w:b w:val="0"/>
            <w:noProof/>
            <w:webHidden/>
          </w:rPr>
          <w:fldChar w:fldCharType="separate"/>
        </w:r>
        <w:r w:rsidR="009C66AC">
          <w:rPr>
            <w:rFonts w:ascii="Cambria" w:hAnsi="Cambria"/>
            <w:b w:val="0"/>
            <w:noProof/>
            <w:webHidden/>
          </w:rPr>
          <w:t>3</w:t>
        </w:r>
        <w:r w:rsidR="00C07D55" w:rsidRPr="00845EA8">
          <w:rPr>
            <w:rFonts w:ascii="Cambria" w:hAnsi="Cambria"/>
            <w:b w:val="0"/>
            <w:noProof/>
            <w:webHidden/>
          </w:rPr>
          <w:fldChar w:fldCharType="end"/>
        </w:r>
      </w:hyperlink>
    </w:p>
    <w:p w:rsidR="00C07D55" w:rsidRPr="00845EA8" w:rsidRDefault="002A0E3E" w:rsidP="00845EA8">
      <w:pPr>
        <w:pStyle w:val="TOC1"/>
        <w:rPr>
          <w:rFonts w:ascii="Cambria" w:eastAsiaTheme="minorEastAsia" w:hAnsi="Cambria" w:cstheme="minorBidi"/>
          <w:noProof/>
          <w:sz w:val="22"/>
          <w:szCs w:val="22"/>
        </w:rPr>
      </w:pPr>
      <w:hyperlink w:anchor="_Toc433359794" w:history="1">
        <w:r w:rsidR="00C07D55" w:rsidRPr="00845EA8">
          <w:rPr>
            <w:rStyle w:val="Hyperlink"/>
            <w:rFonts w:ascii="Cambria" w:hAnsi="Cambria"/>
            <w:noProof/>
          </w:rPr>
          <w:t>III.</w:t>
        </w:r>
        <w:r w:rsidR="00C07D55" w:rsidRPr="00845EA8">
          <w:rPr>
            <w:rFonts w:ascii="Cambria" w:eastAsiaTheme="minorEastAsia" w:hAnsi="Cambria" w:cstheme="minorBidi"/>
            <w:noProof/>
            <w:sz w:val="22"/>
            <w:szCs w:val="22"/>
          </w:rPr>
          <w:tab/>
        </w:r>
        <w:r w:rsidR="00C07D55" w:rsidRPr="00845EA8">
          <w:rPr>
            <w:rStyle w:val="Hyperlink"/>
            <w:rFonts w:ascii="Cambria" w:hAnsi="Cambria"/>
            <w:noProof/>
          </w:rPr>
          <w:t>POSITION OF THE PARTIES</w:t>
        </w:r>
        <w:r w:rsidR="00C07D55" w:rsidRPr="00845EA8">
          <w:rPr>
            <w:rFonts w:ascii="Cambria" w:hAnsi="Cambria"/>
            <w:b w:val="0"/>
            <w:noProof/>
            <w:webHidden/>
          </w:rPr>
          <w:tab/>
        </w:r>
        <w:r w:rsidR="00C07D55" w:rsidRPr="00845EA8">
          <w:rPr>
            <w:rFonts w:ascii="Cambria" w:hAnsi="Cambria"/>
            <w:b w:val="0"/>
            <w:noProof/>
            <w:webHidden/>
          </w:rPr>
          <w:fldChar w:fldCharType="begin"/>
        </w:r>
        <w:r w:rsidR="00C07D55" w:rsidRPr="00845EA8">
          <w:rPr>
            <w:rFonts w:ascii="Cambria" w:hAnsi="Cambria"/>
            <w:b w:val="0"/>
            <w:noProof/>
            <w:webHidden/>
          </w:rPr>
          <w:instrText xml:space="preserve"> PAGEREF _Toc433359794 \h </w:instrText>
        </w:r>
        <w:r w:rsidR="00C07D55" w:rsidRPr="00845EA8">
          <w:rPr>
            <w:rFonts w:ascii="Cambria" w:hAnsi="Cambria"/>
            <w:b w:val="0"/>
            <w:noProof/>
            <w:webHidden/>
          </w:rPr>
        </w:r>
        <w:r w:rsidR="00C07D55" w:rsidRPr="00845EA8">
          <w:rPr>
            <w:rFonts w:ascii="Cambria" w:hAnsi="Cambria"/>
            <w:b w:val="0"/>
            <w:noProof/>
            <w:webHidden/>
          </w:rPr>
          <w:fldChar w:fldCharType="separate"/>
        </w:r>
        <w:r w:rsidR="009C66AC">
          <w:rPr>
            <w:rFonts w:ascii="Cambria" w:hAnsi="Cambria"/>
            <w:b w:val="0"/>
            <w:noProof/>
            <w:webHidden/>
          </w:rPr>
          <w:t>4</w:t>
        </w:r>
        <w:r w:rsidR="00C07D55" w:rsidRPr="00845EA8">
          <w:rPr>
            <w:rFonts w:ascii="Cambria" w:hAnsi="Cambria"/>
            <w:b w:val="0"/>
            <w:noProof/>
            <w:webHidden/>
          </w:rPr>
          <w:fldChar w:fldCharType="end"/>
        </w:r>
      </w:hyperlink>
    </w:p>
    <w:p w:rsidR="00C07D55" w:rsidRPr="00845EA8" w:rsidRDefault="002A0E3E" w:rsidP="00845EA8">
      <w:pPr>
        <w:pStyle w:val="TOC2"/>
        <w:jc w:val="both"/>
        <w:rPr>
          <w:rFonts w:eastAsiaTheme="minorEastAsia" w:cstheme="minorBidi"/>
          <w:smallCaps/>
          <w:sz w:val="22"/>
          <w:szCs w:val="22"/>
        </w:rPr>
      </w:pPr>
      <w:hyperlink w:anchor="_Toc433359795" w:history="1">
        <w:r w:rsidR="00C07D55" w:rsidRPr="00845EA8">
          <w:rPr>
            <w:rStyle w:val="Hyperlink"/>
          </w:rPr>
          <w:t>A.</w:t>
        </w:r>
        <w:r w:rsidR="00C07D55" w:rsidRPr="00845EA8">
          <w:rPr>
            <w:rFonts w:eastAsiaTheme="minorEastAsia" w:cstheme="minorBidi"/>
            <w:smallCaps/>
            <w:sz w:val="22"/>
            <w:szCs w:val="22"/>
          </w:rPr>
          <w:tab/>
        </w:r>
        <w:r w:rsidR="00C07D55" w:rsidRPr="00845EA8">
          <w:rPr>
            <w:rStyle w:val="Hyperlink"/>
          </w:rPr>
          <w:t>Petitioners</w:t>
        </w:r>
        <w:r w:rsidR="00C07D55" w:rsidRPr="00845EA8">
          <w:rPr>
            <w:webHidden/>
          </w:rPr>
          <w:tab/>
        </w:r>
        <w:r w:rsidR="00C07D55" w:rsidRPr="00845EA8">
          <w:rPr>
            <w:webHidden/>
          </w:rPr>
          <w:fldChar w:fldCharType="begin"/>
        </w:r>
        <w:r w:rsidR="00C07D55" w:rsidRPr="00845EA8">
          <w:rPr>
            <w:webHidden/>
          </w:rPr>
          <w:instrText xml:space="preserve"> PAGEREF _Toc433359795 \h </w:instrText>
        </w:r>
        <w:r w:rsidR="00C07D55" w:rsidRPr="00845EA8">
          <w:rPr>
            <w:webHidden/>
          </w:rPr>
        </w:r>
        <w:r w:rsidR="00C07D55" w:rsidRPr="00845EA8">
          <w:rPr>
            <w:webHidden/>
          </w:rPr>
          <w:fldChar w:fldCharType="separate"/>
        </w:r>
        <w:r w:rsidR="009C66AC">
          <w:rPr>
            <w:webHidden/>
          </w:rPr>
          <w:t>4</w:t>
        </w:r>
        <w:r w:rsidR="00C07D55" w:rsidRPr="00845EA8">
          <w:rPr>
            <w:webHidden/>
          </w:rPr>
          <w:fldChar w:fldCharType="end"/>
        </w:r>
      </w:hyperlink>
    </w:p>
    <w:p w:rsidR="00C07D55" w:rsidRPr="00845EA8" w:rsidRDefault="002A0E3E" w:rsidP="00845EA8">
      <w:pPr>
        <w:pStyle w:val="TOC2"/>
        <w:jc w:val="both"/>
        <w:rPr>
          <w:rFonts w:eastAsiaTheme="minorEastAsia" w:cstheme="minorBidi"/>
          <w:smallCaps/>
          <w:sz w:val="22"/>
          <w:szCs w:val="22"/>
        </w:rPr>
      </w:pPr>
      <w:hyperlink w:anchor="_Toc433359796" w:history="1">
        <w:r w:rsidR="00C07D55" w:rsidRPr="00845EA8">
          <w:rPr>
            <w:rStyle w:val="Hyperlink"/>
          </w:rPr>
          <w:t>B.</w:t>
        </w:r>
        <w:r w:rsidR="00C07D55" w:rsidRPr="00845EA8">
          <w:rPr>
            <w:rFonts w:eastAsiaTheme="minorEastAsia" w:cstheme="minorBidi"/>
            <w:smallCaps/>
            <w:sz w:val="22"/>
            <w:szCs w:val="22"/>
          </w:rPr>
          <w:tab/>
        </w:r>
        <w:r w:rsidR="00C07D55" w:rsidRPr="00845EA8">
          <w:rPr>
            <w:rStyle w:val="Hyperlink"/>
          </w:rPr>
          <w:t>State</w:t>
        </w:r>
        <w:r w:rsidR="00C07D55" w:rsidRPr="00845EA8">
          <w:rPr>
            <w:webHidden/>
          </w:rPr>
          <w:tab/>
        </w:r>
        <w:r w:rsidR="00C07D55" w:rsidRPr="00845EA8">
          <w:rPr>
            <w:webHidden/>
          </w:rPr>
          <w:fldChar w:fldCharType="begin"/>
        </w:r>
        <w:r w:rsidR="00C07D55" w:rsidRPr="00845EA8">
          <w:rPr>
            <w:webHidden/>
          </w:rPr>
          <w:instrText xml:space="preserve"> PAGEREF _Toc433359796 \h </w:instrText>
        </w:r>
        <w:r w:rsidR="00C07D55" w:rsidRPr="00845EA8">
          <w:rPr>
            <w:webHidden/>
          </w:rPr>
        </w:r>
        <w:r w:rsidR="00C07D55" w:rsidRPr="00845EA8">
          <w:rPr>
            <w:webHidden/>
          </w:rPr>
          <w:fldChar w:fldCharType="separate"/>
        </w:r>
        <w:r w:rsidR="009C66AC">
          <w:rPr>
            <w:webHidden/>
          </w:rPr>
          <w:t>7</w:t>
        </w:r>
        <w:r w:rsidR="00C07D55" w:rsidRPr="00845EA8">
          <w:rPr>
            <w:webHidden/>
          </w:rPr>
          <w:fldChar w:fldCharType="end"/>
        </w:r>
      </w:hyperlink>
    </w:p>
    <w:p w:rsidR="00C07D55" w:rsidRPr="00845EA8" w:rsidRDefault="002A0E3E" w:rsidP="00845EA8">
      <w:pPr>
        <w:pStyle w:val="TOC1"/>
        <w:rPr>
          <w:rFonts w:ascii="Cambria" w:eastAsiaTheme="minorEastAsia" w:hAnsi="Cambria" w:cstheme="minorBidi"/>
          <w:noProof/>
          <w:sz w:val="22"/>
          <w:szCs w:val="22"/>
        </w:rPr>
      </w:pPr>
      <w:hyperlink w:anchor="_Toc433359797" w:history="1">
        <w:r w:rsidR="00C07D55" w:rsidRPr="00845EA8">
          <w:rPr>
            <w:rStyle w:val="Hyperlink"/>
            <w:rFonts w:ascii="Cambria" w:hAnsi="Cambria"/>
            <w:noProof/>
          </w:rPr>
          <w:t>IV.</w:t>
        </w:r>
        <w:r w:rsidR="00C07D55" w:rsidRPr="00845EA8">
          <w:rPr>
            <w:rFonts w:ascii="Cambria" w:eastAsiaTheme="minorEastAsia" w:hAnsi="Cambria" w:cstheme="minorBidi"/>
            <w:noProof/>
            <w:sz w:val="22"/>
            <w:szCs w:val="22"/>
          </w:rPr>
          <w:tab/>
        </w:r>
        <w:r w:rsidR="00C07D55" w:rsidRPr="00845EA8">
          <w:rPr>
            <w:rStyle w:val="Hyperlink"/>
            <w:rFonts w:ascii="Cambria" w:hAnsi="Cambria"/>
            <w:noProof/>
          </w:rPr>
          <w:t>PRELIMINARY OBSERVATION: ACKNOWLEDGEMENT OF RESPONSIBILITY</w:t>
        </w:r>
        <w:r w:rsidR="00C07D55" w:rsidRPr="00845EA8">
          <w:rPr>
            <w:rFonts w:ascii="Cambria" w:hAnsi="Cambria"/>
            <w:noProof/>
            <w:webHidden/>
          </w:rPr>
          <w:tab/>
        </w:r>
        <w:r w:rsidR="00C07D55" w:rsidRPr="00845EA8">
          <w:rPr>
            <w:rFonts w:ascii="Cambria" w:hAnsi="Cambria"/>
            <w:b w:val="0"/>
            <w:noProof/>
            <w:webHidden/>
          </w:rPr>
          <w:fldChar w:fldCharType="begin"/>
        </w:r>
        <w:r w:rsidR="00C07D55" w:rsidRPr="00845EA8">
          <w:rPr>
            <w:rFonts w:ascii="Cambria" w:hAnsi="Cambria"/>
            <w:b w:val="0"/>
            <w:noProof/>
            <w:webHidden/>
          </w:rPr>
          <w:instrText xml:space="preserve"> PAGEREF _Toc433359797 \h </w:instrText>
        </w:r>
        <w:r w:rsidR="00C07D55" w:rsidRPr="00845EA8">
          <w:rPr>
            <w:rFonts w:ascii="Cambria" w:hAnsi="Cambria"/>
            <w:b w:val="0"/>
            <w:noProof/>
            <w:webHidden/>
          </w:rPr>
        </w:r>
        <w:r w:rsidR="00C07D55" w:rsidRPr="00845EA8">
          <w:rPr>
            <w:rFonts w:ascii="Cambria" w:hAnsi="Cambria"/>
            <w:b w:val="0"/>
            <w:noProof/>
            <w:webHidden/>
          </w:rPr>
          <w:fldChar w:fldCharType="separate"/>
        </w:r>
        <w:r w:rsidR="009C66AC">
          <w:rPr>
            <w:rFonts w:ascii="Cambria" w:hAnsi="Cambria"/>
            <w:b w:val="0"/>
            <w:noProof/>
            <w:webHidden/>
          </w:rPr>
          <w:t>10</w:t>
        </w:r>
        <w:r w:rsidR="00C07D55" w:rsidRPr="00845EA8">
          <w:rPr>
            <w:rFonts w:ascii="Cambria" w:hAnsi="Cambria"/>
            <w:b w:val="0"/>
            <w:noProof/>
            <w:webHidden/>
          </w:rPr>
          <w:fldChar w:fldCharType="end"/>
        </w:r>
      </w:hyperlink>
    </w:p>
    <w:p w:rsidR="00C07D55" w:rsidRPr="00845EA8" w:rsidRDefault="002A0E3E" w:rsidP="00845EA8">
      <w:pPr>
        <w:pStyle w:val="TOC1"/>
        <w:rPr>
          <w:rFonts w:ascii="Cambria" w:eastAsiaTheme="minorEastAsia" w:hAnsi="Cambria" w:cstheme="minorBidi"/>
          <w:noProof/>
          <w:sz w:val="22"/>
          <w:szCs w:val="22"/>
        </w:rPr>
      </w:pPr>
      <w:hyperlink w:anchor="_Toc433359798" w:history="1">
        <w:r w:rsidR="00C07D55" w:rsidRPr="00845EA8">
          <w:rPr>
            <w:rStyle w:val="Hyperlink"/>
            <w:rFonts w:ascii="Cambria" w:hAnsi="Cambria"/>
            <w:noProof/>
          </w:rPr>
          <w:t>V.</w:t>
        </w:r>
        <w:r w:rsidR="00C07D55" w:rsidRPr="00845EA8">
          <w:rPr>
            <w:rFonts w:ascii="Cambria" w:eastAsiaTheme="minorEastAsia" w:hAnsi="Cambria" w:cstheme="minorBidi"/>
            <w:noProof/>
            <w:sz w:val="22"/>
            <w:szCs w:val="22"/>
          </w:rPr>
          <w:tab/>
        </w:r>
        <w:r w:rsidR="00C07D55" w:rsidRPr="00845EA8">
          <w:rPr>
            <w:rStyle w:val="Hyperlink"/>
            <w:rFonts w:ascii="Cambria" w:hAnsi="Cambria"/>
            <w:noProof/>
          </w:rPr>
          <w:t>PROVEN FACTS</w:t>
        </w:r>
        <w:r w:rsidR="00C07D55" w:rsidRPr="00845EA8">
          <w:rPr>
            <w:rFonts w:ascii="Cambria" w:hAnsi="Cambria"/>
            <w:noProof/>
            <w:webHidden/>
          </w:rPr>
          <w:tab/>
        </w:r>
        <w:r w:rsidR="00C07D55" w:rsidRPr="00845EA8">
          <w:rPr>
            <w:rFonts w:ascii="Cambria" w:hAnsi="Cambria"/>
            <w:b w:val="0"/>
            <w:noProof/>
            <w:webHidden/>
          </w:rPr>
          <w:fldChar w:fldCharType="begin"/>
        </w:r>
        <w:r w:rsidR="00C07D55" w:rsidRPr="00845EA8">
          <w:rPr>
            <w:rFonts w:ascii="Cambria" w:hAnsi="Cambria"/>
            <w:b w:val="0"/>
            <w:noProof/>
            <w:webHidden/>
          </w:rPr>
          <w:instrText xml:space="preserve"> PAGEREF _Toc433359798 \h </w:instrText>
        </w:r>
        <w:r w:rsidR="00C07D55" w:rsidRPr="00845EA8">
          <w:rPr>
            <w:rFonts w:ascii="Cambria" w:hAnsi="Cambria"/>
            <w:b w:val="0"/>
            <w:noProof/>
            <w:webHidden/>
          </w:rPr>
        </w:r>
        <w:r w:rsidR="00C07D55" w:rsidRPr="00845EA8">
          <w:rPr>
            <w:rFonts w:ascii="Cambria" w:hAnsi="Cambria"/>
            <w:b w:val="0"/>
            <w:noProof/>
            <w:webHidden/>
          </w:rPr>
          <w:fldChar w:fldCharType="separate"/>
        </w:r>
        <w:r w:rsidR="009C66AC">
          <w:rPr>
            <w:rFonts w:ascii="Cambria" w:hAnsi="Cambria"/>
            <w:b w:val="0"/>
            <w:noProof/>
            <w:webHidden/>
          </w:rPr>
          <w:t>11</w:t>
        </w:r>
        <w:r w:rsidR="00C07D55" w:rsidRPr="00845EA8">
          <w:rPr>
            <w:rFonts w:ascii="Cambria" w:hAnsi="Cambria"/>
            <w:b w:val="0"/>
            <w:noProof/>
            <w:webHidden/>
          </w:rPr>
          <w:fldChar w:fldCharType="end"/>
        </w:r>
      </w:hyperlink>
    </w:p>
    <w:p w:rsidR="00C07D55" w:rsidRPr="00845EA8" w:rsidRDefault="002A0E3E" w:rsidP="00845EA8">
      <w:pPr>
        <w:pStyle w:val="TOC2"/>
        <w:jc w:val="both"/>
        <w:rPr>
          <w:rFonts w:eastAsiaTheme="minorEastAsia" w:cstheme="minorBidi"/>
          <w:sz w:val="22"/>
          <w:szCs w:val="22"/>
        </w:rPr>
      </w:pPr>
      <w:hyperlink w:anchor="_Toc433359799" w:history="1">
        <w:r w:rsidR="00C07D55" w:rsidRPr="00845EA8">
          <w:rPr>
            <w:rStyle w:val="Hyperlink"/>
            <w:smallCaps/>
          </w:rPr>
          <w:t>A.</w:t>
        </w:r>
        <w:r w:rsidR="00C07D55" w:rsidRPr="00845EA8">
          <w:rPr>
            <w:rFonts w:eastAsiaTheme="minorEastAsia" w:cstheme="minorBidi"/>
            <w:sz w:val="22"/>
            <w:szCs w:val="22"/>
          </w:rPr>
          <w:tab/>
        </w:r>
        <w:r w:rsidR="00C07D55" w:rsidRPr="00845EA8">
          <w:rPr>
            <w:rStyle w:val="Hyperlink"/>
          </w:rPr>
          <w:t>Context and background</w:t>
        </w:r>
        <w:r w:rsidR="00C07D55" w:rsidRPr="00845EA8">
          <w:rPr>
            <w:webHidden/>
          </w:rPr>
          <w:tab/>
        </w:r>
        <w:r w:rsidR="00C07D55" w:rsidRPr="00845EA8">
          <w:rPr>
            <w:webHidden/>
          </w:rPr>
          <w:fldChar w:fldCharType="begin"/>
        </w:r>
        <w:r w:rsidR="00C07D55" w:rsidRPr="00845EA8">
          <w:rPr>
            <w:webHidden/>
          </w:rPr>
          <w:instrText xml:space="preserve"> PAGEREF _Toc433359799 \h </w:instrText>
        </w:r>
        <w:r w:rsidR="00C07D55" w:rsidRPr="00845EA8">
          <w:rPr>
            <w:webHidden/>
          </w:rPr>
        </w:r>
        <w:r w:rsidR="00C07D55" w:rsidRPr="00845EA8">
          <w:rPr>
            <w:webHidden/>
          </w:rPr>
          <w:fldChar w:fldCharType="separate"/>
        </w:r>
        <w:r w:rsidR="009C66AC">
          <w:rPr>
            <w:webHidden/>
          </w:rPr>
          <w:t>11</w:t>
        </w:r>
        <w:r w:rsidR="00C07D55" w:rsidRPr="00845EA8">
          <w:rPr>
            <w:webHidden/>
          </w:rPr>
          <w:fldChar w:fldCharType="end"/>
        </w:r>
      </w:hyperlink>
    </w:p>
    <w:p w:rsidR="00C07D55" w:rsidRPr="00845EA8" w:rsidRDefault="002A0E3E" w:rsidP="00845EA8">
      <w:pPr>
        <w:pStyle w:val="TOC2"/>
        <w:jc w:val="both"/>
        <w:rPr>
          <w:rFonts w:eastAsiaTheme="minorEastAsia" w:cstheme="minorBidi"/>
          <w:smallCaps/>
          <w:sz w:val="22"/>
          <w:szCs w:val="22"/>
        </w:rPr>
      </w:pPr>
      <w:hyperlink w:anchor="_Toc433359800" w:history="1">
        <w:r w:rsidR="00C07D55" w:rsidRPr="00845EA8">
          <w:rPr>
            <w:rStyle w:val="Hyperlink"/>
          </w:rPr>
          <w:t>B.</w:t>
        </w:r>
        <w:r w:rsidR="00C07D55" w:rsidRPr="00845EA8">
          <w:rPr>
            <w:rFonts w:eastAsiaTheme="minorEastAsia" w:cstheme="minorBidi"/>
            <w:smallCaps/>
            <w:sz w:val="22"/>
            <w:szCs w:val="22"/>
          </w:rPr>
          <w:tab/>
        </w:r>
        <w:r w:rsidR="00C07D55" w:rsidRPr="00845EA8">
          <w:rPr>
            <w:rStyle w:val="Hyperlink"/>
          </w:rPr>
          <w:t>Concerning journalist and public intellectual Vladimir Herzog</w:t>
        </w:r>
        <w:r w:rsidR="00C07D55" w:rsidRPr="00845EA8">
          <w:rPr>
            <w:webHidden/>
          </w:rPr>
          <w:tab/>
        </w:r>
        <w:r w:rsidR="00C07D55" w:rsidRPr="00845EA8">
          <w:rPr>
            <w:webHidden/>
          </w:rPr>
          <w:fldChar w:fldCharType="begin"/>
        </w:r>
        <w:r w:rsidR="00C07D55" w:rsidRPr="00845EA8">
          <w:rPr>
            <w:webHidden/>
          </w:rPr>
          <w:instrText xml:space="preserve"> PAGEREF _Toc433359800 \h </w:instrText>
        </w:r>
        <w:r w:rsidR="00C07D55" w:rsidRPr="00845EA8">
          <w:rPr>
            <w:webHidden/>
          </w:rPr>
        </w:r>
        <w:r w:rsidR="00C07D55" w:rsidRPr="00845EA8">
          <w:rPr>
            <w:webHidden/>
          </w:rPr>
          <w:fldChar w:fldCharType="separate"/>
        </w:r>
        <w:r w:rsidR="009C66AC">
          <w:rPr>
            <w:webHidden/>
          </w:rPr>
          <w:t>16</w:t>
        </w:r>
        <w:r w:rsidR="00C07D55" w:rsidRPr="00845EA8">
          <w:rPr>
            <w:webHidden/>
          </w:rPr>
          <w:fldChar w:fldCharType="end"/>
        </w:r>
      </w:hyperlink>
    </w:p>
    <w:p w:rsidR="00C07D55" w:rsidRPr="00845EA8" w:rsidRDefault="002A0E3E" w:rsidP="00845EA8">
      <w:pPr>
        <w:pStyle w:val="TOC2"/>
        <w:jc w:val="both"/>
        <w:rPr>
          <w:rFonts w:eastAsiaTheme="minorEastAsia" w:cstheme="minorBidi"/>
          <w:smallCaps/>
          <w:sz w:val="22"/>
          <w:szCs w:val="22"/>
        </w:rPr>
      </w:pPr>
      <w:hyperlink w:anchor="_Toc433359801" w:history="1">
        <w:r w:rsidR="00C07D55" w:rsidRPr="00845EA8">
          <w:rPr>
            <w:rStyle w:val="Hyperlink"/>
            <w:iCs/>
          </w:rPr>
          <w:t>C.</w:t>
        </w:r>
        <w:r w:rsidR="00C07D55" w:rsidRPr="00845EA8">
          <w:rPr>
            <w:rFonts w:eastAsiaTheme="minorEastAsia" w:cstheme="minorBidi"/>
            <w:smallCaps/>
            <w:sz w:val="22"/>
            <w:szCs w:val="22"/>
          </w:rPr>
          <w:tab/>
        </w:r>
        <w:r w:rsidR="00C07D55" w:rsidRPr="00845EA8">
          <w:rPr>
            <w:rStyle w:val="Hyperlink"/>
            <w:rFonts w:cs="Arial"/>
            <w:iCs/>
          </w:rPr>
          <w:t>Arbitrary detention, torture and death of Vladimir Herzog</w:t>
        </w:r>
        <w:r w:rsidR="00C07D55" w:rsidRPr="00845EA8">
          <w:rPr>
            <w:webHidden/>
          </w:rPr>
          <w:tab/>
        </w:r>
        <w:r w:rsidR="00C07D55" w:rsidRPr="00845EA8">
          <w:rPr>
            <w:webHidden/>
          </w:rPr>
          <w:fldChar w:fldCharType="begin"/>
        </w:r>
        <w:r w:rsidR="00C07D55" w:rsidRPr="00845EA8">
          <w:rPr>
            <w:webHidden/>
          </w:rPr>
          <w:instrText xml:space="preserve"> PAGEREF _Toc433359801 \h </w:instrText>
        </w:r>
        <w:r w:rsidR="00C07D55" w:rsidRPr="00845EA8">
          <w:rPr>
            <w:webHidden/>
          </w:rPr>
        </w:r>
        <w:r w:rsidR="00C07D55" w:rsidRPr="00845EA8">
          <w:rPr>
            <w:webHidden/>
          </w:rPr>
          <w:fldChar w:fldCharType="separate"/>
        </w:r>
        <w:r w:rsidR="009C66AC">
          <w:rPr>
            <w:webHidden/>
          </w:rPr>
          <w:t>17</w:t>
        </w:r>
        <w:r w:rsidR="00C07D55" w:rsidRPr="00845EA8">
          <w:rPr>
            <w:webHidden/>
          </w:rPr>
          <w:fldChar w:fldCharType="end"/>
        </w:r>
      </w:hyperlink>
    </w:p>
    <w:p w:rsidR="00C07D55" w:rsidRPr="00845EA8" w:rsidRDefault="002A0E3E" w:rsidP="00845EA8">
      <w:pPr>
        <w:pStyle w:val="TOC2"/>
        <w:jc w:val="both"/>
        <w:rPr>
          <w:rFonts w:eastAsiaTheme="minorEastAsia" w:cstheme="minorBidi"/>
          <w:smallCaps/>
          <w:sz w:val="22"/>
          <w:szCs w:val="22"/>
        </w:rPr>
      </w:pPr>
      <w:hyperlink w:anchor="_Toc433359802" w:history="1">
        <w:r w:rsidR="00C07D55" w:rsidRPr="00845EA8">
          <w:rPr>
            <w:rStyle w:val="Hyperlink"/>
            <w:iCs/>
          </w:rPr>
          <w:t>D.</w:t>
        </w:r>
        <w:r w:rsidR="00C07D55" w:rsidRPr="00845EA8">
          <w:rPr>
            <w:rFonts w:eastAsiaTheme="minorEastAsia" w:cstheme="minorBidi"/>
            <w:smallCaps/>
            <w:sz w:val="22"/>
            <w:szCs w:val="22"/>
          </w:rPr>
          <w:tab/>
        </w:r>
        <w:r w:rsidR="00C07D55" w:rsidRPr="00845EA8">
          <w:rPr>
            <w:rStyle w:val="Hyperlink"/>
            <w:iCs/>
          </w:rPr>
          <w:t>Domestic proceedings</w:t>
        </w:r>
        <w:r w:rsidR="00C07D55" w:rsidRPr="00845EA8">
          <w:rPr>
            <w:webHidden/>
          </w:rPr>
          <w:tab/>
        </w:r>
        <w:r w:rsidR="00C07D55" w:rsidRPr="00845EA8">
          <w:rPr>
            <w:webHidden/>
          </w:rPr>
          <w:fldChar w:fldCharType="begin"/>
        </w:r>
        <w:r w:rsidR="00C07D55" w:rsidRPr="00845EA8">
          <w:rPr>
            <w:webHidden/>
          </w:rPr>
          <w:instrText xml:space="preserve"> PAGEREF _Toc433359802 \h </w:instrText>
        </w:r>
        <w:r w:rsidR="00C07D55" w:rsidRPr="00845EA8">
          <w:rPr>
            <w:webHidden/>
          </w:rPr>
        </w:r>
        <w:r w:rsidR="00C07D55" w:rsidRPr="00845EA8">
          <w:rPr>
            <w:webHidden/>
          </w:rPr>
          <w:fldChar w:fldCharType="separate"/>
        </w:r>
        <w:r w:rsidR="009C66AC">
          <w:rPr>
            <w:webHidden/>
          </w:rPr>
          <w:t>22</w:t>
        </w:r>
        <w:r w:rsidR="00C07D55" w:rsidRPr="00845EA8">
          <w:rPr>
            <w:webHidden/>
          </w:rPr>
          <w:fldChar w:fldCharType="end"/>
        </w:r>
      </w:hyperlink>
    </w:p>
    <w:p w:rsidR="00C07D55" w:rsidRPr="00845EA8" w:rsidRDefault="002A0E3E" w:rsidP="00845EA8">
      <w:pPr>
        <w:pStyle w:val="TOC3"/>
        <w:jc w:val="both"/>
        <w:rPr>
          <w:rFonts w:eastAsiaTheme="minorEastAsia" w:cstheme="minorBidi"/>
          <w:sz w:val="22"/>
          <w:szCs w:val="22"/>
        </w:rPr>
      </w:pPr>
      <w:hyperlink w:anchor="_Toc433359803" w:history="1">
        <w:r w:rsidR="00C07D55" w:rsidRPr="00845EA8">
          <w:rPr>
            <w:rStyle w:val="Hyperlink"/>
          </w:rPr>
          <w:t>i.</w:t>
        </w:r>
        <w:r w:rsidR="00C07D55" w:rsidRPr="00845EA8">
          <w:rPr>
            <w:rFonts w:eastAsiaTheme="minorEastAsia" w:cstheme="minorBidi"/>
            <w:sz w:val="22"/>
            <w:szCs w:val="22"/>
          </w:rPr>
          <w:tab/>
        </w:r>
        <w:r w:rsidR="00C07D55" w:rsidRPr="00845EA8">
          <w:rPr>
            <w:rStyle w:val="Hyperlink"/>
          </w:rPr>
          <w:t>The investigation by the Military Police</w:t>
        </w:r>
        <w:r w:rsidR="00C07D55" w:rsidRPr="00845EA8">
          <w:rPr>
            <w:webHidden/>
          </w:rPr>
          <w:tab/>
        </w:r>
        <w:r w:rsidR="00C07D55" w:rsidRPr="00845EA8">
          <w:rPr>
            <w:webHidden/>
          </w:rPr>
          <w:fldChar w:fldCharType="begin"/>
        </w:r>
        <w:r w:rsidR="00C07D55" w:rsidRPr="00845EA8">
          <w:rPr>
            <w:webHidden/>
          </w:rPr>
          <w:instrText xml:space="preserve"> PAGEREF _Toc433359803 \h </w:instrText>
        </w:r>
        <w:r w:rsidR="00C07D55" w:rsidRPr="00845EA8">
          <w:rPr>
            <w:webHidden/>
          </w:rPr>
        </w:r>
        <w:r w:rsidR="00C07D55" w:rsidRPr="00845EA8">
          <w:rPr>
            <w:webHidden/>
          </w:rPr>
          <w:fldChar w:fldCharType="separate"/>
        </w:r>
        <w:r w:rsidR="009C66AC">
          <w:rPr>
            <w:webHidden/>
          </w:rPr>
          <w:t>22</w:t>
        </w:r>
        <w:r w:rsidR="00C07D55" w:rsidRPr="00845EA8">
          <w:rPr>
            <w:webHidden/>
          </w:rPr>
          <w:fldChar w:fldCharType="end"/>
        </w:r>
      </w:hyperlink>
    </w:p>
    <w:p w:rsidR="00C07D55" w:rsidRPr="00845EA8" w:rsidRDefault="002A0E3E" w:rsidP="00845EA8">
      <w:pPr>
        <w:pStyle w:val="TOC3"/>
        <w:jc w:val="both"/>
        <w:rPr>
          <w:rFonts w:eastAsiaTheme="minorEastAsia" w:cstheme="minorBidi"/>
          <w:sz w:val="22"/>
          <w:szCs w:val="22"/>
        </w:rPr>
      </w:pPr>
      <w:hyperlink w:anchor="_Toc433359804" w:history="1">
        <w:r w:rsidR="00C07D55" w:rsidRPr="00845EA8">
          <w:rPr>
            <w:rStyle w:val="Hyperlink"/>
          </w:rPr>
          <w:t>ii.</w:t>
        </w:r>
        <w:r w:rsidR="00C07D55" w:rsidRPr="00845EA8">
          <w:rPr>
            <w:rFonts w:eastAsiaTheme="minorEastAsia" w:cstheme="minorBidi"/>
            <w:sz w:val="22"/>
            <w:szCs w:val="22"/>
          </w:rPr>
          <w:tab/>
        </w:r>
        <w:r w:rsidR="00C07D55" w:rsidRPr="00845EA8">
          <w:rPr>
            <w:rStyle w:val="Hyperlink"/>
            <w:rFonts w:cs="Arial"/>
          </w:rPr>
          <w:t>Declaratory action filed by Vladimir Herzog’s next of kin</w:t>
        </w:r>
        <w:r w:rsidR="00C07D55" w:rsidRPr="00845EA8">
          <w:rPr>
            <w:webHidden/>
          </w:rPr>
          <w:tab/>
        </w:r>
        <w:r w:rsidR="00C07D55" w:rsidRPr="00845EA8">
          <w:rPr>
            <w:webHidden/>
          </w:rPr>
          <w:fldChar w:fldCharType="begin"/>
        </w:r>
        <w:r w:rsidR="00C07D55" w:rsidRPr="00845EA8">
          <w:rPr>
            <w:webHidden/>
          </w:rPr>
          <w:instrText xml:space="preserve"> PAGEREF _Toc433359804 \h </w:instrText>
        </w:r>
        <w:r w:rsidR="00C07D55" w:rsidRPr="00845EA8">
          <w:rPr>
            <w:webHidden/>
          </w:rPr>
        </w:r>
        <w:r w:rsidR="00C07D55" w:rsidRPr="00845EA8">
          <w:rPr>
            <w:webHidden/>
          </w:rPr>
          <w:fldChar w:fldCharType="separate"/>
        </w:r>
        <w:r w:rsidR="009C66AC">
          <w:rPr>
            <w:webHidden/>
          </w:rPr>
          <w:t>25</w:t>
        </w:r>
        <w:r w:rsidR="00C07D55" w:rsidRPr="00845EA8">
          <w:rPr>
            <w:webHidden/>
          </w:rPr>
          <w:fldChar w:fldCharType="end"/>
        </w:r>
      </w:hyperlink>
    </w:p>
    <w:p w:rsidR="00C07D55" w:rsidRPr="00845EA8" w:rsidRDefault="002A0E3E" w:rsidP="00845EA8">
      <w:pPr>
        <w:pStyle w:val="TOC3"/>
        <w:jc w:val="both"/>
        <w:rPr>
          <w:rFonts w:eastAsiaTheme="minorEastAsia" w:cstheme="minorBidi"/>
          <w:sz w:val="22"/>
          <w:szCs w:val="22"/>
        </w:rPr>
      </w:pPr>
      <w:hyperlink w:anchor="_Toc433359805" w:history="1">
        <w:r w:rsidR="00C07D55" w:rsidRPr="00845EA8">
          <w:rPr>
            <w:rStyle w:val="Hyperlink"/>
          </w:rPr>
          <w:t>iii.</w:t>
        </w:r>
        <w:r w:rsidR="00C07D55" w:rsidRPr="00845EA8">
          <w:rPr>
            <w:rFonts w:eastAsiaTheme="minorEastAsia" w:cstheme="minorBidi"/>
            <w:sz w:val="22"/>
            <w:szCs w:val="22"/>
          </w:rPr>
          <w:tab/>
        </w:r>
        <w:r w:rsidR="00C07D55" w:rsidRPr="00845EA8">
          <w:rPr>
            <w:rStyle w:val="Hyperlink"/>
          </w:rPr>
          <w:t>Police Inquiry No. 487/92 – State Justice System</w:t>
        </w:r>
        <w:r w:rsidR="00C07D55" w:rsidRPr="00845EA8">
          <w:rPr>
            <w:webHidden/>
          </w:rPr>
          <w:tab/>
        </w:r>
        <w:r w:rsidR="00C07D55" w:rsidRPr="00845EA8">
          <w:rPr>
            <w:webHidden/>
          </w:rPr>
          <w:fldChar w:fldCharType="begin"/>
        </w:r>
        <w:r w:rsidR="00C07D55" w:rsidRPr="00845EA8">
          <w:rPr>
            <w:webHidden/>
          </w:rPr>
          <w:instrText xml:space="preserve"> PAGEREF _Toc433359805 \h </w:instrText>
        </w:r>
        <w:r w:rsidR="00C07D55" w:rsidRPr="00845EA8">
          <w:rPr>
            <w:webHidden/>
          </w:rPr>
        </w:r>
        <w:r w:rsidR="00C07D55" w:rsidRPr="00845EA8">
          <w:rPr>
            <w:webHidden/>
          </w:rPr>
          <w:fldChar w:fldCharType="separate"/>
        </w:r>
        <w:r w:rsidR="009C66AC">
          <w:rPr>
            <w:webHidden/>
          </w:rPr>
          <w:t>30</w:t>
        </w:r>
        <w:r w:rsidR="00C07D55" w:rsidRPr="00845EA8">
          <w:rPr>
            <w:webHidden/>
          </w:rPr>
          <w:fldChar w:fldCharType="end"/>
        </w:r>
      </w:hyperlink>
    </w:p>
    <w:p w:rsidR="00C07D55" w:rsidRPr="00845EA8" w:rsidRDefault="002A0E3E" w:rsidP="00845EA8">
      <w:pPr>
        <w:pStyle w:val="TOC3"/>
        <w:jc w:val="both"/>
        <w:rPr>
          <w:rFonts w:eastAsiaTheme="minorEastAsia" w:cstheme="minorBidi"/>
          <w:sz w:val="22"/>
          <w:szCs w:val="22"/>
        </w:rPr>
      </w:pPr>
      <w:hyperlink w:anchor="_Toc433359806" w:history="1">
        <w:r w:rsidR="00C07D55" w:rsidRPr="00845EA8">
          <w:rPr>
            <w:rStyle w:val="Hyperlink"/>
          </w:rPr>
          <w:t>iv.</w:t>
        </w:r>
        <w:r w:rsidR="00C07D55" w:rsidRPr="00845EA8">
          <w:rPr>
            <w:rFonts w:eastAsiaTheme="minorEastAsia" w:cstheme="minorBidi"/>
            <w:sz w:val="22"/>
            <w:szCs w:val="22"/>
          </w:rPr>
          <w:tab/>
        </w:r>
        <w:r w:rsidR="00C07D55" w:rsidRPr="00845EA8">
          <w:rPr>
            <w:rStyle w:val="Hyperlink"/>
          </w:rPr>
          <w:t>Acknowledgement of responsibility under Law 9.140/1995 (Special Commission on Political Deaths and Disappearances)</w:t>
        </w:r>
        <w:r w:rsidR="00C07D55" w:rsidRPr="00845EA8">
          <w:rPr>
            <w:webHidden/>
          </w:rPr>
          <w:tab/>
        </w:r>
        <w:r w:rsidR="00C07D55" w:rsidRPr="00845EA8">
          <w:rPr>
            <w:webHidden/>
          </w:rPr>
          <w:fldChar w:fldCharType="begin"/>
        </w:r>
        <w:r w:rsidR="00C07D55" w:rsidRPr="00845EA8">
          <w:rPr>
            <w:webHidden/>
          </w:rPr>
          <w:instrText xml:space="preserve"> PAGEREF _Toc433359806 \h </w:instrText>
        </w:r>
        <w:r w:rsidR="00C07D55" w:rsidRPr="00845EA8">
          <w:rPr>
            <w:webHidden/>
          </w:rPr>
        </w:r>
        <w:r w:rsidR="00C07D55" w:rsidRPr="00845EA8">
          <w:rPr>
            <w:webHidden/>
          </w:rPr>
          <w:fldChar w:fldCharType="separate"/>
        </w:r>
        <w:r w:rsidR="009C66AC">
          <w:rPr>
            <w:webHidden/>
          </w:rPr>
          <w:t>31</w:t>
        </w:r>
        <w:r w:rsidR="00C07D55" w:rsidRPr="00845EA8">
          <w:rPr>
            <w:webHidden/>
          </w:rPr>
          <w:fldChar w:fldCharType="end"/>
        </w:r>
      </w:hyperlink>
    </w:p>
    <w:p w:rsidR="00C07D55" w:rsidRPr="00845EA8" w:rsidRDefault="002A0E3E" w:rsidP="00845EA8">
      <w:pPr>
        <w:pStyle w:val="TOC3"/>
        <w:jc w:val="both"/>
        <w:rPr>
          <w:rFonts w:eastAsiaTheme="minorEastAsia" w:cstheme="minorBidi"/>
          <w:i/>
          <w:sz w:val="22"/>
          <w:szCs w:val="22"/>
        </w:rPr>
      </w:pPr>
      <w:hyperlink w:anchor="_Toc433359807" w:history="1">
        <w:r w:rsidR="00C07D55" w:rsidRPr="00845EA8">
          <w:rPr>
            <w:rStyle w:val="Hyperlink"/>
          </w:rPr>
          <w:t>v.</w:t>
        </w:r>
        <w:r w:rsidR="00C07D55" w:rsidRPr="00845EA8">
          <w:rPr>
            <w:rFonts w:eastAsiaTheme="minorEastAsia" w:cstheme="minorBidi"/>
            <w:sz w:val="22"/>
            <w:szCs w:val="22"/>
          </w:rPr>
          <w:tab/>
        </w:r>
        <w:r w:rsidR="00C07D55" w:rsidRPr="00845EA8">
          <w:rPr>
            <w:rStyle w:val="Hyperlink"/>
          </w:rPr>
          <w:t>Actions of the Office of the Federal Public Prosecutor (Case No. 2008.61.81.013434-2)</w:t>
        </w:r>
        <w:r w:rsidR="00C07D55" w:rsidRPr="00845EA8">
          <w:rPr>
            <w:webHidden/>
          </w:rPr>
          <w:tab/>
        </w:r>
        <w:r w:rsidR="00C07D55" w:rsidRPr="00845EA8">
          <w:rPr>
            <w:i/>
            <w:webHidden/>
          </w:rPr>
          <w:fldChar w:fldCharType="begin"/>
        </w:r>
        <w:r w:rsidR="00C07D55" w:rsidRPr="00845EA8">
          <w:rPr>
            <w:i/>
            <w:webHidden/>
          </w:rPr>
          <w:instrText xml:space="preserve"> PAGEREF _Toc433359807 \h </w:instrText>
        </w:r>
        <w:r w:rsidR="00C07D55" w:rsidRPr="00845EA8">
          <w:rPr>
            <w:i/>
            <w:webHidden/>
          </w:rPr>
        </w:r>
        <w:r w:rsidR="00C07D55" w:rsidRPr="00845EA8">
          <w:rPr>
            <w:i/>
            <w:webHidden/>
          </w:rPr>
          <w:fldChar w:fldCharType="separate"/>
        </w:r>
        <w:r w:rsidR="009C66AC">
          <w:rPr>
            <w:i/>
            <w:webHidden/>
          </w:rPr>
          <w:t>32</w:t>
        </w:r>
        <w:r w:rsidR="00C07D55" w:rsidRPr="00845EA8">
          <w:rPr>
            <w:i/>
            <w:webHidden/>
          </w:rPr>
          <w:fldChar w:fldCharType="end"/>
        </w:r>
      </w:hyperlink>
    </w:p>
    <w:p w:rsidR="00C07D55" w:rsidRPr="00D53806" w:rsidRDefault="002A0E3E" w:rsidP="00845EA8">
      <w:pPr>
        <w:pStyle w:val="TOC3"/>
        <w:jc w:val="both"/>
        <w:rPr>
          <w:rFonts w:eastAsiaTheme="minorEastAsia" w:cstheme="minorBidi"/>
          <w:i/>
          <w:sz w:val="22"/>
          <w:szCs w:val="22"/>
        </w:rPr>
      </w:pPr>
      <w:hyperlink w:anchor="_Toc433359808" w:history="1">
        <w:r w:rsidR="00C07D55" w:rsidRPr="00D53806">
          <w:rPr>
            <w:rStyle w:val="Hyperlink"/>
          </w:rPr>
          <w:t>vi.</w:t>
        </w:r>
        <w:r w:rsidR="00C07D55" w:rsidRPr="00D53806">
          <w:rPr>
            <w:rFonts w:eastAsiaTheme="minorEastAsia" w:cstheme="minorBidi"/>
            <w:sz w:val="22"/>
            <w:szCs w:val="22"/>
          </w:rPr>
          <w:tab/>
        </w:r>
        <w:r w:rsidR="00C07D55" w:rsidRPr="00D53806">
          <w:rPr>
            <w:rStyle w:val="Hyperlink"/>
          </w:rPr>
          <w:t>Public Civil Suit brought by the Federal Public Prosecutor’s Office (MPF)</w:t>
        </w:r>
        <w:r w:rsidR="00C07D55" w:rsidRPr="00D53806">
          <w:rPr>
            <w:webHidden/>
          </w:rPr>
          <w:tab/>
        </w:r>
        <w:r w:rsidR="00C07D55" w:rsidRPr="00D53806">
          <w:rPr>
            <w:i/>
            <w:webHidden/>
          </w:rPr>
          <w:fldChar w:fldCharType="begin"/>
        </w:r>
        <w:r w:rsidR="00C07D55" w:rsidRPr="00D53806">
          <w:rPr>
            <w:i/>
            <w:webHidden/>
          </w:rPr>
          <w:instrText xml:space="preserve"> PAGEREF _Toc433359808 \h </w:instrText>
        </w:r>
        <w:r w:rsidR="00C07D55" w:rsidRPr="00D53806">
          <w:rPr>
            <w:i/>
            <w:webHidden/>
          </w:rPr>
        </w:r>
        <w:r w:rsidR="00C07D55" w:rsidRPr="00D53806">
          <w:rPr>
            <w:i/>
            <w:webHidden/>
          </w:rPr>
          <w:fldChar w:fldCharType="separate"/>
        </w:r>
        <w:r w:rsidR="009C66AC">
          <w:rPr>
            <w:i/>
            <w:webHidden/>
          </w:rPr>
          <w:t>34</w:t>
        </w:r>
        <w:r w:rsidR="00C07D55" w:rsidRPr="00D53806">
          <w:rPr>
            <w:i/>
            <w:webHidden/>
          </w:rPr>
          <w:fldChar w:fldCharType="end"/>
        </w:r>
      </w:hyperlink>
    </w:p>
    <w:p w:rsidR="00C07D55" w:rsidRPr="00845EA8" w:rsidRDefault="002A0E3E" w:rsidP="00845EA8">
      <w:pPr>
        <w:pStyle w:val="TOC3"/>
        <w:jc w:val="both"/>
        <w:rPr>
          <w:rFonts w:eastAsiaTheme="minorEastAsia" w:cstheme="minorBidi"/>
          <w:i/>
          <w:sz w:val="22"/>
          <w:szCs w:val="22"/>
        </w:rPr>
      </w:pPr>
      <w:hyperlink w:anchor="_Toc433359809" w:history="1">
        <w:r w:rsidR="00C07D55" w:rsidRPr="00D53806">
          <w:rPr>
            <w:rStyle w:val="Hyperlink"/>
          </w:rPr>
          <w:t>vii.</w:t>
        </w:r>
        <w:r w:rsidR="00C07D55" w:rsidRPr="00D53806">
          <w:rPr>
            <w:rFonts w:eastAsiaTheme="minorEastAsia" w:cstheme="minorBidi"/>
            <w:sz w:val="22"/>
            <w:szCs w:val="22"/>
          </w:rPr>
          <w:tab/>
        </w:r>
        <w:r w:rsidR="00C07D55" w:rsidRPr="00D53806">
          <w:rPr>
            <w:rStyle w:val="Hyperlink"/>
          </w:rPr>
          <w:t>Actions of the National Truth Commission (CNV) by Law No. 12.528/2011</w:t>
        </w:r>
        <w:r w:rsidR="00C07D55" w:rsidRPr="00D53806">
          <w:rPr>
            <w:webHidden/>
          </w:rPr>
          <w:tab/>
        </w:r>
        <w:r w:rsidR="00C07D55" w:rsidRPr="00D53806">
          <w:rPr>
            <w:i/>
            <w:webHidden/>
          </w:rPr>
          <w:fldChar w:fldCharType="begin"/>
        </w:r>
        <w:r w:rsidR="00C07D55" w:rsidRPr="00D53806">
          <w:rPr>
            <w:i/>
            <w:webHidden/>
          </w:rPr>
          <w:instrText xml:space="preserve"> PAGEREF _Toc433359809 \h </w:instrText>
        </w:r>
        <w:r w:rsidR="00C07D55" w:rsidRPr="00D53806">
          <w:rPr>
            <w:i/>
            <w:webHidden/>
          </w:rPr>
        </w:r>
        <w:r w:rsidR="00C07D55" w:rsidRPr="00D53806">
          <w:rPr>
            <w:i/>
            <w:webHidden/>
          </w:rPr>
          <w:fldChar w:fldCharType="separate"/>
        </w:r>
        <w:r w:rsidR="009C66AC">
          <w:rPr>
            <w:i/>
            <w:webHidden/>
          </w:rPr>
          <w:t>35</w:t>
        </w:r>
        <w:r w:rsidR="00C07D55" w:rsidRPr="00D53806">
          <w:rPr>
            <w:i/>
            <w:webHidden/>
          </w:rPr>
          <w:fldChar w:fldCharType="end"/>
        </w:r>
      </w:hyperlink>
    </w:p>
    <w:p w:rsidR="00C07D55" w:rsidRPr="00845EA8" w:rsidRDefault="002A0E3E" w:rsidP="00845EA8">
      <w:pPr>
        <w:pStyle w:val="TOC1"/>
        <w:rPr>
          <w:rFonts w:ascii="Cambria" w:eastAsiaTheme="minorEastAsia" w:hAnsi="Cambria" w:cstheme="minorBidi"/>
          <w:noProof/>
          <w:sz w:val="22"/>
          <w:szCs w:val="22"/>
        </w:rPr>
      </w:pPr>
      <w:hyperlink w:anchor="_Toc433359810" w:history="1">
        <w:r w:rsidR="00C07D55" w:rsidRPr="00845EA8">
          <w:rPr>
            <w:rStyle w:val="Hyperlink"/>
            <w:rFonts w:ascii="Cambria" w:hAnsi="Cambria"/>
            <w:noProof/>
          </w:rPr>
          <w:t>VI.</w:t>
        </w:r>
        <w:r w:rsidR="00C07D55" w:rsidRPr="00845EA8">
          <w:rPr>
            <w:rFonts w:ascii="Cambria" w:eastAsiaTheme="minorEastAsia" w:hAnsi="Cambria" w:cstheme="minorBidi"/>
            <w:noProof/>
            <w:sz w:val="22"/>
            <w:szCs w:val="22"/>
          </w:rPr>
          <w:tab/>
        </w:r>
        <w:r w:rsidR="00C07D55" w:rsidRPr="00845EA8">
          <w:rPr>
            <w:rStyle w:val="Hyperlink"/>
            <w:rFonts w:ascii="Cambria" w:hAnsi="Cambria"/>
            <w:noProof/>
          </w:rPr>
          <w:t>VII. ANALYSIS OF THE MERITS</w:t>
        </w:r>
        <w:r w:rsidR="00C07D55" w:rsidRPr="00845EA8">
          <w:rPr>
            <w:rFonts w:ascii="Cambria" w:hAnsi="Cambria"/>
            <w:b w:val="0"/>
            <w:noProof/>
            <w:webHidden/>
          </w:rPr>
          <w:tab/>
        </w:r>
        <w:r w:rsidR="00C07D55" w:rsidRPr="00845EA8">
          <w:rPr>
            <w:rFonts w:ascii="Cambria" w:hAnsi="Cambria"/>
            <w:b w:val="0"/>
            <w:noProof/>
            <w:webHidden/>
          </w:rPr>
          <w:fldChar w:fldCharType="begin"/>
        </w:r>
        <w:r w:rsidR="00C07D55" w:rsidRPr="00845EA8">
          <w:rPr>
            <w:rFonts w:ascii="Cambria" w:hAnsi="Cambria"/>
            <w:b w:val="0"/>
            <w:noProof/>
            <w:webHidden/>
          </w:rPr>
          <w:instrText xml:space="preserve"> PAGEREF _Toc433359810 \h </w:instrText>
        </w:r>
        <w:r w:rsidR="00C07D55" w:rsidRPr="00845EA8">
          <w:rPr>
            <w:rFonts w:ascii="Cambria" w:hAnsi="Cambria"/>
            <w:b w:val="0"/>
            <w:noProof/>
            <w:webHidden/>
          </w:rPr>
        </w:r>
        <w:r w:rsidR="00C07D55" w:rsidRPr="00845EA8">
          <w:rPr>
            <w:rFonts w:ascii="Cambria" w:hAnsi="Cambria"/>
            <w:b w:val="0"/>
            <w:noProof/>
            <w:webHidden/>
          </w:rPr>
          <w:fldChar w:fldCharType="separate"/>
        </w:r>
        <w:r w:rsidR="009C66AC">
          <w:rPr>
            <w:rFonts w:ascii="Cambria" w:hAnsi="Cambria"/>
            <w:b w:val="0"/>
            <w:noProof/>
            <w:webHidden/>
          </w:rPr>
          <w:t>36</w:t>
        </w:r>
        <w:r w:rsidR="00C07D55" w:rsidRPr="00845EA8">
          <w:rPr>
            <w:rFonts w:ascii="Cambria" w:hAnsi="Cambria"/>
            <w:b w:val="0"/>
            <w:noProof/>
            <w:webHidden/>
          </w:rPr>
          <w:fldChar w:fldCharType="end"/>
        </w:r>
      </w:hyperlink>
    </w:p>
    <w:p w:rsidR="00C07D55" w:rsidRPr="00845EA8" w:rsidRDefault="002A0E3E" w:rsidP="00845EA8">
      <w:pPr>
        <w:pStyle w:val="TOC2"/>
        <w:jc w:val="both"/>
        <w:rPr>
          <w:rFonts w:eastAsiaTheme="minorEastAsia" w:cstheme="minorBidi"/>
          <w:smallCaps/>
          <w:sz w:val="22"/>
          <w:szCs w:val="22"/>
        </w:rPr>
      </w:pPr>
      <w:hyperlink w:anchor="_Toc433359811" w:history="1">
        <w:r w:rsidR="00C07D55" w:rsidRPr="00845EA8">
          <w:rPr>
            <w:rStyle w:val="Hyperlink"/>
          </w:rPr>
          <w:t>A.</w:t>
        </w:r>
        <w:r w:rsidR="00C07D55" w:rsidRPr="00845EA8">
          <w:rPr>
            <w:rFonts w:eastAsiaTheme="minorEastAsia" w:cstheme="minorBidi"/>
            <w:smallCaps/>
            <w:sz w:val="22"/>
            <w:szCs w:val="22"/>
          </w:rPr>
          <w:tab/>
        </w:r>
        <w:r w:rsidR="00C07D55" w:rsidRPr="00845EA8">
          <w:rPr>
            <w:rStyle w:val="Hyperlink"/>
          </w:rPr>
          <w:t>Analysis of the violation of Article I (Right to life, liberty and personal security), and Article XXV (Right of protection from arbitrary arrest) of the American Declaration</w:t>
        </w:r>
        <w:r w:rsidR="00C07D55" w:rsidRPr="00845EA8">
          <w:rPr>
            <w:webHidden/>
          </w:rPr>
          <w:tab/>
        </w:r>
        <w:r w:rsidR="00C07D55" w:rsidRPr="00845EA8">
          <w:rPr>
            <w:webHidden/>
          </w:rPr>
          <w:fldChar w:fldCharType="begin"/>
        </w:r>
        <w:r w:rsidR="00C07D55" w:rsidRPr="00845EA8">
          <w:rPr>
            <w:webHidden/>
          </w:rPr>
          <w:instrText xml:space="preserve"> PAGEREF _Toc433359811 \h </w:instrText>
        </w:r>
        <w:r w:rsidR="00C07D55" w:rsidRPr="00845EA8">
          <w:rPr>
            <w:webHidden/>
          </w:rPr>
        </w:r>
        <w:r w:rsidR="00C07D55" w:rsidRPr="00845EA8">
          <w:rPr>
            <w:webHidden/>
          </w:rPr>
          <w:fldChar w:fldCharType="separate"/>
        </w:r>
        <w:r w:rsidR="009C66AC">
          <w:rPr>
            <w:webHidden/>
          </w:rPr>
          <w:t>36</w:t>
        </w:r>
        <w:r w:rsidR="00C07D55" w:rsidRPr="00845EA8">
          <w:rPr>
            <w:webHidden/>
          </w:rPr>
          <w:fldChar w:fldCharType="end"/>
        </w:r>
      </w:hyperlink>
    </w:p>
    <w:p w:rsidR="00C07D55" w:rsidRPr="00845EA8" w:rsidRDefault="002A0E3E" w:rsidP="00845EA8">
      <w:pPr>
        <w:pStyle w:val="TOC2"/>
        <w:jc w:val="both"/>
        <w:rPr>
          <w:rFonts w:eastAsiaTheme="minorEastAsia" w:cstheme="minorBidi"/>
          <w:smallCaps/>
          <w:sz w:val="22"/>
          <w:szCs w:val="22"/>
        </w:rPr>
      </w:pPr>
      <w:hyperlink w:anchor="_Toc433359812" w:history="1">
        <w:r w:rsidR="00C07D55" w:rsidRPr="00845EA8">
          <w:rPr>
            <w:rStyle w:val="Hyperlink"/>
          </w:rPr>
          <w:t>B.</w:t>
        </w:r>
        <w:r w:rsidR="00C07D55" w:rsidRPr="00845EA8">
          <w:rPr>
            <w:rFonts w:eastAsiaTheme="minorEastAsia" w:cstheme="minorBidi"/>
            <w:smallCaps/>
            <w:sz w:val="22"/>
            <w:szCs w:val="22"/>
          </w:rPr>
          <w:tab/>
        </w:r>
        <w:r w:rsidR="00C07D55" w:rsidRPr="00845EA8">
          <w:rPr>
            <w:rStyle w:val="Hyperlink"/>
          </w:rPr>
          <w:t>Analysis of the violation of Article IV (Right to freedom of investigation, opinion, expression and dissemination) and Article XXII (Right of association) of the American Declaration</w:t>
        </w:r>
        <w:r w:rsidR="00C07D55" w:rsidRPr="00845EA8">
          <w:rPr>
            <w:webHidden/>
          </w:rPr>
          <w:tab/>
        </w:r>
        <w:r w:rsidR="00C07D55" w:rsidRPr="00845EA8">
          <w:rPr>
            <w:webHidden/>
          </w:rPr>
          <w:fldChar w:fldCharType="begin"/>
        </w:r>
        <w:r w:rsidR="00C07D55" w:rsidRPr="00845EA8">
          <w:rPr>
            <w:webHidden/>
          </w:rPr>
          <w:instrText xml:space="preserve"> PAGEREF _Toc433359812 \h </w:instrText>
        </w:r>
        <w:r w:rsidR="00C07D55" w:rsidRPr="00845EA8">
          <w:rPr>
            <w:webHidden/>
          </w:rPr>
        </w:r>
        <w:r w:rsidR="00C07D55" w:rsidRPr="00845EA8">
          <w:rPr>
            <w:webHidden/>
          </w:rPr>
          <w:fldChar w:fldCharType="separate"/>
        </w:r>
        <w:r w:rsidR="009C66AC">
          <w:rPr>
            <w:webHidden/>
          </w:rPr>
          <w:t>39</w:t>
        </w:r>
        <w:r w:rsidR="00C07D55" w:rsidRPr="00845EA8">
          <w:rPr>
            <w:webHidden/>
          </w:rPr>
          <w:fldChar w:fldCharType="end"/>
        </w:r>
      </w:hyperlink>
    </w:p>
    <w:p w:rsidR="00C07D55" w:rsidRPr="00845EA8" w:rsidRDefault="002A0E3E" w:rsidP="00845EA8">
      <w:pPr>
        <w:pStyle w:val="TOC2"/>
        <w:jc w:val="both"/>
        <w:rPr>
          <w:rFonts w:eastAsiaTheme="minorEastAsia" w:cstheme="minorBidi"/>
          <w:smallCaps/>
          <w:sz w:val="22"/>
          <w:szCs w:val="22"/>
        </w:rPr>
      </w:pPr>
      <w:hyperlink w:anchor="_Toc433359813" w:history="1">
        <w:r w:rsidR="00C07D55" w:rsidRPr="00845EA8">
          <w:rPr>
            <w:rStyle w:val="Hyperlink"/>
          </w:rPr>
          <w:t>C.</w:t>
        </w:r>
        <w:r w:rsidR="00C07D55" w:rsidRPr="00845EA8">
          <w:rPr>
            <w:rFonts w:eastAsiaTheme="minorEastAsia" w:cstheme="minorBidi"/>
            <w:smallCaps/>
            <w:sz w:val="22"/>
            <w:szCs w:val="22"/>
          </w:rPr>
          <w:tab/>
        </w:r>
        <w:r w:rsidR="00C07D55" w:rsidRPr="00845EA8">
          <w:rPr>
            <w:rStyle w:val="Hyperlink"/>
          </w:rPr>
          <w:t>Analysis of the violation of Article XVIII (Right to a fair trial) of the American Declaration, Article 8 (Fair Trial) and Article 25 (Judicial Protection) of the Convention, in relation to Article 1.1 (Obligation to Respect Rights) and Article 2 (Domestic Legal Effects) of said instrument, and Articles 1, 6 and 8 of the Inter-American Convention to Prevent and Punish Torture</w:t>
        </w:r>
        <w:r w:rsidR="00C07D55" w:rsidRPr="00845EA8">
          <w:rPr>
            <w:webHidden/>
          </w:rPr>
          <w:tab/>
        </w:r>
        <w:r w:rsidR="00C07D55" w:rsidRPr="00845EA8">
          <w:rPr>
            <w:webHidden/>
          </w:rPr>
          <w:fldChar w:fldCharType="begin"/>
        </w:r>
        <w:r w:rsidR="00C07D55" w:rsidRPr="00845EA8">
          <w:rPr>
            <w:webHidden/>
          </w:rPr>
          <w:instrText xml:space="preserve"> PAGEREF _Toc433359813 \h </w:instrText>
        </w:r>
        <w:r w:rsidR="00C07D55" w:rsidRPr="00845EA8">
          <w:rPr>
            <w:webHidden/>
          </w:rPr>
        </w:r>
        <w:r w:rsidR="00C07D55" w:rsidRPr="00845EA8">
          <w:rPr>
            <w:webHidden/>
          </w:rPr>
          <w:fldChar w:fldCharType="separate"/>
        </w:r>
        <w:r w:rsidR="009C66AC">
          <w:rPr>
            <w:webHidden/>
          </w:rPr>
          <w:t>41</w:t>
        </w:r>
        <w:r w:rsidR="00C07D55" w:rsidRPr="00845EA8">
          <w:rPr>
            <w:webHidden/>
          </w:rPr>
          <w:fldChar w:fldCharType="end"/>
        </w:r>
      </w:hyperlink>
    </w:p>
    <w:p w:rsidR="00C07D55" w:rsidRPr="00845EA8" w:rsidRDefault="002A0E3E" w:rsidP="00845EA8">
      <w:pPr>
        <w:pStyle w:val="TOC3"/>
        <w:jc w:val="both"/>
        <w:rPr>
          <w:rFonts w:eastAsiaTheme="minorEastAsia" w:cstheme="minorBidi"/>
          <w:i/>
          <w:sz w:val="22"/>
          <w:szCs w:val="22"/>
        </w:rPr>
      </w:pPr>
      <w:hyperlink w:anchor="_Toc433359814" w:history="1">
        <w:r w:rsidR="00C07D55" w:rsidRPr="00845EA8">
          <w:rPr>
            <w:rStyle w:val="Hyperlink"/>
          </w:rPr>
          <w:t>i.</w:t>
        </w:r>
        <w:r w:rsidR="00C07D55" w:rsidRPr="00845EA8">
          <w:rPr>
            <w:rFonts w:eastAsiaTheme="minorEastAsia" w:cstheme="minorBidi"/>
            <w:sz w:val="22"/>
            <w:szCs w:val="22"/>
          </w:rPr>
          <w:tab/>
        </w:r>
        <w:r w:rsidR="00C07D55" w:rsidRPr="00845EA8">
          <w:rPr>
            <w:rStyle w:val="Hyperlink"/>
          </w:rPr>
          <w:t>Military Police Investigation into the death of Vladimir Herzog</w:t>
        </w:r>
        <w:r w:rsidR="00C07D55" w:rsidRPr="00845EA8">
          <w:rPr>
            <w:webHidden/>
          </w:rPr>
          <w:tab/>
        </w:r>
        <w:r w:rsidR="00C07D55" w:rsidRPr="00845EA8">
          <w:rPr>
            <w:webHidden/>
          </w:rPr>
          <w:fldChar w:fldCharType="begin"/>
        </w:r>
        <w:r w:rsidR="00C07D55" w:rsidRPr="00845EA8">
          <w:rPr>
            <w:webHidden/>
          </w:rPr>
          <w:instrText xml:space="preserve"> PAGEREF _Toc433359814 \h </w:instrText>
        </w:r>
        <w:r w:rsidR="00C07D55" w:rsidRPr="00845EA8">
          <w:rPr>
            <w:webHidden/>
          </w:rPr>
        </w:r>
        <w:r w:rsidR="00C07D55" w:rsidRPr="00845EA8">
          <w:rPr>
            <w:webHidden/>
          </w:rPr>
          <w:fldChar w:fldCharType="separate"/>
        </w:r>
        <w:r w:rsidR="009C66AC">
          <w:rPr>
            <w:webHidden/>
          </w:rPr>
          <w:t>41</w:t>
        </w:r>
        <w:r w:rsidR="00C07D55" w:rsidRPr="00845EA8">
          <w:rPr>
            <w:webHidden/>
          </w:rPr>
          <w:fldChar w:fldCharType="end"/>
        </w:r>
      </w:hyperlink>
    </w:p>
    <w:p w:rsidR="00C07D55" w:rsidRPr="00845EA8" w:rsidRDefault="002A0E3E" w:rsidP="00845EA8">
      <w:pPr>
        <w:pStyle w:val="TOC3"/>
        <w:jc w:val="both"/>
        <w:rPr>
          <w:rFonts w:eastAsiaTheme="minorEastAsia" w:cstheme="minorBidi"/>
          <w:i/>
          <w:sz w:val="22"/>
          <w:szCs w:val="22"/>
        </w:rPr>
      </w:pPr>
      <w:hyperlink w:anchor="_Toc433359815" w:history="1">
        <w:r w:rsidR="00C07D55" w:rsidRPr="00845EA8">
          <w:rPr>
            <w:rStyle w:val="Hyperlink"/>
          </w:rPr>
          <w:t>ii.</w:t>
        </w:r>
        <w:r w:rsidR="00C07D55" w:rsidRPr="00845EA8">
          <w:rPr>
            <w:rFonts w:eastAsiaTheme="minorEastAsia" w:cstheme="minorBidi"/>
            <w:sz w:val="22"/>
            <w:szCs w:val="22"/>
          </w:rPr>
          <w:tab/>
        </w:r>
        <w:r w:rsidR="00C07D55" w:rsidRPr="00845EA8">
          <w:rPr>
            <w:rStyle w:val="Hyperlink"/>
          </w:rPr>
          <w:t>Civil declaratory action before the Federal Court of São Paulo</w:t>
        </w:r>
        <w:r w:rsidR="00C07D55" w:rsidRPr="00845EA8">
          <w:rPr>
            <w:webHidden/>
          </w:rPr>
          <w:tab/>
        </w:r>
        <w:r w:rsidR="00C07D55" w:rsidRPr="00845EA8">
          <w:rPr>
            <w:webHidden/>
          </w:rPr>
          <w:fldChar w:fldCharType="begin"/>
        </w:r>
        <w:r w:rsidR="00C07D55" w:rsidRPr="00845EA8">
          <w:rPr>
            <w:webHidden/>
          </w:rPr>
          <w:instrText xml:space="preserve"> PAGEREF _Toc433359815 \h </w:instrText>
        </w:r>
        <w:r w:rsidR="00C07D55" w:rsidRPr="00845EA8">
          <w:rPr>
            <w:webHidden/>
          </w:rPr>
        </w:r>
        <w:r w:rsidR="00C07D55" w:rsidRPr="00845EA8">
          <w:rPr>
            <w:webHidden/>
          </w:rPr>
          <w:fldChar w:fldCharType="separate"/>
        </w:r>
        <w:r w:rsidR="009C66AC">
          <w:rPr>
            <w:webHidden/>
          </w:rPr>
          <w:t>45</w:t>
        </w:r>
        <w:r w:rsidR="00C07D55" w:rsidRPr="00845EA8">
          <w:rPr>
            <w:webHidden/>
          </w:rPr>
          <w:fldChar w:fldCharType="end"/>
        </w:r>
      </w:hyperlink>
    </w:p>
    <w:p w:rsidR="00C07D55" w:rsidRPr="00845EA8" w:rsidRDefault="002A0E3E" w:rsidP="00845EA8">
      <w:pPr>
        <w:pStyle w:val="TOC3"/>
        <w:jc w:val="both"/>
        <w:rPr>
          <w:rFonts w:eastAsiaTheme="minorEastAsia" w:cstheme="minorBidi"/>
          <w:sz w:val="22"/>
          <w:szCs w:val="22"/>
        </w:rPr>
      </w:pPr>
      <w:hyperlink w:anchor="_Toc433359816" w:history="1">
        <w:r w:rsidR="00C07D55" w:rsidRPr="00845EA8">
          <w:rPr>
            <w:rStyle w:val="Hyperlink"/>
          </w:rPr>
          <w:t>iii.</w:t>
        </w:r>
        <w:r w:rsidR="00C07D55" w:rsidRPr="00845EA8">
          <w:rPr>
            <w:rFonts w:eastAsiaTheme="minorEastAsia" w:cstheme="minorBidi"/>
            <w:sz w:val="22"/>
            <w:szCs w:val="22"/>
          </w:rPr>
          <w:tab/>
        </w:r>
        <w:r w:rsidR="00C07D55" w:rsidRPr="00845EA8">
          <w:rPr>
            <w:rStyle w:val="Hyperlink"/>
          </w:rPr>
          <w:t>The criminal investigation within the ordinary jurisdiction</w:t>
        </w:r>
        <w:r w:rsidR="00C07D55" w:rsidRPr="00845EA8">
          <w:rPr>
            <w:webHidden/>
          </w:rPr>
          <w:tab/>
        </w:r>
        <w:r w:rsidR="00C07D55" w:rsidRPr="00845EA8">
          <w:rPr>
            <w:webHidden/>
          </w:rPr>
          <w:fldChar w:fldCharType="begin"/>
        </w:r>
        <w:r w:rsidR="00C07D55" w:rsidRPr="00845EA8">
          <w:rPr>
            <w:webHidden/>
          </w:rPr>
          <w:instrText xml:space="preserve"> PAGEREF _Toc433359816 \h </w:instrText>
        </w:r>
        <w:r w:rsidR="00C07D55" w:rsidRPr="00845EA8">
          <w:rPr>
            <w:webHidden/>
          </w:rPr>
        </w:r>
        <w:r w:rsidR="00C07D55" w:rsidRPr="00845EA8">
          <w:rPr>
            <w:webHidden/>
          </w:rPr>
          <w:fldChar w:fldCharType="separate"/>
        </w:r>
        <w:r w:rsidR="009C66AC">
          <w:rPr>
            <w:webHidden/>
          </w:rPr>
          <w:t>47</w:t>
        </w:r>
        <w:r w:rsidR="00C07D55" w:rsidRPr="00845EA8">
          <w:rPr>
            <w:webHidden/>
          </w:rPr>
          <w:fldChar w:fldCharType="end"/>
        </w:r>
      </w:hyperlink>
    </w:p>
    <w:p w:rsidR="00C07D55" w:rsidRPr="00845EA8" w:rsidRDefault="002A0E3E" w:rsidP="00845EA8">
      <w:pPr>
        <w:pStyle w:val="TOC2"/>
        <w:jc w:val="both"/>
        <w:rPr>
          <w:rFonts w:eastAsiaTheme="minorEastAsia" w:cstheme="minorBidi"/>
          <w:smallCaps/>
          <w:sz w:val="22"/>
          <w:szCs w:val="22"/>
        </w:rPr>
      </w:pPr>
      <w:hyperlink w:anchor="_Toc433359817" w:history="1">
        <w:r w:rsidR="00C07D55" w:rsidRPr="00845EA8">
          <w:rPr>
            <w:rStyle w:val="Hyperlink"/>
          </w:rPr>
          <w:t>D.</w:t>
        </w:r>
        <w:r w:rsidR="00C07D55" w:rsidRPr="00845EA8">
          <w:rPr>
            <w:rFonts w:eastAsiaTheme="minorEastAsia" w:cstheme="minorBidi"/>
            <w:smallCaps/>
            <w:sz w:val="22"/>
            <w:szCs w:val="22"/>
          </w:rPr>
          <w:tab/>
        </w:r>
        <w:r w:rsidR="00C07D55" w:rsidRPr="00D53806">
          <w:rPr>
            <w:rStyle w:val="Hyperlink"/>
          </w:rPr>
          <w:t>Analysis of the right to life, liberty and personal security (Article I) and the right to protection for mothers and children (Article VII) of the American Declaration, and the right to personal integrity (Article 5.1) of the American Conven</w:t>
        </w:r>
        <w:r w:rsidR="00C07D55" w:rsidRPr="00845EA8">
          <w:rPr>
            <w:rStyle w:val="Hyperlink"/>
          </w:rPr>
          <w:t>tion</w:t>
        </w:r>
        <w:r w:rsidR="00C07D55" w:rsidRPr="00845EA8">
          <w:rPr>
            <w:webHidden/>
          </w:rPr>
          <w:tab/>
        </w:r>
        <w:r w:rsidR="00C07D55" w:rsidRPr="00845EA8">
          <w:rPr>
            <w:webHidden/>
          </w:rPr>
          <w:fldChar w:fldCharType="begin"/>
        </w:r>
        <w:r w:rsidR="00C07D55" w:rsidRPr="00845EA8">
          <w:rPr>
            <w:webHidden/>
          </w:rPr>
          <w:instrText xml:space="preserve"> PAGEREF _Toc433359817 \h </w:instrText>
        </w:r>
        <w:r w:rsidR="00C07D55" w:rsidRPr="00845EA8">
          <w:rPr>
            <w:webHidden/>
          </w:rPr>
        </w:r>
        <w:r w:rsidR="00C07D55" w:rsidRPr="00845EA8">
          <w:rPr>
            <w:webHidden/>
          </w:rPr>
          <w:fldChar w:fldCharType="separate"/>
        </w:r>
        <w:r w:rsidR="009C66AC">
          <w:rPr>
            <w:webHidden/>
          </w:rPr>
          <w:t>55</w:t>
        </w:r>
        <w:r w:rsidR="00C07D55" w:rsidRPr="00845EA8">
          <w:rPr>
            <w:webHidden/>
          </w:rPr>
          <w:fldChar w:fldCharType="end"/>
        </w:r>
      </w:hyperlink>
    </w:p>
    <w:p w:rsidR="00C07D55" w:rsidRPr="00845EA8" w:rsidRDefault="002A0E3E" w:rsidP="00845EA8">
      <w:pPr>
        <w:pStyle w:val="TOC1"/>
        <w:rPr>
          <w:rFonts w:ascii="Cambria" w:eastAsiaTheme="minorEastAsia" w:hAnsi="Cambria" w:cstheme="minorBidi"/>
          <w:noProof/>
          <w:sz w:val="22"/>
          <w:szCs w:val="22"/>
        </w:rPr>
      </w:pPr>
      <w:hyperlink w:anchor="_Toc433359818" w:history="1">
        <w:r w:rsidR="00C07D55" w:rsidRPr="00845EA8">
          <w:rPr>
            <w:rStyle w:val="Hyperlink"/>
            <w:rFonts w:ascii="Cambria" w:hAnsi="Cambria" w:cs="Arial"/>
            <w:noProof/>
            <w:bdr w:val="none" w:sz="0" w:space="0" w:color="auto" w:frame="1"/>
          </w:rPr>
          <w:t>VII.</w:t>
        </w:r>
        <w:r w:rsidR="00C07D55" w:rsidRPr="00845EA8">
          <w:rPr>
            <w:rFonts w:ascii="Cambria" w:eastAsiaTheme="minorEastAsia" w:hAnsi="Cambria" w:cstheme="minorBidi"/>
            <w:noProof/>
            <w:sz w:val="22"/>
            <w:szCs w:val="22"/>
          </w:rPr>
          <w:tab/>
        </w:r>
        <w:r w:rsidR="00C07D55" w:rsidRPr="00845EA8">
          <w:rPr>
            <w:rStyle w:val="Hyperlink"/>
            <w:rFonts w:ascii="Cambria" w:hAnsi="Cambria"/>
            <w:noProof/>
            <w:bdr w:val="none" w:sz="0" w:space="0" w:color="auto" w:frame="1"/>
          </w:rPr>
          <w:t>CONCLUSIONS</w:t>
        </w:r>
        <w:r w:rsidR="00C07D55" w:rsidRPr="00845EA8">
          <w:rPr>
            <w:rFonts w:ascii="Cambria" w:hAnsi="Cambria"/>
            <w:b w:val="0"/>
            <w:noProof/>
            <w:webHidden/>
          </w:rPr>
          <w:tab/>
        </w:r>
        <w:r w:rsidR="00C07D55" w:rsidRPr="00845EA8">
          <w:rPr>
            <w:rFonts w:ascii="Cambria" w:hAnsi="Cambria"/>
            <w:b w:val="0"/>
            <w:noProof/>
            <w:webHidden/>
          </w:rPr>
          <w:fldChar w:fldCharType="begin"/>
        </w:r>
        <w:r w:rsidR="00C07D55" w:rsidRPr="00845EA8">
          <w:rPr>
            <w:rFonts w:ascii="Cambria" w:hAnsi="Cambria"/>
            <w:b w:val="0"/>
            <w:noProof/>
            <w:webHidden/>
          </w:rPr>
          <w:instrText xml:space="preserve"> PAGEREF _Toc433359818 \h </w:instrText>
        </w:r>
        <w:r w:rsidR="00C07D55" w:rsidRPr="00845EA8">
          <w:rPr>
            <w:rFonts w:ascii="Cambria" w:hAnsi="Cambria"/>
            <w:b w:val="0"/>
            <w:noProof/>
            <w:webHidden/>
          </w:rPr>
        </w:r>
        <w:r w:rsidR="00C07D55" w:rsidRPr="00845EA8">
          <w:rPr>
            <w:rFonts w:ascii="Cambria" w:hAnsi="Cambria"/>
            <w:b w:val="0"/>
            <w:noProof/>
            <w:webHidden/>
          </w:rPr>
          <w:fldChar w:fldCharType="separate"/>
        </w:r>
        <w:r w:rsidR="009C66AC">
          <w:rPr>
            <w:rFonts w:ascii="Cambria" w:hAnsi="Cambria"/>
            <w:b w:val="0"/>
            <w:noProof/>
            <w:webHidden/>
          </w:rPr>
          <w:t>56</w:t>
        </w:r>
        <w:r w:rsidR="00C07D55" w:rsidRPr="00845EA8">
          <w:rPr>
            <w:rFonts w:ascii="Cambria" w:hAnsi="Cambria"/>
            <w:b w:val="0"/>
            <w:noProof/>
            <w:webHidden/>
          </w:rPr>
          <w:fldChar w:fldCharType="end"/>
        </w:r>
      </w:hyperlink>
    </w:p>
    <w:p w:rsidR="00C07D55" w:rsidRPr="00845EA8" w:rsidRDefault="002A0E3E" w:rsidP="00845EA8">
      <w:pPr>
        <w:pStyle w:val="TOC1"/>
        <w:rPr>
          <w:rFonts w:ascii="Cambria" w:eastAsiaTheme="minorEastAsia" w:hAnsi="Cambria" w:cstheme="minorBidi"/>
          <w:noProof/>
          <w:sz w:val="22"/>
          <w:szCs w:val="22"/>
        </w:rPr>
      </w:pPr>
      <w:hyperlink w:anchor="_Toc433359819" w:history="1">
        <w:r w:rsidR="00C07D55" w:rsidRPr="00845EA8">
          <w:rPr>
            <w:rStyle w:val="Hyperlink"/>
            <w:rFonts w:ascii="Cambria" w:hAnsi="Cambria"/>
            <w:noProof/>
            <w:bdr w:val="none" w:sz="0" w:space="0" w:color="auto" w:frame="1"/>
          </w:rPr>
          <w:t>VIII.</w:t>
        </w:r>
        <w:r w:rsidR="00C07D55" w:rsidRPr="00845EA8">
          <w:rPr>
            <w:rFonts w:ascii="Cambria" w:eastAsiaTheme="minorEastAsia" w:hAnsi="Cambria" w:cstheme="minorBidi"/>
            <w:noProof/>
            <w:sz w:val="22"/>
            <w:szCs w:val="22"/>
          </w:rPr>
          <w:tab/>
        </w:r>
        <w:r w:rsidR="00C07D55" w:rsidRPr="00845EA8">
          <w:rPr>
            <w:rStyle w:val="Hyperlink"/>
            <w:rFonts w:ascii="Cambria" w:hAnsi="Cambria"/>
            <w:noProof/>
            <w:bdr w:val="none" w:sz="0" w:space="0" w:color="auto" w:frame="1"/>
          </w:rPr>
          <w:t>RECOMMENDATIONS</w:t>
        </w:r>
        <w:r w:rsidR="00C07D55" w:rsidRPr="00845EA8">
          <w:rPr>
            <w:rFonts w:ascii="Cambria" w:hAnsi="Cambria"/>
            <w:b w:val="0"/>
            <w:noProof/>
            <w:webHidden/>
          </w:rPr>
          <w:tab/>
        </w:r>
        <w:r w:rsidR="00C07D55" w:rsidRPr="00845EA8">
          <w:rPr>
            <w:rFonts w:ascii="Cambria" w:hAnsi="Cambria"/>
            <w:b w:val="0"/>
            <w:noProof/>
            <w:webHidden/>
          </w:rPr>
          <w:fldChar w:fldCharType="begin"/>
        </w:r>
        <w:r w:rsidR="00C07D55" w:rsidRPr="00845EA8">
          <w:rPr>
            <w:rFonts w:ascii="Cambria" w:hAnsi="Cambria"/>
            <w:b w:val="0"/>
            <w:noProof/>
            <w:webHidden/>
          </w:rPr>
          <w:instrText xml:space="preserve"> PAGEREF _Toc433359819 \h </w:instrText>
        </w:r>
        <w:r w:rsidR="00C07D55" w:rsidRPr="00845EA8">
          <w:rPr>
            <w:rFonts w:ascii="Cambria" w:hAnsi="Cambria"/>
            <w:b w:val="0"/>
            <w:noProof/>
            <w:webHidden/>
          </w:rPr>
        </w:r>
        <w:r w:rsidR="00C07D55" w:rsidRPr="00845EA8">
          <w:rPr>
            <w:rFonts w:ascii="Cambria" w:hAnsi="Cambria"/>
            <w:b w:val="0"/>
            <w:noProof/>
            <w:webHidden/>
          </w:rPr>
          <w:fldChar w:fldCharType="separate"/>
        </w:r>
        <w:r w:rsidR="009C66AC">
          <w:rPr>
            <w:rFonts w:ascii="Cambria" w:hAnsi="Cambria"/>
            <w:b w:val="0"/>
            <w:noProof/>
            <w:webHidden/>
          </w:rPr>
          <w:t>56</w:t>
        </w:r>
        <w:r w:rsidR="00C07D55" w:rsidRPr="00845EA8">
          <w:rPr>
            <w:rFonts w:ascii="Cambria" w:hAnsi="Cambria"/>
            <w:b w:val="0"/>
            <w:noProof/>
            <w:webHidden/>
          </w:rPr>
          <w:fldChar w:fldCharType="end"/>
        </w:r>
      </w:hyperlink>
    </w:p>
    <w:p w:rsidR="0076253B" w:rsidRPr="00845EA8" w:rsidRDefault="00C07D55" w:rsidP="00845EA8">
      <w:pPr>
        <w:tabs>
          <w:tab w:val="left" w:pos="720"/>
          <w:tab w:val="center" w:pos="5400"/>
        </w:tabs>
        <w:suppressAutoHyphens/>
        <w:spacing w:after="0" w:line="240" w:lineRule="auto"/>
        <w:jc w:val="both"/>
        <w:rPr>
          <w:rFonts w:ascii="Cambria" w:hAnsi="Cambria"/>
          <w:sz w:val="20"/>
          <w:szCs w:val="20"/>
          <w:lang w:val="en-AU"/>
        </w:rPr>
      </w:pPr>
      <w:r w:rsidRPr="00845EA8">
        <w:rPr>
          <w:rFonts w:ascii="Cambria" w:hAnsi="Cambria"/>
          <w:sz w:val="20"/>
          <w:szCs w:val="20"/>
          <w:lang w:val="en-AU"/>
        </w:rPr>
        <w:fldChar w:fldCharType="end"/>
      </w:r>
    </w:p>
    <w:p w:rsidR="0076253B" w:rsidRPr="00845EA8" w:rsidRDefault="0076253B" w:rsidP="0076253B">
      <w:pPr>
        <w:tabs>
          <w:tab w:val="left" w:pos="720"/>
          <w:tab w:val="center" w:pos="5400"/>
        </w:tabs>
        <w:suppressAutoHyphens/>
        <w:spacing w:after="0" w:line="240" w:lineRule="auto"/>
        <w:jc w:val="center"/>
        <w:rPr>
          <w:rFonts w:ascii="Cambria" w:hAnsi="Cambria"/>
          <w:sz w:val="20"/>
          <w:szCs w:val="20"/>
          <w:lang w:val="en-AU"/>
        </w:rPr>
      </w:pPr>
    </w:p>
    <w:p w:rsidR="0076253B" w:rsidRPr="00845EA8"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Pr="00845EA8"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Pr="00845EA8"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Pr="00845EA8"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Pr="00845EA8"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Default="0076253B" w:rsidP="0076253B">
      <w:pPr>
        <w:tabs>
          <w:tab w:val="left" w:pos="720"/>
          <w:tab w:val="center" w:pos="5400"/>
        </w:tabs>
        <w:suppressAutoHyphens/>
        <w:spacing w:after="0" w:line="240" w:lineRule="auto"/>
        <w:rPr>
          <w:rFonts w:ascii="Cambria" w:hAnsi="Cambria"/>
          <w:sz w:val="20"/>
          <w:szCs w:val="20"/>
          <w:lang w:val="es-ES_tradnl"/>
        </w:rPr>
      </w:pPr>
    </w:p>
    <w:p w:rsidR="00F2085B" w:rsidRPr="00AF385B" w:rsidRDefault="00F2085B" w:rsidP="0076253B">
      <w:pPr>
        <w:tabs>
          <w:tab w:val="left" w:pos="720"/>
          <w:tab w:val="center" w:pos="5400"/>
        </w:tabs>
        <w:suppressAutoHyphens/>
        <w:spacing w:after="0" w:line="240" w:lineRule="auto"/>
        <w:rPr>
          <w:rFonts w:ascii="Cambria" w:hAnsi="Cambria"/>
          <w:sz w:val="20"/>
          <w:szCs w:val="20"/>
          <w:lang w:val="es-ES_tradnl"/>
        </w:rPr>
      </w:pPr>
    </w:p>
    <w:p w:rsidR="0076253B" w:rsidRPr="00AF385B" w:rsidRDefault="0076253B" w:rsidP="0076253B">
      <w:pPr>
        <w:tabs>
          <w:tab w:val="left" w:pos="720"/>
          <w:tab w:val="center" w:pos="5400"/>
        </w:tabs>
        <w:suppressAutoHyphens/>
        <w:spacing w:after="0" w:line="240" w:lineRule="auto"/>
        <w:rPr>
          <w:rFonts w:ascii="Cambria" w:hAnsi="Cambria"/>
          <w:sz w:val="20"/>
          <w:szCs w:val="20"/>
          <w:lang w:val="es-ES_tradnl"/>
        </w:rPr>
      </w:pPr>
    </w:p>
    <w:p w:rsidR="0076253B" w:rsidRPr="00AF385B" w:rsidRDefault="0076253B" w:rsidP="0076253B">
      <w:pPr>
        <w:tabs>
          <w:tab w:val="left" w:pos="720"/>
          <w:tab w:val="center" w:pos="5400"/>
        </w:tabs>
        <w:suppressAutoHyphens/>
        <w:spacing w:after="0" w:line="240" w:lineRule="auto"/>
        <w:jc w:val="center"/>
        <w:rPr>
          <w:rFonts w:ascii="Cambria" w:hAnsi="Cambria"/>
          <w:sz w:val="20"/>
          <w:szCs w:val="20"/>
          <w:lang w:val="es-ES_tradnl"/>
        </w:rPr>
      </w:pPr>
    </w:p>
    <w:p w:rsidR="00C07D55" w:rsidRDefault="00C07D55">
      <w:pPr>
        <w:spacing w:after="160" w:line="259" w:lineRule="auto"/>
        <w:rPr>
          <w:rFonts w:ascii="Cambria" w:hAnsi="Cambria"/>
          <w:sz w:val="20"/>
          <w:szCs w:val="20"/>
        </w:rPr>
      </w:pPr>
      <w:r>
        <w:rPr>
          <w:rFonts w:ascii="Cambria" w:hAnsi="Cambria"/>
          <w:sz w:val="20"/>
          <w:szCs w:val="20"/>
        </w:rPr>
        <w:br w:type="page"/>
      </w:r>
    </w:p>
    <w:p w:rsidR="0076253B" w:rsidRPr="00E408AC" w:rsidRDefault="0076253B" w:rsidP="0076253B">
      <w:pPr>
        <w:pStyle w:val="NoSpacing"/>
        <w:jc w:val="center"/>
        <w:rPr>
          <w:rFonts w:ascii="Cambria" w:hAnsi="Cambria"/>
          <w:sz w:val="20"/>
          <w:szCs w:val="20"/>
        </w:rPr>
      </w:pPr>
      <w:r w:rsidRPr="00E408AC">
        <w:rPr>
          <w:rFonts w:ascii="Cambria" w:hAnsi="Cambria"/>
          <w:sz w:val="20"/>
          <w:szCs w:val="20"/>
        </w:rPr>
        <w:lastRenderedPageBreak/>
        <w:t>REPORT No. XX/15</w:t>
      </w:r>
      <w:r w:rsidR="003E14C1" w:rsidRPr="00E408AC">
        <w:rPr>
          <w:rFonts w:ascii="Cambria" w:hAnsi="Cambria" w:cs="Arial"/>
          <w:sz w:val="20"/>
          <w:szCs w:val="20"/>
          <w:vertAlign w:val="superscript"/>
        </w:rPr>
        <w:footnoteReference w:id="2"/>
      </w:r>
    </w:p>
    <w:p w:rsidR="0076253B" w:rsidRPr="00E408AC" w:rsidRDefault="0076253B" w:rsidP="0076253B">
      <w:pPr>
        <w:pStyle w:val="NoSpacing"/>
        <w:jc w:val="center"/>
        <w:rPr>
          <w:rFonts w:ascii="Cambria" w:hAnsi="Cambria"/>
          <w:sz w:val="20"/>
          <w:szCs w:val="20"/>
        </w:rPr>
      </w:pPr>
      <w:r w:rsidRPr="00E408AC">
        <w:rPr>
          <w:rFonts w:ascii="Cambria" w:hAnsi="Cambria"/>
          <w:sz w:val="20"/>
          <w:szCs w:val="20"/>
        </w:rPr>
        <w:t>CASE 12.879</w:t>
      </w:r>
    </w:p>
    <w:p w:rsidR="0076253B" w:rsidRPr="00E408AC" w:rsidRDefault="0076253B" w:rsidP="0076253B">
      <w:pPr>
        <w:pStyle w:val="NoSpacing"/>
        <w:jc w:val="center"/>
        <w:rPr>
          <w:rFonts w:ascii="Cambria" w:hAnsi="Cambria"/>
          <w:sz w:val="20"/>
          <w:szCs w:val="20"/>
        </w:rPr>
      </w:pPr>
      <w:r w:rsidRPr="00E408AC">
        <w:rPr>
          <w:rFonts w:ascii="Cambria" w:hAnsi="Cambria"/>
          <w:sz w:val="20"/>
          <w:szCs w:val="20"/>
        </w:rPr>
        <w:t>MERITS</w:t>
      </w:r>
    </w:p>
    <w:p w:rsidR="0076253B" w:rsidRPr="00E408AC" w:rsidRDefault="0076253B" w:rsidP="0076253B">
      <w:pPr>
        <w:pStyle w:val="NoSpacing"/>
        <w:jc w:val="center"/>
        <w:rPr>
          <w:rFonts w:ascii="Cambria" w:hAnsi="Cambria"/>
          <w:sz w:val="20"/>
          <w:szCs w:val="20"/>
        </w:rPr>
      </w:pPr>
      <w:r w:rsidRPr="00E408AC">
        <w:rPr>
          <w:rFonts w:ascii="Cambria" w:hAnsi="Cambria"/>
          <w:sz w:val="20"/>
          <w:szCs w:val="20"/>
        </w:rPr>
        <w:t>VLADIMIR HERZOG AND OTHERS</w:t>
      </w:r>
    </w:p>
    <w:p w:rsidR="0076253B" w:rsidRPr="00E408AC" w:rsidRDefault="0076253B" w:rsidP="0076253B">
      <w:pPr>
        <w:pStyle w:val="NoSpacing"/>
        <w:jc w:val="center"/>
        <w:rPr>
          <w:rFonts w:ascii="Cambria" w:hAnsi="Cambria"/>
          <w:sz w:val="20"/>
          <w:szCs w:val="20"/>
        </w:rPr>
      </w:pPr>
      <w:r w:rsidRPr="00E408AC">
        <w:rPr>
          <w:rFonts w:ascii="Cambria" w:hAnsi="Cambria"/>
          <w:sz w:val="20"/>
          <w:szCs w:val="20"/>
        </w:rPr>
        <w:t>BRAZIL</w:t>
      </w:r>
    </w:p>
    <w:p w:rsidR="0076253B" w:rsidRPr="00E408AC" w:rsidRDefault="00704621" w:rsidP="0076253B">
      <w:pPr>
        <w:pStyle w:val="NoSpacing"/>
        <w:jc w:val="center"/>
        <w:rPr>
          <w:rFonts w:ascii="Cambria" w:hAnsi="Cambria"/>
        </w:rPr>
      </w:pPr>
      <w:r>
        <w:rPr>
          <w:rFonts w:ascii="Cambria" w:hAnsi="Cambria"/>
          <w:sz w:val="20"/>
          <w:szCs w:val="20"/>
        </w:rPr>
        <w:t>October 28</w:t>
      </w:r>
      <w:r w:rsidR="0076253B" w:rsidRPr="00E408AC">
        <w:rPr>
          <w:rFonts w:ascii="Cambria" w:hAnsi="Cambria"/>
          <w:sz w:val="20"/>
          <w:szCs w:val="20"/>
        </w:rPr>
        <w:t>, 2015</w:t>
      </w:r>
    </w:p>
    <w:p w:rsidR="0076253B" w:rsidRPr="00DF32BD" w:rsidRDefault="0076253B" w:rsidP="0076253B">
      <w:pPr>
        <w:rPr>
          <w:rFonts w:ascii="Cambria" w:eastAsia="Times New Roman" w:hAnsi="Cambria"/>
          <w:b/>
          <w:sz w:val="20"/>
          <w:szCs w:val="20"/>
        </w:rPr>
      </w:pPr>
    </w:p>
    <w:p w:rsidR="0076253B" w:rsidRPr="00834384" w:rsidRDefault="0076253B" w:rsidP="00834384">
      <w:pPr>
        <w:pStyle w:val="Heading1"/>
      </w:pPr>
      <w:bookmarkStart w:id="2" w:name="_Toc370840743"/>
      <w:bookmarkStart w:id="3" w:name="_Toc370840839"/>
      <w:bookmarkStart w:id="4" w:name="_Toc423514405"/>
      <w:bookmarkStart w:id="5" w:name="_Toc426040138"/>
      <w:bookmarkStart w:id="6" w:name="_Toc433359792"/>
      <w:r w:rsidRPr="00834384">
        <w:t>SUMMARY</w:t>
      </w:r>
      <w:bookmarkEnd w:id="2"/>
      <w:bookmarkEnd w:id="3"/>
      <w:bookmarkEnd w:id="4"/>
      <w:bookmarkEnd w:id="5"/>
      <w:bookmarkEnd w:id="6"/>
    </w:p>
    <w:p w:rsidR="0076253B" w:rsidRPr="00DF32BD" w:rsidRDefault="0076253B" w:rsidP="003119A2">
      <w:pPr>
        <w:pStyle w:val="NoSpacing"/>
      </w:pPr>
    </w:p>
    <w:p w:rsidR="0076253B" w:rsidRPr="009E4B28" w:rsidRDefault="0076253B" w:rsidP="0076253B">
      <w:pPr>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 xml:space="preserve">On July 10, 2009, the Inter-American Commission on Human Rights (hereinafter “the Commission” or “the IACHR”) received a petition filed against the Federative Republic of Brazil (hereinafter </w:t>
      </w:r>
      <w:r w:rsidRPr="009E4B28">
        <w:rPr>
          <w:rFonts w:ascii="Cambria" w:hAnsi="Cambria"/>
          <w:sz w:val="20"/>
          <w:szCs w:val="20"/>
        </w:rPr>
        <w:t xml:space="preserve">“the State” or “Brazil”) by the Center for Justice and International Law (CEJIL/Brazil), the Inter-American Foundation for the Defense of Human Rights (FIDDH), the “Santos </w:t>
      </w:r>
      <w:proofErr w:type="spellStart"/>
      <w:r w:rsidRPr="009E4B28">
        <w:rPr>
          <w:rFonts w:ascii="Cambria" w:hAnsi="Cambria"/>
          <w:sz w:val="20"/>
          <w:szCs w:val="20"/>
        </w:rPr>
        <w:t>Días</w:t>
      </w:r>
      <w:proofErr w:type="spellEnd"/>
      <w:r w:rsidRPr="009E4B28">
        <w:rPr>
          <w:rFonts w:ascii="Cambria" w:hAnsi="Cambria"/>
          <w:sz w:val="20"/>
          <w:szCs w:val="20"/>
        </w:rPr>
        <w:t xml:space="preserve">” Center of the Archdiocese of  </w:t>
      </w:r>
      <w:r w:rsidRPr="009E4B28">
        <w:rPr>
          <w:rStyle w:val="Emphasis"/>
          <w:rFonts w:ascii="Cambria" w:hAnsi="Cambria" w:cs="Arial"/>
          <w:i w:val="0"/>
          <w:sz w:val="20"/>
          <w:szCs w:val="20"/>
        </w:rPr>
        <w:t>São Paulo</w:t>
      </w:r>
      <w:r w:rsidRPr="009E4B28">
        <w:rPr>
          <w:rFonts w:ascii="Cambria" w:hAnsi="Cambria"/>
          <w:sz w:val="20"/>
          <w:szCs w:val="20"/>
        </w:rPr>
        <w:t xml:space="preserve"> and the “No More Torture” Group of  </w:t>
      </w:r>
      <w:r w:rsidRPr="009E4B28">
        <w:rPr>
          <w:rStyle w:val="Emphasis"/>
          <w:rFonts w:ascii="Cambria" w:hAnsi="Cambria" w:cs="Arial"/>
          <w:i w:val="0"/>
          <w:sz w:val="20"/>
          <w:szCs w:val="20"/>
        </w:rPr>
        <w:t>São Paulo</w:t>
      </w:r>
      <w:r w:rsidRPr="009E4B28">
        <w:rPr>
          <w:rStyle w:val="st1"/>
          <w:rFonts w:ascii="Cambria" w:hAnsi="Cambria" w:cs="Arial"/>
          <w:b/>
          <w:sz w:val="20"/>
          <w:szCs w:val="20"/>
        </w:rPr>
        <w:t xml:space="preserve"> </w:t>
      </w:r>
      <w:r w:rsidRPr="009E4B28">
        <w:rPr>
          <w:rFonts w:ascii="Cambria" w:hAnsi="Cambria"/>
          <w:sz w:val="20"/>
          <w:szCs w:val="20"/>
        </w:rPr>
        <w:t>(hereinafter “the petitioners”) in which they allege</w:t>
      </w:r>
      <w:r w:rsidR="00F27C72" w:rsidRPr="009E4B28">
        <w:rPr>
          <w:rFonts w:ascii="Cambria" w:hAnsi="Cambria"/>
          <w:sz w:val="20"/>
          <w:szCs w:val="20"/>
        </w:rPr>
        <w:t>d</w:t>
      </w:r>
      <w:r w:rsidRPr="009E4B28">
        <w:rPr>
          <w:rFonts w:ascii="Cambria" w:hAnsi="Cambria"/>
          <w:sz w:val="20"/>
          <w:szCs w:val="20"/>
        </w:rPr>
        <w:t xml:space="preserve"> the State’s international responsibility for violating the human rights of journalist Vladimir Herzog </w:t>
      </w:r>
      <w:r w:rsidR="003119A2" w:rsidRPr="009E4B28">
        <w:rPr>
          <w:rFonts w:ascii="Cambria" w:hAnsi="Cambria"/>
          <w:sz w:val="20"/>
          <w:szCs w:val="20"/>
        </w:rPr>
        <w:t>(hereinafter “the journalist</w:t>
      </w:r>
      <w:r w:rsidRPr="009E4B28">
        <w:rPr>
          <w:rFonts w:ascii="Cambria" w:hAnsi="Cambria"/>
          <w:sz w:val="20"/>
          <w:szCs w:val="20"/>
        </w:rPr>
        <w:t>”</w:t>
      </w:r>
      <w:r w:rsidR="003119A2" w:rsidRPr="009E4B28">
        <w:rPr>
          <w:rFonts w:ascii="Cambria" w:hAnsi="Cambria"/>
          <w:sz w:val="20"/>
          <w:szCs w:val="20"/>
        </w:rPr>
        <w:t xml:space="preserve"> or “Herzog”</w:t>
      </w:r>
      <w:r w:rsidRPr="009E4B28">
        <w:rPr>
          <w:rFonts w:ascii="Cambria" w:hAnsi="Cambria"/>
          <w:sz w:val="20"/>
          <w:szCs w:val="20"/>
        </w:rPr>
        <w:t xml:space="preserve">) and </w:t>
      </w:r>
      <w:r w:rsidR="00F25483" w:rsidRPr="009E4B28">
        <w:rPr>
          <w:rFonts w:ascii="Cambria" w:hAnsi="Cambria"/>
          <w:sz w:val="20"/>
          <w:szCs w:val="20"/>
        </w:rPr>
        <w:t>his next of kin</w:t>
      </w:r>
      <w:r w:rsidRPr="009E4B28">
        <w:rPr>
          <w:rFonts w:ascii="Cambria" w:hAnsi="Cambria"/>
          <w:sz w:val="20"/>
          <w:szCs w:val="20"/>
        </w:rPr>
        <w:t xml:space="preserve">. </w:t>
      </w:r>
    </w:p>
    <w:p w:rsidR="0076253B" w:rsidRPr="009E4B28" w:rsidRDefault="0076253B" w:rsidP="003119A2">
      <w:pPr>
        <w:pStyle w:val="NoSpacing"/>
        <w:rPr>
          <w:rFonts w:ascii="Cambria" w:hAnsi="Cambria"/>
        </w:rPr>
      </w:pPr>
    </w:p>
    <w:p w:rsidR="0076253B" w:rsidRPr="009E4B28" w:rsidRDefault="0076253B" w:rsidP="0076253B">
      <w:pPr>
        <w:numPr>
          <w:ilvl w:val="0"/>
          <w:numId w:val="6"/>
        </w:numPr>
        <w:spacing w:after="0" w:line="240" w:lineRule="auto"/>
        <w:ind w:left="0" w:firstLine="720"/>
        <w:jc w:val="both"/>
        <w:rPr>
          <w:rFonts w:ascii="Cambria" w:hAnsi="Cambria"/>
          <w:sz w:val="20"/>
          <w:szCs w:val="20"/>
        </w:rPr>
      </w:pPr>
      <w:r w:rsidRPr="009E4B28">
        <w:rPr>
          <w:rFonts w:ascii="Cambria" w:hAnsi="Cambria"/>
          <w:sz w:val="20"/>
          <w:szCs w:val="20"/>
        </w:rPr>
        <w:t>The petitioners alleged that the State was internationally responsible for the arbitrary detention, torture and death of journalist Vladimi</w:t>
      </w:r>
      <w:r w:rsidR="003119A2" w:rsidRPr="009E4B28">
        <w:rPr>
          <w:rFonts w:ascii="Cambria" w:hAnsi="Cambria"/>
          <w:sz w:val="20"/>
          <w:szCs w:val="20"/>
        </w:rPr>
        <w:t xml:space="preserve">r Herzog </w:t>
      </w:r>
      <w:r w:rsidRPr="009E4B28">
        <w:rPr>
          <w:rFonts w:ascii="Cambria" w:hAnsi="Cambria"/>
          <w:sz w:val="20"/>
          <w:szCs w:val="20"/>
        </w:rPr>
        <w:t xml:space="preserve">at an army facility on October 25, 1975, and for the ongoing impunity for these acts because of an amnesty law enacted during the Brazilian military dictatorship.  They maintained that these constituted violations of articles I, IV, VII, XVIII, XXI, XXII and XXV of the American Declaration of the Rights and Duties of Man (hereinafter “the American Declaration”); articles 1, 2, 5, 8, 13 and 25 of the American Convention on Human Rights (hereinafter “the American Convention”), and articles 1, 6 and 8 of the Inter-American Convention to Prevent and Punish Torture (hereinafter also “the CIPST”).   </w:t>
      </w:r>
    </w:p>
    <w:p w:rsidR="0076253B" w:rsidRPr="009E4B28" w:rsidRDefault="0076253B" w:rsidP="0076253B">
      <w:pPr>
        <w:pStyle w:val="ListParagraph"/>
        <w:rPr>
          <w:sz w:val="20"/>
          <w:szCs w:val="20"/>
        </w:rPr>
      </w:pPr>
    </w:p>
    <w:p w:rsidR="0076253B" w:rsidRPr="009E4B28" w:rsidRDefault="0076253B" w:rsidP="0076253B">
      <w:pPr>
        <w:numPr>
          <w:ilvl w:val="0"/>
          <w:numId w:val="6"/>
        </w:numPr>
        <w:spacing w:after="0" w:line="240" w:lineRule="auto"/>
        <w:ind w:left="0" w:firstLine="720"/>
        <w:jc w:val="both"/>
        <w:rPr>
          <w:rFonts w:ascii="Cambria" w:hAnsi="Cambria"/>
          <w:sz w:val="20"/>
          <w:szCs w:val="20"/>
        </w:rPr>
      </w:pPr>
      <w:r w:rsidRPr="009E4B28">
        <w:rPr>
          <w:rFonts w:ascii="Cambria" w:hAnsi="Cambria"/>
          <w:sz w:val="20"/>
          <w:szCs w:val="20"/>
        </w:rPr>
        <w:t>The State</w:t>
      </w:r>
      <w:r w:rsidR="007A173A" w:rsidRPr="009E4B28">
        <w:rPr>
          <w:rFonts w:ascii="Cambria" w:hAnsi="Cambria"/>
          <w:sz w:val="20"/>
          <w:szCs w:val="20"/>
        </w:rPr>
        <w:t xml:space="preserve"> </w:t>
      </w:r>
      <w:r w:rsidRPr="009E4B28">
        <w:rPr>
          <w:rFonts w:ascii="Cambria" w:hAnsi="Cambria"/>
          <w:sz w:val="20"/>
          <w:szCs w:val="20"/>
        </w:rPr>
        <w:t>pointed out that it had taken a series of measures by which it had acknowledged, at the domestic level, its responsibility for the arbitrary detention, torture and death of journalist Vladimir Herzog by agents of the State. The State asked that when it evaluated the merits of the instant case, the Commission consider</w:t>
      </w:r>
      <w:r w:rsidR="00F25483" w:rsidRPr="009E4B28">
        <w:rPr>
          <w:rFonts w:ascii="Cambria" w:hAnsi="Cambria"/>
          <w:sz w:val="20"/>
          <w:szCs w:val="20"/>
        </w:rPr>
        <w:t xml:space="preserve"> </w:t>
      </w:r>
      <w:r w:rsidRPr="009E4B28">
        <w:rPr>
          <w:rFonts w:ascii="Cambria" w:hAnsi="Cambria"/>
          <w:sz w:val="20"/>
          <w:szCs w:val="20"/>
        </w:rPr>
        <w:t xml:space="preserve">the measures the State had taken thus far. </w:t>
      </w:r>
    </w:p>
    <w:p w:rsidR="0076253B" w:rsidRPr="009E4B28" w:rsidRDefault="0076253B" w:rsidP="003119A2">
      <w:pPr>
        <w:pStyle w:val="NoSpacing"/>
        <w:rPr>
          <w:rFonts w:ascii="Cambria" w:hAnsi="Cambria"/>
        </w:rPr>
      </w:pPr>
    </w:p>
    <w:p w:rsidR="00423EB3" w:rsidRPr="00BB2794" w:rsidRDefault="0076253B" w:rsidP="00423EB3">
      <w:pPr>
        <w:numPr>
          <w:ilvl w:val="0"/>
          <w:numId w:val="6"/>
        </w:numPr>
        <w:spacing w:after="0" w:line="240" w:lineRule="auto"/>
        <w:ind w:left="0" w:firstLine="720"/>
        <w:jc w:val="both"/>
        <w:rPr>
          <w:rFonts w:ascii="Cambria" w:hAnsi="Cambria"/>
          <w:sz w:val="20"/>
          <w:szCs w:val="20"/>
        </w:rPr>
      </w:pPr>
      <w:r w:rsidRPr="009E4B28">
        <w:rPr>
          <w:rFonts w:ascii="Cambria" w:hAnsi="Cambria"/>
          <w:sz w:val="20"/>
          <w:szCs w:val="20"/>
        </w:rPr>
        <w:t>On November</w:t>
      </w:r>
      <w:r w:rsidRPr="00BB2794">
        <w:rPr>
          <w:rFonts w:ascii="Cambria" w:hAnsi="Cambria"/>
          <w:sz w:val="20"/>
          <w:szCs w:val="20"/>
        </w:rPr>
        <w:t xml:space="preserve"> 8, 2012, the IACHR approved Report No. 80/12 in which it declared the petition admissible with respect to the alleged violation of the rights protected in articles I (right to life, liberty and personal security), IV (right to freedom of investigation, opinion, expression and dissemination), XVIII (right to a fair trial), and XXV (right of protection from arbitrary arrest) of the American Declaration of the Rights and Duties of Man; the rights protected in articles 5.1 (right to have one’s personal integrity respected)</w:t>
      </w:r>
      <w:r w:rsidR="00F25483" w:rsidRPr="00BB2794">
        <w:rPr>
          <w:rFonts w:ascii="Cambria" w:hAnsi="Cambria"/>
          <w:sz w:val="20"/>
          <w:szCs w:val="20"/>
        </w:rPr>
        <w:t>, 8.1 (judicial guarantees)</w:t>
      </w:r>
      <w:r w:rsidRPr="00BB2794">
        <w:rPr>
          <w:rFonts w:ascii="Cambria" w:hAnsi="Cambria"/>
          <w:sz w:val="20"/>
          <w:szCs w:val="20"/>
        </w:rPr>
        <w:t xml:space="preserve"> and 25 (right to judicial protection) of the American Convention, in conjunction with the general obligations established in articles 1.1 and 2 thereof; and articles 1, 6 and 8 of the Inter-American Convention to Prevent and Punish Torture. </w:t>
      </w:r>
    </w:p>
    <w:p w:rsidR="00423EB3" w:rsidRPr="00BB2794" w:rsidRDefault="00423EB3" w:rsidP="00423EB3">
      <w:pPr>
        <w:pStyle w:val="ListParagraph"/>
        <w:rPr>
          <w:sz w:val="20"/>
          <w:szCs w:val="20"/>
        </w:rPr>
      </w:pPr>
    </w:p>
    <w:p w:rsidR="00834384" w:rsidRDefault="0076253B" w:rsidP="00834384">
      <w:pPr>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After examining the merits of the case, the Commission concluded that the State is responsible for violation of the rights protected in articles I, IV,</w:t>
      </w:r>
      <w:r w:rsidR="00F27C72" w:rsidRPr="00BB2794">
        <w:rPr>
          <w:rFonts w:ascii="Cambria" w:hAnsi="Cambria"/>
          <w:sz w:val="20"/>
          <w:szCs w:val="20"/>
        </w:rPr>
        <w:t xml:space="preserve"> VII, XVIII, XXII and </w:t>
      </w:r>
      <w:r w:rsidRPr="00BB2794">
        <w:rPr>
          <w:rFonts w:ascii="Cambria" w:hAnsi="Cambria"/>
          <w:sz w:val="20"/>
          <w:szCs w:val="20"/>
        </w:rPr>
        <w:t xml:space="preserve">XXV of the American </w:t>
      </w:r>
      <w:r w:rsidR="00551385" w:rsidRPr="00BB2794">
        <w:rPr>
          <w:rFonts w:ascii="Cambria" w:hAnsi="Cambria"/>
          <w:sz w:val="20"/>
          <w:szCs w:val="20"/>
        </w:rPr>
        <w:t>Declaration</w:t>
      </w:r>
      <w:r w:rsidRPr="00BB2794">
        <w:rPr>
          <w:rFonts w:ascii="Cambria" w:hAnsi="Cambria"/>
          <w:sz w:val="20"/>
          <w:szCs w:val="20"/>
        </w:rPr>
        <w:t xml:space="preserve"> and of the rights protected in articles 5</w:t>
      </w:r>
      <w:r w:rsidR="00F27C72" w:rsidRPr="00BB2794">
        <w:rPr>
          <w:rFonts w:ascii="Cambria" w:hAnsi="Cambria"/>
          <w:sz w:val="20"/>
          <w:szCs w:val="20"/>
        </w:rPr>
        <w:t xml:space="preserve">.1, 8.1 </w:t>
      </w:r>
      <w:r w:rsidRPr="00BB2794">
        <w:rPr>
          <w:rFonts w:ascii="Cambria" w:hAnsi="Cambria"/>
          <w:sz w:val="20"/>
          <w:szCs w:val="20"/>
        </w:rPr>
        <w:t>and 25</w:t>
      </w:r>
      <w:r w:rsidR="00F27C72" w:rsidRPr="00BB2794">
        <w:rPr>
          <w:rFonts w:ascii="Cambria" w:hAnsi="Cambria"/>
          <w:sz w:val="20"/>
          <w:szCs w:val="20"/>
        </w:rPr>
        <w:t>.1</w:t>
      </w:r>
      <w:r w:rsidRPr="00BB2794">
        <w:rPr>
          <w:rFonts w:ascii="Cambria" w:hAnsi="Cambria"/>
          <w:sz w:val="20"/>
          <w:szCs w:val="20"/>
        </w:rPr>
        <w:t xml:space="preserve"> of the American Convention, in conjunction with articles 1.1 and 2 thereof. It further concluded that the State is responsible for violation of articles 1, 6 and 8 of the Inter-American Convention to </w:t>
      </w:r>
      <w:proofErr w:type="gramStart"/>
      <w:r w:rsidRPr="00BB2794">
        <w:rPr>
          <w:rFonts w:ascii="Cambria" w:hAnsi="Cambria"/>
          <w:sz w:val="20"/>
          <w:szCs w:val="20"/>
        </w:rPr>
        <w:t>Prevent</w:t>
      </w:r>
      <w:proofErr w:type="gramEnd"/>
      <w:r w:rsidRPr="00BB2794">
        <w:rPr>
          <w:rFonts w:ascii="Cambria" w:hAnsi="Cambria"/>
          <w:sz w:val="20"/>
          <w:szCs w:val="20"/>
        </w:rPr>
        <w:t xml:space="preserve"> and Punish Torture. </w:t>
      </w:r>
    </w:p>
    <w:p w:rsidR="009E4B28" w:rsidRDefault="009E4B28" w:rsidP="009E4B28">
      <w:pPr>
        <w:pStyle w:val="ListParagraph"/>
        <w:rPr>
          <w:sz w:val="20"/>
          <w:szCs w:val="20"/>
        </w:rPr>
      </w:pPr>
    </w:p>
    <w:p w:rsidR="009E4B28" w:rsidRPr="009E4B28" w:rsidRDefault="009E4B28" w:rsidP="009E4B28">
      <w:pPr>
        <w:spacing w:after="0" w:line="240" w:lineRule="auto"/>
        <w:ind w:left="720"/>
        <w:jc w:val="both"/>
        <w:rPr>
          <w:rFonts w:ascii="Cambria" w:hAnsi="Cambria"/>
          <w:sz w:val="20"/>
          <w:szCs w:val="20"/>
        </w:rPr>
      </w:pPr>
    </w:p>
    <w:p w:rsidR="0076253B" w:rsidRPr="00AD6D84" w:rsidRDefault="0076253B" w:rsidP="00834384">
      <w:pPr>
        <w:pStyle w:val="Heading1"/>
        <w:rPr>
          <w:lang w:val="en-US"/>
        </w:rPr>
      </w:pPr>
      <w:bookmarkStart w:id="7" w:name="_Toc433359793"/>
      <w:r w:rsidRPr="00AD6D84">
        <w:rPr>
          <w:lang w:val="en-US"/>
        </w:rPr>
        <w:t>PROCEEDINGS SUBSEQUENT TO THE ADMISSIBILITY REPORT</w:t>
      </w:r>
      <w:bookmarkEnd w:id="7"/>
      <w:r w:rsidRPr="00AD6D84">
        <w:rPr>
          <w:lang w:val="en-US"/>
        </w:rPr>
        <w:t xml:space="preserve"> </w:t>
      </w:r>
    </w:p>
    <w:p w:rsidR="0076253B" w:rsidRPr="00BB2794" w:rsidRDefault="0076253B" w:rsidP="003119A2">
      <w:pPr>
        <w:pStyle w:val="NoSpacing"/>
        <w:rPr>
          <w:rFonts w:ascii="Cambria" w:hAnsi="Cambria"/>
        </w:rPr>
      </w:pPr>
    </w:p>
    <w:p w:rsidR="0076253B" w:rsidRPr="009E4B28" w:rsidRDefault="0076253B" w:rsidP="0076253B">
      <w:pPr>
        <w:keepNext/>
        <w:widowControl w:val="0"/>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 xml:space="preserve">The Commission notified the parties of the Admissibility Report on November 30, 2012; it gave the petitioners three months in which to submit any additional observations they might have on the merits of the petition, and placed itself at the disposal of the parties to facilitate a friendly settlement process.  </w:t>
      </w:r>
      <w:r w:rsidRPr="00BB2794">
        <w:rPr>
          <w:rFonts w:ascii="Cambria" w:hAnsi="Cambria"/>
          <w:sz w:val="20"/>
          <w:szCs w:val="20"/>
        </w:rPr>
        <w:lastRenderedPageBreak/>
        <w:t xml:space="preserve">On February 28, 2013, the petitioners requested a three-month extension of the time period given for submitting their additional observations on </w:t>
      </w:r>
      <w:r w:rsidRPr="009E4B28">
        <w:rPr>
          <w:rFonts w:ascii="Cambria" w:hAnsi="Cambria"/>
          <w:sz w:val="20"/>
          <w:szCs w:val="20"/>
        </w:rPr>
        <w:t xml:space="preserve">the merits of the petition. In accordance with Article 37.2 of its Rules of Procedure, the Commission granted the petitioners an extension, set to expire on March 29, 2013.  On March 27, 2013 and again on December 2, 2013, the petitioners requested </w:t>
      </w:r>
      <w:r w:rsidR="00423EB3" w:rsidRPr="009E4B28">
        <w:rPr>
          <w:rFonts w:ascii="Cambria" w:hAnsi="Cambria"/>
          <w:sz w:val="20"/>
          <w:szCs w:val="20"/>
        </w:rPr>
        <w:t xml:space="preserve">other </w:t>
      </w:r>
      <w:r w:rsidRPr="009E4B28">
        <w:rPr>
          <w:rFonts w:ascii="Cambria" w:hAnsi="Cambria"/>
          <w:sz w:val="20"/>
          <w:szCs w:val="20"/>
        </w:rPr>
        <w:t xml:space="preserve">extensions of two and three months, respectively, for submitting their additional observations on the merits of their petition, a request not granted pursuant to Article 37.2 of the IACHR’s Rules of Procedure. </w:t>
      </w:r>
    </w:p>
    <w:p w:rsidR="0076253B" w:rsidRPr="009E4B28" w:rsidRDefault="0076253B" w:rsidP="003119A2">
      <w:pPr>
        <w:pStyle w:val="NoSpacing"/>
        <w:rPr>
          <w:rFonts w:ascii="Cambria" w:hAnsi="Cambria"/>
        </w:rPr>
      </w:pPr>
    </w:p>
    <w:p w:rsidR="0076253B" w:rsidRPr="00BB2794" w:rsidRDefault="0076253B" w:rsidP="0076253B">
      <w:pPr>
        <w:numPr>
          <w:ilvl w:val="0"/>
          <w:numId w:val="6"/>
        </w:numPr>
        <w:spacing w:after="0" w:line="240" w:lineRule="auto"/>
        <w:ind w:left="0" w:firstLine="720"/>
        <w:jc w:val="both"/>
        <w:rPr>
          <w:rFonts w:ascii="Cambria" w:hAnsi="Cambria"/>
          <w:sz w:val="20"/>
          <w:szCs w:val="20"/>
        </w:rPr>
      </w:pPr>
      <w:r w:rsidRPr="009E4B28">
        <w:rPr>
          <w:rFonts w:ascii="Cambria" w:hAnsi="Cambria"/>
          <w:sz w:val="20"/>
          <w:szCs w:val="20"/>
        </w:rPr>
        <w:t>The petitioners submitted their additional observations on the merits of the petition on November 21, 2014.  Then, on December 11, 2014, the petitioners filed the annexes to the</w:t>
      </w:r>
      <w:r w:rsidRPr="00BB2794">
        <w:rPr>
          <w:rFonts w:ascii="Cambria" w:hAnsi="Cambria"/>
          <w:sz w:val="20"/>
          <w:szCs w:val="20"/>
        </w:rPr>
        <w:t xml:space="preserve"> present case.  The Commission forwarded the pertinent parts of that brief to the State on January 13, 2015, and requested that it submit its observations within one month.  On January 21, 2015, the State requested an extension of the time period provided in Article 37.1 of the Commission’s Rules of Procedure.  The Commission acceded to the State’s request, extending the time period for submitting its observations until May 13, 2015.  On May 11, 2015, the State sought a two-month extension, invoking Article 37.2 of the Commission’s Rules of Procedure.  The Commission granted an extension, which was to expire on July 13, 2015.  On July 13, 2015, the State requested an extension, which was denied </w:t>
      </w:r>
      <w:r w:rsidR="009D6958" w:rsidRPr="00BB2794">
        <w:rPr>
          <w:rFonts w:ascii="Cambria" w:hAnsi="Cambria"/>
          <w:sz w:val="20"/>
          <w:szCs w:val="20"/>
        </w:rPr>
        <w:t>under</w:t>
      </w:r>
      <w:r w:rsidRPr="00BB2794">
        <w:rPr>
          <w:rFonts w:ascii="Cambria" w:hAnsi="Cambria"/>
          <w:sz w:val="20"/>
          <w:szCs w:val="20"/>
        </w:rPr>
        <w:t xml:space="preserve"> Article 37.2 of the Commission’s Rules of Procedure.</w:t>
      </w:r>
    </w:p>
    <w:p w:rsidR="0076253B" w:rsidRPr="00BB2794" w:rsidRDefault="0076253B" w:rsidP="003119A2">
      <w:pPr>
        <w:pStyle w:val="NoSpacing"/>
        <w:rPr>
          <w:rFonts w:ascii="Cambria" w:hAnsi="Cambria"/>
        </w:rPr>
      </w:pPr>
    </w:p>
    <w:p w:rsidR="0076253B" w:rsidRPr="00D44505" w:rsidRDefault="0076253B" w:rsidP="007F35B9">
      <w:pPr>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 xml:space="preserve">The State presented its observations on the merits of the petition on August 13, 2015.  It also expressed its interest in entering into a friendly settlement process.  That report was forwarded to the petitioners on August 20, 2015, who were asked to indicate, within one month, whether they would be </w:t>
      </w:r>
      <w:r w:rsidRPr="00D44505">
        <w:rPr>
          <w:rFonts w:ascii="Cambria" w:hAnsi="Cambria"/>
          <w:sz w:val="20"/>
          <w:szCs w:val="20"/>
        </w:rPr>
        <w:t xml:space="preserve">interested in initiating </w:t>
      </w:r>
      <w:r w:rsidR="00423EB3" w:rsidRPr="00D44505">
        <w:rPr>
          <w:rFonts w:ascii="Cambria" w:hAnsi="Cambria"/>
          <w:sz w:val="20"/>
          <w:szCs w:val="20"/>
        </w:rPr>
        <w:t xml:space="preserve">a friendly settlement process. </w:t>
      </w:r>
      <w:r w:rsidRPr="00D44505">
        <w:rPr>
          <w:rFonts w:ascii="Cambria" w:hAnsi="Cambria"/>
          <w:sz w:val="20"/>
          <w:szCs w:val="20"/>
        </w:rPr>
        <w:t xml:space="preserve">On September 25, 2015, the petitioners submitted a communication in which they informed the Commission that they were not interested in embarking upon </w:t>
      </w:r>
      <w:r w:rsidR="00B15BF5" w:rsidRPr="00D44505">
        <w:rPr>
          <w:rFonts w:ascii="Cambria" w:hAnsi="Cambria"/>
          <w:sz w:val="20"/>
          <w:szCs w:val="20"/>
        </w:rPr>
        <w:t>said</w:t>
      </w:r>
      <w:r w:rsidRPr="00D44505">
        <w:rPr>
          <w:rFonts w:ascii="Cambria" w:hAnsi="Cambria"/>
          <w:sz w:val="20"/>
          <w:szCs w:val="20"/>
        </w:rPr>
        <w:t xml:space="preserve"> process with the State. </w:t>
      </w:r>
      <w:r w:rsidR="00D44505" w:rsidRPr="00D44505">
        <w:rPr>
          <w:rFonts w:ascii="Cambria" w:hAnsi="Cambria"/>
          <w:sz w:val="20"/>
          <w:szCs w:val="20"/>
        </w:rPr>
        <w:t xml:space="preserve">On October 16, 2015 said communication was forwarded to the State. </w:t>
      </w:r>
    </w:p>
    <w:p w:rsidR="007F35B9" w:rsidRPr="00BB2794" w:rsidRDefault="007F35B9" w:rsidP="00F27C72">
      <w:pPr>
        <w:spacing w:after="0" w:line="240" w:lineRule="auto"/>
        <w:jc w:val="both"/>
        <w:rPr>
          <w:rFonts w:ascii="Cambria" w:hAnsi="Cambria"/>
          <w:sz w:val="20"/>
          <w:szCs w:val="20"/>
        </w:rPr>
      </w:pPr>
    </w:p>
    <w:p w:rsidR="0076253B" w:rsidRPr="00BB2794" w:rsidRDefault="0076253B" w:rsidP="00834384">
      <w:pPr>
        <w:pStyle w:val="Heading1"/>
      </w:pPr>
      <w:bookmarkStart w:id="8" w:name="_Toc433359794"/>
      <w:r w:rsidRPr="00BB2794">
        <w:t>POSITION OF THE PARTIES</w:t>
      </w:r>
      <w:bookmarkEnd w:id="8"/>
    </w:p>
    <w:p w:rsidR="0076253B" w:rsidRPr="00BB2794" w:rsidRDefault="0076253B" w:rsidP="003119A2">
      <w:pPr>
        <w:pStyle w:val="NoSpacing"/>
        <w:rPr>
          <w:rFonts w:ascii="Cambria" w:hAnsi="Cambria"/>
        </w:rPr>
      </w:pPr>
    </w:p>
    <w:p w:rsidR="0076253B" w:rsidRPr="006B64E9" w:rsidRDefault="0076253B" w:rsidP="006B64E9">
      <w:pPr>
        <w:pStyle w:val="Heading2"/>
      </w:pPr>
      <w:bookmarkStart w:id="9" w:name="_Toc433359795"/>
      <w:r w:rsidRPr="006B64E9">
        <w:t>Petitioners</w:t>
      </w:r>
      <w:bookmarkEnd w:id="9"/>
    </w:p>
    <w:p w:rsidR="0076253B" w:rsidRPr="00BB2794" w:rsidRDefault="0076253B" w:rsidP="003119A2">
      <w:pPr>
        <w:pStyle w:val="NoSpacing"/>
        <w:rPr>
          <w:rFonts w:ascii="Cambria" w:hAnsi="Cambria"/>
        </w:rPr>
      </w:pPr>
    </w:p>
    <w:p w:rsidR="0076253B" w:rsidRPr="00BB2794" w:rsidRDefault="0076253B" w:rsidP="00F27C72">
      <w:pPr>
        <w:numPr>
          <w:ilvl w:val="0"/>
          <w:numId w:val="6"/>
        </w:numPr>
        <w:spacing w:after="0" w:line="240" w:lineRule="auto"/>
        <w:ind w:left="0" w:firstLine="720"/>
        <w:jc w:val="both"/>
        <w:rPr>
          <w:rStyle w:val="Emphasis"/>
          <w:rFonts w:ascii="Cambria" w:hAnsi="Cambria"/>
          <w:bCs/>
          <w:i w:val="0"/>
          <w:sz w:val="20"/>
          <w:szCs w:val="20"/>
        </w:rPr>
      </w:pPr>
      <w:r w:rsidRPr="00BB2794">
        <w:rPr>
          <w:rStyle w:val="Emphasis"/>
          <w:rFonts w:ascii="Cambria" w:hAnsi="Cambria" w:cs="Arial"/>
          <w:i w:val="0"/>
          <w:sz w:val="20"/>
          <w:szCs w:val="20"/>
        </w:rPr>
        <w:t xml:space="preserve">According to the petitioners, the events in this case occurred within the context of the Brazilian dictatorship that began with the </w:t>
      </w:r>
      <w:r w:rsidRPr="00BB2794">
        <w:rPr>
          <w:rStyle w:val="Emphasis"/>
          <w:rFonts w:ascii="Cambria" w:hAnsi="Cambria" w:cs="Arial"/>
          <w:sz w:val="20"/>
          <w:szCs w:val="20"/>
        </w:rPr>
        <w:t xml:space="preserve">coup d’état </w:t>
      </w:r>
      <w:r w:rsidRPr="00BB2794">
        <w:rPr>
          <w:rStyle w:val="Emphasis"/>
          <w:rFonts w:ascii="Cambria" w:hAnsi="Cambria" w:cs="Arial"/>
          <w:i w:val="0"/>
          <w:sz w:val="20"/>
          <w:szCs w:val="20"/>
        </w:rPr>
        <w:t xml:space="preserve">staged on March 31, 1964, and lasted until 1985.  They alleged in this regard that throughout this period, the State’s security forces engaged in the systematic and widespread practice of grave human rights violations committed against union leaders, political dissidents, journalists, students and others.  The practice included arbitrary detentions, torture and extrajudicial executions.  They also pointed out that the Brazilian media were subjected to censorship, as a way to ensure that they would not report news that might in any way tarnish the image of prosperity that the </w:t>
      </w:r>
      <w:r w:rsidRPr="00BB2794">
        <w:rPr>
          <w:rStyle w:val="Emphasis"/>
          <w:rFonts w:ascii="Cambria" w:hAnsi="Cambria" w:cs="Arial"/>
          <w:sz w:val="20"/>
          <w:szCs w:val="20"/>
        </w:rPr>
        <w:t xml:space="preserve">de facto </w:t>
      </w:r>
      <w:r w:rsidRPr="00BB2794">
        <w:rPr>
          <w:rStyle w:val="Emphasis"/>
          <w:rFonts w:ascii="Cambria" w:hAnsi="Cambria" w:cs="Arial"/>
          <w:i w:val="0"/>
          <w:sz w:val="20"/>
          <w:szCs w:val="20"/>
        </w:rPr>
        <w:t xml:space="preserve">regime wanted to propagate. </w:t>
      </w:r>
    </w:p>
    <w:p w:rsidR="00F27C72" w:rsidRPr="00BB2794" w:rsidRDefault="00F27C72" w:rsidP="00F27C72">
      <w:pPr>
        <w:spacing w:after="0" w:line="240" w:lineRule="auto"/>
        <w:ind w:left="720"/>
        <w:jc w:val="both"/>
        <w:rPr>
          <w:rStyle w:val="Emphasis"/>
          <w:rFonts w:ascii="Cambria" w:hAnsi="Cambria"/>
          <w:bCs/>
          <w:i w:val="0"/>
          <w:sz w:val="20"/>
          <w:szCs w:val="20"/>
        </w:rPr>
      </w:pPr>
    </w:p>
    <w:p w:rsidR="0076253B" w:rsidRPr="00BB2794" w:rsidRDefault="0076253B" w:rsidP="0076253B">
      <w:pPr>
        <w:numPr>
          <w:ilvl w:val="0"/>
          <w:numId w:val="6"/>
        </w:numPr>
        <w:spacing w:after="0" w:line="240" w:lineRule="auto"/>
        <w:ind w:left="0" w:firstLine="720"/>
        <w:jc w:val="both"/>
        <w:rPr>
          <w:rFonts w:ascii="Cambria" w:hAnsi="Cambria"/>
          <w:sz w:val="20"/>
          <w:szCs w:val="20"/>
        </w:rPr>
      </w:pPr>
      <w:r w:rsidRPr="009E4B28">
        <w:rPr>
          <w:rFonts w:ascii="Cambria" w:hAnsi="Cambria" w:cs="Arial"/>
          <w:sz w:val="20"/>
          <w:szCs w:val="20"/>
        </w:rPr>
        <w:t xml:space="preserve">Against this backdrop, Vladimir Herzog, a 38-year-old journalist and </w:t>
      </w:r>
      <w:r w:rsidR="00B15BF5" w:rsidRPr="009E4B28">
        <w:rPr>
          <w:rFonts w:ascii="Cambria" w:hAnsi="Cambria" w:cs="Arial"/>
          <w:sz w:val="20"/>
          <w:szCs w:val="20"/>
        </w:rPr>
        <w:t>director</w:t>
      </w:r>
      <w:r w:rsidRPr="009E4B28">
        <w:rPr>
          <w:rFonts w:ascii="Cambria" w:hAnsi="Cambria" w:cs="Arial"/>
          <w:sz w:val="20"/>
          <w:szCs w:val="20"/>
        </w:rPr>
        <w:t xml:space="preserve"> of</w:t>
      </w:r>
      <w:r w:rsidR="00B15BF5" w:rsidRPr="009E4B28">
        <w:rPr>
          <w:rFonts w:ascii="Cambria" w:hAnsi="Cambria" w:cs="Arial"/>
          <w:sz w:val="20"/>
          <w:szCs w:val="20"/>
        </w:rPr>
        <w:t xml:space="preserve"> journalism </w:t>
      </w:r>
      <w:r w:rsidRPr="009E4B28">
        <w:rPr>
          <w:rFonts w:ascii="Cambria" w:hAnsi="Cambria" w:cs="Arial"/>
          <w:sz w:val="20"/>
          <w:szCs w:val="20"/>
        </w:rPr>
        <w:t xml:space="preserve"> </w:t>
      </w:r>
      <w:r w:rsidR="00B15BF5" w:rsidRPr="009E4B28">
        <w:rPr>
          <w:rFonts w:ascii="Cambria" w:hAnsi="Cambria" w:cs="Arial"/>
          <w:sz w:val="20"/>
          <w:szCs w:val="20"/>
        </w:rPr>
        <w:t xml:space="preserve">of the public </w:t>
      </w:r>
      <w:r w:rsidRPr="009E4B28">
        <w:rPr>
          <w:rFonts w:ascii="Cambria" w:hAnsi="Cambria" w:cs="Arial"/>
          <w:sz w:val="20"/>
          <w:szCs w:val="20"/>
        </w:rPr>
        <w:t>television channel “</w:t>
      </w:r>
      <w:r w:rsidRPr="009E4B28">
        <w:rPr>
          <w:rFonts w:ascii="Cambria" w:hAnsi="Cambria" w:cs="Arial"/>
          <w:i/>
          <w:sz w:val="20"/>
          <w:szCs w:val="20"/>
        </w:rPr>
        <w:t xml:space="preserve">TV </w:t>
      </w:r>
      <w:proofErr w:type="spellStart"/>
      <w:r w:rsidRPr="009E4B28">
        <w:rPr>
          <w:rFonts w:ascii="Cambria" w:hAnsi="Cambria" w:cs="Arial"/>
          <w:i/>
          <w:sz w:val="20"/>
          <w:szCs w:val="20"/>
        </w:rPr>
        <w:t>Cultura</w:t>
      </w:r>
      <w:proofErr w:type="spellEnd"/>
      <w:r w:rsidRPr="009E4B28">
        <w:rPr>
          <w:rFonts w:ascii="Cambria" w:hAnsi="Cambria" w:cs="Arial"/>
          <w:sz w:val="20"/>
          <w:szCs w:val="20"/>
        </w:rPr>
        <w:t xml:space="preserve">”, was supposedly viewed by the military regime as an “enemy of the State” because of the news reports he had made public, particularly a 1974 “historical account” that examined the first decade of the military takeover in Brazil.  According to the petitioners, on the night of October 24, 1975, agents </w:t>
      </w:r>
      <w:r w:rsidRPr="009E4B28">
        <w:rPr>
          <w:rFonts w:ascii="Cambria" w:hAnsi="Cambria"/>
          <w:sz w:val="20"/>
          <w:szCs w:val="20"/>
        </w:rPr>
        <w:t>of the Second Army’s Department of Information Operations of the Center for Internal Defense Operations (“DOI/CODI”) in São P</w:t>
      </w:r>
      <w:r w:rsidR="003119A2" w:rsidRPr="009E4B28">
        <w:rPr>
          <w:rFonts w:ascii="Cambria" w:hAnsi="Cambria"/>
          <w:sz w:val="20"/>
          <w:szCs w:val="20"/>
        </w:rPr>
        <w:t>aulo summoned Vladimir Herzog</w:t>
      </w:r>
      <w:r w:rsidRPr="009E4B28">
        <w:rPr>
          <w:rFonts w:ascii="Cambria" w:hAnsi="Cambria"/>
          <w:sz w:val="20"/>
          <w:szCs w:val="20"/>
        </w:rPr>
        <w:t xml:space="preserve"> to give a statement at that institution’s</w:t>
      </w:r>
      <w:r w:rsidRPr="00BB2794">
        <w:rPr>
          <w:rFonts w:ascii="Cambria" w:hAnsi="Cambria"/>
          <w:sz w:val="20"/>
          <w:szCs w:val="20"/>
        </w:rPr>
        <w:t xml:space="preserve"> headquarters, and tried to locate and arrest him, without success. Nevertheless, the petitioners report that</w:t>
      </w:r>
      <w:r w:rsidR="003119A2" w:rsidRPr="00BB2794">
        <w:rPr>
          <w:rFonts w:ascii="Cambria" w:hAnsi="Cambria"/>
          <w:sz w:val="20"/>
          <w:szCs w:val="20"/>
        </w:rPr>
        <w:t xml:space="preserve"> Vladimir Herzog</w:t>
      </w:r>
      <w:r w:rsidRPr="00BB2794">
        <w:rPr>
          <w:rFonts w:ascii="Cambria" w:hAnsi="Cambria"/>
          <w:sz w:val="20"/>
          <w:szCs w:val="20"/>
        </w:rPr>
        <w:t xml:space="preserve"> appeared of his own accord at DOI/CODI headquarters the following day, October 25, 1975, to offer a statement, whereupon he was arbitrarily detained, without any warrant from a competent judicial authority.</w:t>
      </w:r>
    </w:p>
    <w:p w:rsidR="0076253B" w:rsidRPr="00BB2794" w:rsidRDefault="0076253B" w:rsidP="002D53E6">
      <w:pPr>
        <w:pStyle w:val="NoSpacing"/>
        <w:rPr>
          <w:rFonts w:ascii="Cambria" w:hAnsi="Cambria"/>
        </w:rPr>
      </w:pPr>
    </w:p>
    <w:p w:rsidR="0076253B" w:rsidRPr="00BB2794" w:rsidRDefault="0076253B" w:rsidP="0076253B">
      <w:pPr>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According to the petitioners, that same day the then-commander of the DOI/CODI publicly d</w:t>
      </w:r>
      <w:r w:rsidR="00D10A77" w:rsidRPr="00BB2794">
        <w:rPr>
          <w:rFonts w:ascii="Cambria" w:hAnsi="Cambria"/>
          <w:sz w:val="20"/>
          <w:szCs w:val="20"/>
        </w:rPr>
        <w:t>isclosed that Vladimir Herzog</w:t>
      </w:r>
      <w:r w:rsidRPr="00BB2794">
        <w:rPr>
          <w:rFonts w:ascii="Cambria" w:hAnsi="Cambria"/>
          <w:sz w:val="20"/>
          <w:szCs w:val="20"/>
        </w:rPr>
        <w:t xml:space="preserve"> had died in his cell, supposedly by suicide. The petitioners contend that the </w:t>
      </w:r>
      <w:r w:rsidR="00D10A77" w:rsidRPr="00BB2794">
        <w:rPr>
          <w:rFonts w:ascii="Cambria" w:hAnsi="Cambria"/>
          <w:sz w:val="20"/>
          <w:szCs w:val="20"/>
        </w:rPr>
        <w:t xml:space="preserve">journalist’s </w:t>
      </w:r>
      <w:r w:rsidRPr="00BB2794">
        <w:rPr>
          <w:rFonts w:ascii="Cambria" w:hAnsi="Cambria"/>
          <w:sz w:val="20"/>
          <w:szCs w:val="20"/>
        </w:rPr>
        <w:t>death was an extrajudicial execution carried out by torture, and that it was made to look like a suicide, in line with an established practice during Brazil’s military dictatorship. According to the petitioners, his death shocked Brazilian society and raised awareness about the widespread practice of torturing political prisoners.</w:t>
      </w:r>
    </w:p>
    <w:p w:rsidR="0076253B" w:rsidRPr="00BB2794" w:rsidRDefault="0076253B" w:rsidP="003119A2">
      <w:pPr>
        <w:pStyle w:val="NoSpacing"/>
        <w:rPr>
          <w:rFonts w:ascii="Cambria" w:hAnsi="Cambria"/>
        </w:rPr>
      </w:pPr>
    </w:p>
    <w:p w:rsidR="0076253B" w:rsidRPr="00BB2794" w:rsidRDefault="0076253B" w:rsidP="0076253B">
      <w:pPr>
        <w:numPr>
          <w:ilvl w:val="0"/>
          <w:numId w:val="6"/>
        </w:numPr>
        <w:spacing w:after="0" w:line="240" w:lineRule="auto"/>
        <w:ind w:left="0" w:firstLine="720"/>
        <w:jc w:val="both"/>
        <w:rPr>
          <w:rFonts w:ascii="Cambria" w:hAnsi="Cambria"/>
          <w:sz w:val="20"/>
          <w:szCs w:val="20"/>
        </w:rPr>
      </w:pPr>
      <w:r w:rsidRPr="00BB2794">
        <w:rPr>
          <w:rFonts w:ascii="Cambria" w:hAnsi="Cambria" w:cs="Arial"/>
          <w:sz w:val="20"/>
          <w:szCs w:val="20"/>
        </w:rPr>
        <w:t xml:space="preserve">Following </w:t>
      </w:r>
      <w:r w:rsidR="00D10A77" w:rsidRPr="00BB2794">
        <w:rPr>
          <w:rFonts w:ascii="Cambria" w:hAnsi="Cambria" w:cs="Arial"/>
          <w:sz w:val="20"/>
          <w:szCs w:val="20"/>
        </w:rPr>
        <w:t xml:space="preserve">Herzog’s </w:t>
      </w:r>
      <w:r w:rsidRPr="00BB2794">
        <w:rPr>
          <w:rFonts w:ascii="Cambria" w:hAnsi="Cambria" w:cs="Arial"/>
          <w:sz w:val="20"/>
          <w:szCs w:val="20"/>
        </w:rPr>
        <w:t xml:space="preserve">death, the petitioners say, a military police investigation was launched (“IPM” No. 1.173/75), which determined the cause of death to be suicide by hanging. As a result, the military police investigation was reportedly closed by the military justice system on March 8, 1976.  The petitioners maintain that the investigation failed to observe the minimum guarantees of due process and was calculated to support the version of events according to which the </w:t>
      </w:r>
      <w:r w:rsidR="00D10A77" w:rsidRPr="00BB2794">
        <w:rPr>
          <w:rFonts w:ascii="Cambria" w:hAnsi="Cambria" w:cs="Arial"/>
          <w:sz w:val="20"/>
          <w:szCs w:val="20"/>
        </w:rPr>
        <w:t>journalist</w:t>
      </w:r>
      <w:r w:rsidRPr="00BB2794">
        <w:rPr>
          <w:rFonts w:ascii="Cambria" w:hAnsi="Cambria" w:cs="Arial"/>
          <w:sz w:val="20"/>
          <w:szCs w:val="20"/>
        </w:rPr>
        <w:t xml:space="preserve"> had supposedly committed suicide, thus ensuring that the events would continue to remain in impunity. </w:t>
      </w:r>
    </w:p>
    <w:p w:rsidR="0076253B" w:rsidRPr="00BB2794" w:rsidRDefault="0076253B" w:rsidP="003119A2">
      <w:pPr>
        <w:pStyle w:val="NoSpacing"/>
        <w:rPr>
          <w:rFonts w:ascii="Cambria" w:hAnsi="Cambria"/>
        </w:rPr>
      </w:pPr>
    </w:p>
    <w:p w:rsidR="0076253B" w:rsidRPr="00BB2794" w:rsidRDefault="0076253B" w:rsidP="0076253B">
      <w:pPr>
        <w:numPr>
          <w:ilvl w:val="0"/>
          <w:numId w:val="6"/>
        </w:numPr>
        <w:spacing w:after="0" w:line="240" w:lineRule="auto"/>
        <w:ind w:left="0" w:firstLine="720"/>
        <w:jc w:val="both"/>
        <w:rPr>
          <w:rFonts w:ascii="Cambria" w:hAnsi="Cambria"/>
          <w:sz w:val="20"/>
          <w:szCs w:val="20"/>
        </w:rPr>
      </w:pPr>
      <w:r w:rsidRPr="00BB2794">
        <w:rPr>
          <w:rFonts w:ascii="Cambria" w:hAnsi="Cambria" w:cs="Arial"/>
          <w:sz w:val="20"/>
          <w:szCs w:val="20"/>
        </w:rPr>
        <w:t xml:space="preserve"> However, the petitioners maintain that </w:t>
      </w:r>
      <w:r w:rsidR="00D10A77" w:rsidRPr="00BB2794">
        <w:rPr>
          <w:rFonts w:ascii="Cambria" w:hAnsi="Cambria" w:cs="Arial"/>
          <w:sz w:val="20"/>
          <w:szCs w:val="20"/>
        </w:rPr>
        <w:t xml:space="preserve">Vladimir Herzog’s </w:t>
      </w:r>
      <w:r w:rsidRPr="00BB2794">
        <w:rPr>
          <w:rFonts w:ascii="Cambria" w:hAnsi="Cambria" w:cs="Arial"/>
          <w:sz w:val="20"/>
          <w:szCs w:val="20"/>
        </w:rPr>
        <w:t xml:space="preserve">next of kin—Clarice Herzog (widow) and Ivo Herzog and André Herzog (sons)—filed a civil action for </w:t>
      </w:r>
      <w:r w:rsidR="009D6958" w:rsidRPr="00BB2794">
        <w:rPr>
          <w:rFonts w:ascii="Cambria" w:hAnsi="Cambria" w:cs="Arial"/>
          <w:sz w:val="20"/>
          <w:szCs w:val="20"/>
        </w:rPr>
        <w:t xml:space="preserve">a </w:t>
      </w:r>
      <w:r w:rsidRPr="00BB2794">
        <w:rPr>
          <w:rFonts w:ascii="Cambria" w:hAnsi="Cambria" w:cs="Arial"/>
          <w:sz w:val="20"/>
          <w:szCs w:val="20"/>
        </w:rPr>
        <w:t>declaratory judgment (</w:t>
      </w:r>
      <w:proofErr w:type="spellStart"/>
      <w:r w:rsidRPr="00BB2794">
        <w:rPr>
          <w:rFonts w:ascii="Cambria" w:hAnsi="Cambria" w:cs="Arial"/>
          <w:i/>
          <w:sz w:val="20"/>
          <w:szCs w:val="20"/>
        </w:rPr>
        <w:t>Ação</w:t>
      </w:r>
      <w:proofErr w:type="spellEnd"/>
      <w:r w:rsidRPr="00BB2794">
        <w:rPr>
          <w:rFonts w:ascii="Cambria" w:hAnsi="Cambria" w:cs="Arial"/>
          <w:i/>
          <w:sz w:val="20"/>
          <w:szCs w:val="20"/>
        </w:rPr>
        <w:t xml:space="preserve"> </w:t>
      </w:r>
      <w:proofErr w:type="spellStart"/>
      <w:r w:rsidRPr="00BB2794">
        <w:rPr>
          <w:rFonts w:ascii="Cambria" w:hAnsi="Cambria" w:cs="Arial"/>
          <w:i/>
          <w:sz w:val="20"/>
          <w:szCs w:val="20"/>
        </w:rPr>
        <w:t>Declaratória</w:t>
      </w:r>
      <w:proofErr w:type="spellEnd"/>
      <w:r w:rsidRPr="00BB2794">
        <w:rPr>
          <w:rFonts w:ascii="Cambria" w:hAnsi="Cambria" w:cs="Arial"/>
          <w:sz w:val="20"/>
          <w:szCs w:val="20"/>
        </w:rPr>
        <w:t xml:space="preserve"> No. 136/76), in which they requested that the Federal Union be declared responsible for the arbitrary detention, torture, and subsequent death </w:t>
      </w:r>
      <w:r w:rsidR="00D10A77" w:rsidRPr="00BB2794">
        <w:rPr>
          <w:rFonts w:ascii="Cambria" w:hAnsi="Cambria" w:cs="Arial"/>
          <w:sz w:val="20"/>
          <w:szCs w:val="20"/>
        </w:rPr>
        <w:t>Herzog</w:t>
      </w:r>
      <w:r w:rsidRPr="00BB2794">
        <w:rPr>
          <w:rFonts w:ascii="Cambria" w:hAnsi="Cambria" w:cs="Arial"/>
          <w:sz w:val="20"/>
          <w:szCs w:val="20"/>
        </w:rPr>
        <w:t xml:space="preserve">, and sought appropriate compensation. According to the petitioners, the aforementioned civil action was filed after evidence had been discovered that led to the conclusion that </w:t>
      </w:r>
      <w:r w:rsidR="00D10A77" w:rsidRPr="00BB2794">
        <w:rPr>
          <w:rFonts w:ascii="Cambria" w:hAnsi="Cambria" w:cs="Arial"/>
          <w:sz w:val="20"/>
          <w:szCs w:val="20"/>
        </w:rPr>
        <w:t xml:space="preserve">Vladimir Herzog’s </w:t>
      </w:r>
      <w:r w:rsidRPr="00BB2794">
        <w:rPr>
          <w:rFonts w:ascii="Cambria" w:hAnsi="Cambria" w:cs="Arial"/>
          <w:sz w:val="20"/>
          <w:szCs w:val="20"/>
        </w:rPr>
        <w:t xml:space="preserve">death by torture had been made to look like a suicide—in particular, testimony from other political prisoners who were reportedly in the DOI/CODI facility in São Paulo and heard the </w:t>
      </w:r>
      <w:r w:rsidR="00D10A77" w:rsidRPr="00BB2794">
        <w:rPr>
          <w:rFonts w:ascii="Cambria" w:hAnsi="Cambria" w:cs="Arial"/>
          <w:sz w:val="20"/>
          <w:szCs w:val="20"/>
        </w:rPr>
        <w:t>journalist</w:t>
      </w:r>
      <w:r w:rsidRPr="00BB2794">
        <w:rPr>
          <w:rFonts w:ascii="Cambria" w:hAnsi="Cambria" w:cs="Arial"/>
          <w:sz w:val="20"/>
          <w:szCs w:val="20"/>
        </w:rPr>
        <w:t xml:space="preserve"> being tortured to death.</w:t>
      </w:r>
    </w:p>
    <w:p w:rsidR="0076253B" w:rsidRPr="00BB2794" w:rsidRDefault="0076253B" w:rsidP="003119A2">
      <w:pPr>
        <w:pStyle w:val="NoSpacing"/>
        <w:rPr>
          <w:rFonts w:ascii="Cambria" w:hAnsi="Cambria"/>
        </w:rPr>
      </w:pPr>
    </w:p>
    <w:p w:rsidR="0076253B" w:rsidRDefault="0076253B" w:rsidP="00551385">
      <w:pPr>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 xml:space="preserve">The petitioners point out that the civil action fully established—by means of a judgment issued on October 28, 1978—that </w:t>
      </w:r>
      <w:r w:rsidR="00D10A77" w:rsidRPr="00BB2794">
        <w:rPr>
          <w:rFonts w:ascii="Cambria" w:hAnsi="Cambria"/>
          <w:sz w:val="20"/>
          <w:szCs w:val="20"/>
        </w:rPr>
        <w:t>Vladimir Herzog</w:t>
      </w:r>
      <w:r w:rsidRPr="00BB2794">
        <w:rPr>
          <w:rFonts w:ascii="Cambria" w:hAnsi="Cambria"/>
          <w:sz w:val="20"/>
          <w:szCs w:val="20"/>
        </w:rPr>
        <w:t xml:space="preserve"> was arbitrarily detained, tortured, and killed on DOI/CODI premises in São Paulo. Nevertheless, the petitioners contend that subsequent to that decision, on August 28, 1979, Law No. 6.683 (“the amnesty law” or “Law 6.683/79”) was passed, which did away with criminal responsibility for all individuals who had committed “political or related crimes” in the period from September 2, 1961, to August 15, 1979</w:t>
      </w:r>
      <w:r w:rsidRPr="00BB2794">
        <w:rPr>
          <w:rFonts w:ascii="Cambria" w:hAnsi="Cambria" w:cs="Arial"/>
          <w:sz w:val="20"/>
          <w:szCs w:val="20"/>
        </w:rPr>
        <w:t xml:space="preserve">.  </w:t>
      </w:r>
      <w:r w:rsidRPr="00BB2794">
        <w:rPr>
          <w:rFonts w:ascii="Cambria" w:hAnsi="Cambria"/>
          <w:sz w:val="20"/>
          <w:szCs w:val="20"/>
        </w:rPr>
        <w:t>The petitioners contend that to this day, the amnesty law in question continues to represent an obstacle for the criminal prosecution of serious human rights violations, like those alleged in this petition, and that it is therefore incompatible with the State’s obligations under the American Convention.</w:t>
      </w:r>
    </w:p>
    <w:p w:rsidR="00551385" w:rsidRPr="00551385" w:rsidRDefault="00551385" w:rsidP="00551385">
      <w:pPr>
        <w:spacing w:after="0" w:line="240" w:lineRule="auto"/>
        <w:jc w:val="both"/>
        <w:rPr>
          <w:rFonts w:ascii="Cambria" w:hAnsi="Cambria"/>
          <w:sz w:val="20"/>
          <w:szCs w:val="20"/>
        </w:rPr>
      </w:pPr>
    </w:p>
    <w:p w:rsidR="0076253B" w:rsidRPr="00BB2794" w:rsidRDefault="0076253B" w:rsidP="0076253B">
      <w:pPr>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 xml:space="preserve">Despite the foregoing, the petitioners describe several subsequent attempts made to have those responsible for </w:t>
      </w:r>
      <w:r w:rsidR="00D10A77" w:rsidRPr="00BB2794">
        <w:rPr>
          <w:rFonts w:ascii="Cambria" w:hAnsi="Cambria"/>
          <w:sz w:val="20"/>
          <w:szCs w:val="20"/>
        </w:rPr>
        <w:t xml:space="preserve">Vladimir Herzog’s </w:t>
      </w:r>
      <w:r w:rsidRPr="00BB2794">
        <w:rPr>
          <w:rFonts w:ascii="Cambria" w:hAnsi="Cambria"/>
          <w:sz w:val="20"/>
          <w:szCs w:val="20"/>
        </w:rPr>
        <w:t>death criminally prosecuted. In this regard, they observe that in 1992 the São Paulo State Public Prosecutor’s Office asked the Civil Police to begin an investi</w:t>
      </w:r>
      <w:r w:rsidR="00D10A77" w:rsidRPr="00BB2794">
        <w:rPr>
          <w:rFonts w:ascii="Cambria" w:hAnsi="Cambria"/>
          <w:sz w:val="20"/>
          <w:szCs w:val="20"/>
        </w:rPr>
        <w:t>gation into the journalist</w:t>
      </w:r>
      <w:r w:rsidRPr="00BB2794">
        <w:rPr>
          <w:rFonts w:ascii="Cambria" w:hAnsi="Cambria"/>
          <w:sz w:val="20"/>
          <w:szCs w:val="20"/>
        </w:rPr>
        <w:t xml:space="preserve"> death, after an article appeared in the magazine </w:t>
      </w:r>
      <w:proofErr w:type="spellStart"/>
      <w:r w:rsidRPr="00BB2794">
        <w:rPr>
          <w:rFonts w:ascii="Cambria" w:hAnsi="Cambria"/>
          <w:i/>
          <w:sz w:val="20"/>
          <w:szCs w:val="20"/>
        </w:rPr>
        <w:t>Isto</w:t>
      </w:r>
      <w:proofErr w:type="spellEnd"/>
      <w:r w:rsidRPr="00BB2794">
        <w:rPr>
          <w:rFonts w:ascii="Cambria" w:hAnsi="Cambria"/>
          <w:i/>
          <w:sz w:val="20"/>
          <w:szCs w:val="20"/>
        </w:rPr>
        <w:t xml:space="preserve"> É, </w:t>
      </w:r>
      <w:proofErr w:type="spellStart"/>
      <w:r w:rsidRPr="00BB2794">
        <w:rPr>
          <w:rFonts w:ascii="Cambria" w:hAnsi="Cambria"/>
          <w:i/>
          <w:sz w:val="20"/>
          <w:szCs w:val="20"/>
        </w:rPr>
        <w:t>Senhor</w:t>
      </w:r>
      <w:proofErr w:type="spellEnd"/>
      <w:r w:rsidRPr="00BB2794">
        <w:rPr>
          <w:rFonts w:ascii="Cambria" w:hAnsi="Cambria"/>
          <w:sz w:val="20"/>
          <w:szCs w:val="20"/>
        </w:rPr>
        <w:t xml:space="preserve">, on March 25, 1992. In the article, a DOI/CODI official who went by the alias “Captain Ramiro” stated that he had interrogated </w:t>
      </w:r>
      <w:r w:rsidR="00D10A77" w:rsidRPr="00BB2794">
        <w:rPr>
          <w:rFonts w:ascii="Cambria" w:hAnsi="Cambria"/>
          <w:sz w:val="20"/>
          <w:szCs w:val="20"/>
        </w:rPr>
        <w:t xml:space="preserve">Vladimir Herzog </w:t>
      </w:r>
      <w:r w:rsidRPr="00BB2794">
        <w:rPr>
          <w:rFonts w:ascii="Cambria" w:hAnsi="Cambria"/>
          <w:sz w:val="20"/>
          <w:szCs w:val="20"/>
        </w:rPr>
        <w:t xml:space="preserve">in the aforesaid military establishment and that he was involved in his death. The petitioners state that “Captain Ramiro” filed a </w:t>
      </w:r>
      <w:r w:rsidRPr="00BB2794">
        <w:rPr>
          <w:rFonts w:ascii="Cambria" w:hAnsi="Cambria"/>
          <w:i/>
          <w:sz w:val="20"/>
          <w:szCs w:val="20"/>
        </w:rPr>
        <w:t>habeas corpus</w:t>
      </w:r>
      <w:r w:rsidRPr="00BB2794">
        <w:rPr>
          <w:rFonts w:ascii="Cambria" w:hAnsi="Cambria"/>
          <w:sz w:val="20"/>
          <w:szCs w:val="20"/>
        </w:rPr>
        <w:t xml:space="preserve"> appeal before the Fourth Chamber of the São Paulo Court of Justice, which determined that the police investigation should be closed because of the amnesty law. That decision was reportedly appealed by the São Paulo State Public Prosecutor’s Office, but was upheld by the Superior Court of Justice on August 18, 1993. </w:t>
      </w:r>
    </w:p>
    <w:p w:rsidR="0076253B" w:rsidRPr="00BB2794" w:rsidRDefault="0076253B" w:rsidP="002D53E6">
      <w:pPr>
        <w:pStyle w:val="NoSpacing"/>
        <w:rPr>
          <w:rFonts w:ascii="Cambria" w:hAnsi="Cambria"/>
        </w:rPr>
      </w:pPr>
    </w:p>
    <w:p w:rsidR="0076253B" w:rsidRPr="00BB2794" w:rsidRDefault="0076253B" w:rsidP="0076253B">
      <w:pPr>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The petitioners observe that, more recently, several supervening events have shed new light on the human rights violations committed during the Brazilian dictatorshi</w:t>
      </w:r>
      <w:r w:rsidR="007A173A">
        <w:rPr>
          <w:rFonts w:ascii="Cambria" w:hAnsi="Cambria"/>
          <w:sz w:val="20"/>
          <w:szCs w:val="20"/>
        </w:rPr>
        <w:t xml:space="preserve">p. These include the enactment </w:t>
      </w:r>
      <w:r w:rsidRPr="00BB2794">
        <w:rPr>
          <w:rFonts w:ascii="Cambria" w:hAnsi="Cambria"/>
          <w:sz w:val="20"/>
          <w:szCs w:val="20"/>
        </w:rPr>
        <w:t xml:space="preserve">of Law No. 9.140/95, in which the State acknowledged its responsibility for the deaths and disappearances that took place during the time of the military regime; the subsequent creation of the Special Commission on Political Deaths and Disappearances; the 2007 publication of the Special Commission’s report, “Right to Memory and Truth”; and the judgment handed down on November 24, 2010, by the Inter-American Court of Human Rights (“the Inter-American Court”) in the </w:t>
      </w:r>
      <w:r w:rsidRPr="00BB2794">
        <w:rPr>
          <w:rFonts w:ascii="Cambria" w:hAnsi="Cambria"/>
          <w:i/>
          <w:sz w:val="20"/>
          <w:szCs w:val="20"/>
        </w:rPr>
        <w:t>Case of Gomes Lund et al. ("</w:t>
      </w:r>
      <w:proofErr w:type="spellStart"/>
      <w:r w:rsidRPr="00BB2794">
        <w:rPr>
          <w:rFonts w:ascii="Cambria" w:hAnsi="Cambria"/>
          <w:i/>
          <w:sz w:val="20"/>
          <w:szCs w:val="20"/>
        </w:rPr>
        <w:t>Guerrilha</w:t>
      </w:r>
      <w:proofErr w:type="spellEnd"/>
      <w:r w:rsidRPr="00BB2794">
        <w:rPr>
          <w:rFonts w:ascii="Cambria" w:hAnsi="Cambria"/>
          <w:i/>
          <w:sz w:val="20"/>
          <w:szCs w:val="20"/>
        </w:rPr>
        <w:t xml:space="preserve"> do Araguaia")</w:t>
      </w:r>
      <w:r w:rsidRPr="00BB2794">
        <w:rPr>
          <w:rFonts w:ascii="Cambria" w:hAnsi="Cambria"/>
          <w:sz w:val="20"/>
          <w:szCs w:val="20"/>
        </w:rPr>
        <w:t xml:space="preserve">, among others. The petitioners stress that in the book “Right to Memory and Truth,” the State acknowledged its responsibility for </w:t>
      </w:r>
      <w:r w:rsidR="00D10A77" w:rsidRPr="00BB2794">
        <w:rPr>
          <w:rFonts w:ascii="Cambria" w:hAnsi="Cambria"/>
          <w:sz w:val="20"/>
          <w:szCs w:val="20"/>
        </w:rPr>
        <w:t xml:space="preserve">Vladimir Herzog’s </w:t>
      </w:r>
      <w:r w:rsidRPr="00BB2794">
        <w:rPr>
          <w:rFonts w:ascii="Cambria" w:hAnsi="Cambria"/>
          <w:sz w:val="20"/>
          <w:szCs w:val="20"/>
        </w:rPr>
        <w:t>death by torture.</w:t>
      </w:r>
    </w:p>
    <w:p w:rsidR="0076253B" w:rsidRPr="00BB2794" w:rsidRDefault="0076253B" w:rsidP="003119A2">
      <w:pPr>
        <w:pStyle w:val="NoSpacing"/>
        <w:rPr>
          <w:rFonts w:ascii="Cambria" w:hAnsi="Cambria"/>
        </w:rPr>
      </w:pPr>
    </w:p>
    <w:p w:rsidR="0076253B" w:rsidRPr="00BB2794" w:rsidRDefault="0076253B" w:rsidP="0076253B">
      <w:pPr>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The petitioners observe that, based on the aforementioned new facts and based on international law, on March 5, 2008 members of the São Paulo Federal Public Prosecutor’s Office—which lacked criminal jurisdiction—asked the São Paulo Attorney General of the Republic to instruct civil servants in the criminal section of the Federal Public Prosecutor’s Office to undertake an investi</w:t>
      </w:r>
      <w:r w:rsidR="00B35335" w:rsidRPr="00BB2794">
        <w:rPr>
          <w:rFonts w:ascii="Cambria" w:hAnsi="Cambria"/>
          <w:sz w:val="20"/>
          <w:szCs w:val="20"/>
        </w:rPr>
        <w:t>gation into Vladimir Herzog’s</w:t>
      </w:r>
      <w:r w:rsidRPr="00BB2794">
        <w:rPr>
          <w:rFonts w:ascii="Cambria" w:hAnsi="Cambria"/>
          <w:sz w:val="20"/>
          <w:szCs w:val="20"/>
        </w:rPr>
        <w:t xml:space="preserve"> death. According to the petitioners, that request was based on the fact that the federal justice system would have jurisdiction over that investigation, as the DOI/CODI agents were federal agents; that this </w:t>
      </w:r>
      <w:r w:rsidRPr="00BB2794">
        <w:rPr>
          <w:rFonts w:ascii="Cambria" w:hAnsi="Cambria"/>
          <w:sz w:val="20"/>
          <w:szCs w:val="20"/>
        </w:rPr>
        <w:lastRenderedPageBreak/>
        <w:t xml:space="preserve">involved a crime against humanity with no statutory limitations and not covered by amnesty; and based on the Brazilian State’s international obligations, including those established in the American Convention.  </w:t>
      </w:r>
    </w:p>
    <w:p w:rsidR="0076253B" w:rsidRPr="00BB2794"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BB2794">
        <w:rPr>
          <w:rFonts w:ascii="Cambria" w:hAnsi="Cambria"/>
          <w:sz w:val="20"/>
          <w:szCs w:val="20"/>
        </w:rPr>
        <w:t xml:space="preserve">According to the petitioners, the representative of the Federal Public Prosecutor’s Office responsible for the criminal section </w:t>
      </w:r>
      <w:r w:rsidRPr="00E72405">
        <w:rPr>
          <w:rFonts w:ascii="Cambria" w:hAnsi="Cambria"/>
          <w:sz w:val="20"/>
          <w:szCs w:val="20"/>
        </w:rPr>
        <w:t xml:space="preserve">disagreed with his colleagues and sought to have the case closed. The petitioners indicate that the process was closed based on </w:t>
      </w:r>
      <w:r w:rsidR="00B35335" w:rsidRPr="00E72405">
        <w:rPr>
          <w:rFonts w:ascii="Cambria" w:hAnsi="Cambria"/>
          <w:sz w:val="20"/>
          <w:szCs w:val="20"/>
        </w:rPr>
        <w:t>a decision issued January 9</w:t>
      </w:r>
      <w:r w:rsidRPr="00E72405">
        <w:rPr>
          <w:rFonts w:ascii="Cambria" w:hAnsi="Cambria"/>
          <w:sz w:val="20"/>
          <w:szCs w:val="20"/>
        </w:rPr>
        <w:t xml:space="preserve">, 2009, by the federal judge in charge. In that judgment, the federal judge recognized that the original jurisdiction belonged to the federal justice system; however, she determined that the decision adopted earlier by the São Paulo State Court constituted material </w:t>
      </w:r>
      <w:r w:rsidRPr="00E72405">
        <w:rPr>
          <w:rFonts w:ascii="Cambria" w:hAnsi="Cambria"/>
          <w:i/>
          <w:sz w:val="20"/>
          <w:szCs w:val="20"/>
        </w:rPr>
        <w:t>res judicata</w:t>
      </w:r>
      <w:r w:rsidRPr="00E72405">
        <w:rPr>
          <w:rFonts w:ascii="Cambria" w:hAnsi="Cambria"/>
          <w:sz w:val="20"/>
          <w:szCs w:val="20"/>
        </w:rPr>
        <w:t xml:space="preserve"> and that the statutory limitations for the crimes perpetrated against</w:t>
      </w:r>
      <w:r w:rsidR="00B35335" w:rsidRPr="00E72405">
        <w:rPr>
          <w:rFonts w:ascii="Cambria" w:hAnsi="Cambria"/>
          <w:sz w:val="20"/>
          <w:szCs w:val="20"/>
        </w:rPr>
        <w:t xml:space="preserve"> Vladimir Herzog</w:t>
      </w:r>
      <w:r w:rsidRPr="00E72405">
        <w:rPr>
          <w:rFonts w:ascii="Cambria" w:hAnsi="Cambria"/>
          <w:sz w:val="20"/>
          <w:szCs w:val="20"/>
        </w:rPr>
        <w:t xml:space="preserve"> had expired.</w:t>
      </w:r>
      <w:r w:rsidR="00B35335" w:rsidRPr="00E72405">
        <w:rPr>
          <w:rFonts w:ascii="Cambria" w:hAnsi="Cambria"/>
          <w:sz w:val="20"/>
          <w:szCs w:val="20"/>
        </w:rPr>
        <w:t xml:space="preserve"> </w:t>
      </w:r>
      <w:r w:rsidRPr="00E72405">
        <w:rPr>
          <w:rFonts w:ascii="Cambria" w:hAnsi="Cambria"/>
          <w:sz w:val="20"/>
          <w:szCs w:val="20"/>
        </w:rPr>
        <w:t xml:space="preserve">The petitioners observed that the material </w:t>
      </w:r>
      <w:r w:rsidRPr="00E72405">
        <w:rPr>
          <w:rFonts w:ascii="Cambria" w:hAnsi="Cambria"/>
          <w:i/>
          <w:sz w:val="20"/>
          <w:szCs w:val="20"/>
        </w:rPr>
        <w:t xml:space="preserve">res judicata </w:t>
      </w:r>
      <w:r w:rsidR="00B35335" w:rsidRPr="00E72405">
        <w:rPr>
          <w:rFonts w:ascii="Cambria" w:hAnsi="Cambria"/>
          <w:sz w:val="20"/>
          <w:szCs w:val="20"/>
        </w:rPr>
        <w:t>presumably</w:t>
      </w:r>
      <w:r w:rsidRPr="00E72405">
        <w:rPr>
          <w:rFonts w:ascii="Cambria" w:hAnsi="Cambria"/>
          <w:sz w:val="20"/>
          <w:szCs w:val="20"/>
        </w:rPr>
        <w:t xml:space="preserve"> established by the Superior Court’s decision and the improper enforcement of the statute of limitations would constitute further impediments to prosecution of the alleged human rights violations.</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Thus, according to the petitioners, the enforcement of the Amnesty Law and of the provisions of domestic law would have the effect of depriving </w:t>
      </w:r>
      <w:r w:rsidR="00B35335" w:rsidRPr="00E72405">
        <w:rPr>
          <w:rFonts w:ascii="Cambria" w:hAnsi="Cambria"/>
          <w:sz w:val="20"/>
          <w:szCs w:val="20"/>
        </w:rPr>
        <w:t xml:space="preserve">Vladimir Herzog </w:t>
      </w:r>
      <w:r w:rsidRPr="00E72405">
        <w:rPr>
          <w:rFonts w:ascii="Cambria" w:hAnsi="Cambria"/>
          <w:sz w:val="20"/>
          <w:szCs w:val="20"/>
        </w:rPr>
        <w:t>and his next of kin of judicial protection and of their right to a hea</w:t>
      </w:r>
      <w:r w:rsidR="00B35335" w:rsidRPr="00E72405">
        <w:rPr>
          <w:rFonts w:ascii="Cambria" w:hAnsi="Cambria"/>
          <w:sz w:val="20"/>
          <w:szCs w:val="20"/>
        </w:rPr>
        <w:t xml:space="preserve">ring by a competent authority. </w:t>
      </w:r>
      <w:r w:rsidRPr="00E72405">
        <w:rPr>
          <w:rFonts w:ascii="Cambria" w:hAnsi="Cambria"/>
          <w:sz w:val="20"/>
          <w:szCs w:val="20"/>
        </w:rPr>
        <w:t>It would also prevent them from obtain</w:t>
      </w:r>
      <w:r w:rsidR="00B35335" w:rsidRPr="00E72405">
        <w:rPr>
          <w:rFonts w:ascii="Cambria" w:hAnsi="Cambria"/>
          <w:sz w:val="20"/>
          <w:szCs w:val="20"/>
        </w:rPr>
        <w:t xml:space="preserve">ing proper reparations. </w:t>
      </w:r>
      <w:r w:rsidRPr="00E72405">
        <w:rPr>
          <w:rFonts w:ascii="Cambria" w:hAnsi="Cambria"/>
          <w:sz w:val="20"/>
          <w:szCs w:val="20"/>
        </w:rPr>
        <w:t xml:space="preserve">They further stated that the impunity that attends the facts of this case because of the failure to comply with the obligation to </w:t>
      </w:r>
      <w:r w:rsidR="00F2085B" w:rsidRPr="00E72405">
        <w:rPr>
          <w:rFonts w:ascii="Cambria" w:hAnsi="Cambria"/>
          <w:sz w:val="20"/>
          <w:szCs w:val="20"/>
        </w:rPr>
        <w:t>investigate</w:t>
      </w:r>
      <w:r w:rsidRPr="00E72405">
        <w:rPr>
          <w:rFonts w:ascii="Cambria" w:hAnsi="Cambria"/>
          <w:sz w:val="20"/>
          <w:szCs w:val="20"/>
        </w:rPr>
        <w:t xml:space="preserve"> also constitutes a continuing violation of articles 4, 5 and 7 of the American Convention, in relation to the general duty established in Article 1.1 thereof.  According to the petitioners, this situation is compounded by the fact that the provision “expressly” prohibiting crimes against humanity is </w:t>
      </w:r>
      <w:r w:rsidRPr="00E72405">
        <w:rPr>
          <w:rFonts w:ascii="Cambria" w:hAnsi="Cambria"/>
          <w:i/>
          <w:sz w:val="20"/>
          <w:szCs w:val="20"/>
        </w:rPr>
        <w:t xml:space="preserve">jus </w:t>
      </w:r>
      <w:proofErr w:type="spellStart"/>
      <w:r w:rsidRPr="00E72405">
        <w:rPr>
          <w:rFonts w:ascii="Cambria" w:hAnsi="Cambria"/>
          <w:i/>
          <w:sz w:val="20"/>
          <w:szCs w:val="20"/>
        </w:rPr>
        <w:t>cogens</w:t>
      </w:r>
      <w:proofErr w:type="spellEnd"/>
      <w:r w:rsidRPr="00E72405">
        <w:rPr>
          <w:rFonts w:ascii="Cambria" w:hAnsi="Cambria"/>
          <w:i/>
          <w:sz w:val="20"/>
          <w:szCs w:val="20"/>
        </w:rPr>
        <w:t xml:space="preserve">, </w:t>
      </w:r>
      <w:r w:rsidRPr="00E72405">
        <w:rPr>
          <w:rFonts w:ascii="Cambria" w:hAnsi="Cambria"/>
          <w:sz w:val="20"/>
          <w:szCs w:val="20"/>
        </w:rPr>
        <w:t xml:space="preserve">and requires that those responsible be investigated and punished. </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petitioners also argued that if the positive measures necessary to give practical effect [</w:t>
      </w:r>
      <w:proofErr w:type="spellStart"/>
      <w:r w:rsidRPr="00E72405">
        <w:rPr>
          <w:rFonts w:ascii="Cambria" w:hAnsi="Cambria"/>
          <w:i/>
          <w:sz w:val="20"/>
          <w:szCs w:val="20"/>
        </w:rPr>
        <w:t>effet</w:t>
      </w:r>
      <w:proofErr w:type="spellEnd"/>
      <w:r w:rsidRPr="00E72405">
        <w:rPr>
          <w:rFonts w:ascii="Cambria" w:hAnsi="Cambria"/>
          <w:i/>
          <w:sz w:val="20"/>
          <w:szCs w:val="20"/>
        </w:rPr>
        <w:t xml:space="preserve"> utile</w:t>
      </w:r>
      <w:r w:rsidRPr="00E72405">
        <w:rPr>
          <w:rFonts w:ascii="Cambria" w:hAnsi="Cambria"/>
          <w:sz w:val="20"/>
          <w:szCs w:val="20"/>
        </w:rPr>
        <w:t>] to the provisions of the American Convention and to the jurisprudence of the Inter-American Court are not adopted, the State would also incur international responsibility by its omission.  They pointed out that such a violation would be permanent and last until a diligent, impartial and effective investigation of the facts is conducted, with a view to identifying, prosecuting and punishing all those responsible.</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Here, the petitioners made reference to the Inter-American Court’s judgment in the case of </w:t>
      </w:r>
      <w:r w:rsidRPr="00E72405">
        <w:rPr>
          <w:rFonts w:ascii="Cambria" w:hAnsi="Cambria"/>
          <w:i/>
          <w:sz w:val="20"/>
          <w:szCs w:val="20"/>
        </w:rPr>
        <w:t xml:space="preserve">Gomes Lund et al. </w:t>
      </w:r>
      <w:r w:rsidRPr="00E72405">
        <w:rPr>
          <w:rFonts w:ascii="Cambria" w:hAnsi="Cambria"/>
          <w:sz w:val="20"/>
          <w:szCs w:val="20"/>
        </w:rPr>
        <w:t xml:space="preserve">where, according to the petitioners, the Court held that Law 6.683/79 cannot continue </w:t>
      </w:r>
      <w:r w:rsidR="00CA106B" w:rsidRPr="00E72405">
        <w:rPr>
          <w:rFonts w:ascii="Cambria" w:hAnsi="Cambria"/>
          <w:sz w:val="20"/>
          <w:szCs w:val="20"/>
        </w:rPr>
        <w:t xml:space="preserve">to constitute </w:t>
      </w:r>
      <w:r w:rsidRPr="00E72405">
        <w:rPr>
          <w:rFonts w:ascii="Cambria" w:hAnsi="Cambria"/>
          <w:sz w:val="20"/>
          <w:szCs w:val="20"/>
        </w:rPr>
        <w:t xml:space="preserve">an obstacle to the investigation and punishment of those responsible for serious human rights violations.  The petitioners also observed that </w:t>
      </w:r>
      <w:r w:rsidR="00CA106B" w:rsidRPr="00E72405">
        <w:rPr>
          <w:rFonts w:ascii="Cambria" w:hAnsi="Cambria"/>
          <w:sz w:val="20"/>
          <w:szCs w:val="20"/>
        </w:rPr>
        <w:t>the Inter-American Court of Human Rights had held that this same operative paragraph of the judgment would have effects for other serious human rights violations that happened in Brazil.</w:t>
      </w:r>
      <w:r w:rsidRPr="00E72405">
        <w:rPr>
          <w:rFonts w:ascii="Cambria" w:hAnsi="Cambria"/>
          <w:sz w:val="20"/>
          <w:szCs w:val="20"/>
        </w:rPr>
        <w:t xml:space="preserve"> Thus, according to the petitioners, this would apply to the case of Vladimir Herzog, inasmuch as his torture and arbitrary execution constitute serious violations of human rights.  They also observed that the legal obstacles that the national authorities used in the case of Vladimir Herzog were the same as those that the Inter-American Court had rejected in its judgment in the </w:t>
      </w:r>
      <w:r w:rsidRPr="00E72405">
        <w:rPr>
          <w:rFonts w:ascii="Cambria" w:hAnsi="Cambria"/>
          <w:i/>
          <w:sz w:val="20"/>
          <w:szCs w:val="20"/>
        </w:rPr>
        <w:t>Case of</w:t>
      </w:r>
      <w:r w:rsidRPr="00E72405">
        <w:rPr>
          <w:rFonts w:ascii="Cambria" w:hAnsi="Cambria"/>
          <w:sz w:val="20"/>
          <w:szCs w:val="20"/>
        </w:rPr>
        <w:t xml:space="preserve"> </w:t>
      </w:r>
      <w:r w:rsidRPr="00E72405">
        <w:rPr>
          <w:rFonts w:ascii="Cambria" w:hAnsi="Cambria"/>
          <w:i/>
          <w:sz w:val="20"/>
          <w:szCs w:val="20"/>
        </w:rPr>
        <w:t>Gomes Lund et al.</w:t>
      </w:r>
      <w:r w:rsidRPr="00E72405">
        <w:rPr>
          <w:rFonts w:ascii="Cambria" w:hAnsi="Cambria"/>
          <w:sz w:val="20"/>
          <w:szCs w:val="20"/>
        </w:rPr>
        <w:t xml:space="preserve"> According to the petitioners, that judgment had become international </w:t>
      </w:r>
      <w:r w:rsidRPr="00E72405">
        <w:rPr>
          <w:rFonts w:ascii="Cambria" w:hAnsi="Cambria"/>
          <w:i/>
          <w:sz w:val="20"/>
          <w:szCs w:val="20"/>
        </w:rPr>
        <w:t xml:space="preserve">res judicata </w:t>
      </w:r>
      <w:r w:rsidRPr="00E72405">
        <w:rPr>
          <w:rFonts w:ascii="Cambria" w:hAnsi="Cambria"/>
          <w:sz w:val="20"/>
          <w:szCs w:val="20"/>
        </w:rPr>
        <w:t>and therefore binding upon all organs of the State.</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According to the petitioners, the continued impunity and lack of complete information concerning the circumstances surrounding the death of Vladimir Herzog prevent</w:t>
      </w:r>
      <w:r w:rsidR="00477EE8" w:rsidRPr="00E72405">
        <w:rPr>
          <w:rFonts w:ascii="Cambria" w:hAnsi="Cambria"/>
          <w:sz w:val="20"/>
          <w:szCs w:val="20"/>
        </w:rPr>
        <w:t>ed</w:t>
      </w:r>
      <w:r w:rsidRPr="00E72405">
        <w:rPr>
          <w:rFonts w:ascii="Cambria" w:hAnsi="Cambria"/>
          <w:sz w:val="20"/>
          <w:szCs w:val="20"/>
        </w:rPr>
        <w:t xml:space="preserve"> his family and society from know</w:t>
      </w:r>
      <w:r w:rsidR="00477EE8" w:rsidRPr="00E72405">
        <w:rPr>
          <w:rFonts w:ascii="Cambria" w:hAnsi="Cambria"/>
          <w:sz w:val="20"/>
          <w:szCs w:val="20"/>
        </w:rPr>
        <w:t>ing</w:t>
      </w:r>
      <w:r w:rsidRPr="00E72405">
        <w:rPr>
          <w:rFonts w:ascii="Cambria" w:hAnsi="Cambria"/>
          <w:sz w:val="20"/>
          <w:szCs w:val="20"/>
        </w:rPr>
        <w:t xml:space="preserve"> the truth of what happened, in violation of the right to the truth.  </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petitioners allege that the circumstances of the events denounced in the present case caused harm to the mental and moral i</w:t>
      </w:r>
      <w:r w:rsidR="00B35335" w:rsidRPr="00E72405">
        <w:rPr>
          <w:rFonts w:ascii="Cambria" w:hAnsi="Cambria"/>
          <w:sz w:val="20"/>
          <w:szCs w:val="20"/>
        </w:rPr>
        <w:t>ntegrity of Vladimir Herzog’s</w:t>
      </w:r>
      <w:r w:rsidRPr="00E72405">
        <w:rPr>
          <w:rFonts w:ascii="Cambria" w:hAnsi="Cambria"/>
          <w:sz w:val="20"/>
          <w:szCs w:val="20"/>
        </w:rPr>
        <w:t xml:space="preserve"> mother, Zora Herzog who, according to the petitioners, died on November 18, 2006, his widow Clarice Herzog, and his two sons, André and Ivo Herzog. </w:t>
      </w: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As for the </w:t>
      </w:r>
      <w:r w:rsidR="002D53E6" w:rsidRPr="00E72405">
        <w:rPr>
          <w:rFonts w:ascii="Cambria" w:hAnsi="Cambria"/>
          <w:sz w:val="20"/>
          <w:szCs w:val="20"/>
        </w:rPr>
        <w:t>Vladimir Herzog’s</w:t>
      </w:r>
      <w:r w:rsidRPr="00E72405">
        <w:rPr>
          <w:rFonts w:ascii="Cambria" w:hAnsi="Cambria"/>
          <w:sz w:val="20"/>
          <w:szCs w:val="20"/>
        </w:rPr>
        <w:t xml:space="preserve"> sons, André and Ivo Herzog, who at the time of the events of this case would have been seven and nine years old, respectively, the petitioners alleged that the “negative impact” caused by the arbitrary detention, torture and death of Herzog, and the harm caused by the alleged impunity, were “particularly hard” because they were children at the time. </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lastRenderedPageBreak/>
        <w:t>Finally, in a communication dated September 25, 2015, the petitioners stated that the facts denounced in the present case had “not changed” since their</w:t>
      </w:r>
      <w:r w:rsidR="00551385" w:rsidRPr="00E72405">
        <w:rPr>
          <w:rFonts w:ascii="Cambria" w:hAnsi="Cambria"/>
          <w:sz w:val="20"/>
          <w:szCs w:val="20"/>
        </w:rPr>
        <w:t xml:space="preserve"> last communication on November, </w:t>
      </w:r>
      <w:r w:rsidRPr="00E72405">
        <w:rPr>
          <w:rFonts w:ascii="Cambria" w:hAnsi="Cambria"/>
          <w:sz w:val="20"/>
          <w:szCs w:val="20"/>
        </w:rPr>
        <w:t>2014, and that no criminal complaint had been brought that would be the first step toward filing formal criminal charges and criminal prosecution.  They observed that th</w:t>
      </w:r>
      <w:r w:rsidR="00477EE8" w:rsidRPr="00E72405">
        <w:rPr>
          <w:rFonts w:ascii="Cambria" w:hAnsi="Cambria"/>
          <w:sz w:val="20"/>
          <w:szCs w:val="20"/>
        </w:rPr>
        <w:t>e in</w:t>
      </w:r>
      <w:r w:rsidRPr="00E72405">
        <w:rPr>
          <w:rFonts w:ascii="Cambria" w:hAnsi="Cambria"/>
          <w:sz w:val="20"/>
          <w:szCs w:val="20"/>
        </w:rPr>
        <w:t xml:space="preserve">action had thus “perpetuated decades of unending impunity.”  The petitioners also reiterated that in Brazil, the amnesty law, the enforcement of </w:t>
      </w:r>
      <w:r w:rsidR="0079674C" w:rsidRPr="00E72405">
        <w:rPr>
          <w:rFonts w:ascii="Cambria" w:hAnsi="Cambria"/>
          <w:sz w:val="20"/>
          <w:szCs w:val="20"/>
        </w:rPr>
        <w:t>“</w:t>
      </w:r>
      <w:r w:rsidRPr="00E72405">
        <w:rPr>
          <w:rFonts w:ascii="Cambria" w:hAnsi="Cambria"/>
          <w:sz w:val="20"/>
          <w:szCs w:val="20"/>
        </w:rPr>
        <w:t xml:space="preserve">measures intended to preclude criminal liability, the statute of limitations and </w:t>
      </w:r>
      <w:r w:rsidRPr="00E72405">
        <w:rPr>
          <w:rFonts w:ascii="Cambria" w:hAnsi="Cambria"/>
          <w:i/>
          <w:sz w:val="20"/>
          <w:szCs w:val="20"/>
        </w:rPr>
        <w:t xml:space="preserve">res judicata </w:t>
      </w:r>
      <w:r w:rsidRPr="00E72405">
        <w:rPr>
          <w:rFonts w:ascii="Cambria" w:hAnsi="Cambria"/>
          <w:sz w:val="20"/>
          <w:szCs w:val="20"/>
        </w:rPr>
        <w:t xml:space="preserve">continued to be legal obstacles to the investigation, prosecution and punishment of the agents of the State who suppressed political dissent during the civil-military dictatorship in Brazil.” </w:t>
      </w:r>
    </w:p>
    <w:p w:rsidR="0076253B" w:rsidRPr="00E72405" w:rsidRDefault="0076253B" w:rsidP="002D53E6">
      <w:pPr>
        <w:pStyle w:val="NoSpacing"/>
        <w:rPr>
          <w:rFonts w:ascii="Cambria" w:hAnsi="Cambria"/>
        </w:rPr>
      </w:pPr>
    </w:p>
    <w:p w:rsidR="0076253B" w:rsidRPr="00E72405" w:rsidRDefault="006B64E9" w:rsidP="006B64E9">
      <w:pPr>
        <w:pStyle w:val="Heading2"/>
      </w:pPr>
      <w:bookmarkStart w:id="10" w:name="_Toc433359796"/>
      <w:r w:rsidRPr="00E72405">
        <w:t>State</w:t>
      </w:r>
      <w:bookmarkEnd w:id="10"/>
    </w:p>
    <w:p w:rsidR="007A173A" w:rsidRPr="00E72405" w:rsidRDefault="007A173A" w:rsidP="007A173A">
      <w:pPr>
        <w:spacing w:after="0" w:line="240" w:lineRule="auto"/>
        <w:ind w:left="720"/>
        <w:jc w:val="both"/>
        <w:rPr>
          <w:rFonts w:ascii="Cambria" w:hAnsi="Cambria"/>
          <w:b/>
          <w:sz w:val="20"/>
          <w:szCs w:val="20"/>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State alleged that it had not committed any omission with respect to the facts denounced in the present case, and that at the domestic level, it had even formally recognized its responsibility for the 1975 arbitrary detention, torture and killing of Vladimir Herzog by agents of the State at the DOI-CODI/II Army facility.  Here, the State made reference to the 1978 court ruling handed down by the federal justice system in which Brazil was held</w:t>
      </w:r>
      <w:r w:rsidR="001E0D76" w:rsidRPr="00E72405">
        <w:rPr>
          <w:rFonts w:ascii="Cambria" w:hAnsi="Cambria"/>
          <w:sz w:val="20"/>
          <w:szCs w:val="20"/>
        </w:rPr>
        <w:t xml:space="preserve"> responsible for those events. </w:t>
      </w:r>
      <w:r w:rsidRPr="00E72405">
        <w:rPr>
          <w:rFonts w:ascii="Cambria" w:hAnsi="Cambria"/>
          <w:sz w:val="20"/>
          <w:szCs w:val="20"/>
        </w:rPr>
        <w:t xml:space="preserve">The State further maintained that it had adopted a series of reparation and non-repetition measures related to </w:t>
      </w:r>
      <w:r w:rsidR="002D53E6" w:rsidRPr="00E72405">
        <w:rPr>
          <w:rFonts w:ascii="Cambria" w:hAnsi="Cambria"/>
          <w:sz w:val="20"/>
          <w:szCs w:val="20"/>
        </w:rPr>
        <w:t xml:space="preserve">Vladimir Herzog’s </w:t>
      </w:r>
      <w:r w:rsidRPr="00E72405">
        <w:rPr>
          <w:rFonts w:ascii="Cambria" w:hAnsi="Cambria"/>
          <w:sz w:val="20"/>
          <w:szCs w:val="20"/>
        </w:rPr>
        <w:t xml:space="preserve">death. The State pointed out that in March 1996, the Special Commission on Political Deaths and Disappearances recognized the State’s responsibility for the death of Vladimir Herzog, in accordance with the provisions of Article 4, I, “b” of Law No. 9.140/95, and that as a result, it had awarded pecuniary damages of R$100,000 (one hundred thousand </w:t>
      </w:r>
      <w:proofErr w:type="spellStart"/>
      <w:r w:rsidRPr="00E72405">
        <w:rPr>
          <w:rFonts w:ascii="Cambria" w:hAnsi="Cambria"/>
          <w:i/>
          <w:sz w:val="20"/>
          <w:szCs w:val="20"/>
        </w:rPr>
        <w:t>reais</w:t>
      </w:r>
      <w:proofErr w:type="spellEnd"/>
      <w:r w:rsidRPr="00E72405">
        <w:rPr>
          <w:rFonts w:ascii="Cambria" w:hAnsi="Cambria"/>
          <w:sz w:val="20"/>
          <w:szCs w:val="20"/>
        </w:rPr>
        <w:t xml:space="preserve">) to his widow, Clarice Herzog.  The State observed that </w:t>
      </w:r>
      <w:r w:rsidR="002D53E6" w:rsidRPr="00E72405">
        <w:rPr>
          <w:rFonts w:ascii="Cambria" w:hAnsi="Cambria"/>
          <w:sz w:val="20"/>
          <w:szCs w:val="20"/>
        </w:rPr>
        <w:t>Herzog’s</w:t>
      </w:r>
      <w:r w:rsidRPr="00E72405">
        <w:rPr>
          <w:rFonts w:ascii="Cambria" w:hAnsi="Cambria"/>
          <w:sz w:val="20"/>
          <w:szCs w:val="20"/>
        </w:rPr>
        <w:t xml:space="preserve"> death revealed the human rights violations committed against political prisoners during the military dictatorship </w:t>
      </w:r>
      <w:r w:rsidR="001E0D76" w:rsidRPr="00E72405">
        <w:rPr>
          <w:rFonts w:ascii="Cambria" w:hAnsi="Cambria"/>
          <w:sz w:val="20"/>
          <w:szCs w:val="20"/>
        </w:rPr>
        <w:t xml:space="preserve">opening </w:t>
      </w:r>
      <w:r w:rsidRPr="00E72405">
        <w:rPr>
          <w:rFonts w:ascii="Cambria" w:hAnsi="Cambria"/>
          <w:sz w:val="20"/>
          <w:szCs w:val="20"/>
        </w:rPr>
        <w:t xml:space="preserve">the dialogue leading to Brazil’s </w:t>
      </w:r>
      <w:r w:rsidR="009E4B28" w:rsidRPr="00E72405">
        <w:rPr>
          <w:rFonts w:ascii="Cambria" w:hAnsi="Cambria"/>
          <w:sz w:val="20"/>
          <w:szCs w:val="20"/>
        </w:rPr>
        <w:t>democratization</w:t>
      </w:r>
      <w:r w:rsidRPr="00E72405">
        <w:rPr>
          <w:rFonts w:ascii="Cambria" w:hAnsi="Cambria"/>
          <w:sz w:val="20"/>
          <w:szCs w:val="20"/>
        </w:rPr>
        <w:t>.</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The State also referenced various initiatives taken with a view to preserving the right of </w:t>
      </w:r>
      <w:r w:rsidR="002D53E6" w:rsidRPr="00E72405">
        <w:rPr>
          <w:rFonts w:ascii="Cambria" w:hAnsi="Cambria"/>
          <w:sz w:val="20"/>
          <w:szCs w:val="20"/>
        </w:rPr>
        <w:t xml:space="preserve">Vladimir Herzog </w:t>
      </w:r>
      <w:r w:rsidRPr="00E72405">
        <w:rPr>
          <w:rFonts w:ascii="Cambria" w:hAnsi="Cambria"/>
          <w:sz w:val="20"/>
          <w:szCs w:val="20"/>
        </w:rPr>
        <w:t xml:space="preserve">to be remembered, such as the launch </w:t>
      </w:r>
      <w:r w:rsidR="004C0945" w:rsidRPr="00E72405">
        <w:rPr>
          <w:rFonts w:ascii="Cambria" w:hAnsi="Cambria"/>
          <w:sz w:val="20"/>
          <w:szCs w:val="20"/>
        </w:rPr>
        <w:t xml:space="preserve">in 2007 </w:t>
      </w:r>
      <w:r w:rsidRPr="00E72405">
        <w:rPr>
          <w:rFonts w:ascii="Cambria" w:hAnsi="Cambria"/>
          <w:sz w:val="20"/>
          <w:szCs w:val="20"/>
        </w:rPr>
        <w:t xml:space="preserve">of the book titled “Right to Memory and Truth,” produced by the Special Commission on Political Deaths and Disappearances, which includes an account of the </w:t>
      </w:r>
      <w:r w:rsidR="004C0945" w:rsidRPr="00E72405">
        <w:rPr>
          <w:rFonts w:ascii="Cambria" w:hAnsi="Cambria"/>
          <w:sz w:val="20"/>
          <w:szCs w:val="20"/>
        </w:rPr>
        <w:t>journalist’s</w:t>
      </w:r>
      <w:r w:rsidRPr="00E72405">
        <w:rPr>
          <w:rFonts w:ascii="Cambria" w:hAnsi="Cambria"/>
          <w:sz w:val="20"/>
          <w:szCs w:val="20"/>
        </w:rPr>
        <w:t xml:space="preserve"> professional career and the circumstances of his death.  The State also observed that in 2009 it supported the creation of the “Vladimir Herzog Institute” with the goal of helping to protect the right to life and the right of access to justice. In December 2011, the Secretariat of Human Rights of the  Office of the President of the Republic awarded the Vladimir Herzog Institute the national human rights prize, in the “Truth and Memory” category, for its project “Resisting Is Necessary” (</w:t>
      </w:r>
      <w:proofErr w:type="spellStart"/>
      <w:r w:rsidRPr="00E72405">
        <w:rPr>
          <w:rFonts w:ascii="Cambria" w:hAnsi="Cambria"/>
          <w:i/>
          <w:sz w:val="20"/>
          <w:szCs w:val="20"/>
        </w:rPr>
        <w:t>Resistir</w:t>
      </w:r>
      <w:proofErr w:type="spellEnd"/>
      <w:r w:rsidRPr="00E72405">
        <w:rPr>
          <w:rFonts w:ascii="Cambria" w:hAnsi="Cambria"/>
          <w:i/>
          <w:sz w:val="20"/>
          <w:szCs w:val="20"/>
        </w:rPr>
        <w:t xml:space="preserve"> é </w:t>
      </w:r>
      <w:proofErr w:type="spellStart"/>
      <w:r w:rsidRPr="00E72405">
        <w:rPr>
          <w:rFonts w:ascii="Cambria" w:hAnsi="Cambria"/>
          <w:i/>
          <w:sz w:val="20"/>
          <w:szCs w:val="20"/>
        </w:rPr>
        <w:t>preciso</w:t>
      </w:r>
      <w:proofErr w:type="spellEnd"/>
      <w:r w:rsidRPr="00E72405">
        <w:rPr>
          <w:rFonts w:ascii="Cambria" w:hAnsi="Cambria"/>
          <w:sz w:val="20"/>
          <w:szCs w:val="20"/>
        </w:rPr>
        <w:t>), sponsored by the federal government. Moreover, the State pointed out that this project would be “compiling and disseminating information about the journalists and newspapers that fought the dictatorship between 1964 and 1979 –the year the Amnesty Law took effect.</w:t>
      </w:r>
      <w:r w:rsidRPr="00E72405">
        <w:rPr>
          <w:rStyle w:val="Emphasis"/>
          <w:rFonts w:ascii="Cambria" w:hAnsi="Cambria" w:cs="Arial"/>
          <w:i w:val="0"/>
          <w:sz w:val="20"/>
          <w:szCs w:val="20"/>
        </w:rPr>
        <w:t>”</w:t>
      </w:r>
      <w:r w:rsidRPr="00E72405">
        <w:rPr>
          <w:rStyle w:val="Emphasis"/>
          <w:rFonts w:ascii="Cambria" w:hAnsi="Cambria" w:cs="Arial"/>
          <w:b/>
          <w:sz w:val="20"/>
          <w:szCs w:val="20"/>
        </w:rPr>
        <w:t xml:space="preserve"> </w:t>
      </w:r>
    </w:p>
    <w:p w:rsidR="0076253B" w:rsidRPr="00E72405" w:rsidRDefault="0076253B" w:rsidP="002D53E6">
      <w:pPr>
        <w:pStyle w:val="NoSpacing"/>
        <w:rPr>
          <w:rStyle w:val="Emphasis"/>
          <w:rFonts w:ascii="Cambria" w:hAnsi="Cambria"/>
          <w:b/>
          <w:bCs/>
          <w:sz w:val="20"/>
          <w:szCs w:val="20"/>
        </w:rPr>
      </w:pPr>
    </w:p>
    <w:p w:rsidR="0076253B" w:rsidRPr="00E72405" w:rsidRDefault="0076253B" w:rsidP="0076253B">
      <w:pPr>
        <w:numPr>
          <w:ilvl w:val="0"/>
          <w:numId w:val="6"/>
        </w:numPr>
        <w:spacing w:after="0" w:line="240" w:lineRule="auto"/>
        <w:ind w:left="0" w:firstLine="720"/>
        <w:jc w:val="both"/>
        <w:rPr>
          <w:rStyle w:val="st1"/>
          <w:rFonts w:ascii="Cambria" w:hAnsi="Cambria"/>
          <w:sz w:val="20"/>
          <w:szCs w:val="20"/>
        </w:rPr>
      </w:pPr>
      <w:r w:rsidRPr="00E72405">
        <w:rPr>
          <w:rStyle w:val="Emphasis"/>
          <w:rFonts w:ascii="Cambria" w:hAnsi="Cambria" w:cs="Arial"/>
          <w:i w:val="0"/>
          <w:sz w:val="20"/>
          <w:szCs w:val="20"/>
        </w:rPr>
        <w:t xml:space="preserve">The State highlighted the creation of the National Truth Commission (hereinafter “CNV”) on May 16, 2012, under the Office of the Chief of Staff of the President of the Republic.  It indicated that the Commission was instituted through Law 12.528 of November 18, 2011, for the purpose of “examining and shedding light on the serious human rights violations committed between 1946 and 1988” with a view to promoting national reconciliation and the realization of the right to memory and the historic truth.  The State alleged that although Article 4, paragraph 4 of that Law mentions that the “activities of the National Truth Commission shall not be jurisdictional or prosecutorial in nature,” it understands that the CNV did have the authority “to identify the authorship [of violations] and make the results of its </w:t>
      </w:r>
      <w:r w:rsidR="009E4B28" w:rsidRPr="00E72405">
        <w:rPr>
          <w:rStyle w:val="Emphasis"/>
          <w:rFonts w:ascii="Cambria" w:hAnsi="Cambria" w:cs="Arial"/>
          <w:i w:val="0"/>
          <w:sz w:val="20"/>
          <w:szCs w:val="20"/>
        </w:rPr>
        <w:t xml:space="preserve">conclusions </w:t>
      </w:r>
      <w:r w:rsidRPr="00E72405">
        <w:rPr>
          <w:rStyle w:val="Emphasis"/>
          <w:rFonts w:ascii="Cambria" w:hAnsi="Cambria" w:cs="Arial"/>
          <w:i w:val="0"/>
          <w:sz w:val="20"/>
          <w:szCs w:val="20"/>
        </w:rPr>
        <w:t>public.”</w:t>
      </w:r>
      <w:r w:rsidRPr="00E72405">
        <w:rPr>
          <w:rStyle w:val="st1"/>
          <w:rFonts w:ascii="Cambria" w:hAnsi="Cambria" w:cs="Arial"/>
          <w:sz w:val="20"/>
          <w:szCs w:val="20"/>
        </w:rPr>
        <w:t xml:space="preserve"> </w:t>
      </w:r>
    </w:p>
    <w:p w:rsidR="0076253B" w:rsidRPr="00E72405" w:rsidRDefault="0076253B" w:rsidP="002D53E6">
      <w:pPr>
        <w:pStyle w:val="NoSpacing"/>
        <w:rPr>
          <w:rStyle w:val="st1"/>
          <w:rFonts w:ascii="Cambria" w:hAnsi="Cambria"/>
          <w:sz w:val="20"/>
          <w:szCs w:val="20"/>
        </w:rPr>
      </w:pPr>
    </w:p>
    <w:p w:rsidR="0076253B" w:rsidRPr="00E72405" w:rsidRDefault="0076253B" w:rsidP="0076253B">
      <w:pPr>
        <w:numPr>
          <w:ilvl w:val="0"/>
          <w:numId w:val="6"/>
        </w:numPr>
        <w:spacing w:after="0" w:line="240" w:lineRule="auto"/>
        <w:ind w:left="0" w:firstLine="720"/>
        <w:jc w:val="both"/>
        <w:rPr>
          <w:rStyle w:val="Emphasis"/>
          <w:rFonts w:ascii="Cambria" w:hAnsi="Cambria"/>
          <w:b/>
          <w:bCs/>
          <w:sz w:val="20"/>
          <w:szCs w:val="20"/>
        </w:rPr>
      </w:pPr>
      <w:r w:rsidRPr="00E72405">
        <w:rPr>
          <w:rStyle w:val="st1"/>
          <w:rFonts w:ascii="Cambria" w:hAnsi="Cambria" w:cs="Arial"/>
          <w:sz w:val="20"/>
          <w:szCs w:val="20"/>
        </w:rPr>
        <w:t>The State also reported that at the end of its mandate, on December 10, 2014 the National Truth Commission presented a three-volume Report that addressed cases like that of Vladimir Herzog.  Here, Brazil pointed out that the report contained information on the circumstances of his death, the list of State agents that could be responsible for the “serious human rights violations” committed in his case, and his bibliography.</w:t>
      </w:r>
      <w:r w:rsidRPr="00E72405">
        <w:rPr>
          <w:rStyle w:val="Emphasis"/>
          <w:rFonts w:ascii="Cambria" w:hAnsi="Cambria" w:cs="Arial"/>
          <w:i w:val="0"/>
          <w:sz w:val="20"/>
          <w:szCs w:val="20"/>
        </w:rPr>
        <w:t xml:space="preserve"> In its final report, the CNV wrote that “there is no longer any doubt concerning the circumstances surrounding the death of Vladimir Herzog, who was unlawfully detained, tortured and killed by agents of the State in the Second Army’s DOI-CODI facilities in </w:t>
      </w:r>
      <w:r w:rsidRPr="00E72405">
        <w:rPr>
          <w:rStyle w:val="Emphasis"/>
          <w:rFonts w:ascii="Cambria" w:hAnsi="Cambria"/>
          <w:bCs/>
          <w:i w:val="0"/>
          <w:sz w:val="20"/>
          <w:szCs w:val="20"/>
        </w:rPr>
        <w:t>São Paulo in October 1975”.</w:t>
      </w:r>
      <w:r w:rsidRPr="00E72405">
        <w:rPr>
          <w:rStyle w:val="Emphasis"/>
          <w:rFonts w:ascii="Cambria" w:hAnsi="Cambria"/>
          <w:b/>
          <w:bCs/>
          <w:sz w:val="20"/>
          <w:szCs w:val="20"/>
        </w:rPr>
        <w:t xml:space="preserve"> </w:t>
      </w:r>
    </w:p>
    <w:p w:rsidR="0076253B" w:rsidRPr="00E72405" w:rsidRDefault="0076253B" w:rsidP="002D53E6">
      <w:pPr>
        <w:pStyle w:val="NoSpacing"/>
        <w:rPr>
          <w:rStyle w:val="Emphasis"/>
          <w:rFonts w:ascii="Cambria" w:hAnsi="Cambria"/>
          <w:b/>
          <w:bCs/>
          <w:sz w:val="20"/>
          <w:szCs w:val="20"/>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Style w:val="Emphasis"/>
          <w:rFonts w:ascii="Cambria" w:hAnsi="Cambria" w:cs="Arial"/>
          <w:i w:val="0"/>
          <w:sz w:val="20"/>
          <w:szCs w:val="20"/>
        </w:rPr>
        <w:t xml:space="preserve">The Brazilian State also reported that in 2012 </w:t>
      </w:r>
      <w:r w:rsidRPr="00E72405">
        <w:rPr>
          <w:rFonts w:ascii="Cambria" w:hAnsi="Cambria" w:cs="Arial"/>
          <w:iCs/>
          <w:sz w:val="20"/>
          <w:szCs w:val="20"/>
        </w:rPr>
        <w:t>the Second Chamber of Public Records of the São Paulo</w:t>
      </w:r>
      <w:r w:rsidRPr="00E72405">
        <w:rPr>
          <w:rFonts w:ascii="Cambria" w:hAnsi="Cambria" w:cs="Arial"/>
          <w:i/>
          <w:iCs/>
          <w:sz w:val="20"/>
          <w:szCs w:val="20"/>
        </w:rPr>
        <w:t xml:space="preserve"> </w:t>
      </w:r>
      <w:r w:rsidRPr="00E72405">
        <w:rPr>
          <w:rFonts w:ascii="Cambria" w:hAnsi="Cambria" w:cs="Arial"/>
          <w:iCs/>
          <w:sz w:val="20"/>
          <w:szCs w:val="20"/>
        </w:rPr>
        <w:t>State Court</w:t>
      </w:r>
      <w:r w:rsidRPr="00E72405">
        <w:rPr>
          <w:rFonts w:ascii="Cambria" w:hAnsi="Cambria" w:cs="Arial"/>
          <w:i/>
          <w:iCs/>
          <w:sz w:val="20"/>
          <w:szCs w:val="20"/>
        </w:rPr>
        <w:t xml:space="preserve"> </w:t>
      </w:r>
      <w:r w:rsidRPr="00E72405">
        <w:rPr>
          <w:rFonts w:ascii="Cambria" w:hAnsi="Cambria" w:cs="Arial"/>
          <w:iCs/>
          <w:sz w:val="20"/>
          <w:szCs w:val="20"/>
        </w:rPr>
        <w:t>[</w:t>
      </w:r>
      <w:r w:rsidRPr="00E72405">
        <w:rPr>
          <w:rFonts w:ascii="Cambria" w:hAnsi="Cambria" w:cs="Arial"/>
          <w:i/>
          <w:iCs/>
          <w:sz w:val="20"/>
          <w:szCs w:val="20"/>
        </w:rPr>
        <w:t xml:space="preserve">2ª </w:t>
      </w:r>
      <w:proofErr w:type="spellStart"/>
      <w:r w:rsidRPr="00E72405">
        <w:rPr>
          <w:rFonts w:ascii="Cambria" w:hAnsi="Cambria" w:cs="Arial"/>
          <w:i/>
          <w:iCs/>
          <w:sz w:val="20"/>
          <w:szCs w:val="20"/>
        </w:rPr>
        <w:t>Vara</w:t>
      </w:r>
      <w:proofErr w:type="spellEnd"/>
      <w:r w:rsidRPr="00E72405">
        <w:rPr>
          <w:rFonts w:ascii="Cambria" w:hAnsi="Cambria" w:cs="Arial"/>
          <w:i/>
          <w:iCs/>
          <w:sz w:val="20"/>
          <w:szCs w:val="20"/>
        </w:rPr>
        <w:t xml:space="preserve"> de </w:t>
      </w:r>
      <w:proofErr w:type="spellStart"/>
      <w:r w:rsidRPr="00E72405">
        <w:rPr>
          <w:rFonts w:ascii="Cambria" w:hAnsi="Cambria" w:cs="Arial"/>
          <w:i/>
          <w:iCs/>
          <w:sz w:val="20"/>
          <w:szCs w:val="20"/>
        </w:rPr>
        <w:t>Registros</w:t>
      </w:r>
      <w:proofErr w:type="spellEnd"/>
      <w:r w:rsidRPr="00E72405">
        <w:rPr>
          <w:rFonts w:ascii="Cambria" w:hAnsi="Cambria" w:cs="Arial"/>
          <w:i/>
          <w:iCs/>
          <w:sz w:val="20"/>
          <w:szCs w:val="20"/>
        </w:rPr>
        <w:t xml:space="preserve"> </w:t>
      </w:r>
      <w:proofErr w:type="spellStart"/>
      <w:r w:rsidRPr="00E72405">
        <w:rPr>
          <w:rFonts w:ascii="Cambria" w:hAnsi="Cambria" w:cs="Arial"/>
          <w:i/>
          <w:iCs/>
          <w:sz w:val="20"/>
          <w:szCs w:val="20"/>
        </w:rPr>
        <w:t>Públicos</w:t>
      </w:r>
      <w:proofErr w:type="spellEnd"/>
      <w:r w:rsidRPr="00E72405">
        <w:rPr>
          <w:rFonts w:ascii="Cambria" w:hAnsi="Cambria" w:cs="Arial"/>
          <w:i/>
          <w:iCs/>
          <w:sz w:val="20"/>
          <w:szCs w:val="20"/>
        </w:rPr>
        <w:t xml:space="preserve"> do Tribunal de </w:t>
      </w:r>
      <w:proofErr w:type="spellStart"/>
      <w:r w:rsidRPr="00E72405">
        <w:rPr>
          <w:rFonts w:ascii="Cambria" w:hAnsi="Cambria" w:cs="Arial"/>
          <w:i/>
          <w:iCs/>
          <w:sz w:val="20"/>
          <w:szCs w:val="20"/>
        </w:rPr>
        <w:t>Justiça</w:t>
      </w:r>
      <w:proofErr w:type="spellEnd"/>
      <w:r w:rsidRPr="00E72405">
        <w:rPr>
          <w:rFonts w:ascii="Cambria" w:hAnsi="Cambria" w:cs="Arial"/>
          <w:i/>
          <w:iCs/>
          <w:sz w:val="20"/>
          <w:szCs w:val="20"/>
        </w:rPr>
        <w:t xml:space="preserve"> do Estado de </w:t>
      </w:r>
      <w:r w:rsidRPr="00E72405">
        <w:rPr>
          <w:rFonts w:ascii="Cambria" w:hAnsi="Cambria" w:cs="Arial"/>
          <w:iCs/>
          <w:sz w:val="20"/>
          <w:szCs w:val="20"/>
        </w:rPr>
        <w:t>S</w:t>
      </w:r>
      <w:r w:rsidRPr="00E72405">
        <w:rPr>
          <w:rFonts w:ascii="Cambria" w:hAnsi="Cambria" w:cs="Arial"/>
          <w:i/>
          <w:iCs/>
          <w:sz w:val="20"/>
          <w:szCs w:val="20"/>
        </w:rPr>
        <w:t>ão Paulo</w:t>
      </w:r>
      <w:r w:rsidRPr="00E72405">
        <w:rPr>
          <w:rFonts w:ascii="Cambria" w:hAnsi="Cambria" w:cs="Arial"/>
          <w:iCs/>
          <w:sz w:val="20"/>
          <w:szCs w:val="20"/>
        </w:rPr>
        <w:t>]</w:t>
      </w:r>
      <w:r w:rsidR="00D73121" w:rsidRPr="00E72405">
        <w:rPr>
          <w:rFonts w:ascii="Cambria" w:hAnsi="Cambria" w:cs="Arial"/>
          <w:iCs/>
          <w:sz w:val="20"/>
          <w:szCs w:val="20"/>
        </w:rPr>
        <w:t xml:space="preserve"> ordered </w:t>
      </w:r>
      <w:r w:rsidR="00D73121" w:rsidRPr="00E72405">
        <w:rPr>
          <w:rFonts w:ascii="Cambria" w:hAnsi="Cambria" w:cs="Arial"/>
          <w:iCs/>
          <w:sz w:val="20"/>
          <w:szCs w:val="20"/>
        </w:rPr>
        <w:lastRenderedPageBreak/>
        <w:t xml:space="preserve">that </w:t>
      </w:r>
      <w:r w:rsidR="00D73121" w:rsidRPr="00E72405">
        <w:rPr>
          <w:rStyle w:val="Emphasis"/>
          <w:rFonts w:ascii="Cambria" w:hAnsi="Cambria" w:cs="Arial"/>
          <w:i w:val="0"/>
          <w:sz w:val="20"/>
          <w:szCs w:val="20"/>
        </w:rPr>
        <w:t xml:space="preserve">Vladimir Herzog’s death certificate </w:t>
      </w:r>
      <w:r w:rsidR="00D73121" w:rsidRPr="00E72405">
        <w:rPr>
          <w:rFonts w:ascii="Cambria" w:hAnsi="Cambria"/>
          <w:sz w:val="20"/>
          <w:szCs w:val="20"/>
        </w:rPr>
        <w:t>[</w:t>
      </w:r>
      <w:proofErr w:type="spellStart"/>
      <w:r w:rsidR="00D73121" w:rsidRPr="00E72405">
        <w:rPr>
          <w:rFonts w:ascii="Cambria" w:hAnsi="Cambria"/>
          <w:i/>
          <w:sz w:val="20"/>
          <w:szCs w:val="20"/>
        </w:rPr>
        <w:t>assento</w:t>
      </w:r>
      <w:proofErr w:type="spellEnd"/>
      <w:r w:rsidR="00D73121" w:rsidRPr="00E72405">
        <w:rPr>
          <w:rFonts w:ascii="Cambria" w:hAnsi="Cambria"/>
          <w:i/>
          <w:sz w:val="20"/>
          <w:szCs w:val="20"/>
        </w:rPr>
        <w:t xml:space="preserve"> de </w:t>
      </w:r>
      <w:proofErr w:type="spellStart"/>
      <w:r w:rsidR="00D73121" w:rsidRPr="00E72405">
        <w:rPr>
          <w:rFonts w:ascii="Cambria" w:hAnsi="Cambria"/>
          <w:i/>
          <w:sz w:val="20"/>
          <w:szCs w:val="20"/>
        </w:rPr>
        <w:t>óbito</w:t>
      </w:r>
      <w:proofErr w:type="spellEnd"/>
      <w:r w:rsidR="00D73121" w:rsidRPr="00E72405">
        <w:rPr>
          <w:rFonts w:ascii="Cambria" w:hAnsi="Cambria"/>
          <w:sz w:val="20"/>
          <w:szCs w:val="20"/>
        </w:rPr>
        <w:t>] be corrected.</w:t>
      </w:r>
      <w:r w:rsidR="00D73121" w:rsidRPr="00E72405">
        <w:rPr>
          <w:rFonts w:ascii="Cambria" w:hAnsi="Cambria" w:cs="Arial"/>
          <w:iCs/>
          <w:sz w:val="20"/>
          <w:szCs w:val="20"/>
        </w:rPr>
        <w:t xml:space="preserve"> </w:t>
      </w:r>
      <w:r w:rsidR="00D73121" w:rsidRPr="00E72405">
        <w:rPr>
          <w:rFonts w:ascii="Cambria" w:hAnsi="Cambria"/>
          <w:sz w:val="20"/>
          <w:szCs w:val="20"/>
        </w:rPr>
        <w:t>According to the State, t</w:t>
      </w:r>
      <w:r w:rsidRPr="00E72405">
        <w:rPr>
          <w:rFonts w:ascii="Cambria" w:hAnsi="Cambria"/>
          <w:sz w:val="20"/>
          <w:szCs w:val="20"/>
        </w:rPr>
        <w:t xml:space="preserve">he Judge ordered that the record be corrected to show that Vladimir Herzog </w:t>
      </w:r>
      <w:r w:rsidR="0079674C" w:rsidRPr="00E72405">
        <w:rPr>
          <w:rFonts w:ascii="Cambria" w:hAnsi="Cambria"/>
          <w:sz w:val="20"/>
          <w:szCs w:val="20"/>
        </w:rPr>
        <w:t xml:space="preserve">had </w:t>
      </w:r>
      <w:r w:rsidRPr="00E72405">
        <w:rPr>
          <w:rFonts w:ascii="Cambria" w:hAnsi="Cambria"/>
          <w:sz w:val="20"/>
          <w:szCs w:val="20"/>
        </w:rPr>
        <w:t xml:space="preserve">died of injuries and mistreatment suffered while in Army custody. </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Style w:val="Emphasis"/>
          <w:rFonts w:ascii="Cambria" w:hAnsi="Cambria"/>
          <w:bCs/>
          <w:i w:val="0"/>
          <w:sz w:val="20"/>
          <w:szCs w:val="20"/>
        </w:rPr>
      </w:pPr>
      <w:r w:rsidRPr="00E72405">
        <w:rPr>
          <w:rStyle w:val="Emphasis"/>
          <w:rFonts w:ascii="Cambria" w:hAnsi="Cambria"/>
          <w:bCs/>
          <w:i w:val="0"/>
          <w:sz w:val="20"/>
          <w:szCs w:val="20"/>
        </w:rPr>
        <w:t>The State indicated that in its conclusions and recommendations concerning the case of Vladimir Herzog, the CNV had recommended that the</w:t>
      </w:r>
      <w:r w:rsidR="00D73121" w:rsidRPr="00E72405">
        <w:rPr>
          <w:rStyle w:val="Emphasis"/>
          <w:rFonts w:ascii="Cambria" w:hAnsi="Cambria"/>
          <w:bCs/>
          <w:i w:val="0"/>
          <w:sz w:val="20"/>
          <w:szCs w:val="20"/>
        </w:rPr>
        <w:t xml:space="preserve"> criminal</w:t>
      </w:r>
      <w:r w:rsidRPr="00E72405">
        <w:rPr>
          <w:rStyle w:val="Emphasis"/>
          <w:rFonts w:ascii="Cambria" w:hAnsi="Cambria"/>
          <w:bCs/>
          <w:i w:val="0"/>
          <w:sz w:val="20"/>
          <w:szCs w:val="20"/>
        </w:rPr>
        <w:t xml:space="preserve"> investigations be continued with a view to identifying and establishing the responsibility of the agents involved.  In this regard, Brazil indicated that the CNV’s final report had recommended establishment of a permanent body, with the authority to follow up on the CNV’s actions and recommendations</w:t>
      </w:r>
      <w:r w:rsidR="002F323E" w:rsidRPr="00E72405">
        <w:rPr>
          <w:rStyle w:val="Emphasis"/>
          <w:rFonts w:ascii="Cambria" w:hAnsi="Cambria"/>
          <w:bCs/>
          <w:i w:val="0"/>
          <w:sz w:val="20"/>
          <w:szCs w:val="20"/>
        </w:rPr>
        <w:t>. Added</w:t>
      </w:r>
      <w:r w:rsidRPr="00E72405">
        <w:rPr>
          <w:rStyle w:val="Emphasis"/>
          <w:rFonts w:ascii="Cambria" w:hAnsi="Cambria"/>
          <w:bCs/>
          <w:i w:val="0"/>
          <w:sz w:val="20"/>
          <w:szCs w:val="20"/>
        </w:rPr>
        <w:t xml:space="preserve"> that the CNV’s efforts serve not just to prevent a recurrence of such violations, but also support </w:t>
      </w:r>
      <w:r w:rsidR="002F323E" w:rsidRPr="00E72405">
        <w:rPr>
          <w:rStyle w:val="Emphasis"/>
          <w:rFonts w:ascii="Cambria" w:hAnsi="Cambria"/>
          <w:bCs/>
          <w:i w:val="0"/>
          <w:sz w:val="20"/>
          <w:szCs w:val="20"/>
        </w:rPr>
        <w:t xml:space="preserve">the </w:t>
      </w:r>
      <w:r w:rsidRPr="00E72405">
        <w:rPr>
          <w:rStyle w:val="Emphasis"/>
          <w:rFonts w:ascii="Cambria" w:hAnsi="Cambria"/>
          <w:bCs/>
          <w:i w:val="0"/>
          <w:sz w:val="20"/>
          <w:szCs w:val="20"/>
        </w:rPr>
        <w:t xml:space="preserve">strengthen </w:t>
      </w:r>
      <w:r w:rsidR="002F323E" w:rsidRPr="00E72405">
        <w:rPr>
          <w:rStyle w:val="Emphasis"/>
          <w:rFonts w:ascii="Cambria" w:hAnsi="Cambria"/>
          <w:bCs/>
          <w:i w:val="0"/>
          <w:sz w:val="20"/>
          <w:szCs w:val="20"/>
        </w:rPr>
        <w:t xml:space="preserve">of </w:t>
      </w:r>
      <w:r w:rsidRPr="00E72405">
        <w:rPr>
          <w:rStyle w:val="Emphasis"/>
          <w:rFonts w:ascii="Cambria" w:hAnsi="Cambria"/>
          <w:bCs/>
          <w:i w:val="0"/>
          <w:sz w:val="20"/>
          <w:szCs w:val="20"/>
        </w:rPr>
        <w:t xml:space="preserve">criminal investigation procedures and the criminal cases brought by the Federal Public Prosecutor’s Office. </w:t>
      </w:r>
    </w:p>
    <w:p w:rsidR="0076253B" w:rsidRPr="00E72405" w:rsidRDefault="0076253B" w:rsidP="002D53E6">
      <w:pPr>
        <w:pStyle w:val="NoSpacing"/>
        <w:rPr>
          <w:rStyle w:val="Emphasis"/>
          <w:rFonts w:ascii="Cambria" w:hAnsi="Cambria"/>
          <w:b/>
          <w:bCs/>
          <w:sz w:val="20"/>
          <w:szCs w:val="20"/>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Style w:val="Emphasis"/>
          <w:rFonts w:ascii="Cambria" w:hAnsi="Cambria"/>
          <w:bCs/>
          <w:i w:val="0"/>
          <w:sz w:val="20"/>
          <w:szCs w:val="20"/>
        </w:rPr>
        <w:t>According to the State, three bills currently before the National Congress and two constitutionality control cases now before the Federal Supreme Court (hereinafter the “STF) are seeking amendment of Law No. 6.683/79 (Amnesty Law).</w:t>
      </w:r>
    </w:p>
    <w:p w:rsidR="0076253B" w:rsidRPr="00E72405" w:rsidRDefault="0076253B" w:rsidP="002D53E6">
      <w:pPr>
        <w:pStyle w:val="NoSpacing"/>
        <w:rPr>
          <w:rFonts w:ascii="Cambria" w:hAnsi="Cambria"/>
        </w:rPr>
      </w:pPr>
    </w:p>
    <w:p w:rsidR="0076253B" w:rsidRPr="00E72405" w:rsidRDefault="0076253B" w:rsidP="00884CE0">
      <w:pPr>
        <w:numPr>
          <w:ilvl w:val="0"/>
          <w:numId w:val="6"/>
        </w:numPr>
        <w:spacing w:after="0" w:line="240" w:lineRule="auto"/>
        <w:ind w:left="0" w:firstLine="720"/>
        <w:jc w:val="both"/>
        <w:rPr>
          <w:rStyle w:val="Emphasis"/>
          <w:rFonts w:ascii="Cambria" w:hAnsi="Cambria"/>
          <w:bCs/>
          <w:i w:val="0"/>
          <w:sz w:val="20"/>
          <w:szCs w:val="20"/>
        </w:rPr>
      </w:pPr>
      <w:r w:rsidRPr="00E72405">
        <w:rPr>
          <w:rStyle w:val="Emphasis"/>
          <w:rFonts w:ascii="Cambria" w:hAnsi="Cambria"/>
          <w:bCs/>
          <w:i w:val="0"/>
          <w:sz w:val="20"/>
          <w:szCs w:val="20"/>
        </w:rPr>
        <w:t>On the matter of legislative reform, the State reported that with the bills known as PL 573/2011 the Legislative Branch was working toward an “authentic interpretation” of the provision contained in Article 1, paragraph 1 of the Amnesty Law, to ensure that the concept of “related crime” “[d]</w:t>
      </w:r>
      <w:proofErr w:type="spellStart"/>
      <w:r w:rsidRPr="00E72405">
        <w:rPr>
          <w:rStyle w:val="Emphasis"/>
          <w:rFonts w:ascii="Cambria" w:hAnsi="Cambria"/>
          <w:bCs/>
          <w:i w:val="0"/>
          <w:sz w:val="20"/>
          <w:szCs w:val="20"/>
        </w:rPr>
        <w:t>oes</w:t>
      </w:r>
      <w:proofErr w:type="spellEnd"/>
      <w:r w:rsidRPr="00E72405">
        <w:rPr>
          <w:rStyle w:val="Emphasis"/>
          <w:rFonts w:ascii="Cambria" w:hAnsi="Cambria"/>
          <w:bCs/>
          <w:i w:val="0"/>
          <w:sz w:val="20"/>
          <w:szCs w:val="20"/>
        </w:rPr>
        <w:t xml:space="preserve"> not include crimes committed by public officials, be they military or civilian, against persons who committed or are suspected of having committed political crimes.”  </w:t>
      </w:r>
      <w:r w:rsidR="002F323E" w:rsidRPr="00E72405">
        <w:rPr>
          <w:rStyle w:val="Emphasis"/>
          <w:rFonts w:ascii="Cambria" w:hAnsi="Cambria"/>
          <w:bCs/>
          <w:i w:val="0"/>
          <w:sz w:val="20"/>
          <w:szCs w:val="20"/>
        </w:rPr>
        <w:t>For its part, the PL 7.357/2014 seeks to ex</w:t>
      </w:r>
      <w:r w:rsidR="00B02114" w:rsidRPr="00E72405">
        <w:rPr>
          <w:rStyle w:val="Emphasis"/>
          <w:rFonts w:ascii="Cambria" w:hAnsi="Cambria"/>
          <w:bCs/>
          <w:i w:val="0"/>
          <w:sz w:val="20"/>
          <w:szCs w:val="20"/>
        </w:rPr>
        <w:t>clude from the Amnesty Law "[t]</w:t>
      </w:r>
      <w:r w:rsidR="002F323E" w:rsidRPr="00E72405">
        <w:rPr>
          <w:rStyle w:val="Emphasis"/>
          <w:rFonts w:ascii="Cambria" w:hAnsi="Cambria"/>
          <w:bCs/>
          <w:i w:val="0"/>
          <w:sz w:val="20"/>
          <w:szCs w:val="20"/>
        </w:rPr>
        <w:t>he public</w:t>
      </w:r>
      <w:r w:rsidR="00B02114" w:rsidRPr="00E72405">
        <w:rPr>
          <w:rStyle w:val="Emphasis"/>
          <w:rFonts w:ascii="Cambria" w:hAnsi="Cambria"/>
          <w:bCs/>
          <w:i w:val="0"/>
          <w:sz w:val="20"/>
          <w:szCs w:val="20"/>
        </w:rPr>
        <w:t xml:space="preserve"> agents, militaries and civilians </w:t>
      </w:r>
      <w:r w:rsidR="002F323E" w:rsidRPr="00E72405">
        <w:rPr>
          <w:rStyle w:val="Emphasis"/>
          <w:rFonts w:ascii="Cambria" w:hAnsi="Cambria"/>
          <w:bCs/>
          <w:i w:val="0"/>
          <w:sz w:val="20"/>
          <w:szCs w:val="20"/>
        </w:rPr>
        <w:t xml:space="preserve">who have done crimes of torture, kidnapping, private detention, summary execution, hiding </w:t>
      </w:r>
      <w:r w:rsidR="00B02114" w:rsidRPr="00E72405">
        <w:rPr>
          <w:rStyle w:val="Emphasis"/>
          <w:rFonts w:ascii="Cambria" w:hAnsi="Cambria"/>
          <w:bCs/>
          <w:i w:val="0"/>
          <w:sz w:val="20"/>
          <w:szCs w:val="20"/>
        </w:rPr>
        <w:t>body or assault</w:t>
      </w:r>
      <w:r w:rsidR="002F323E" w:rsidRPr="00E72405">
        <w:rPr>
          <w:rStyle w:val="Emphasis"/>
          <w:rFonts w:ascii="Cambria" w:hAnsi="Cambria"/>
          <w:bCs/>
          <w:i w:val="0"/>
          <w:sz w:val="20"/>
          <w:szCs w:val="20"/>
        </w:rPr>
        <w:t>." On April 9, 2014 it was determined that it was attached to the PL 573/2011</w:t>
      </w:r>
      <w:r w:rsidR="00884CE0" w:rsidRPr="00E72405">
        <w:rPr>
          <w:rStyle w:val="Emphasis"/>
          <w:rFonts w:ascii="Cambria" w:hAnsi="Cambria"/>
          <w:bCs/>
          <w:i w:val="0"/>
          <w:sz w:val="20"/>
          <w:szCs w:val="20"/>
        </w:rPr>
        <w:t xml:space="preserve">. </w:t>
      </w:r>
      <w:r w:rsidRPr="00E72405">
        <w:rPr>
          <w:rStyle w:val="Emphasis"/>
          <w:rFonts w:ascii="Cambria" w:hAnsi="Cambria"/>
          <w:bCs/>
          <w:i w:val="0"/>
          <w:sz w:val="20"/>
          <w:szCs w:val="20"/>
        </w:rPr>
        <w:t>Reference was also made to the bill referred to as PL 237</w:t>
      </w:r>
      <w:r w:rsidR="002F323E" w:rsidRPr="00E72405">
        <w:rPr>
          <w:rStyle w:val="Emphasis"/>
          <w:rFonts w:ascii="Cambria" w:hAnsi="Cambria"/>
          <w:bCs/>
          <w:i w:val="0"/>
          <w:sz w:val="20"/>
          <w:szCs w:val="20"/>
        </w:rPr>
        <w:t>/2013</w:t>
      </w:r>
      <w:r w:rsidRPr="00E72405">
        <w:rPr>
          <w:rStyle w:val="Emphasis"/>
          <w:rFonts w:ascii="Cambria" w:hAnsi="Cambria"/>
          <w:bCs/>
          <w:i w:val="0"/>
          <w:sz w:val="20"/>
          <w:szCs w:val="20"/>
        </w:rPr>
        <w:t xml:space="preserve"> which defines the expression “related crime” contained in Article 1, paragraph 1 of the Amnesty Law in the manner described above, and establishes that the statutory limitation or other bases for extinction of the ability of the State to enforce punishment, shall not apply to crimes not included in the legally granted amnesty.  </w:t>
      </w:r>
    </w:p>
    <w:p w:rsidR="0076253B" w:rsidRPr="00E72405" w:rsidRDefault="0076253B" w:rsidP="0076253B">
      <w:pPr>
        <w:pStyle w:val="ListParagraph"/>
        <w:rPr>
          <w:rStyle w:val="Emphasis"/>
          <w:b/>
          <w:bCs/>
          <w:i w:val="0"/>
          <w:sz w:val="20"/>
          <w:szCs w:val="20"/>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Style w:val="Emphasis"/>
          <w:rFonts w:ascii="Cambria" w:hAnsi="Cambria"/>
          <w:bCs/>
          <w:i w:val="0"/>
          <w:sz w:val="20"/>
          <w:szCs w:val="20"/>
        </w:rPr>
        <w:t xml:space="preserve">As for the cases before the Federal Supreme Court, the State indicated that </w:t>
      </w:r>
      <w:r w:rsidR="00884CE0" w:rsidRPr="00E72405">
        <w:rPr>
          <w:rStyle w:val="Emphasis"/>
          <w:rFonts w:ascii="Cambria" w:hAnsi="Cambria"/>
          <w:bCs/>
          <w:i w:val="0"/>
          <w:sz w:val="20"/>
          <w:szCs w:val="20"/>
        </w:rPr>
        <w:t xml:space="preserve">there are </w:t>
      </w:r>
      <w:r w:rsidRPr="00E72405">
        <w:rPr>
          <w:rStyle w:val="Emphasis"/>
          <w:rFonts w:ascii="Cambria" w:hAnsi="Cambria"/>
          <w:bCs/>
          <w:i w:val="0"/>
          <w:sz w:val="20"/>
          <w:szCs w:val="20"/>
        </w:rPr>
        <w:t xml:space="preserve">two cases currently </w:t>
      </w:r>
      <w:r w:rsidRPr="00E72405">
        <w:rPr>
          <w:rFonts w:ascii="Cambria" w:hAnsi="Cambria"/>
          <w:sz w:val="20"/>
          <w:szCs w:val="20"/>
        </w:rPr>
        <w:t xml:space="preserve">before the Supreme Court (STF) claiming non-compliance with a fundamental precept (ADPF) </w:t>
      </w:r>
      <w:r w:rsidRPr="00E72405">
        <w:rPr>
          <w:rFonts w:ascii="Cambria" w:hAnsi="Cambria"/>
          <w:sz w:val="20"/>
          <w:szCs w:val="20"/>
          <w:shd w:val="clear" w:color="auto" w:fill="FFFFFF"/>
        </w:rPr>
        <w:t>[“</w:t>
      </w:r>
      <w:proofErr w:type="spellStart"/>
      <w:r w:rsidRPr="00E72405">
        <w:rPr>
          <w:rFonts w:ascii="Cambria" w:hAnsi="Cambria"/>
          <w:i/>
          <w:iCs/>
          <w:sz w:val="20"/>
          <w:szCs w:val="20"/>
          <w:shd w:val="clear" w:color="auto" w:fill="FFFFFF"/>
        </w:rPr>
        <w:t>Arguição</w:t>
      </w:r>
      <w:proofErr w:type="spellEnd"/>
      <w:r w:rsidRPr="00E72405">
        <w:rPr>
          <w:rFonts w:ascii="Cambria" w:hAnsi="Cambria"/>
          <w:i/>
          <w:iCs/>
          <w:sz w:val="20"/>
          <w:szCs w:val="20"/>
          <w:shd w:val="clear" w:color="auto" w:fill="FFFFFF"/>
        </w:rPr>
        <w:t xml:space="preserve"> de </w:t>
      </w:r>
      <w:proofErr w:type="spellStart"/>
      <w:r w:rsidRPr="00E72405">
        <w:rPr>
          <w:rFonts w:ascii="Cambria" w:hAnsi="Cambria"/>
          <w:i/>
          <w:iCs/>
          <w:sz w:val="20"/>
          <w:szCs w:val="20"/>
          <w:shd w:val="clear" w:color="auto" w:fill="FFFFFF"/>
        </w:rPr>
        <w:t>Preceito</w:t>
      </w:r>
      <w:proofErr w:type="spellEnd"/>
      <w:r w:rsidRPr="00E72405">
        <w:rPr>
          <w:rFonts w:ascii="Cambria" w:hAnsi="Cambria"/>
          <w:i/>
          <w:iCs/>
          <w:sz w:val="20"/>
          <w:szCs w:val="20"/>
          <w:shd w:val="clear" w:color="auto" w:fill="FFFFFF"/>
        </w:rPr>
        <w:t xml:space="preserve"> Fundamental</w:t>
      </w:r>
      <w:r w:rsidRPr="00E72405">
        <w:rPr>
          <w:rFonts w:ascii="Cambria" w:hAnsi="Cambria"/>
          <w:iCs/>
          <w:sz w:val="20"/>
          <w:szCs w:val="20"/>
          <w:shd w:val="clear" w:color="auto" w:fill="FFFFFF"/>
        </w:rPr>
        <w:t>”</w:t>
      </w:r>
      <w:r w:rsidRPr="00E72405">
        <w:rPr>
          <w:rFonts w:ascii="Cambria" w:hAnsi="Cambria"/>
          <w:sz w:val="20"/>
          <w:szCs w:val="20"/>
          <w:shd w:val="clear" w:color="auto" w:fill="FFFFFF"/>
        </w:rPr>
        <w:t>]</w:t>
      </w:r>
      <w:r w:rsidR="00884CE0" w:rsidRPr="00E72405">
        <w:rPr>
          <w:rFonts w:ascii="Cambria" w:hAnsi="Cambria"/>
          <w:sz w:val="20"/>
          <w:szCs w:val="20"/>
          <w:shd w:val="clear" w:color="auto" w:fill="FFFFFF"/>
        </w:rPr>
        <w:t>.</w:t>
      </w:r>
      <w:r w:rsidRPr="00E72405">
        <w:rPr>
          <w:rFonts w:ascii="Cambria" w:hAnsi="Cambria"/>
          <w:sz w:val="20"/>
          <w:szCs w:val="20"/>
          <w:shd w:val="clear" w:color="auto" w:fill="FFFFFF"/>
        </w:rPr>
        <w:t xml:space="preserve"> </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Style w:val="Emphasis"/>
          <w:rFonts w:ascii="Cambria" w:hAnsi="Cambria"/>
          <w:b/>
          <w:bCs/>
          <w:sz w:val="20"/>
          <w:szCs w:val="20"/>
        </w:rPr>
      </w:pPr>
      <w:r w:rsidRPr="00E72405">
        <w:rPr>
          <w:rFonts w:ascii="Cambria" w:hAnsi="Cambria"/>
          <w:sz w:val="20"/>
          <w:szCs w:val="20"/>
        </w:rPr>
        <w:t>The State reported that on April 20, 2010, the Federal Supreme Court (STF) delivered a judgment in ADPF 153, but the Brazilian Bar Association [“</w:t>
      </w:r>
      <w:proofErr w:type="spellStart"/>
      <w:r w:rsidRPr="00E72405">
        <w:rPr>
          <w:rFonts w:ascii="Cambria" w:hAnsi="Cambria"/>
          <w:i/>
          <w:sz w:val="20"/>
          <w:szCs w:val="20"/>
        </w:rPr>
        <w:t>Ordem</w:t>
      </w:r>
      <w:proofErr w:type="spellEnd"/>
      <w:r w:rsidRPr="00E72405">
        <w:rPr>
          <w:rFonts w:ascii="Cambria" w:hAnsi="Cambria"/>
          <w:i/>
          <w:sz w:val="20"/>
          <w:szCs w:val="20"/>
        </w:rPr>
        <w:t xml:space="preserve"> dos </w:t>
      </w:r>
      <w:proofErr w:type="spellStart"/>
      <w:r w:rsidRPr="00E72405">
        <w:rPr>
          <w:rFonts w:ascii="Cambria" w:hAnsi="Cambria"/>
          <w:i/>
          <w:sz w:val="20"/>
          <w:szCs w:val="20"/>
        </w:rPr>
        <w:t>Advogados</w:t>
      </w:r>
      <w:proofErr w:type="spellEnd"/>
      <w:r w:rsidRPr="00E72405">
        <w:rPr>
          <w:rFonts w:ascii="Cambria" w:hAnsi="Cambria"/>
          <w:i/>
          <w:sz w:val="20"/>
          <w:szCs w:val="20"/>
        </w:rPr>
        <w:t xml:space="preserve"> do </w:t>
      </w:r>
      <w:proofErr w:type="spellStart"/>
      <w:r w:rsidRPr="00E72405">
        <w:rPr>
          <w:rFonts w:ascii="Cambria" w:hAnsi="Cambria"/>
          <w:i/>
          <w:sz w:val="20"/>
          <w:szCs w:val="20"/>
        </w:rPr>
        <w:t>Brasil</w:t>
      </w:r>
      <w:proofErr w:type="spellEnd"/>
      <w:r w:rsidRPr="00E72405">
        <w:rPr>
          <w:rFonts w:ascii="Cambria" w:hAnsi="Cambria"/>
          <w:sz w:val="20"/>
          <w:szCs w:val="20"/>
        </w:rPr>
        <w:t>”] filed a motion for clarification [“</w:t>
      </w:r>
      <w:r w:rsidRPr="00E72405">
        <w:rPr>
          <w:rStyle w:val="Emphasis"/>
          <w:rFonts w:ascii="Cambria" w:hAnsi="Cambria"/>
          <w:bCs/>
          <w:sz w:val="20"/>
          <w:szCs w:val="20"/>
        </w:rPr>
        <w:t xml:space="preserve">embargos de </w:t>
      </w:r>
      <w:proofErr w:type="spellStart"/>
      <w:r w:rsidRPr="00E72405">
        <w:rPr>
          <w:rStyle w:val="Emphasis"/>
          <w:rFonts w:ascii="Cambria" w:hAnsi="Cambria"/>
          <w:bCs/>
          <w:sz w:val="20"/>
          <w:szCs w:val="20"/>
        </w:rPr>
        <w:t>declaração</w:t>
      </w:r>
      <w:proofErr w:type="spellEnd"/>
      <w:r w:rsidRPr="00E72405">
        <w:rPr>
          <w:rStyle w:val="Emphasis"/>
          <w:rFonts w:ascii="Cambria" w:hAnsi="Cambria"/>
          <w:bCs/>
          <w:sz w:val="20"/>
          <w:szCs w:val="20"/>
        </w:rPr>
        <w:t>”</w:t>
      </w:r>
      <w:r w:rsidRPr="00E72405">
        <w:rPr>
          <w:rStyle w:val="Emphasis"/>
          <w:rFonts w:ascii="Cambria" w:hAnsi="Cambria"/>
          <w:bCs/>
          <w:i w:val="0"/>
          <w:sz w:val="20"/>
          <w:szCs w:val="20"/>
        </w:rPr>
        <w:t xml:space="preserve">] </w:t>
      </w:r>
      <w:r w:rsidR="005E6CD9" w:rsidRPr="00E72405">
        <w:rPr>
          <w:rStyle w:val="Emphasis"/>
          <w:rFonts w:ascii="Cambria" w:hAnsi="Cambria"/>
          <w:bCs/>
          <w:i w:val="0"/>
          <w:sz w:val="20"/>
          <w:szCs w:val="20"/>
        </w:rPr>
        <w:t xml:space="preserve">that has </w:t>
      </w:r>
      <w:r w:rsidRPr="00E72405">
        <w:rPr>
          <w:rStyle w:val="Emphasis"/>
          <w:rFonts w:ascii="Cambria" w:hAnsi="Cambria"/>
          <w:bCs/>
          <w:i w:val="0"/>
          <w:sz w:val="20"/>
          <w:szCs w:val="20"/>
        </w:rPr>
        <w:t xml:space="preserve">not yet </w:t>
      </w:r>
      <w:r w:rsidR="005E6CD9" w:rsidRPr="00E72405">
        <w:rPr>
          <w:rStyle w:val="Emphasis"/>
          <w:rFonts w:ascii="Cambria" w:hAnsi="Cambria"/>
          <w:bCs/>
          <w:i w:val="0"/>
          <w:sz w:val="20"/>
          <w:szCs w:val="20"/>
        </w:rPr>
        <w:t xml:space="preserve">been </w:t>
      </w:r>
      <w:r w:rsidRPr="00E72405">
        <w:rPr>
          <w:rStyle w:val="Emphasis"/>
          <w:rFonts w:ascii="Cambria" w:hAnsi="Cambria"/>
          <w:bCs/>
          <w:i w:val="0"/>
          <w:sz w:val="20"/>
          <w:szCs w:val="20"/>
        </w:rPr>
        <w:t xml:space="preserve">decided. Likewise, </w:t>
      </w:r>
      <w:r w:rsidR="00884CE0" w:rsidRPr="00E72405">
        <w:rPr>
          <w:rStyle w:val="Emphasis"/>
          <w:rFonts w:ascii="Cambria" w:hAnsi="Cambria"/>
          <w:bCs/>
          <w:i w:val="0"/>
          <w:sz w:val="20"/>
          <w:szCs w:val="20"/>
        </w:rPr>
        <w:t xml:space="preserve">claimed that </w:t>
      </w:r>
      <w:r w:rsidRPr="00E72405">
        <w:rPr>
          <w:rStyle w:val="Emphasis"/>
          <w:rFonts w:ascii="Cambria" w:hAnsi="Cambria"/>
          <w:bCs/>
          <w:i w:val="0"/>
          <w:sz w:val="20"/>
          <w:szCs w:val="20"/>
        </w:rPr>
        <w:t xml:space="preserve">on March 21, 2011, the Bar Association petitioned the STF asking that when delivering its decision on the motion for clarification, it address “specifically the enforceability, in [Brazil], of the judgment delivered by the Inter-American Court on November 24, 2010 in the </w:t>
      </w:r>
      <w:r w:rsidRPr="00E72405">
        <w:rPr>
          <w:rStyle w:val="Emphasis"/>
          <w:rFonts w:ascii="Cambria" w:hAnsi="Cambria"/>
          <w:bCs/>
          <w:sz w:val="20"/>
          <w:szCs w:val="20"/>
        </w:rPr>
        <w:t>Case of Gomes Lund et al. (“</w:t>
      </w:r>
      <w:proofErr w:type="spellStart"/>
      <w:r w:rsidRPr="00E72405">
        <w:rPr>
          <w:rStyle w:val="Emphasis"/>
          <w:rFonts w:ascii="Cambria" w:hAnsi="Cambria"/>
          <w:bCs/>
          <w:sz w:val="20"/>
          <w:szCs w:val="20"/>
        </w:rPr>
        <w:t>Guerrilha</w:t>
      </w:r>
      <w:proofErr w:type="spellEnd"/>
      <w:r w:rsidRPr="00E72405">
        <w:rPr>
          <w:rStyle w:val="Emphasis"/>
          <w:rFonts w:ascii="Cambria" w:hAnsi="Cambria"/>
          <w:bCs/>
          <w:sz w:val="20"/>
          <w:szCs w:val="20"/>
        </w:rPr>
        <w:t xml:space="preserve"> do Araguaia”) v. Brazil</w:t>
      </w:r>
      <w:r w:rsidR="00884CE0" w:rsidRPr="00E72405">
        <w:rPr>
          <w:rStyle w:val="Emphasis"/>
          <w:rFonts w:ascii="Cambria" w:hAnsi="Cambria"/>
          <w:bCs/>
          <w:sz w:val="20"/>
          <w:szCs w:val="20"/>
        </w:rPr>
        <w:t>.</w:t>
      </w:r>
      <w:r w:rsidRPr="00E72405">
        <w:rPr>
          <w:rStyle w:val="Emphasis"/>
          <w:rFonts w:ascii="Cambria" w:hAnsi="Cambria"/>
          <w:bCs/>
          <w:sz w:val="20"/>
          <w:szCs w:val="20"/>
        </w:rPr>
        <w:t xml:space="preserve"> </w:t>
      </w:r>
    </w:p>
    <w:p w:rsidR="0076253B" w:rsidRPr="00E72405" w:rsidRDefault="0076253B" w:rsidP="002D53E6">
      <w:pPr>
        <w:pStyle w:val="NoSpacing"/>
        <w:rPr>
          <w:rStyle w:val="Emphasis"/>
          <w:rFonts w:ascii="Cambria" w:hAnsi="Cambria"/>
          <w:b/>
          <w:bCs/>
          <w:sz w:val="20"/>
          <w:szCs w:val="20"/>
        </w:rPr>
      </w:pPr>
    </w:p>
    <w:p w:rsidR="0076253B" w:rsidRPr="00E72405" w:rsidRDefault="0076253B" w:rsidP="0076253B">
      <w:pPr>
        <w:numPr>
          <w:ilvl w:val="0"/>
          <w:numId w:val="6"/>
        </w:numPr>
        <w:spacing w:after="0" w:line="240" w:lineRule="auto"/>
        <w:ind w:left="0" w:firstLine="720"/>
        <w:jc w:val="both"/>
        <w:rPr>
          <w:rStyle w:val="apple-converted-space"/>
          <w:rFonts w:ascii="Cambria" w:hAnsi="Cambria"/>
          <w:sz w:val="20"/>
          <w:szCs w:val="20"/>
        </w:rPr>
      </w:pPr>
      <w:r w:rsidRPr="00E72405">
        <w:rPr>
          <w:rStyle w:val="Emphasis"/>
          <w:rFonts w:ascii="Cambria" w:hAnsi="Cambria"/>
          <w:bCs/>
          <w:i w:val="0"/>
          <w:sz w:val="20"/>
          <w:szCs w:val="20"/>
        </w:rPr>
        <w:t xml:space="preserve">Brazil indicated that ADPF 320 was filed in May 2014, seeking a finding from the STF declaring that the Amnesty Law, “in general, does not apply to crimes involving serious human rights violations committed by public officials, be they military or civilian, against persons who committed or are suspected of having committed political crimes; and, in particular, that the Law does not apply to the authors of continuing or permanent crimes, since the effects of this provision expired on August 15, 1979 (Article 1).”  The ADPF also requested that the Brazilian State comply “fully” with the twelve operative paragraphs of the Inter-American Court’s judgment in the </w:t>
      </w:r>
      <w:r w:rsidRPr="00E72405">
        <w:rPr>
          <w:rStyle w:val="Emphasis"/>
          <w:rFonts w:ascii="Cambria" w:hAnsi="Cambria"/>
          <w:bCs/>
          <w:sz w:val="20"/>
          <w:szCs w:val="20"/>
        </w:rPr>
        <w:t>Case of Gomes Lund et al.</w:t>
      </w:r>
      <w:r w:rsidRPr="00E72405">
        <w:rPr>
          <w:rFonts w:ascii="Cambria" w:hAnsi="Cambria"/>
          <w:i/>
          <w:sz w:val="20"/>
          <w:szCs w:val="20"/>
        </w:rPr>
        <w:t xml:space="preserve"> </w:t>
      </w:r>
    </w:p>
    <w:p w:rsidR="0076253B" w:rsidRPr="00E72405" w:rsidRDefault="0076253B" w:rsidP="002D53E6">
      <w:pPr>
        <w:pStyle w:val="NoSpacing"/>
        <w:rPr>
          <w:rStyle w:val="Emphasis"/>
          <w:rFonts w:ascii="Cambria" w:hAnsi="Cambria"/>
          <w:b/>
          <w:bCs/>
          <w:sz w:val="20"/>
          <w:szCs w:val="20"/>
        </w:rPr>
      </w:pPr>
    </w:p>
    <w:p w:rsidR="00534E7F" w:rsidRPr="00E72405" w:rsidRDefault="00534E7F" w:rsidP="007A173A">
      <w:pPr>
        <w:numPr>
          <w:ilvl w:val="0"/>
          <w:numId w:val="6"/>
        </w:numPr>
        <w:spacing w:after="0" w:line="240" w:lineRule="auto"/>
        <w:ind w:left="0" w:firstLine="720"/>
        <w:jc w:val="both"/>
        <w:rPr>
          <w:rStyle w:val="hps"/>
          <w:rFonts w:ascii="Cambria" w:hAnsi="Cambria"/>
          <w:b/>
          <w:sz w:val="20"/>
          <w:szCs w:val="20"/>
        </w:rPr>
      </w:pPr>
      <w:r w:rsidRPr="00E72405">
        <w:rPr>
          <w:rStyle w:val="hps"/>
          <w:rFonts w:ascii="Cambria" w:hAnsi="Cambria" w:cs="Arial"/>
          <w:color w:val="222222"/>
          <w:sz w:val="20"/>
          <w:szCs w:val="20"/>
          <w:lang w:val="en"/>
        </w:rPr>
        <w:t>The State reported that</w:t>
      </w:r>
      <w:r w:rsidRPr="00E72405">
        <w:rPr>
          <w:rFonts w:ascii="Cambria" w:hAnsi="Cambria" w:cs="Arial"/>
          <w:color w:val="222222"/>
          <w:sz w:val="20"/>
          <w:szCs w:val="20"/>
          <w:lang w:val="en"/>
        </w:rPr>
        <w:t xml:space="preserve"> </w:t>
      </w:r>
      <w:r w:rsidRPr="00E72405">
        <w:rPr>
          <w:rStyle w:val="hps"/>
          <w:rFonts w:ascii="Cambria" w:hAnsi="Cambria" w:cs="Arial"/>
          <w:color w:val="222222"/>
          <w:sz w:val="20"/>
          <w:szCs w:val="20"/>
          <w:lang w:val="en"/>
        </w:rPr>
        <w:t>the</w:t>
      </w:r>
      <w:r w:rsidRPr="00E72405">
        <w:rPr>
          <w:rFonts w:ascii="Cambria" w:hAnsi="Cambria" w:cs="Arial"/>
          <w:color w:val="222222"/>
          <w:sz w:val="20"/>
          <w:szCs w:val="20"/>
          <w:lang w:val="en"/>
        </w:rPr>
        <w:t xml:space="preserve"> </w:t>
      </w:r>
      <w:r w:rsidRPr="00E72405">
        <w:rPr>
          <w:rStyle w:val="hps"/>
          <w:rFonts w:ascii="Cambria" w:hAnsi="Cambria" w:cs="Arial"/>
          <w:color w:val="222222"/>
          <w:sz w:val="20"/>
          <w:szCs w:val="20"/>
          <w:lang w:val="en"/>
        </w:rPr>
        <w:t>ADPF</w:t>
      </w:r>
      <w:r w:rsidRPr="00E72405">
        <w:rPr>
          <w:rFonts w:ascii="Cambria" w:hAnsi="Cambria" w:cs="Arial"/>
          <w:color w:val="222222"/>
          <w:sz w:val="20"/>
          <w:szCs w:val="20"/>
          <w:lang w:val="en"/>
        </w:rPr>
        <w:t xml:space="preserve"> </w:t>
      </w:r>
      <w:r w:rsidRPr="00E72405">
        <w:rPr>
          <w:rStyle w:val="hps"/>
          <w:rFonts w:ascii="Cambria" w:hAnsi="Cambria" w:cs="Arial"/>
          <w:color w:val="222222"/>
          <w:sz w:val="20"/>
          <w:szCs w:val="20"/>
          <w:lang w:val="en"/>
        </w:rPr>
        <w:t>320</w:t>
      </w:r>
      <w:r w:rsidRPr="00E72405">
        <w:rPr>
          <w:rFonts w:ascii="Cambria" w:hAnsi="Cambria" w:cs="Arial"/>
          <w:color w:val="222222"/>
          <w:sz w:val="20"/>
          <w:szCs w:val="20"/>
          <w:lang w:val="en"/>
        </w:rPr>
        <w:t xml:space="preserve"> </w:t>
      </w:r>
      <w:r w:rsidRPr="00E72405">
        <w:rPr>
          <w:rStyle w:val="hps"/>
          <w:rFonts w:ascii="Cambria" w:hAnsi="Cambria" w:cs="Arial"/>
          <w:color w:val="222222"/>
          <w:sz w:val="20"/>
          <w:szCs w:val="20"/>
          <w:lang w:val="en"/>
        </w:rPr>
        <w:t>was</w:t>
      </w:r>
      <w:r w:rsidRPr="00E72405">
        <w:rPr>
          <w:rFonts w:ascii="Cambria" w:hAnsi="Cambria" w:cs="Arial"/>
          <w:color w:val="222222"/>
          <w:sz w:val="20"/>
          <w:szCs w:val="20"/>
          <w:lang w:val="en"/>
        </w:rPr>
        <w:t xml:space="preserve"> accumulated to </w:t>
      </w:r>
      <w:r w:rsidRPr="00E72405">
        <w:rPr>
          <w:rStyle w:val="hps"/>
          <w:rFonts w:ascii="Cambria" w:hAnsi="Cambria" w:cs="Arial"/>
          <w:color w:val="222222"/>
          <w:sz w:val="20"/>
          <w:szCs w:val="20"/>
          <w:lang w:val="en"/>
        </w:rPr>
        <w:t>ADPF</w:t>
      </w:r>
      <w:r w:rsidRPr="00E72405">
        <w:rPr>
          <w:rFonts w:ascii="Cambria" w:hAnsi="Cambria" w:cs="Arial"/>
          <w:color w:val="222222"/>
          <w:sz w:val="20"/>
          <w:szCs w:val="20"/>
          <w:lang w:val="en"/>
        </w:rPr>
        <w:t xml:space="preserve"> </w:t>
      </w:r>
      <w:r w:rsidRPr="00E72405">
        <w:rPr>
          <w:rStyle w:val="hps"/>
          <w:rFonts w:ascii="Cambria" w:hAnsi="Cambria" w:cs="Arial"/>
          <w:color w:val="222222"/>
          <w:sz w:val="20"/>
          <w:szCs w:val="20"/>
          <w:lang w:val="en"/>
        </w:rPr>
        <w:t>153</w:t>
      </w:r>
      <w:r w:rsidRPr="00E72405">
        <w:rPr>
          <w:rFonts w:ascii="Cambria" w:hAnsi="Cambria" w:cs="Arial"/>
          <w:color w:val="222222"/>
          <w:sz w:val="20"/>
          <w:szCs w:val="20"/>
          <w:lang w:val="en"/>
        </w:rPr>
        <w:t xml:space="preserve"> </w:t>
      </w:r>
      <w:r w:rsidRPr="00E72405">
        <w:rPr>
          <w:rStyle w:val="hps"/>
          <w:rFonts w:ascii="Cambria" w:hAnsi="Cambria" w:cs="Arial"/>
          <w:color w:val="222222"/>
          <w:sz w:val="20"/>
          <w:szCs w:val="20"/>
          <w:lang w:val="en"/>
        </w:rPr>
        <w:t>due to the</w:t>
      </w:r>
      <w:r w:rsidRPr="00E72405">
        <w:rPr>
          <w:rFonts w:ascii="Cambria" w:hAnsi="Cambria" w:cs="Arial"/>
          <w:color w:val="222222"/>
          <w:sz w:val="20"/>
          <w:szCs w:val="20"/>
          <w:lang w:val="en"/>
        </w:rPr>
        <w:t xml:space="preserve"> </w:t>
      </w:r>
      <w:r w:rsidRPr="00E72405">
        <w:rPr>
          <w:rStyle w:val="hps"/>
          <w:rFonts w:ascii="Cambria" w:hAnsi="Cambria" w:cs="Arial"/>
          <w:color w:val="222222"/>
          <w:sz w:val="20"/>
          <w:szCs w:val="20"/>
          <w:lang w:val="en"/>
        </w:rPr>
        <w:t>subject</w:t>
      </w:r>
      <w:r w:rsidRPr="00E72405">
        <w:rPr>
          <w:rFonts w:ascii="Cambria" w:hAnsi="Cambria" w:cs="Arial"/>
          <w:color w:val="222222"/>
          <w:sz w:val="20"/>
          <w:szCs w:val="20"/>
          <w:lang w:val="en"/>
        </w:rPr>
        <w:t xml:space="preserve"> </w:t>
      </w:r>
      <w:r w:rsidRPr="00E72405">
        <w:rPr>
          <w:rStyle w:val="hps"/>
          <w:rFonts w:ascii="Cambria" w:hAnsi="Cambria" w:cs="Arial"/>
          <w:color w:val="222222"/>
          <w:sz w:val="20"/>
          <w:szCs w:val="20"/>
          <w:lang w:val="en"/>
        </w:rPr>
        <w:t>identity between</w:t>
      </w:r>
      <w:r w:rsidRPr="00E72405">
        <w:rPr>
          <w:rFonts w:ascii="Cambria" w:hAnsi="Cambria" w:cs="Arial"/>
          <w:color w:val="222222"/>
          <w:sz w:val="20"/>
          <w:szCs w:val="20"/>
          <w:lang w:val="en"/>
        </w:rPr>
        <w:t xml:space="preserve"> </w:t>
      </w:r>
      <w:r w:rsidRPr="00E72405">
        <w:rPr>
          <w:rStyle w:val="hps"/>
          <w:rFonts w:ascii="Cambria" w:hAnsi="Cambria" w:cs="Arial"/>
          <w:color w:val="222222"/>
          <w:sz w:val="20"/>
          <w:szCs w:val="20"/>
          <w:lang w:val="en"/>
        </w:rPr>
        <w:t>the two processes.</w:t>
      </w:r>
    </w:p>
    <w:p w:rsidR="0076253B" w:rsidRPr="00E72405" w:rsidRDefault="0076253B" w:rsidP="007A173A">
      <w:pPr>
        <w:spacing w:after="0" w:line="240" w:lineRule="auto"/>
        <w:jc w:val="both"/>
        <w:rPr>
          <w:rFonts w:ascii="Cambria" w:hAnsi="Cambria"/>
          <w:b/>
          <w:sz w:val="20"/>
          <w:szCs w:val="20"/>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According to the State, </w:t>
      </w:r>
      <w:r w:rsidRPr="00E72405">
        <w:rPr>
          <w:rFonts w:ascii="Cambria" w:hAnsi="Cambria"/>
          <w:sz w:val="20"/>
          <w:szCs w:val="20"/>
          <w:shd w:val="clear" w:color="auto" w:fill="FFFFFF"/>
        </w:rPr>
        <w:t xml:space="preserve">pursuant to </w:t>
      </w:r>
      <w:r w:rsidR="00CA4640" w:rsidRPr="00E72405">
        <w:rPr>
          <w:rFonts w:ascii="Cambria" w:hAnsi="Cambria"/>
          <w:sz w:val="20"/>
          <w:szCs w:val="20"/>
          <w:shd w:val="clear" w:color="auto" w:fill="FFFFFF"/>
        </w:rPr>
        <w:t xml:space="preserve">the resolution </w:t>
      </w:r>
      <w:r w:rsidRPr="00E72405">
        <w:rPr>
          <w:rFonts w:ascii="Cambria" w:hAnsi="Cambria"/>
          <w:sz w:val="20"/>
          <w:szCs w:val="20"/>
          <w:shd w:val="clear" w:color="auto" w:fill="FFFFFF"/>
        </w:rPr>
        <w:t xml:space="preserve">points 3 and 9 of the judgment that the Inter-American Court of Human Rights delivered in the </w:t>
      </w:r>
      <w:r w:rsidRPr="00E72405">
        <w:rPr>
          <w:rFonts w:ascii="Cambria" w:hAnsi="Cambria"/>
          <w:i/>
          <w:sz w:val="20"/>
          <w:szCs w:val="20"/>
          <w:shd w:val="clear" w:color="auto" w:fill="FFFFFF"/>
        </w:rPr>
        <w:t>Case of</w:t>
      </w:r>
      <w:r w:rsidRPr="00E72405">
        <w:rPr>
          <w:rFonts w:ascii="Cambria" w:hAnsi="Cambria"/>
          <w:sz w:val="20"/>
          <w:szCs w:val="20"/>
          <w:shd w:val="clear" w:color="auto" w:fill="FFFFFF"/>
        </w:rPr>
        <w:t xml:space="preserve"> </w:t>
      </w:r>
      <w:r w:rsidRPr="00E72405">
        <w:rPr>
          <w:rFonts w:ascii="Cambria" w:hAnsi="Cambria"/>
          <w:i/>
          <w:sz w:val="20"/>
          <w:szCs w:val="20"/>
        </w:rPr>
        <w:t>Gomes Lund et al. (“</w:t>
      </w:r>
      <w:proofErr w:type="spellStart"/>
      <w:r w:rsidRPr="00E72405">
        <w:rPr>
          <w:rFonts w:ascii="Cambria" w:hAnsi="Cambria"/>
          <w:i/>
          <w:sz w:val="20"/>
          <w:szCs w:val="20"/>
        </w:rPr>
        <w:t>Guerrilha</w:t>
      </w:r>
      <w:proofErr w:type="spellEnd"/>
      <w:r w:rsidRPr="00E72405">
        <w:rPr>
          <w:rFonts w:ascii="Cambria" w:hAnsi="Cambria"/>
          <w:i/>
          <w:sz w:val="20"/>
          <w:szCs w:val="20"/>
        </w:rPr>
        <w:t xml:space="preserve"> do Araguaia”) v. Brazil</w:t>
      </w:r>
      <w:r w:rsidRPr="00E72405">
        <w:rPr>
          <w:rFonts w:ascii="Cambria" w:hAnsi="Cambria"/>
          <w:sz w:val="20"/>
          <w:szCs w:val="20"/>
        </w:rPr>
        <w:t xml:space="preserve">, the Federal Public Prosecutor’s Office had since adopted an institutional standard of “investigating and bringing criminal cases against State agents involved in serious human rights violations that occurred during </w:t>
      </w:r>
      <w:r w:rsidRPr="00E72405">
        <w:rPr>
          <w:rFonts w:ascii="Cambria" w:hAnsi="Cambria"/>
          <w:sz w:val="20"/>
          <w:szCs w:val="20"/>
        </w:rPr>
        <w:lastRenderedPageBreak/>
        <w:t xml:space="preserve">the dictatorship.”  The State indicated that since 2011 around 290 criminal inquiries had been instituted and 12 criminal complaints had been brought against 24 civilian and military agents on charges related to the concealment of dead bodies, kidnapping, homicide, armed criminal conspiracy, procedural fraud and transporting explosives.  </w:t>
      </w:r>
    </w:p>
    <w:p w:rsidR="0076253B" w:rsidRPr="00E72405" w:rsidRDefault="0076253B" w:rsidP="002D53E6">
      <w:pPr>
        <w:pStyle w:val="NoSpacing"/>
        <w:rPr>
          <w:rFonts w:ascii="Cambria" w:hAnsi="Cambria"/>
        </w:rPr>
      </w:pPr>
    </w:p>
    <w:p w:rsidR="0076253B" w:rsidRPr="00E72405" w:rsidRDefault="0076253B" w:rsidP="0076253B">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As for the aforementioned complaints brought by the Federal Public Prosecutor’s Office, Brazil observed that they concerned “the context of the systematic and generalized attack on the civilian population in which the crimes were committed and their classification as crimes against humanity.”  It also observed that those criminal acts are being investigated and tried before the “courts of ordinary jurisdiction” and not in the “military justice system”, in keeping with paragraph 257 of the Inter-American Court’s judgment in the </w:t>
      </w:r>
      <w:r w:rsidRPr="00E72405">
        <w:rPr>
          <w:rFonts w:ascii="Cambria" w:hAnsi="Cambria"/>
          <w:i/>
          <w:sz w:val="20"/>
          <w:szCs w:val="20"/>
        </w:rPr>
        <w:t>Case of Gomes Lund et al. (“</w:t>
      </w:r>
      <w:proofErr w:type="spellStart"/>
      <w:r w:rsidRPr="00E72405">
        <w:rPr>
          <w:rFonts w:ascii="Cambria" w:hAnsi="Cambria"/>
          <w:i/>
          <w:sz w:val="20"/>
          <w:szCs w:val="20"/>
        </w:rPr>
        <w:t>Guerrilha</w:t>
      </w:r>
      <w:proofErr w:type="spellEnd"/>
      <w:r w:rsidRPr="00E72405">
        <w:rPr>
          <w:rFonts w:ascii="Cambria" w:hAnsi="Cambria"/>
          <w:i/>
          <w:sz w:val="20"/>
          <w:szCs w:val="20"/>
        </w:rPr>
        <w:t xml:space="preserve"> do Araguaia”) v. Brazil.</w:t>
      </w:r>
    </w:p>
    <w:p w:rsidR="0076253B" w:rsidRPr="00E72405" w:rsidRDefault="0076253B" w:rsidP="002D53E6">
      <w:pPr>
        <w:pStyle w:val="NoSpacing"/>
        <w:rPr>
          <w:rFonts w:ascii="Cambria" w:hAnsi="Cambria"/>
        </w:rPr>
      </w:pPr>
    </w:p>
    <w:p w:rsidR="002D53E6" w:rsidRPr="00E72405" w:rsidRDefault="0076253B" w:rsidP="002D53E6">
      <w:pPr>
        <w:numPr>
          <w:ilvl w:val="0"/>
          <w:numId w:val="6"/>
        </w:numPr>
        <w:spacing w:after="0" w:line="240" w:lineRule="auto"/>
        <w:ind w:left="0" w:firstLine="720"/>
        <w:jc w:val="both"/>
        <w:rPr>
          <w:rFonts w:ascii="Cambria" w:hAnsi="Cambria"/>
          <w:b/>
          <w:sz w:val="20"/>
          <w:szCs w:val="20"/>
        </w:rPr>
      </w:pPr>
      <w:r w:rsidRPr="00E72405">
        <w:rPr>
          <w:rFonts w:ascii="Cambria" w:hAnsi="Cambria"/>
          <w:sz w:val="20"/>
          <w:szCs w:val="20"/>
        </w:rPr>
        <w:t xml:space="preserve">The State also </w:t>
      </w:r>
      <w:r w:rsidR="00CA4640" w:rsidRPr="00E72405">
        <w:rPr>
          <w:rFonts w:ascii="Cambria" w:hAnsi="Cambria"/>
          <w:sz w:val="20"/>
          <w:szCs w:val="20"/>
        </w:rPr>
        <w:t xml:space="preserve">indicated that </w:t>
      </w:r>
      <w:r w:rsidRPr="00E72405">
        <w:rPr>
          <w:rFonts w:ascii="Cambria" w:hAnsi="Cambria"/>
          <w:sz w:val="20"/>
          <w:szCs w:val="20"/>
        </w:rPr>
        <w:t>the “Transitional Justice” Working Group was created in the Second Coordination and Review Chamber</w:t>
      </w:r>
      <w:r w:rsidR="00CA4640" w:rsidRPr="00E72405">
        <w:rPr>
          <w:rFonts w:ascii="Cambria" w:hAnsi="Cambria"/>
          <w:sz w:val="20"/>
          <w:szCs w:val="20"/>
        </w:rPr>
        <w:t xml:space="preserve"> of the Prosecutor’s Office</w:t>
      </w:r>
      <w:r w:rsidRPr="00E72405">
        <w:rPr>
          <w:rFonts w:ascii="Cambria" w:hAnsi="Cambria"/>
          <w:sz w:val="20"/>
          <w:szCs w:val="20"/>
        </w:rPr>
        <w:t xml:space="preserve"> in 2011 to address the issues of criminal law that compliance with the Inter-American Court’s judgment in the </w:t>
      </w:r>
      <w:r w:rsidRPr="00E72405">
        <w:rPr>
          <w:rFonts w:ascii="Cambria" w:hAnsi="Cambria"/>
          <w:i/>
          <w:sz w:val="20"/>
          <w:szCs w:val="20"/>
        </w:rPr>
        <w:t>Case of Gomes Lund et al. (“</w:t>
      </w:r>
      <w:proofErr w:type="spellStart"/>
      <w:r w:rsidRPr="00E72405">
        <w:rPr>
          <w:rFonts w:ascii="Cambria" w:hAnsi="Cambria"/>
          <w:i/>
          <w:sz w:val="20"/>
          <w:szCs w:val="20"/>
        </w:rPr>
        <w:t>Guerrilha</w:t>
      </w:r>
      <w:proofErr w:type="spellEnd"/>
      <w:r w:rsidRPr="00E72405">
        <w:rPr>
          <w:rFonts w:ascii="Cambria" w:hAnsi="Cambria"/>
          <w:i/>
          <w:sz w:val="20"/>
          <w:szCs w:val="20"/>
        </w:rPr>
        <w:t xml:space="preserve"> do Araguaia”) v. </w:t>
      </w:r>
      <w:proofErr w:type="spellStart"/>
      <w:r w:rsidRPr="00E72405">
        <w:rPr>
          <w:rFonts w:ascii="Cambria" w:hAnsi="Cambria"/>
          <w:i/>
          <w:sz w:val="20"/>
          <w:szCs w:val="20"/>
        </w:rPr>
        <w:t>Brasil</w:t>
      </w:r>
      <w:proofErr w:type="spellEnd"/>
      <w:r w:rsidRPr="00E72405">
        <w:rPr>
          <w:rFonts w:ascii="Cambria" w:hAnsi="Cambria"/>
          <w:i/>
          <w:sz w:val="20"/>
          <w:szCs w:val="20"/>
        </w:rPr>
        <w:t xml:space="preserve"> </w:t>
      </w:r>
      <w:r w:rsidRPr="00E72405">
        <w:rPr>
          <w:rFonts w:ascii="Cambria" w:hAnsi="Cambria"/>
          <w:sz w:val="20"/>
          <w:szCs w:val="20"/>
        </w:rPr>
        <w:t xml:space="preserve">raised. </w:t>
      </w:r>
    </w:p>
    <w:p w:rsidR="00CA4640" w:rsidRPr="00E72405" w:rsidRDefault="00CA4640" w:rsidP="00CA4640">
      <w:pPr>
        <w:spacing w:after="0" w:line="240" w:lineRule="auto"/>
        <w:jc w:val="both"/>
        <w:rPr>
          <w:rFonts w:ascii="Cambria" w:hAnsi="Cambria"/>
          <w:b/>
          <w:sz w:val="20"/>
          <w:szCs w:val="20"/>
        </w:rPr>
      </w:pPr>
    </w:p>
    <w:p w:rsidR="0076253B" w:rsidRPr="00E72405" w:rsidRDefault="0076253B" w:rsidP="0076253B">
      <w:pPr>
        <w:numPr>
          <w:ilvl w:val="0"/>
          <w:numId w:val="6"/>
        </w:numPr>
        <w:spacing w:after="0" w:line="240" w:lineRule="auto"/>
        <w:ind w:left="0" w:firstLine="720"/>
        <w:jc w:val="both"/>
        <w:rPr>
          <w:rFonts w:ascii="Cambria" w:hAnsi="Cambria"/>
          <w:b/>
          <w:sz w:val="20"/>
          <w:szCs w:val="20"/>
        </w:rPr>
      </w:pPr>
      <w:r w:rsidRPr="00E72405">
        <w:rPr>
          <w:rFonts w:ascii="Cambria" w:hAnsi="Cambria" w:cs="Arial"/>
          <w:sz w:val="20"/>
          <w:szCs w:val="20"/>
          <w:shd w:val="clear" w:color="auto" w:fill="FFFFFF"/>
        </w:rPr>
        <w:t xml:space="preserve">According to the State, following the December 2014 publication of the Report of the National Truth Commission, that Working Group compiled the names of the 434 persons </w:t>
      </w:r>
      <w:r w:rsidR="00D72C9D" w:rsidRPr="00E72405">
        <w:rPr>
          <w:rFonts w:ascii="Cambria" w:hAnsi="Cambria" w:cs="Arial"/>
          <w:sz w:val="20"/>
          <w:szCs w:val="20"/>
          <w:shd w:val="clear" w:color="auto" w:fill="FFFFFF"/>
        </w:rPr>
        <w:t xml:space="preserve">that the Report lists </w:t>
      </w:r>
      <w:r w:rsidRPr="00E72405">
        <w:rPr>
          <w:rFonts w:ascii="Cambria" w:hAnsi="Cambria" w:cs="Arial"/>
          <w:sz w:val="20"/>
          <w:szCs w:val="20"/>
          <w:shd w:val="clear" w:color="auto" w:fill="FFFFFF"/>
        </w:rPr>
        <w:t>as having been killed or disappeared during the military dictatorship, in order to establish whose cases were not among those being investigated in 290 criminal inquiries [“</w:t>
      </w:r>
      <w:proofErr w:type="spellStart"/>
      <w:r w:rsidRPr="00E72405">
        <w:rPr>
          <w:rFonts w:ascii="Cambria" w:hAnsi="Cambria" w:cs="Arial"/>
          <w:i/>
          <w:sz w:val="20"/>
          <w:szCs w:val="20"/>
          <w:shd w:val="clear" w:color="auto" w:fill="FFFFFF"/>
        </w:rPr>
        <w:t>Procedimentos</w:t>
      </w:r>
      <w:proofErr w:type="spellEnd"/>
      <w:r w:rsidRPr="00E72405">
        <w:rPr>
          <w:rFonts w:ascii="Cambria" w:hAnsi="Cambria" w:cs="Arial"/>
          <w:i/>
          <w:sz w:val="20"/>
          <w:szCs w:val="20"/>
          <w:shd w:val="clear" w:color="auto" w:fill="FFFFFF"/>
        </w:rPr>
        <w:t xml:space="preserve"> </w:t>
      </w:r>
      <w:proofErr w:type="spellStart"/>
      <w:r w:rsidRPr="00E72405">
        <w:rPr>
          <w:rFonts w:ascii="Cambria" w:hAnsi="Cambria" w:cs="Arial"/>
          <w:i/>
          <w:sz w:val="20"/>
          <w:szCs w:val="20"/>
          <w:shd w:val="clear" w:color="auto" w:fill="FFFFFF"/>
        </w:rPr>
        <w:t>Investigatórios</w:t>
      </w:r>
      <w:proofErr w:type="spellEnd"/>
      <w:r w:rsidRPr="00E72405">
        <w:rPr>
          <w:rFonts w:ascii="Cambria" w:hAnsi="Cambria" w:cs="Arial"/>
          <w:i/>
          <w:sz w:val="20"/>
          <w:szCs w:val="20"/>
          <w:shd w:val="clear" w:color="auto" w:fill="FFFFFF"/>
        </w:rPr>
        <w:t xml:space="preserve"> </w:t>
      </w:r>
      <w:proofErr w:type="spellStart"/>
      <w:r w:rsidRPr="00E72405">
        <w:rPr>
          <w:rFonts w:ascii="Cambria" w:hAnsi="Cambria" w:cs="Arial"/>
          <w:i/>
          <w:sz w:val="20"/>
          <w:szCs w:val="20"/>
          <w:shd w:val="clear" w:color="auto" w:fill="FFFFFF"/>
        </w:rPr>
        <w:t>Criminais</w:t>
      </w:r>
      <w:proofErr w:type="spellEnd"/>
      <w:r w:rsidRPr="00E72405">
        <w:rPr>
          <w:rFonts w:ascii="Cambria" w:hAnsi="Cambria" w:cs="Arial"/>
          <w:sz w:val="20"/>
          <w:szCs w:val="20"/>
          <w:shd w:val="clear" w:color="auto" w:fill="FFFFFF"/>
        </w:rPr>
        <w:t>”] already instituted. It also pointed out that those inquiries involved some 340 victims.  Once it had completed its review, the Working Group filed an administrative complaint with the “natural prosecutors”, members of the Public Prosecutor’s Office who have legally established jurisdiction, to request that investigations be undertaken with respect to 102 victims.</w:t>
      </w:r>
      <w:r w:rsidRPr="00E72405">
        <w:rPr>
          <w:rFonts w:ascii="Cambria" w:hAnsi="Cambria"/>
          <w:sz w:val="20"/>
          <w:szCs w:val="20"/>
        </w:rPr>
        <w:t xml:space="preserve"> </w:t>
      </w:r>
    </w:p>
    <w:p w:rsidR="0076253B" w:rsidRPr="00E72405" w:rsidRDefault="0076253B" w:rsidP="002D53E6">
      <w:pPr>
        <w:pStyle w:val="NoSpacing"/>
        <w:rPr>
          <w:rFonts w:ascii="Cambria" w:hAnsi="Cambria"/>
        </w:rPr>
      </w:pPr>
    </w:p>
    <w:p w:rsidR="00590B09" w:rsidRPr="00E72405" w:rsidRDefault="0076253B" w:rsidP="0076253B">
      <w:pPr>
        <w:numPr>
          <w:ilvl w:val="0"/>
          <w:numId w:val="6"/>
        </w:numPr>
        <w:spacing w:after="0" w:line="240" w:lineRule="auto"/>
        <w:ind w:left="0" w:firstLine="720"/>
        <w:jc w:val="both"/>
        <w:rPr>
          <w:rFonts w:ascii="Cambria" w:hAnsi="Cambria"/>
          <w:b/>
          <w:sz w:val="20"/>
          <w:szCs w:val="20"/>
        </w:rPr>
      </w:pPr>
      <w:r w:rsidRPr="00E72405">
        <w:rPr>
          <w:rFonts w:ascii="Cambria" w:hAnsi="Cambria"/>
          <w:sz w:val="20"/>
          <w:szCs w:val="20"/>
        </w:rPr>
        <w:t>Finally, Brazil observed that the activities of the Federal Public Prosecutor’s Office are not confined to crimes committed during the “</w:t>
      </w:r>
      <w:proofErr w:type="spellStart"/>
      <w:r w:rsidRPr="00E72405">
        <w:rPr>
          <w:rFonts w:ascii="Cambria" w:hAnsi="Cambria"/>
          <w:i/>
          <w:sz w:val="20"/>
          <w:szCs w:val="20"/>
        </w:rPr>
        <w:t>Guerrilha</w:t>
      </w:r>
      <w:proofErr w:type="spellEnd"/>
      <w:r w:rsidRPr="00E72405">
        <w:rPr>
          <w:rFonts w:ascii="Cambria" w:hAnsi="Cambria"/>
          <w:i/>
          <w:sz w:val="20"/>
          <w:szCs w:val="20"/>
        </w:rPr>
        <w:t xml:space="preserve"> do Araguaia</w:t>
      </w:r>
      <w:r w:rsidRPr="00E72405">
        <w:rPr>
          <w:rFonts w:ascii="Cambria" w:hAnsi="Cambria"/>
          <w:sz w:val="20"/>
          <w:szCs w:val="20"/>
        </w:rPr>
        <w:t xml:space="preserve">” and pointed out that it would use a “broad interpretation” of the finding in the Inter-American Court’s judgment.  It also reported on the agreement that the Office of the Attorney General of the Republic and the Office of the Attorney General of the Argentine Nation had entered into for the purpose of establishing the first joint investigation team focusing on “Operation Condor”. </w:t>
      </w:r>
    </w:p>
    <w:p w:rsidR="00590B09" w:rsidRPr="00E72405" w:rsidRDefault="00590B09" w:rsidP="00590B09">
      <w:pPr>
        <w:pStyle w:val="ListParagraph"/>
        <w:rPr>
          <w:color w:val="auto"/>
        </w:rPr>
      </w:pPr>
    </w:p>
    <w:p w:rsidR="00727A02" w:rsidRPr="00E72405" w:rsidRDefault="00AF07B3" w:rsidP="00727A02">
      <w:pPr>
        <w:numPr>
          <w:ilvl w:val="0"/>
          <w:numId w:val="6"/>
        </w:numPr>
        <w:spacing w:after="0" w:line="240" w:lineRule="auto"/>
        <w:ind w:left="0" w:firstLine="720"/>
        <w:jc w:val="both"/>
        <w:rPr>
          <w:rFonts w:ascii="Cambria" w:hAnsi="Cambria"/>
          <w:b/>
          <w:sz w:val="20"/>
          <w:szCs w:val="20"/>
        </w:rPr>
      </w:pPr>
      <w:r w:rsidRPr="00E72405">
        <w:rPr>
          <w:rFonts w:ascii="Cambria" w:hAnsi="Cambria"/>
          <w:sz w:val="20"/>
          <w:szCs w:val="20"/>
        </w:rPr>
        <w:t xml:space="preserve">The State pointed to other measures being taken in relation to the right to the truth and to memory, and to transitional justice.  Those measures are reportedly being implemented by the Ministry of Justice’s Amnesty Commission, the Secretariat on Human Rights of the Office of the President of the Republic and the Federal Public Prosecutor’s Office. </w:t>
      </w:r>
    </w:p>
    <w:p w:rsidR="00727A02" w:rsidRPr="00E72405" w:rsidRDefault="00727A02" w:rsidP="00727A02">
      <w:pPr>
        <w:pStyle w:val="ListParagraph"/>
        <w:rPr>
          <w:rStyle w:val="hps"/>
          <w:rFonts w:cs="Arial"/>
          <w:sz w:val="20"/>
          <w:szCs w:val="20"/>
          <w:lang w:val="en"/>
        </w:rPr>
      </w:pPr>
    </w:p>
    <w:p w:rsidR="00590B09" w:rsidRPr="00E72405" w:rsidRDefault="00AF07B3" w:rsidP="00727A02">
      <w:pPr>
        <w:numPr>
          <w:ilvl w:val="0"/>
          <w:numId w:val="6"/>
        </w:numPr>
        <w:spacing w:after="0" w:line="240" w:lineRule="auto"/>
        <w:ind w:left="0" w:firstLine="720"/>
        <w:jc w:val="both"/>
        <w:rPr>
          <w:rFonts w:ascii="Cambria" w:hAnsi="Cambria"/>
          <w:b/>
          <w:sz w:val="20"/>
          <w:szCs w:val="20"/>
        </w:rPr>
      </w:pPr>
      <w:r w:rsidRPr="00E72405">
        <w:rPr>
          <w:rStyle w:val="hps"/>
          <w:rFonts w:ascii="Cambria" w:hAnsi="Cambria" w:cs="Arial"/>
          <w:sz w:val="20"/>
          <w:szCs w:val="20"/>
          <w:lang w:val="en"/>
        </w:rPr>
        <w:t>On the subject</w:t>
      </w:r>
      <w:r w:rsidR="00590B09" w:rsidRPr="00E72405">
        <w:rPr>
          <w:rStyle w:val="hps"/>
          <w:rFonts w:ascii="Cambria" w:hAnsi="Cambria" w:cs="Arial"/>
          <w:sz w:val="20"/>
          <w:szCs w:val="20"/>
          <w:lang w:val="en"/>
        </w:rPr>
        <w:t xml:space="preserve"> of</w:t>
      </w:r>
      <w:r w:rsidR="00590B09" w:rsidRPr="00E72405">
        <w:rPr>
          <w:rFonts w:ascii="Cambria" w:hAnsi="Cambria" w:cs="Arial"/>
          <w:sz w:val="20"/>
          <w:szCs w:val="20"/>
          <w:lang w:val="en"/>
        </w:rPr>
        <w:t xml:space="preserve"> </w:t>
      </w:r>
      <w:r w:rsidR="00590B09" w:rsidRPr="00E72405">
        <w:rPr>
          <w:rStyle w:val="hps"/>
          <w:rFonts w:ascii="Cambria" w:hAnsi="Cambria" w:cs="Arial"/>
          <w:sz w:val="20"/>
          <w:szCs w:val="20"/>
          <w:lang w:val="en"/>
        </w:rPr>
        <w:t>the Amnesty Commission</w:t>
      </w:r>
      <w:r w:rsidR="00590B09" w:rsidRPr="00E72405">
        <w:rPr>
          <w:rFonts w:ascii="Cambria" w:hAnsi="Cambria" w:cs="Arial"/>
          <w:sz w:val="20"/>
          <w:szCs w:val="20"/>
          <w:lang w:val="en"/>
        </w:rPr>
        <w:t xml:space="preserve">, the Brazilian State </w:t>
      </w:r>
      <w:r w:rsidR="00590B09" w:rsidRPr="00E72405">
        <w:rPr>
          <w:rStyle w:val="hps"/>
          <w:rFonts w:ascii="Cambria" w:hAnsi="Cambria" w:cs="Arial"/>
          <w:sz w:val="20"/>
          <w:szCs w:val="20"/>
          <w:lang w:val="en"/>
        </w:rPr>
        <w:t>made reference to</w:t>
      </w:r>
      <w:r w:rsidR="00590B09" w:rsidRPr="00E72405">
        <w:rPr>
          <w:rFonts w:ascii="Cambria" w:hAnsi="Cambria" w:cs="Arial"/>
          <w:sz w:val="20"/>
          <w:szCs w:val="20"/>
          <w:lang w:val="en"/>
        </w:rPr>
        <w:t xml:space="preserve"> </w:t>
      </w:r>
      <w:r w:rsidR="00590B09" w:rsidRPr="00E72405">
        <w:rPr>
          <w:rStyle w:val="hps"/>
          <w:rFonts w:ascii="Cambria" w:hAnsi="Cambria" w:cs="Arial"/>
          <w:sz w:val="20"/>
          <w:szCs w:val="20"/>
          <w:lang w:val="en"/>
        </w:rPr>
        <w:t>the Political</w:t>
      </w:r>
      <w:r w:rsidR="00590B09" w:rsidRPr="00E72405">
        <w:rPr>
          <w:rFonts w:ascii="Cambria" w:hAnsi="Cambria" w:cs="Arial"/>
          <w:sz w:val="20"/>
          <w:szCs w:val="20"/>
          <w:lang w:val="en"/>
        </w:rPr>
        <w:t xml:space="preserve"> </w:t>
      </w:r>
      <w:r w:rsidR="00590B09" w:rsidRPr="00E72405">
        <w:rPr>
          <w:rStyle w:val="hps"/>
          <w:rFonts w:ascii="Cambria" w:hAnsi="Cambria" w:cs="Arial"/>
          <w:sz w:val="20"/>
          <w:szCs w:val="20"/>
          <w:lang w:val="en"/>
        </w:rPr>
        <w:t>Amnesty</w:t>
      </w:r>
      <w:r w:rsidR="00590B09" w:rsidRPr="00E72405">
        <w:rPr>
          <w:rFonts w:ascii="Cambria" w:hAnsi="Cambria" w:cs="Arial"/>
          <w:sz w:val="20"/>
          <w:szCs w:val="20"/>
          <w:lang w:val="en"/>
        </w:rPr>
        <w:t xml:space="preserve"> </w:t>
      </w:r>
      <w:r w:rsidR="00590B09" w:rsidRPr="00E72405">
        <w:rPr>
          <w:rStyle w:val="hps"/>
          <w:rFonts w:ascii="Cambria" w:hAnsi="Cambria" w:cs="Arial"/>
          <w:sz w:val="20"/>
          <w:szCs w:val="20"/>
          <w:lang w:val="en"/>
        </w:rPr>
        <w:t>Memorial</w:t>
      </w:r>
      <w:r w:rsidR="00590B09" w:rsidRPr="00E72405">
        <w:rPr>
          <w:rFonts w:ascii="Cambria" w:hAnsi="Cambria" w:cs="Arial"/>
          <w:sz w:val="20"/>
          <w:szCs w:val="20"/>
          <w:lang w:val="en"/>
        </w:rPr>
        <w:t xml:space="preserve"> </w:t>
      </w:r>
      <w:r w:rsidR="00590B09" w:rsidRPr="00E72405">
        <w:rPr>
          <w:rStyle w:val="hps"/>
          <w:rFonts w:ascii="Cambria" w:hAnsi="Cambria" w:cs="Arial"/>
          <w:sz w:val="20"/>
          <w:szCs w:val="20"/>
          <w:lang w:val="en"/>
        </w:rPr>
        <w:t>in Brazil</w:t>
      </w:r>
      <w:r w:rsidR="00590B09" w:rsidRPr="00E72405">
        <w:rPr>
          <w:rFonts w:ascii="Cambria" w:hAnsi="Cambria" w:cs="Arial"/>
          <w:sz w:val="20"/>
          <w:szCs w:val="20"/>
          <w:lang w:val="en"/>
        </w:rPr>
        <w:t xml:space="preserve">, </w:t>
      </w:r>
      <w:r w:rsidRPr="00E72405">
        <w:rPr>
          <w:rFonts w:ascii="Cambria" w:hAnsi="Cambria"/>
          <w:sz w:val="20"/>
          <w:szCs w:val="20"/>
        </w:rPr>
        <w:t xml:space="preserve">which is reportedly in the implementation phase.  </w:t>
      </w:r>
      <w:r w:rsidR="00590B09" w:rsidRPr="00E72405">
        <w:rPr>
          <w:rStyle w:val="hps"/>
          <w:rFonts w:ascii="Cambria" w:hAnsi="Cambria" w:cs="Arial"/>
          <w:sz w:val="20"/>
          <w:szCs w:val="20"/>
          <w:lang w:val="en"/>
        </w:rPr>
        <w:t>.</w:t>
      </w:r>
      <w:r w:rsidR="00590B09" w:rsidRPr="00E72405">
        <w:rPr>
          <w:rFonts w:ascii="Cambria" w:hAnsi="Cambria" w:cs="Arial"/>
          <w:sz w:val="20"/>
          <w:szCs w:val="20"/>
          <w:lang w:val="en"/>
        </w:rPr>
        <w:t xml:space="preserve"> </w:t>
      </w:r>
      <w:r w:rsidRPr="00E72405">
        <w:rPr>
          <w:rFonts w:ascii="Cambria" w:hAnsi="Cambria"/>
          <w:sz w:val="20"/>
          <w:szCs w:val="20"/>
        </w:rPr>
        <w:t xml:space="preserve">It pointed out, </w:t>
      </w:r>
      <w:r w:rsidRPr="00E72405">
        <w:rPr>
          <w:rFonts w:ascii="Cambria" w:hAnsi="Cambria"/>
          <w:i/>
          <w:sz w:val="20"/>
          <w:szCs w:val="20"/>
        </w:rPr>
        <w:t xml:space="preserve">inter alia, </w:t>
      </w:r>
      <w:r w:rsidRPr="00E72405">
        <w:rPr>
          <w:rFonts w:ascii="Cambria" w:hAnsi="Cambria"/>
          <w:sz w:val="20"/>
          <w:szCs w:val="20"/>
        </w:rPr>
        <w:t xml:space="preserve">that the Memorial will have a documentation and search center where the general public will have access to the files of the Amnesty Commission. </w:t>
      </w:r>
      <w:r w:rsidRPr="00E72405">
        <w:rPr>
          <w:rStyle w:val="hps"/>
          <w:rFonts w:ascii="Cambria" w:hAnsi="Cambria" w:cs="Arial"/>
          <w:sz w:val="20"/>
          <w:szCs w:val="20"/>
          <w:lang w:val="en"/>
        </w:rPr>
        <w:t xml:space="preserve"> It also </w:t>
      </w:r>
      <w:r w:rsidRPr="00E72405">
        <w:rPr>
          <w:rFonts w:ascii="Cambria" w:hAnsi="Cambria" w:cs="Arial"/>
          <w:sz w:val="20"/>
          <w:szCs w:val="20"/>
          <w:lang w:val="en"/>
        </w:rPr>
        <w:t>r</w:t>
      </w:r>
      <w:r w:rsidR="00590B09" w:rsidRPr="00E72405">
        <w:rPr>
          <w:rFonts w:ascii="Cambria" w:hAnsi="Cambria" w:cs="Arial"/>
          <w:sz w:val="20"/>
          <w:szCs w:val="20"/>
          <w:lang w:val="en"/>
        </w:rPr>
        <w:t xml:space="preserve">eported on </w:t>
      </w:r>
      <w:r w:rsidR="00BD548E" w:rsidRPr="00E72405">
        <w:rPr>
          <w:rFonts w:ascii="Cambria" w:hAnsi="Cambria" w:cs="Arial"/>
          <w:sz w:val="20"/>
          <w:szCs w:val="20"/>
          <w:lang w:val="en"/>
        </w:rPr>
        <w:t xml:space="preserve">the </w:t>
      </w:r>
      <w:r w:rsidR="00590B09" w:rsidRPr="00E72405">
        <w:rPr>
          <w:rFonts w:ascii="Cambria" w:hAnsi="Cambria" w:cs="Arial"/>
          <w:sz w:val="20"/>
          <w:szCs w:val="20"/>
          <w:lang w:val="en"/>
        </w:rPr>
        <w:t>"</w:t>
      </w:r>
      <w:proofErr w:type="spellStart"/>
      <w:r w:rsidR="00BD548E" w:rsidRPr="00E72405">
        <w:rPr>
          <w:rFonts w:ascii="Cambria" w:hAnsi="Cambria"/>
          <w:i/>
          <w:sz w:val="20"/>
          <w:szCs w:val="20"/>
        </w:rPr>
        <w:t>Projeto</w:t>
      </w:r>
      <w:proofErr w:type="spellEnd"/>
      <w:r w:rsidR="00BD548E" w:rsidRPr="00E72405">
        <w:rPr>
          <w:rFonts w:ascii="Cambria" w:hAnsi="Cambria"/>
          <w:i/>
          <w:sz w:val="20"/>
          <w:szCs w:val="20"/>
        </w:rPr>
        <w:t xml:space="preserve"> </w:t>
      </w:r>
      <w:proofErr w:type="spellStart"/>
      <w:r w:rsidR="00BD548E" w:rsidRPr="00E72405">
        <w:rPr>
          <w:rFonts w:ascii="Cambria" w:hAnsi="Cambria"/>
          <w:i/>
          <w:sz w:val="20"/>
          <w:szCs w:val="20"/>
        </w:rPr>
        <w:t>Caravanas</w:t>
      </w:r>
      <w:proofErr w:type="spellEnd"/>
      <w:r w:rsidR="00BD548E" w:rsidRPr="00E72405">
        <w:rPr>
          <w:rFonts w:ascii="Cambria" w:hAnsi="Cambria"/>
          <w:i/>
          <w:sz w:val="20"/>
          <w:szCs w:val="20"/>
        </w:rPr>
        <w:t xml:space="preserve"> de </w:t>
      </w:r>
      <w:proofErr w:type="spellStart"/>
      <w:r w:rsidR="00BD548E" w:rsidRPr="00E72405">
        <w:rPr>
          <w:rFonts w:ascii="Cambria" w:hAnsi="Cambria"/>
          <w:i/>
          <w:sz w:val="20"/>
          <w:szCs w:val="20"/>
        </w:rPr>
        <w:t>Anistia</w:t>
      </w:r>
      <w:proofErr w:type="spellEnd"/>
      <w:r w:rsidR="00590B09" w:rsidRPr="00E72405">
        <w:rPr>
          <w:rFonts w:ascii="Cambria" w:hAnsi="Cambria" w:cs="Arial"/>
          <w:sz w:val="20"/>
          <w:szCs w:val="20"/>
          <w:lang w:val="en"/>
        </w:rPr>
        <w:t>"</w:t>
      </w:r>
      <w:r w:rsidRPr="00E72405">
        <w:rPr>
          <w:rFonts w:ascii="Cambria" w:hAnsi="Cambria" w:cs="Arial"/>
          <w:sz w:val="20"/>
          <w:szCs w:val="20"/>
          <w:lang w:val="en"/>
        </w:rPr>
        <w:t xml:space="preserve"> </w:t>
      </w:r>
      <w:r w:rsidRPr="00E72405">
        <w:rPr>
          <w:rFonts w:ascii="Cambria" w:hAnsi="Cambria"/>
          <w:sz w:val="20"/>
          <w:szCs w:val="20"/>
        </w:rPr>
        <w:t>[Amnesty Caravans Project],</w:t>
      </w:r>
      <w:r w:rsidR="00590B09" w:rsidRPr="00E72405">
        <w:rPr>
          <w:rFonts w:ascii="Cambria" w:hAnsi="Cambria" w:cs="Arial"/>
          <w:sz w:val="20"/>
          <w:szCs w:val="20"/>
          <w:lang w:val="en"/>
        </w:rPr>
        <w:t xml:space="preserve">, </w:t>
      </w:r>
      <w:r w:rsidRPr="00E72405">
        <w:rPr>
          <w:rFonts w:ascii="Cambria" w:hAnsi="Cambria"/>
          <w:sz w:val="20"/>
          <w:szCs w:val="20"/>
        </w:rPr>
        <w:t>which consists of traveling hearings to examine amnesty requests, followed by educational and cultural activities.</w:t>
      </w:r>
      <w:r w:rsidR="00727A02" w:rsidRPr="00E72405">
        <w:rPr>
          <w:rFonts w:ascii="Cambria" w:hAnsi="Cambria" w:cs="Arial"/>
          <w:sz w:val="20"/>
          <w:szCs w:val="20"/>
          <w:lang w:val="en"/>
        </w:rPr>
        <w:t xml:space="preserve"> </w:t>
      </w:r>
      <w:r w:rsidRPr="00E72405">
        <w:rPr>
          <w:rFonts w:ascii="Cambria" w:hAnsi="Cambria"/>
          <w:sz w:val="20"/>
          <w:szCs w:val="20"/>
        </w:rPr>
        <w:t>In addition to reporting on the Amnesty Commission’s publications, the State made reference to the “</w:t>
      </w:r>
      <w:proofErr w:type="spellStart"/>
      <w:r w:rsidRPr="00E72405">
        <w:rPr>
          <w:rFonts w:ascii="Cambria" w:hAnsi="Cambria"/>
          <w:i/>
          <w:sz w:val="20"/>
          <w:szCs w:val="20"/>
        </w:rPr>
        <w:t>Ciclo</w:t>
      </w:r>
      <w:proofErr w:type="spellEnd"/>
      <w:r w:rsidRPr="00E72405">
        <w:rPr>
          <w:rFonts w:ascii="Cambria" w:hAnsi="Cambria"/>
          <w:i/>
          <w:sz w:val="20"/>
          <w:szCs w:val="20"/>
        </w:rPr>
        <w:t xml:space="preserve"> 50 </w:t>
      </w:r>
      <w:proofErr w:type="spellStart"/>
      <w:r w:rsidRPr="00E72405">
        <w:rPr>
          <w:rFonts w:ascii="Cambria" w:hAnsi="Cambria"/>
          <w:i/>
          <w:sz w:val="20"/>
          <w:szCs w:val="20"/>
        </w:rPr>
        <w:t>anos</w:t>
      </w:r>
      <w:proofErr w:type="spellEnd"/>
      <w:r w:rsidRPr="00E72405">
        <w:rPr>
          <w:rFonts w:ascii="Cambria" w:hAnsi="Cambria"/>
          <w:sz w:val="20"/>
          <w:szCs w:val="20"/>
        </w:rPr>
        <w:t xml:space="preserve">”, an event involving multiple activities to mark the 50 years that have passed since the staging of the “civil-military coup.” </w:t>
      </w:r>
    </w:p>
    <w:p w:rsidR="00AF07B3" w:rsidRPr="00E72405" w:rsidRDefault="00AF07B3" w:rsidP="00AF07B3">
      <w:pPr>
        <w:pStyle w:val="NoSpacing"/>
        <w:rPr>
          <w:rFonts w:ascii="Cambria" w:hAnsi="Cambria"/>
        </w:rPr>
      </w:pPr>
    </w:p>
    <w:p w:rsidR="00AF07B3" w:rsidRPr="00E72405" w:rsidRDefault="00AF07B3" w:rsidP="00AF07B3">
      <w:pPr>
        <w:numPr>
          <w:ilvl w:val="0"/>
          <w:numId w:val="6"/>
        </w:numPr>
        <w:spacing w:after="0" w:line="240" w:lineRule="auto"/>
        <w:ind w:left="0" w:firstLine="720"/>
        <w:jc w:val="both"/>
        <w:rPr>
          <w:rFonts w:ascii="Cambria" w:hAnsi="Cambria"/>
          <w:b/>
          <w:sz w:val="20"/>
          <w:szCs w:val="20"/>
        </w:rPr>
      </w:pPr>
      <w:r w:rsidRPr="00E72405">
        <w:rPr>
          <w:rFonts w:ascii="Cambria" w:hAnsi="Cambria"/>
          <w:sz w:val="20"/>
          <w:szCs w:val="20"/>
        </w:rPr>
        <w:t xml:space="preserve">Brazil also reported on the activities conducted by the Secretariat on Human Rights, which include, </w:t>
      </w:r>
      <w:r w:rsidRPr="00E72405">
        <w:rPr>
          <w:rFonts w:ascii="Cambria" w:hAnsi="Cambria"/>
          <w:i/>
          <w:sz w:val="20"/>
          <w:szCs w:val="20"/>
        </w:rPr>
        <w:t xml:space="preserve">inter alia, </w:t>
      </w:r>
      <w:r w:rsidRPr="00E72405">
        <w:rPr>
          <w:rFonts w:ascii="Cambria" w:hAnsi="Cambria"/>
          <w:sz w:val="20"/>
          <w:szCs w:val="20"/>
        </w:rPr>
        <w:t xml:space="preserve">the Human Rights in Film Series, whose 2014 theme was “Memory and Truth” covering the 50 years that have passed since the ’64 coup, the “Right to Memory and Truth Project” and the Dictatorship Memories Portal.  </w:t>
      </w:r>
    </w:p>
    <w:p w:rsidR="00E72405" w:rsidRDefault="00E72405" w:rsidP="00E72405">
      <w:pPr>
        <w:pStyle w:val="ListParagraph"/>
        <w:rPr>
          <w:b/>
          <w:sz w:val="20"/>
          <w:szCs w:val="20"/>
        </w:rPr>
      </w:pPr>
    </w:p>
    <w:p w:rsidR="00E72405" w:rsidRPr="00E72405" w:rsidRDefault="00E72405" w:rsidP="00E72405">
      <w:pPr>
        <w:spacing w:after="0" w:line="240" w:lineRule="auto"/>
        <w:ind w:left="720"/>
        <w:jc w:val="both"/>
        <w:rPr>
          <w:rFonts w:ascii="Cambria" w:hAnsi="Cambria"/>
          <w:b/>
          <w:sz w:val="20"/>
          <w:szCs w:val="20"/>
        </w:rPr>
      </w:pPr>
    </w:p>
    <w:p w:rsidR="00AF07B3" w:rsidRPr="00E72405" w:rsidRDefault="00AF07B3" w:rsidP="00590B09">
      <w:pPr>
        <w:spacing w:after="0" w:line="240" w:lineRule="auto"/>
        <w:jc w:val="both"/>
        <w:rPr>
          <w:rFonts w:ascii="Cambria" w:hAnsi="Cambria"/>
          <w:b/>
          <w:sz w:val="20"/>
          <w:szCs w:val="20"/>
        </w:rPr>
      </w:pPr>
    </w:p>
    <w:p w:rsidR="007F35B9" w:rsidRPr="00E72405" w:rsidRDefault="00E408AC" w:rsidP="006B64E9">
      <w:pPr>
        <w:pStyle w:val="Heading1"/>
      </w:pPr>
      <w:bookmarkStart w:id="11" w:name="_Toc433359797"/>
      <w:r w:rsidRPr="00E72405">
        <w:lastRenderedPageBreak/>
        <w:t>PRELIMINARY OBSERVATION</w:t>
      </w:r>
      <w:r w:rsidR="007F35B9" w:rsidRPr="00E72405">
        <w:t>: ACKNOWLEDGEMENT OF RESPONSIBILITY</w:t>
      </w:r>
      <w:bookmarkEnd w:id="11"/>
    </w:p>
    <w:p w:rsidR="007F35B9" w:rsidRPr="00E72405" w:rsidRDefault="007F35B9" w:rsidP="007F35B9">
      <w:pPr>
        <w:spacing w:after="0" w:line="240" w:lineRule="auto"/>
        <w:jc w:val="both"/>
        <w:rPr>
          <w:rFonts w:ascii="Cambria" w:hAnsi="Cambria"/>
          <w:sz w:val="20"/>
          <w:szCs w:val="20"/>
        </w:rPr>
      </w:pPr>
    </w:p>
    <w:p w:rsidR="007F35B9" w:rsidRPr="00E72405" w:rsidRDefault="007F35B9" w:rsidP="00E658CD">
      <w:pPr>
        <w:pStyle w:val="ListParagraph"/>
        <w:numPr>
          <w:ilvl w:val="0"/>
          <w:numId w:val="6"/>
        </w:numPr>
        <w:ind w:left="0" w:firstLine="720"/>
        <w:jc w:val="both"/>
        <w:rPr>
          <w:sz w:val="20"/>
          <w:szCs w:val="20"/>
        </w:rPr>
      </w:pPr>
      <w:r w:rsidRPr="00E72405">
        <w:rPr>
          <w:sz w:val="20"/>
          <w:szCs w:val="20"/>
        </w:rPr>
        <w:t xml:space="preserve">In its brief of September 2012, the State wrote that “to begin with, it is worth repeating that the Brazilian State acknowledges the violations committed against Vladimir Herzog.”  It maintained that its argument that the petition was inadmissible did not mean that it was “questioning the gravity of the acts perpetrated against Vladimir Herzog.  </w:t>
      </w:r>
      <w:r w:rsidRPr="00E72405">
        <w:rPr>
          <w:color w:val="auto"/>
          <w:sz w:val="20"/>
          <w:szCs w:val="20"/>
        </w:rPr>
        <w:t xml:space="preserve">Nevertheless, the State still has to challenge the petitioners’ claims that the State has been negligent, that it has not acknowledged its responsibility and that it has not sought to redress the victims.”  It also recognized “the need to more thoroughly investigate the circumstances and facts of Vladimir Herzog’s homicide, including the question of who committed those violations.” </w:t>
      </w:r>
      <w:r w:rsidR="003122AF" w:rsidRPr="00E72405">
        <w:rPr>
          <w:rStyle w:val="hps"/>
          <w:rFonts w:cs="Arial"/>
          <w:color w:val="auto"/>
          <w:sz w:val="20"/>
          <w:szCs w:val="20"/>
          <w:lang w:val="en"/>
        </w:rPr>
        <w:t>The State</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also notes that</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Herzog</w:t>
      </w:r>
      <w:r w:rsidR="003122AF" w:rsidRPr="00E72405">
        <w:rPr>
          <w:rFonts w:cs="Arial"/>
          <w:color w:val="auto"/>
          <w:sz w:val="20"/>
          <w:szCs w:val="20"/>
          <w:lang w:val="en"/>
        </w:rPr>
        <w:t xml:space="preserve">'s death </w:t>
      </w:r>
      <w:r w:rsidR="003122AF" w:rsidRPr="00E72405">
        <w:rPr>
          <w:rStyle w:val="hps"/>
          <w:rFonts w:cs="Arial"/>
          <w:color w:val="auto"/>
          <w:sz w:val="20"/>
          <w:szCs w:val="20"/>
          <w:lang w:val="en"/>
        </w:rPr>
        <w:t>revealed</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grave violations of</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human rights committed against</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political prisoners</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during the military</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dictatorship.</w:t>
      </w:r>
    </w:p>
    <w:p w:rsidR="007F35B9" w:rsidRPr="00E72405" w:rsidRDefault="007F35B9" w:rsidP="007F35B9">
      <w:pPr>
        <w:pStyle w:val="ListParagraph"/>
        <w:ind w:left="0" w:firstLine="720"/>
        <w:jc w:val="both"/>
        <w:rPr>
          <w:sz w:val="20"/>
          <w:szCs w:val="20"/>
        </w:rPr>
      </w:pPr>
    </w:p>
    <w:p w:rsidR="007F35B9" w:rsidRPr="00E72405" w:rsidRDefault="007F35B9" w:rsidP="00E658C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E72405">
        <w:rPr>
          <w:sz w:val="20"/>
          <w:szCs w:val="20"/>
        </w:rPr>
        <w:t xml:space="preserve">Then, in its brief of August 2015, the State again emphasized that it had taken a series of measures through which it acknowledged, at the domestic level, its responsibility with respect to the arbitrary detention, torture and murder of journalist Vladimir Herzog by agents of the State on Army premises.  Those measures, according to the State, included the pecuniary damages paid to Clarice Herzog, the journalist’s widow; the judgment handed down by the judicial branch in 1978 in which the federal government’s responsibility in these events was acknowledged; the facts established in the report published in 2007 containing the findings of the Special Commission on Political Deaths and Disappearances (CEMDP) and those established in the final report presented by the National Truth Commission on December 10, 2014.  It also underscored the three bills currently before Congress and the two cases before the Federal Supreme Court (STF) claiming non-compliance with a fundamental precept (ADPF) </w:t>
      </w:r>
      <w:r w:rsidRPr="00E72405">
        <w:rPr>
          <w:sz w:val="20"/>
          <w:szCs w:val="20"/>
          <w:shd w:val="clear" w:color="auto" w:fill="FFFFFF"/>
        </w:rPr>
        <w:t>[“</w:t>
      </w:r>
      <w:proofErr w:type="spellStart"/>
      <w:r w:rsidRPr="00E72405">
        <w:rPr>
          <w:i/>
          <w:iCs/>
          <w:sz w:val="20"/>
          <w:szCs w:val="20"/>
          <w:shd w:val="clear" w:color="auto" w:fill="FFFFFF"/>
        </w:rPr>
        <w:t>Arguição</w:t>
      </w:r>
      <w:proofErr w:type="spellEnd"/>
      <w:r w:rsidRPr="00E72405">
        <w:rPr>
          <w:i/>
          <w:iCs/>
          <w:sz w:val="20"/>
          <w:szCs w:val="20"/>
          <w:shd w:val="clear" w:color="auto" w:fill="FFFFFF"/>
        </w:rPr>
        <w:t xml:space="preserve"> de </w:t>
      </w:r>
      <w:proofErr w:type="spellStart"/>
      <w:r w:rsidRPr="00E72405">
        <w:rPr>
          <w:i/>
          <w:iCs/>
          <w:sz w:val="20"/>
          <w:szCs w:val="20"/>
          <w:shd w:val="clear" w:color="auto" w:fill="FFFFFF"/>
        </w:rPr>
        <w:t>Preceito</w:t>
      </w:r>
      <w:proofErr w:type="spellEnd"/>
      <w:r w:rsidRPr="00E72405">
        <w:rPr>
          <w:i/>
          <w:iCs/>
          <w:sz w:val="20"/>
          <w:szCs w:val="20"/>
          <w:shd w:val="clear" w:color="auto" w:fill="FFFFFF"/>
        </w:rPr>
        <w:t xml:space="preserve"> Fundamental</w:t>
      </w:r>
      <w:r w:rsidRPr="00E72405">
        <w:rPr>
          <w:iCs/>
          <w:sz w:val="20"/>
          <w:szCs w:val="20"/>
          <w:shd w:val="clear" w:color="auto" w:fill="FFFFFF"/>
        </w:rPr>
        <w:t>”</w:t>
      </w:r>
      <w:r w:rsidRPr="00E72405">
        <w:rPr>
          <w:sz w:val="20"/>
          <w:szCs w:val="20"/>
          <w:shd w:val="clear" w:color="auto" w:fill="FFFFFF"/>
        </w:rPr>
        <w:t>], all seeking amendment of the Amnesty Law</w:t>
      </w:r>
      <w:r w:rsidRPr="00E72405">
        <w:rPr>
          <w:sz w:val="20"/>
          <w:szCs w:val="20"/>
        </w:rPr>
        <w:t xml:space="preserve">.  Brazil also reported that pursuant to operative paragraphs 3 and 7 of the judgment delivered by the Inter-American Court of Human Rights in the </w:t>
      </w:r>
      <w:r w:rsidRPr="00E72405">
        <w:rPr>
          <w:i/>
          <w:sz w:val="20"/>
          <w:szCs w:val="20"/>
        </w:rPr>
        <w:t>Case of Gomes Lund et al. (“</w:t>
      </w:r>
      <w:proofErr w:type="spellStart"/>
      <w:r w:rsidRPr="00E72405">
        <w:rPr>
          <w:i/>
          <w:sz w:val="20"/>
          <w:szCs w:val="20"/>
        </w:rPr>
        <w:t>Guerrilha</w:t>
      </w:r>
      <w:proofErr w:type="spellEnd"/>
      <w:r w:rsidRPr="00E72405">
        <w:rPr>
          <w:i/>
          <w:sz w:val="20"/>
          <w:szCs w:val="20"/>
        </w:rPr>
        <w:t xml:space="preserve"> do Araguaia”) v. Brazil</w:t>
      </w:r>
      <w:r w:rsidRPr="00E72405">
        <w:rPr>
          <w:sz w:val="20"/>
          <w:szCs w:val="20"/>
        </w:rPr>
        <w:t xml:space="preserve">, the Federal Public Prosecutor’s Office had since adopted an institutional standard of “investigating and bringing criminal complaints against State agents involved in the serious human rights violations that occurred during the dictatorship.”  </w:t>
      </w:r>
    </w:p>
    <w:p w:rsidR="007F35B9" w:rsidRPr="00E72405" w:rsidRDefault="007F35B9" w:rsidP="007F35B9">
      <w:pPr>
        <w:pStyle w:val="ListParagraph"/>
        <w:ind w:left="0" w:firstLine="720"/>
        <w:jc w:val="both"/>
        <w:rPr>
          <w:sz w:val="20"/>
          <w:szCs w:val="20"/>
        </w:rPr>
      </w:pPr>
    </w:p>
    <w:p w:rsidR="007F35B9" w:rsidRPr="00E72405" w:rsidRDefault="007F35B9" w:rsidP="00E658C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E72405">
        <w:rPr>
          <w:sz w:val="20"/>
          <w:szCs w:val="20"/>
        </w:rPr>
        <w:t>The State also observed that these measures demonstrate the “State’s firm resolve to make full reparations for the human rights violations claimed by the petitioners.”</w:t>
      </w:r>
    </w:p>
    <w:p w:rsidR="007F35B9" w:rsidRPr="00E72405" w:rsidRDefault="007F35B9" w:rsidP="007F35B9">
      <w:pPr>
        <w:spacing w:after="0" w:line="240" w:lineRule="auto"/>
        <w:ind w:firstLine="720"/>
        <w:jc w:val="both"/>
        <w:rPr>
          <w:rFonts w:ascii="Cambria" w:hAnsi="Cambria"/>
          <w:sz w:val="20"/>
          <w:szCs w:val="20"/>
        </w:rPr>
      </w:pPr>
    </w:p>
    <w:p w:rsidR="007F35B9" w:rsidRPr="00E72405" w:rsidRDefault="007F35B9" w:rsidP="00E658C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E72405">
        <w:rPr>
          <w:sz w:val="20"/>
          <w:szCs w:val="20"/>
        </w:rPr>
        <w:t xml:space="preserve">In their brief of November 2014, the petitioners expressed appreciation for the State’s acknowledgment of responsibility in this international proceeding and asked the IACHR “to take these statements into consideration in its analysis of the merits of the present case.”  Nevertheless, they stated that “it is self-evident that the various statements made by the Brazilian State in connection with its acknowledgement of responsibility in this case are not sufficiently clear.  The State does not spell out which of the facts alleged by [the petitioners] it accepts as true, nor does not it specify for which violations of the rights of the victim and his next of kin it accepts blame.” </w:t>
      </w:r>
    </w:p>
    <w:p w:rsidR="007F35B9" w:rsidRPr="00E72405" w:rsidRDefault="007F35B9" w:rsidP="007F35B9">
      <w:pPr>
        <w:spacing w:after="0" w:line="240" w:lineRule="auto"/>
        <w:ind w:firstLine="720"/>
        <w:jc w:val="both"/>
        <w:rPr>
          <w:rFonts w:ascii="Cambria" w:hAnsi="Cambria"/>
          <w:sz w:val="20"/>
          <w:szCs w:val="20"/>
        </w:rPr>
      </w:pPr>
    </w:p>
    <w:p w:rsidR="007F35B9" w:rsidRPr="00E72405" w:rsidRDefault="007F35B9" w:rsidP="00E658C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E72405">
        <w:rPr>
          <w:sz w:val="20"/>
          <w:szCs w:val="20"/>
        </w:rPr>
        <w:t xml:space="preserve">The Commission observes that although the State failed to specify precisely which facts it was admitting and which alleged violations it was acknowledging, its willingness to concede these facts is obvious from its acknowledgement of the events and the violations resulting from the arbitrary detention, torture and murder of journalist Vladimir Herzog.  To this extent, the State‘s acknowledgement is its admission of these facts and a concession to the legal claims contained in the petition in this regard.  The IACHR also observes that the State neither contested nor objected to the facts of the present case, which have been duly established. </w:t>
      </w:r>
    </w:p>
    <w:p w:rsidR="007F35B9" w:rsidRPr="00E72405" w:rsidRDefault="007F35B9" w:rsidP="007F35B9">
      <w:pPr>
        <w:spacing w:after="0" w:line="240" w:lineRule="auto"/>
        <w:ind w:firstLine="720"/>
        <w:jc w:val="both"/>
        <w:rPr>
          <w:rFonts w:ascii="Cambria" w:hAnsi="Cambria"/>
          <w:sz w:val="20"/>
          <w:szCs w:val="20"/>
        </w:rPr>
      </w:pPr>
    </w:p>
    <w:p w:rsidR="0063744F" w:rsidRPr="00E72405" w:rsidRDefault="007F35B9" w:rsidP="0063744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E72405">
        <w:rPr>
          <w:sz w:val="20"/>
          <w:szCs w:val="20"/>
        </w:rPr>
        <w:t>As the Commission has stated on other occasions, acknowledgement of responsibility makes a positive contribution toward the course of this process, to the effectiveness of the principles that inspire</w:t>
      </w:r>
      <w:r w:rsidR="00727A02" w:rsidRPr="00E72405">
        <w:rPr>
          <w:sz w:val="20"/>
          <w:szCs w:val="20"/>
        </w:rPr>
        <w:t xml:space="preserve"> </w:t>
      </w:r>
      <w:r w:rsidR="003122AF" w:rsidRPr="00E72405">
        <w:rPr>
          <w:rStyle w:val="hps"/>
          <w:rFonts w:cs="Arial"/>
          <w:color w:val="222222"/>
          <w:sz w:val="20"/>
          <w:szCs w:val="20"/>
          <w:lang w:val="en"/>
        </w:rPr>
        <w:t>the Inter-American</w:t>
      </w:r>
      <w:r w:rsidR="003122AF" w:rsidRPr="00E72405">
        <w:rPr>
          <w:rFonts w:cs="Arial"/>
          <w:color w:val="222222"/>
          <w:sz w:val="20"/>
          <w:szCs w:val="20"/>
          <w:lang w:val="en"/>
        </w:rPr>
        <w:t xml:space="preserve"> </w:t>
      </w:r>
      <w:r w:rsidR="003122AF" w:rsidRPr="00E72405">
        <w:rPr>
          <w:rStyle w:val="hps"/>
          <w:rFonts w:cs="Arial"/>
          <w:color w:val="222222"/>
          <w:sz w:val="20"/>
          <w:szCs w:val="20"/>
          <w:lang w:val="en"/>
        </w:rPr>
        <w:t>System for the Protection</w:t>
      </w:r>
      <w:r w:rsidR="003122AF" w:rsidRPr="00E72405">
        <w:rPr>
          <w:rFonts w:cs="Arial"/>
          <w:color w:val="222222"/>
          <w:sz w:val="20"/>
          <w:szCs w:val="20"/>
          <w:lang w:val="en"/>
        </w:rPr>
        <w:t xml:space="preserve"> </w:t>
      </w:r>
      <w:r w:rsidR="003122AF" w:rsidRPr="00E72405">
        <w:rPr>
          <w:rStyle w:val="hps"/>
          <w:rFonts w:cs="Arial"/>
          <w:color w:val="222222"/>
          <w:sz w:val="20"/>
          <w:szCs w:val="20"/>
          <w:lang w:val="en"/>
        </w:rPr>
        <w:t>of Human</w:t>
      </w:r>
      <w:r w:rsidR="003122AF" w:rsidRPr="00E72405">
        <w:rPr>
          <w:rFonts w:cs="Arial"/>
          <w:color w:val="222222"/>
          <w:sz w:val="20"/>
          <w:szCs w:val="20"/>
          <w:lang w:val="en"/>
        </w:rPr>
        <w:t xml:space="preserve"> </w:t>
      </w:r>
      <w:r w:rsidR="003122AF" w:rsidRPr="00E72405">
        <w:rPr>
          <w:rStyle w:val="hps"/>
          <w:rFonts w:cs="Arial"/>
          <w:color w:val="222222"/>
          <w:sz w:val="20"/>
          <w:szCs w:val="20"/>
          <w:lang w:val="en"/>
        </w:rPr>
        <w:t>Rights and the</w:t>
      </w:r>
      <w:r w:rsidR="003122AF" w:rsidRPr="00E72405">
        <w:rPr>
          <w:rFonts w:cs="Arial"/>
          <w:color w:val="222222"/>
          <w:sz w:val="20"/>
          <w:szCs w:val="20"/>
          <w:lang w:val="en"/>
        </w:rPr>
        <w:t xml:space="preserve"> </w:t>
      </w:r>
      <w:r w:rsidR="003122AF" w:rsidRPr="00E72405">
        <w:rPr>
          <w:rStyle w:val="hps"/>
          <w:rFonts w:cs="Arial"/>
          <w:color w:val="222222"/>
          <w:sz w:val="20"/>
          <w:szCs w:val="20"/>
          <w:lang w:val="en"/>
        </w:rPr>
        <w:t>conduct to which</w:t>
      </w:r>
      <w:r w:rsidR="003122AF" w:rsidRPr="00E72405">
        <w:rPr>
          <w:rFonts w:cs="Arial"/>
          <w:color w:val="222222"/>
          <w:sz w:val="20"/>
          <w:szCs w:val="20"/>
          <w:lang w:val="en"/>
        </w:rPr>
        <w:t xml:space="preserve"> </w:t>
      </w:r>
      <w:r w:rsidR="003122AF" w:rsidRPr="00E72405">
        <w:rPr>
          <w:rStyle w:val="hps"/>
          <w:rFonts w:cs="Arial"/>
          <w:color w:val="222222"/>
          <w:sz w:val="20"/>
          <w:szCs w:val="20"/>
          <w:lang w:val="en"/>
        </w:rPr>
        <w:t>States are bound</w:t>
      </w:r>
      <w:r w:rsidR="003122AF" w:rsidRPr="00E72405">
        <w:rPr>
          <w:rFonts w:cs="Arial"/>
          <w:color w:val="222222"/>
          <w:sz w:val="20"/>
          <w:szCs w:val="20"/>
          <w:lang w:val="en"/>
        </w:rPr>
        <w:t xml:space="preserve"> </w:t>
      </w:r>
      <w:r w:rsidR="003122AF" w:rsidRPr="00E72405">
        <w:rPr>
          <w:rStyle w:val="hps"/>
          <w:rFonts w:cs="Arial"/>
          <w:color w:val="222222"/>
          <w:sz w:val="20"/>
          <w:szCs w:val="20"/>
          <w:lang w:val="en"/>
        </w:rPr>
        <w:t>in this matter</w:t>
      </w:r>
      <w:r w:rsidR="003122AF" w:rsidRPr="00E72405">
        <w:rPr>
          <w:sz w:val="20"/>
          <w:szCs w:val="20"/>
        </w:rPr>
        <w:t xml:space="preserve">. </w:t>
      </w:r>
    </w:p>
    <w:p w:rsidR="0063744F" w:rsidRPr="00E72405" w:rsidRDefault="0063744F" w:rsidP="0063744F">
      <w:pPr>
        <w:pStyle w:val="NoSpacing"/>
      </w:pPr>
    </w:p>
    <w:p w:rsidR="007F35B9" w:rsidRPr="00E72405" w:rsidRDefault="007F35B9" w:rsidP="00E658C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E72405">
        <w:rPr>
          <w:color w:val="auto"/>
          <w:sz w:val="20"/>
          <w:szCs w:val="20"/>
        </w:rPr>
        <w:t xml:space="preserve">Therefore, the IACHR considers that the dispute regarding the </w:t>
      </w:r>
      <w:r w:rsidR="003122AF" w:rsidRPr="00E72405">
        <w:rPr>
          <w:color w:val="auto"/>
          <w:sz w:val="20"/>
          <w:szCs w:val="20"/>
        </w:rPr>
        <w:t xml:space="preserve">international State responsibility for the </w:t>
      </w:r>
      <w:r w:rsidRPr="00E72405">
        <w:rPr>
          <w:color w:val="auto"/>
          <w:sz w:val="20"/>
          <w:szCs w:val="20"/>
        </w:rPr>
        <w:t>arbitrary detention, torture and murder of journalist Vladimir Herzog</w:t>
      </w:r>
      <w:r w:rsidR="003122AF" w:rsidRPr="00E72405">
        <w:rPr>
          <w:color w:val="auto"/>
          <w:sz w:val="20"/>
          <w:szCs w:val="20"/>
        </w:rPr>
        <w:t xml:space="preserve">, </w:t>
      </w:r>
      <w:r w:rsidR="003122AF" w:rsidRPr="00E72405">
        <w:rPr>
          <w:rStyle w:val="hps"/>
          <w:rFonts w:cs="Arial"/>
          <w:color w:val="auto"/>
          <w:sz w:val="20"/>
          <w:szCs w:val="20"/>
          <w:lang w:val="en"/>
        </w:rPr>
        <w:t>perpetrated</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in the context</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of serious</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human rights violations</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against political prisoners</w:t>
      </w:r>
      <w:r w:rsidR="003122AF" w:rsidRPr="00E72405">
        <w:rPr>
          <w:rFonts w:cs="Arial"/>
          <w:color w:val="auto"/>
          <w:sz w:val="20"/>
          <w:szCs w:val="20"/>
          <w:lang w:val="en"/>
        </w:rPr>
        <w:t xml:space="preserve"> </w:t>
      </w:r>
      <w:r w:rsidR="003122AF" w:rsidRPr="00E72405">
        <w:rPr>
          <w:rStyle w:val="hps"/>
          <w:rFonts w:cs="Arial"/>
          <w:color w:val="auto"/>
          <w:sz w:val="20"/>
          <w:szCs w:val="20"/>
          <w:lang w:val="en"/>
        </w:rPr>
        <w:t>during the military dictatorship,</w:t>
      </w:r>
      <w:r w:rsidRPr="00E72405">
        <w:rPr>
          <w:color w:val="auto"/>
          <w:sz w:val="20"/>
          <w:szCs w:val="20"/>
        </w:rPr>
        <w:t xml:space="preserve"> and </w:t>
      </w:r>
      <w:r w:rsidRPr="00E72405">
        <w:rPr>
          <w:color w:val="auto"/>
          <w:sz w:val="20"/>
          <w:szCs w:val="20"/>
        </w:rPr>
        <w:lastRenderedPageBreak/>
        <w:t>of the resulting</w:t>
      </w:r>
      <w:r w:rsidR="003122AF" w:rsidRPr="00E72405">
        <w:rPr>
          <w:color w:val="auto"/>
          <w:sz w:val="20"/>
          <w:szCs w:val="20"/>
        </w:rPr>
        <w:t xml:space="preserve"> violation of articles I, IV</w:t>
      </w:r>
      <w:r w:rsidRPr="00E72405">
        <w:rPr>
          <w:color w:val="auto"/>
          <w:sz w:val="20"/>
          <w:szCs w:val="20"/>
        </w:rPr>
        <w:t xml:space="preserve"> and XXV of the American Declaration, to his detriment, has</w:t>
      </w:r>
      <w:r w:rsidRPr="00E72405">
        <w:rPr>
          <w:color w:val="auto"/>
          <w:sz w:val="21"/>
          <w:szCs w:val="20"/>
        </w:rPr>
        <w:t xml:space="preserve"> </w:t>
      </w:r>
      <w:r w:rsidRPr="00E72405">
        <w:rPr>
          <w:sz w:val="20"/>
          <w:szCs w:val="20"/>
        </w:rPr>
        <w:t>been laid to rest.  It does, however, find that the acknowledgement is ambiguous with regard to the legal consequences of the failure to investigate, try and punish those responsible for the arbitrary detention, torture and murder of Vladimir Herzog, particularly the alleged violations of the rights of the journalist’s next of kin, thus necessitating a full analysis of the facts and all elements of the merits of the case.</w:t>
      </w:r>
    </w:p>
    <w:p w:rsidR="007F35B9" w:rsidRPr="00E72405" w:rsidRDefault="007F35B9" w:rsidP="007F35B9">
      <w:pPr>
        <w:spacing w:after="0" w:line="240" w:lineRule="auto"/>
        <w:jc w:val="both"/>
        <w:rPr>
          <w:rStyle w:val="Emphasis"/>
          <w:b/>
          <w:bCs/>
          <w:sz w:val="20"/>
          <w:szCs w:val="20"/>
        </w:rPr>
      </w:pPr>
    </w:p>
    <w:p w:rsidR="007F35B9" w:rsidRPr="00E72405" w:rsidRDefault="007F35B9" w:rsidP="006B64E9">
      <w:pPr>
        <w:pStyle w:val="Heading1"/>
      </w:pPr>
      <w:bookmarkStart w:id="12" w:name="_Toc433359798"/>
      <w:r w:rsidRPr="00E72405">
        <w:t>PROVEN FACTS</w:t>
      </w:r>
      <w:bookmarkEnd w:id="12"/>
    </w:p>
    <w:p w:rsidR="007F35B9" w:rsidRPr="00E72405" w:rsidRDefault="007F35B9" w:rsidP="007F35B9">
      <w:pPr>
        <w:spacing w:after="0" w:line="240" w:lineRule="auto"/>
        <w:ind w:firstLine="720"/>
        <w:jc w:val="both"/>
        <w:rPr>
          <w:rFonts w:ascii="Cambria" w:hAnsi="Cambria"/>
          <w:b/>
          <w:sz w:val="20"/>
          <w:szCs w:val="20"/>
          <w:lang w:val="es-ES_tradnl"/>
        </w:rPr>
      </w:pPr>
    </w:p>
    <w:p w:rsidR="007F35B9" w:rsidRPr="00E72405" w:rsidRDefault="007F35B9" w:rsidP="00E658C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E72405">
        <w:rPr>
          <w:sz w:val="20"/>
          <w:szCs w:val="20"/>
        </w:rPr>
        <w:t xml:space="preserve">In application of Article 43(1) of its Rules of Procedure, the Commission will </w:t>
      </w:r>
      <w:r w:rsidRPr="00E72405">
        <w:rPr>
          <w:rFonts w:cs="Tahoma"/>
          <w:color w:val="333333"/>
          <w:sz w:val="20"/>
          <w:szCs w:val="20"/>
          <w:shd w:val="clear" w:color="auto" w:fill="FFFFFF"/>
        </w:rPr>
        <w:t>examine the arguments and evidence presented by the parties and any information that is a matter of public knowledge.</w:t>
      </w:r>
      <w:r w:rsidRPr="00E72405">
        <w:rPr>
          <w:rStyle w:val="FootnoteReference"/>
          <w:sz w:val="20"/>
          <w:szCs w:val="20"/>
        </w:rPr>
        <w:footnoteReference w:id="3"/>
      </w:r>
      <w:r w:rsidRPr="00E72405">
        <w:rPr>
          <w:sz w:val="20"/>
          <w:szCs w:val="20"/>
        </w:rPr>
        <w:t xml:space="preserve"> The latter may include laws, decrees and other standards in effect in Brazil at the time of the events of the present case and summaries of the published judicial proceedings into its facts.  The IACHR also notes that to establish the facts contained in the next section, it will rely on the findings of the Special Commission on Political Deaths and Disappearances, which appear in the report titled “Right to Memory and the Truth, published by the Special Secretariat on Human Rights of the Office of the President of the Republic in 2007, and the Report of Brazil’s National Truth Commission, published on December 10, 2014.</w:t>
      </w:r>
    </w:p>
    <w:p w:rsidR="007F35B9" w:rsidRPr="00E72405" w:rsidRDefault="007F35B9" w:rsidP="007F35B9">
      <w:pPr>
        <w:spacing w:after="0" w:line="240" w:lineRule="auto"/>
        <w:ind w:left="144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Likewise, in keeping with Article 38 of its Rules of Procedure,</w:t>
      </w:r>
      <w:r w:rsidRPr="00E72405">
        <w:rPr>
          <w:rStyle w:val="FootnoteReference"/>
          <w:rFonts w:ascii="Cambria" w:hAnsi="Cambria"/>
          <w:sz w:val="20"/>
          <w:szCs w:val="20"/>
        </w:rPr>
        <w:footnoteReference w:id="4"/>
      </w:r>
      <w:r w:rsidRPr="00E72405">
        <w:rPr>
          <w:rFonts w:ascii="Cambria" w:hAnsi="Cambria"/>
          <w:sz w:val="20"/>
          <w:szCs w:val="20"/>
        </w:rPr>
        <w:t xml:space="preserve"> and given the scope of the State’s acknowledgment of responsibility, the IACHR shall presume to be true any facts that were alleged and that Brazil did not contest, as long as other evidence does not lead to a different conclusion.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6B64E9">
      <w:pPr>
        <w:pStyle w:val="Heading2"/>
        <w:numPr>
          <w:ilvl w:val="0"/>
          <w:numId w:val="34"/>
        </w:numPr>
        <w:ind w:hanging="720"/>
      </w:pPr>
      <w:bookmarkStart w:id="13" w:name="_Toc433359799"/>
      <w:r w:rsidRPr="00E72405">
        <w:t>Context and background</w:t>
      </w:r>
      <w:bookmarkEnd w:id="13"/>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As the State has acknowledged, the facts of the present case occurred amid a context of serious human rights violations committed during the civil-military dictatorship that came to power in Brazil following the </w:t>
      </w:r>
      <w:r w:rsidRPr="00E72405">
        <w:rPr>
          <w:rFonts w:ascii="Cambria" w:hAnsi="Cambria"/>
          <w:i/>
          <w:sz w:val="20"/>
          <w:szCs w:val="20"/>
        </w:rPr>
        <w:t>coup d’état</w:t>
      </w:r>
      <w:r w:rsidRPr="00E72405">
        <w:rPr>
          <w:rFonts w:ascii="Cambria" w:hAnsi="Cambria"/>
          <w:sz w:val="20"/>
          <w:szCs w:val="20"/>
        </w:rPr>
        <w:t xml:space="preserve"> on March 31, 1964,</w:t>
      </w:r>
      <w:r w:rsidRPr="00E72405">
        <w:rPr>
          <w:rStyle w:val="FootnoteReference"/>
          <w:rFonts w:ascii="Cambria" w:hAnsi="Cambria"/>
          <w:sz w:val="20"/>
          <w:szCs w:val="20"/>
        </w:rPr>
        <w:footnoteReference w:id="5"/>
      </w:r>
      <w:r w:rsidRPr="00E72405">
        <w:rPr>
          <w:rFonts w:ascii="Cambria" w:hAnsi="Cambria"/>
          <w:sz w:val="20"/>
          <w:szCs w:val="20"/>
        </w:rPr>
        <w:t xml:space="preserve"> and lasted 21 years.</w:t>
      </w:r>
      <w:r w:rsidRPr="00E72405">
        <w:rPr>
          <w:rStyle w:val="FootnoteReference"/>
          <w:rFonts w:ascii="Cambria" w:hAnsi="Cambria"/>
          <w:sz w:val="20"/>
          <w:szCs w:val="20"/>
        </w:rPr>
        <w:footnoteReference w:id="6"/>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sz w:val="20"/>
          <w:szCs w:val="20"/>
        </w:rPr>
      </w:pPr>
      <w:r w:rsidRPr="00E72405">
        <w:rPr>
          <w:rStyle w:val="Emphasis"/>
          <w:rFonts w:ascii="Cambria" w:hAnsi="Cambria" w:cs="Arial"/>
          <w:i w:val="0"/>
          <w:sz w:val="20"/>
          <w:szCs w:val="20"/>
        </w:rPr>
        <w:t>In its judgment in the Case of Gomes Lund et al. v. Brazil, the Inter-American Court of Human Rights observed that</w:t>
      </w:r>
      <w:r w:rsidRPr="00E72405">
        <w:rPr>
          <w:rStyle w:val="Emphasis"/>
          <w:rFonts w:ascii="Cambria" w:hAnsi="Cambria" w:cs="Arial"/>
          <w:sz w:val="20"/>
          <w:szCs w:val="20"/>
        </w:rPr>
        <w:t xml:space="preserve"> “</w:t>
      </w:r>
      <w:r w:rsidRPr="00E72405">
        <w:rPr>
          <w:rFonts w:ascii="Cambria" w:hAnsi="Cambria"/>
          <w:sz w:val="20"/>
        </w:rPr>
        <w:t>close to 50 thousand persons were detained in the first few months of the dictatorship; around 20 thousand prisoners were subject to torture; there are 354 dead and disappeared persons of the political opposition; 130 expelled from the country; 4,862 persons whose mandates and political rights were ceased, and hundreds of peasants were murdered.</w:t>
      </w:r>
      <w:r w:rsidRPr="00E72405">
        <w:rPr>
          <w:rStyle w:val="Emphasis"/>
          <w:rFonts w:ascii="Cambria" w:hAnsi="Cambria" w:cs="Arial"/>
          <w:sz w:val="20"/>
          <w:szCs w:val="20"/>
        </w:rPr>
        <w:t>”</w:t>
      </w:r>
      <w:r w:rsidRPr="00E72405">
        <w:rPr>
          <w:rStyle w:val="FootnoteReference"/>
          <w:rFonts w:ascii="Cambria" w:hAnsi="Cambria" w:cs="Arial"/>
          <w:bCs/>
          <w:sz w:val="20"/>
          <w:szCs w:val="20"/>
        </w:rPr>
        <w:footnoteReference w:id="7"/>
      </w:r>
      <w:r w:rsidR="003E14C1" w:rsidRPr="00E72405">
        <w:rPr>
          <w:rStyle w:val="Emphasis"/>
          <w:rFonts w:ascii="Cambria" w:hAnsi="Cambria" w:cs="Arial"/>
          <w:sz w:val="20"/>
          <w:szCs w:val="20"/>
        </w:rPr>
        <w:t xml:space="preserve"> </w:t>
      </w:r>
      <w:r w:rsidRPr="00E72405">
        <w:rPr>
          <w:rStyle w:val="Emphasis"/>
          <w:rFonts w:ascii="Cambria" w:hAnsi="Cambria" w:cs="Arial"/>
          <w:i w:val="0"/>
          <w:sz w:val="20"/>
          <w:szCs w:val="20"/>
        </w:rPr>
        <w:t>More recently, Brazil’s National Truth Commission documented 434 politically motivated deaths and disappearances that occurred in Brazil and abroad</w:t>
      </w:r>
      <w:r w:rsidRPr="00E72405">
        <w:rPr>
          <w:rStyle w:val="Emphasis"/>
          <w:rFonts w:ascii="Cambria" w:hAnsi="Cambria" w:cs="Arial"/>
          <w:sz w:val="20"/>
          <w:szCs w:val="20"/>
        </w:rPr>
        <w:t>.</w:t>
      </w:r>
      <w:r w:rsidRPr="00E72405">
        <w:rPr>
          <w:rStyle w:val="FootnoteReference"/>
          <w:rFonts w:ascii="Cambria" w:hAnsi="Cambria" w:cs="Arial"/>
          <w:bCs/>
          <w:sz w:val="20"/>
          <w:szCs w:val="20"/>
        </w:rPr>
        <w:footnoteReference w:id="8"/>
      </w:r>
      <w:r w:rsidRPr="00E72405">
        <w:rPr>
          <w:rStyle w:val="Emphasis"/>
          <w:rFonts w:ascii="Cambria" w:hAnsi="Cambria" w:cs="Arial"/>
          <w:sz w:val="20"/>
          <w:szCs w:val="20"/>
        </w:rPr>
        <w:t xml:space="preserve"> </w:t>
      </w:r>
    </w:p>
    <w:p w:rsidR="007F35B9" w:rsidRPr="00E72405" w:rsidRDefault="007F35B9" w:rsidP="007F35B9">
      <w:pPr>
        <w:spacing w:after="0" w:line="240" w:lineRule="auto"/>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As the official documents indicate, the serious human rights violations committed during the military dictatorship were part of a policy of repression designed and executed by the State through the </w:t>
      </w:r>
      <w:r w:rsidRPr="00E72405">
        <w:rPr>
          <w:rFonts w:ascii="Cambria" w:hAnsi="Cambria"/>
          <w:sz w:val="20"/>
          <w:szCs w:val="20"/>
        </w:rPr>
        <w:lastRenderedPageBreak/>
        <w:t>branches of the Armed Forces, the military and civilian police, and the judicial branch of government, all for the purpose of eliminating any resistance to the coup and to the regime that took power. As with other regimes in power in the region at the time,</w:t>
      </w:r>
      <w:r w:rsidRPr="00E72405">
        <w:rPr>
          <w:rStyle w:val="FootnoteReference"/>
          <w:rFonts w:ascii="Cambria" w:hAnsi="Cambria"/>
          <w:sz w:val="20"/>
          <w:szCs w:val="20"/>
        </w:rPr>
        <w:footnoteReference w:id="9"/>
      </w:r>
      <w:r w:rsidRPr="00E72405">
        <w:rPr>
          <w:rFonts w:ascii="Cambria" w:hAnsi="Cambria"/>
          <w:sz w:val="20"/>
          <w:szCs w:val="20"/>
        </w:rPr>
        <w:t xml:space="preserve"> the Brazilian dictatorship mounted a “massive repressive apparatus”</w:t>
      </w:r>
      <w:r w:rsidRPr="00E72405">
        <w:rPr>
          <w:rStyle w:val="FootnoteReference"/>
          <w:rFonts w:ascii="Cambria" w:hAnsi="Cambria"/>
          <w:sz w:val="20"/>
          <w:szCs w:val="20"/>
        </w:rPr>
        <w:footnoteReference w:id="10"/>
      </w:r>
      <w:r w:rsidRPr="00E72405">
        <w:rPr>
          <w:rFonts w:ascii="Cambria" w:hAnsi="Cambria"/>
          <w:sz w:val="20"/>
          <w:szCs w:val="20"/>
        </w:rPr>
        <w:t xml:space="preserve"> based on the Doctrine of National Security [</w:t>
      </w:r>
      <w:proofErr w:type="spellStart"/>
      <w:r w:rsidRPr="00E72405">
        <w:rPr>
          <w:rFonts w:ascii="Cambria" w:hAnsi="Cambria"/>
          <w:i/>
          <w:sz w:val="20"/>
          <w:szCs w:val="20"/>
        </w:rPr>
        <w:t>Doutrina</w:t>
      </w:r>
      <w:proofErr w:type="spellEnd"/>
      <w:r w:rsidRPr="00E72405">
        <w:rPr>
          <w:rFonts w:ascii="Cambria" w:hAnsi="Cambria"/>
          <w:i/>
          <w:sz w:val="20"/>
          <w:szCs w:val="20"/>
        </w:rPr>
        <w:t xml:space="preserve"> de </w:t>
      </w:r>
      <w:proofErr w:type="spellStart"/>
      <w:r w:rsidRPr="00E72405">
        <w:rPr>
          <w:rFonts w:ascii="Cambria" w:hAnsi="Cambria"/>
          <w:i/>
          <w:sz w:val="20"/>
          <w:szCs w:val="20"/>
        </w:rPr>
        <w:t>Segurança</w:t>
      </w:r>
      <w:proofErr w:type="spellEnd"/>
      <w:r w:rsidRPr="00E72405">
        <w:rPr>
          <w:rFonts w:ascii="Cambria" w:hAnsi="Cambria"/>
          <w:i/>
          <w:sz w:val="20"/>
          <w:szCs w:val="20"/>
        </w:rPr>
        <w:t xml:space="preserve"> Nacional</w:t>
      </w:r>
      <w:r w:rsidRPr="00E72405">
        <w:rPr>
          <w:rFonts w:ascii="Cambria" w:hAnsi="Cambria"/>
          <w:sz w:val="20"/>
          <w:szCs w:val="20"/>
        </w:rPr>
        <w:t>].</w:t>
      </w:r>
      <w:r w:rsidRPr="00E72405">
        <w:rPr>
          <w:rStyle w:val="FootnoteReference"/>
          <w:rFonts w:ascii="Cambria" w:hAnsi="Cambria"/>
          <w:sz w:val="20"/>
          <w:szCs w:val="20"/>
        </w:rPr>
        <w:footnoteReference w:id="11"/>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Brazilian military dictatorship was not an isolated event in Latin America; instead it fit into the broader global geopolitical context of the so-called “Cold War”.  In Latin America, with few exceptions, in the 1960s and 1970s the countries of the Southern Cone –Paraguay (1954), Brazil (1964), Argentina (1966 and 1976), Uruguay (1973) and Chile (1973)- lived under military dictatorships that all applied a strategy of anti-Communism through the “Doctrine of National Security”.</w:t>
      </w:r>
      <w:r w:rsidRPr="00E72405">
        <w:rPr>
          <w:rStyle w:val="FootnoteReference"/>
          <w:rFonts w:ascii="Cambria" w:hAnsi="Cambria"/>
          <w:sz w:val="20"/>
          <w:szCs w:val="20"/>
        </w:rPr>
        <w:footnoteReference w:id="12"/>
      </w:r>
      <w:r w:rsidR="00E408AC" w:rsidRPr="00E72405">
        <w:rPr>
          <w:rFonts w:ascii="Cambria" w:hAnsi="Cambria"/>
          <w:sz w:val="20"/>
          <w:szCs w:val="20"/>
        </w:rPr>
        <w:t xml:space="preserve"> </w:t>
      </w:r>
      <w:r w:rsidRPr="00E72405">
        <w:rPr>
          <w:rFonts w:ascii="Cambria" w:hAnsi="Cambria"/>
          <w:sz w:val="20"/>
          <w:szCs w:val="20"/>
        </w:rPr>
        <w:t xml:space="preserve">Here, the Inter-American Court has written that most of the dictatorial governments in the Southern Cone region came to power or were in power during the 1970s […] </w:t>
      </w:r>
      <w:r w:rsidRPr="00E72405">
        <w:rPr>
          <w:rFonts w:ascii="Cambria" w:hAnsi="Cambria"/>
          <w:color w:val="000000"/>
          <w:sz w:val="20"/>
          <w:szCs w:val="20"/>
        </w:rPr>
        <w:t>The ideological basis of all these regimes was the “national security doctrine,” which regarded leftist movements and other groups as “common enemies…”</w:t>
      </w:r>
      <w:r w:rsidRPr="00E72405">
        <w:rPr>
          <w:rStyle w:val="FootnoteReference"/>
          <w:rFonts w:ascii="Cambria" w:hAnsi="Cambria"/>
          <w:sz w:val="20"/>
          <w:szCs w:val="20"/>
        </w:rPr>
        <w:footnoteReference w:id="13"/>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Based on the Doctrine of National Security, a succession of “National Security Laws” were issued under the military regime in Brazil</w:t>
      </w:r>
      <w:r w:rsidR="00727A02" w:rsidRPr="00E72405">
        <w:rPr>
          <w:rStyle w:val="FootnoteReference"/>
          <w:rFonts w:ascii="Cambria" w:hAnsi="Cambria"/>
          <w:sz w:val="20"/>
          <w:szCs w:val="20"/>
        </w:rPr>
        <w:footnoteReference w:id="14"/>
      </w:r>
      <w:r w:rsidR="00727A02" w:rsidRPr="00E72405">
        <w:rPr>
          <w:rFonts w:ascii="Cambria" w:hAnsi="Cambria"/>
          <w:sz w:val="20"/>
          <w:szCs w:val="20"/>
        </w:rPr>
        <w:t>.</w:t>
      </w:r>
      <w:r w:rsidRPr="00E72405">
        <w:rPr>
          <w:rFonts w:ascii="Cambria" w:hAnsi="Cambria"/>
          <w:sz w:val="20"/>
          <w:szCs w:val="20"/>
        </w:rPr>
        <w:t xml:space="preserve"> The main legal support of the military regime in Brazil was the so-called “Institutional Act” (</w:t>
      </w:r>
      <w:proofErr w:type="spellStart"/>
      <w:r w:rsidRPr="00E72405">
        <w:rPr>
          <w:rFonts w:ascii="Cambria" w:hAnsi="Cambria"/>
          <w:i/>
          <w:sz w:val="20"/>
          <w:szCs w:val="20"/>
        </w:rPr>
        <w:t>Ato</w:t>
      </w:r>
      <w:proofErr w:type="spellEnd"/>
      <w:r w:rsidRPr="00E72405">
        <w:rPr>
          <w:rFonts w:ascii="Cambria" w:hAnsi="Cambria"/>
          <w:i/>
          <w:sz w:val="20"/>
          <w:szCs w:val="20"/>
        </w:rPr>
        <w:t xml:space="preserve"> </w:t>
      </w:r>
      <w:proofErr w:type="spellStart"/>
      <w:r w:rsidRPr="00E72405">
        <w:rPr>
          <w:rFonts w:ascii="Cambria" w:hAnsi="Cambria"/>
          <w:i/>
          <w:sz w:val="20"/>
          <w:szCs w:val="20"/>
        </w:rPr>
        <w:t>Institucional</w:t>
      </w:r>
      <w:proofErr w:type="spellEnd"/>
      <w:r w:rsidRPr="00E72405">
        <w:rPr>
          <w:rFonts w:ascii="Cambria" w:hAnsi="Cambria"/>
          <w:i/>
          <w:sz w:val="20"/>
          <w:szCs w:val="20"/>
        </w:rPr>
        <w:t xml:space="preserve">, </w:t>
      </w:r>
      <w:r w:rsidRPr="00E72405">
        <w:rPr>
          <w:rFonts w:ascii="Cambria" w:hAnsi="Cambria"/>
          <w:sz w:val="20"/>
          <w:szCs w:val="20"/>
        </w:rPr>
        <w:t>hereinafter “the AI”).</w:t>
      </w:r>
      <w:r w:rsidRPr="00E72405">
        <w:rPr>
          <w:rStyle w:val="FootnoteReference"/>
          <w:rFonts w:ascii="Cambria" w:hAnsi="Cambria"/>
          <w:sz w:val="20"/>
          <w:szCs w:val="20"/>
        </w:rPr>
        <w:footnoteReference w:id="15"/>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escalation of the repressive legal system in Brazil gradually drew reactions from various quarters of the public.  The student movement, in particular, vigorously demonstrated its opposition, which peaked in the form of massive 1968 demonstrations</w:t>
      </w:r>
      <w:r w:rsidR="00064C5A" w:rsidRPr="00E72405">
        <w:rPr>
          <w:rStyle w:val="FootnoteReference"/>
          <w:rFonts w:ascii="Cambria" w:hAnsi="Cambria"/>
          <w:sz w:val="20"/>
          <w:szCs w:val="20"/>
        </w:rPr>
        <w:footnoteReference w:id="16"/>
      </w:r>
      <w:r w:rsidRPr="00E72405">
        <w:rPr>
          <w:rFonts w:ascii="Cambria" w:hAnsi="Cambria"/>
          <w:sz w:val="20"/>
          <w:szCs w:val="20"/>
        </w:rPr>
        <w:t xml:space="preserve">.  </w:t>
      </w:r>
    </w:p>
    <w:p w:rsidR="007F35B9" w:rsidRPr="00E72405" w:rsidRDefault="007F35B9" w:rsidP="007F35B9">
      <w:pPr>
        <w:pStyle w:val="NoSpacing"/>
      </w:pPr>
    </w:p>
    <w:p w:rsidR="007F35B9" w:rsidRPr="00E72405" w:rsidRDefault="00064C5A" w:rsidP="00727A02">
      <w:pPr>
        <w:numPr>
          <w:ilvl w:val="0"/>
          <w:numId w:val="6"/>
        </w:numPr>
        <w:spacing w:after="0" w:line="240" w:lineRule="auto"/>
        <w:ind w:left="0" w:firstLine="720"/>
        <w:jc w:val="both"/>
        <w:rPr>
          <w:rStyle w:val="Emphasis"/>
          <w:rFonts w:ascii="Cambria" w:hAnsi="Cambria"/>
          <w:i w:val="0"/>
          <w:iCs w:val="0"/>
          <w:sz w:val="20"/>
          <w:szCs w:val="20"/>
        </w:rPr>
      </w:pPr>
      <w:r w:rsidRPr="00E72405">
        <w:rPr>
          <w:rFonts w:ascii="Cambria" w:hAnsi="Cambria"/>
          <w:sz w:val="20"/>
          <w:szCs w:val="20"/>
        </w:rPr>
        <w:t xml:space="preserve">In response to the </w:t>
      </w:r>
      <w:r w:rsidR="00534E7F" w:rsidRPr="00E72405">
        <w:rPr>
          <w:rFonts w:ascii="Cambria" w:hAnsi="Cambria"/>
          <w:sz w:val="20"/>
          <w:szCs w:val="20"/>
        </w:rPr>
        <w:t xml:space="preserve">increase of </w:t>
      </w:r>
      <w:r w:rsidR="00C419D4" w:rsidRPr="00E72405">
        <w:rPr>
          <w:rFonts w:ascii="Cambria" w:hAnsi="Cambria"/>
          <w:sz w:val="20"/>
          <w:szCs w:val="20"/>
        </w:rPr>
        <w:t xml:space="preserve">popular manifestation against the </w:t>
      </w:r>
      <w:r w:rsidR="007F35B9" w:rsidRPr="00E72405">
        <w:rPr>
          <w:rFonts w:ascii="Cambria" w:hAnsi="Cambria"/>
          <w:sz w:val="20"/>
          <w:szCs w:val="20"/>
        </w:rPr>
        <w:t>military regime, on December 13, 1968 President Costa e Silva issued AI-5.  Unlike the other AIs, AI-5 did not have a time limit, “it was dictatorship unmasked.”</w:t>
      </w:r>
      <w:r w:rsidR="007F35B9" w:rsidRPr="00E72405">
        <w:rPr>
          <w:rStyle w:val="FootnoteReference"/>
          <w:rFonts w:ascii="Cambria" w:hAnsi="Cambria"/>
          <w:sz w:val="20"/>
          <w:szCs w:val="20"/>
        </w:rPr>
        <w:footnoteReference w:id="17"/>
      </w:r>
      <w:r w:rsidR="007F35B9" w:rsidRPr="00E72405">
        <w:rPr>
          <w:rFonts w:ascii="Cambria" w:hAnsi="Cambria"/>
          <w:sz w:val="20"/>
          <w:szCs w:val="20"/>
        </w:rPr>
        <w:t xml:space="preserve">  The National Congress was closed and the possibility of summary dismissals and of being summarily terminated while in office was reinstated and political rights and the constitutional rights to freedom of expression and of association could be suspended.  The military regime’s legal system also allowed one to be barred from the practice of one’s profession (which affected the practice of </w:t>
      </w:r>
      <w:r w:rsidR="007F35B9" w:rsidRPr="00E72405">
        <w:rPr>
          <w:rFonts w:ascii="Cambria" w:hAnsi="Cambria"/>
          <w:sz w:val="20"/>
          <w:szCs w:val="20"/>
        </w:rPr>
        <w:lastRenderedPageBreak/>
        <w:t xml:space="preserve">journalism); confiscation of property was allowed and the guarantee of </w:t>
      </w:r>
      <w:r w:rsidR="007F35B9" w:rsidRPr="00E72405">
        <w:rPr>
          <w:rFonts w:ascii="Cambria" w:hAnsi="Cambria"/>
          <w:i/>
          <w:sz w:val="20"/>
          <w:szCs w:val="20"/>
        </w:rPr>
        <w:t>habeas corpus</w:t>
      </w:r>
      <w:r w:rsidR="007F35B9" w:rsidRPr="00E72405">
        <w:rPr>
          <w:rFonts w:ascii="Cambria" w:hAnsi="Cambria"/>
          <w:sz w:val="20"/>
          <w:szCs w:val="20"/>
        </w:rPr>
        <w:t xml:space="preserve"> was suspended in the case of political crimes against national security.</w:t>
      </w:r>
      <w:r w:rsidR="007F35B9" w:rsidRPr="00E72405">
        <w:rPr>
          <w:rStyle w:val="FootnoteReference"/>
          <w:rFonts w:ascii="Cambria" w:hAnsi="Cambria"/>
          <w:sz w:val="20"/>
          <w:szCs w:val="20"/>
        </w:rPr>
        <w:footnoteReference w:id="18"/>
      </w:r>
    </w:p>
    <w:p w:rsidR="00490D5A" w:rsidRPr="00E72405" w:rsidRDefault="007F35B9" w:rsidP="00490D5A">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 xml:space="preserve">In March 1970, during the term of President </w:t>
      </w:r>
      <w:proofErr w:type="spellStart"/>
      <w:r w:rsidRPr="00E72405">
        <w:rPr>
          <w:rStyle w:val="Emphasis"/>
          <w:rFonts w:ascii="Cambria" w:hAnsi="Cambria"/>
          <w:i w:val="0"/>
          <w:sz w:val="20"/>
          <w:szCs w:val="20"/>
        </w:rPr>
        <w:t>Médici</w:t>
      </w:r>
      <w:proofErr w:type="spellEnd"/>
      <w:r w:rsidRPr="00E72405">
        <w:rPr>
          <w:rStyle w:val="Emphasis"/>
          <w:rFonts w:ascii="Cambria" w:hAnsi="Cambria"/>
          <w:i w:val="0"/>
          <w:sz w:val="20"/>
          <w:szCs w:val="20"/>
        </w:rPr>
        <w:t>, the then Minister of the Army, General Geisel (later President of the Republic), codified the Army’s police activity in a document called “Presidential Directive on Internal Security” [“</w:t>
      </w:r>
      <w:proofErr w:type="spellStart"/>
      <w:r w:rsidRPr="00E72405">
        <w:rPr>
          <w:rFonts w:ascii="Cambria" w:eastAsiaTheme="minorHAnsi" w:hAnsi="Cambria" w:cs="AGaramondPro-Regular"/>
          <w:i/>
          <w:sz w:val="20"/>
          <w:szCs w:val="20"/>
        </w:rPr>
        <w:t>Diretriz</w:t>
      </w:r>
      <w:proofErr w:type="spellEnd"/>
      <w:r w:rsidRPr="00E72405">
        <w:rPr>
          <w:rFonts w:ascii="Cambria" w:eastAsiaTheme="minorHAnsi" w:hAnsi="Cambria" w:cs="AGaramondPro-Regular"/>
          <w:i/>
          <w:sz w:val="20"/>
          <w:szCs w:val="20"/>
        </w:rPr>
        <w:t xml:space="preserve"> </w:t>
      </w:r>
      <w:proofErr w:type="spellStart"/>
      <w:r w:rsidRPr="00E72405">
        <w:rPr>
          <w:rFonts w:ascii="Cambria" w:eastAsiaTheme="minorHAnsi" w:hAnsi="Cambria" w:cs="AGaramondPro-Regular"/>
          <w:i/>
          <w:sz w:val="20"/>
          <w:szCs w:val="20"/>
        </w:rPr>
        <w:t>Presidencial</w:t>
      </w:r>
      <w:proofErr w:type="spellEnd"/>
      <w:r w:rsidRPr="00E72405">
        <w:rPr>
          <w:rFonts w:ascii="Cambria" w:eastAsiaTheme="minorHAnsi" w:hAnsi="Cambria" w:cs="AGaramondPro-Regular"/>
          <w:i/>
          <w:sz w:val="20"/>
          <w:szCs w:val="20"/>
        </w:rPr>
        <w:t xml:space="preserve"> de </w:t>
      </w:r>
      <w:proofErr w:type="spellStart"/>
      <w:r w:rsidRPr="00E72405">
        <w:rPr>
          <w:rFonts w:ascii="Cambria" w:eastAsiaTheme="minorHAnsi" w:hAnsi="Cambria" w:cs="AGaramondPro-Regular"/>
          <w:i/>
          <w:sz w:val="20"/>
          <w:szCs w:val="20"/>
        </w:rPr>
        <w:t>Segurança</w:t>
      </w:r>
      <w:proofErr w:type="spellEnd"/>
      <w:r w:rsidRPr="00E72405">
        <w:rPr>
          <w:rFonts w:ascii="Cambria" w:eastAsiaTheme="minorHAnsi" w:hAnsi="Cambria" w:cs="AGaramondPro-Regular"/>
          <w:i/>
          <w:sz w:val="20"/>
          <w:szCs w:val="20"/>
        </w:rPr>
        <w:t xml:space="preserve"> </w:t>
      </w:r>
      <w:proofErr w:type="spellStart"/>
      <w:r w:rsidRPr="00E72405">
        <w:rPr>
          <w:rFonts w:ascii="Cambria" w:eastAsiaTheme="minorHAnsi" w:hAnsi="Cambria" w:cs="AGaramondPro-Regular"/>
          <w:i/>
          <w:sz w:val="20"/>
          <w:szCs w:val="20"/>
        </w:rPr>
        <w:t>Interna</w:t>
      </w:r>
      <w:proofErr w:type="spellEnd"/>
      <w:r w:rsidRPr="00E72405">
        <w:rPr>
          <w:rFonts w:ascii="Cambria" w:eastAsiaTheme="minorHAnsi" w:hAnsi="Cambria" w:cs="AGaramondPro-Regular"/>
          <w:i/>
          <w:sz w:val="20"/>
          <w:szCs w:val="20"/>
        </w:rPr>
        <w:t xml:space="preserve">”].”  </w:t>
      </w:r>
      <w:r w:rsidRPr="00E72405">
        <w:rPr>
          <w:rFonts w:ascii="Cambria" w:eastAsiaTheme="minorHAnsi" w:hAnsi="Cambria" w:cs="AGaramondPro-Regular"/>
          <w:sz w:val="20"/>
          <w:szCs w:val="20"/>
        </w:rPr>
        <w:t>In July 1970, General Geisel notified the generals under his command that, on instructions from</w:t>
      </w:r>
      <w:r w:rsidRPr="00E72405">
        <w:rPr>
          <w:rFonts w:ascii="Cambria" w:eastAsiaTheme="minorHAnsi" w:hAnsi="Cambria" w:cs="AGaramondPro-Regular"/>
          <w:i/>
          <w:sz w:val="20"/>
          <w:szCs w:val="20"/>
        </w:rPr>
        <w:t xml:space="preserve"> </w:t>
      </w:r>
      <w:r w:rsidRPr="00E72405">
        <w:rPr>
          <w:rFonts w:ascii="Cambria" w:eastAsiaTheme="minorHAnsi" w:hAnsi="Cambria" w:cs="AGaramondPro-Regular"/>
          <w:sz w:val="20"/>
          <w:szCs w:val="20"/>
        </w:rPr>
        <w:t>President</w:t>
      </w:r>
      <w:r w:rsidRPr="00E72405">
        <w:rPr>
          <w:rFonts w:ascii="Cambria" w:eastAsiaTheme="minorHAnsi" w:hAnsi="Cambria" w:cs="AGaramondPro-Regular"/>
          <w:i/>
          <w:sz w:val="20"/>
          <w:szCs w:val="20"/>
        </w:rPr>
        <w:t xml:space="preserve"> </w:t>
      </w:r>
      <w:proofErr w:type="spellStart"/>
      <w:r w:rsidRPr="00E72405">
        <w:rPr>
          <w:rStyle w:val="Emphasis"/>
          <w:rFonts w:ascii="Cambria" w:hAnsi="Cambria"/>
          <w:i w:val="0"/>
          <w:sz w:val="20"/>
          <w:szCs w:val="20"/>
        </w:rPr>
        <w:t>Médici</w:t>
      </w:r>
      <w:proofErr w:type="spellEnd"/>
      <w:r w:rsidRPr="00E72405">
        <w:rPr>
          <w:rStyle w:val="Emphasis"/>
          <w:rFonts w:ascii="Cambria" w:hAnsi="Cambria"/>
          <w:i w:val="0"/>
          <w:sz w:val="20"/>
          <w:szCs w:val="20"/>
        </w:rPr>
        <w:t>, the Army would be taking command of security activities and would therefore have greater authority than the Navy and Air Force; it would also be taking over administration of civilian security.  Two months later, the Ministry of the Army created the Intelligence Operations Detachments [</w:t>
      </w:r>
      <w:proofErr w:type="spellStart"/>
      <w:r w:rsidRPr="00E72405">
        <w:rPr>
          <w:rFonts w:ascii="Cambria" w:eastAsiaTheme="minorHAnsi" w:hAnsi="Cambria" w:cs="AGaramondPro-Regular"/>
          <w:i/>
          <w:sz w:val="20"/>
          <w:szCs w:val="20"/>
        </w:rPr>
        <w:t>Destacamentos</w:t>
      </w:r>
      <w:proofErr w:type="spellEnd"/>
      <w:r w:rsidRPr="00E72405">
        <w:rPr>
          <w:rFonts w:ascii="Cambria" w:eastAsiaTheme="minorHAnsi" w:hAnsi="Cambria" w:cs="AGaramondPro-Regular"/>
          <w:i/>
          <w:sz w:val="20"/>
          <w:szCs w:val="20"/>
        </w:rPr>
        <w:t xml:space="preserve"> de </w:t>
      </w:r>
      <w:proofErr w:type="spellStart"/>
      <w:r w:rsidRPr="00E72405">
        <w:rPr>
          <w:rFonts w:ascii="Cambria" w:eastAsiaTheme="minorHAnsi" w:hAnsi="Cambria" w:cs="AGaramondPro-Regular"/>
          <w:i/>
          <w:sz w:val="20"/>
          <w:szCs w:val="20"/>
        </w:rPr>
        <w:t>Operações</w:t>
      </w:r>
      <w:proofErr w:type="spellEnd"/>
      <w:r w:rsidRPr="00E72405">
        <w:rPr>
          <w:rFonts w:ascii="Cambria" w:eastAsiaTheme="minorHAnsi" w:hAnsi="Cambria" w:cs="AGaramondPro-Regular"/>
          <w:i/>
          <w:sz w:val="20"/>
          <w:szCs w:val="20"/>
        </w:rPr>
        <w:t xml:space="preserve"> de </w:t>
      </w:r>
      <w:proofErr w:type="spellStart"/>
      <w:r w:rsidRPr="00E72405">
        <w:rPr>
          <w:rFonts w:ascii="Cambria" w:eastAsiaTheme="minorHAnsi" w:hAnsi="Cambria" w:cs="AGaramondPro-Regular"/>
          <w:i/>
          <w:sz w:val="20"/>
          <w:szCs w:val="20"/>
        </w:rPr>
        <w:t>Informações</w:t>
      </w:r>
      <w:proofErr w:type="spellEnd"/>
      <w:r w:rsidRPr="00E72405">
        <w:rPr>
          <w:rFonts w:ascii="Cambria" w:eastAsiaTheme="minorHAnsi" w:hAnsi="Cambria" w:cs="AGaramondPro-Regular"/>
          <w:i/>
          <w:sz w:val="20"/>
          <w:szCs w:val="20"/>
        </w:rPr>
        <w:t xml:space="preserve">- DOI]. </w:t>
      </w:r>
      <w:r w:rsidRPr="00E72405">
        <w:rPr>
          <w:rFonts w:ascii="Cambria" w:eastAsiaTheme="minorHAnsi" w:hAnsi="Cambria" w:cs="AGaramondPro-Regular"/>
          <w:sz w:val="20"/>
          <w:szCs w:val="20"/>
        </w:rPr>
        <w:t xml:space="preserve">Despite the primacy of the Army, a collective body was also created to ensure that all three branches of the Armed Forces participated in the Internal Defense Operations Center </w:t>
      </w:r>
      <w:r w:rsidRPr="00E72405">
        <w:rPr>
          <w:rStyle w:val="Emphasis"/>
          <w:rFonts w:ascii="Cambria" w:hAnsi="Cambria"/>
          <w:i w:val="0"/>
          <w:sz w:val="20"/>
          <w:szCs w:val="20"/>
        </w:rPr>
        <w:t>[</w:t>
      </w:r>
      <w:proofErr w:type="spellStart"/>
      <w:r w:rsidRPr="00E72405">
        <w:rPr>
          <w:rFonts w:ascii="Cambria" w:eastAsiaTheme="minorHAnsi" w:hAnsi="Cambria" w:cs="AGaramondPro-Regular"/>
          <w:i/>
          <w:sz w:val="20"/>
          <w:szCs w:val="20"/>
        </w:rPr>
        <w:t>Centros</w:t>
      </w:r>
      <w:proofErr w:type="spellEnd"/>
      <w:r w:rsidRPr="00E72405">
        <w:rPr>
          <w:rFonts w:ascii="Cambria" w:eastAsiaTheme="minorHAnsi" w:hAnsi="Cambria" w:cs="AGaramondPro-Regular"/>
          <w:i/>
          <w:sz w:val="20"/>
          <w:szCs w:val="20"/>
        </w:rPr>
        <w:t xml:space="preserve"> de </w:t>
      </w:r>
      <w:proofErr w:type="spellStart"/>
      <w:r w:rsidRPr="00E72405">
        <w:rPr>
          <w:rFonts w:ascii="Cambria" w:eastAsiaTheme="minorHAnsi" w:hAnsi="Cambria" w:cs="AGaramondPro-Regular"/>
          <w:i/>
          <w:sz w:val="20"/>
          <w:szCs w:val="20"/>
        </w:rPr>
        <w:t>Operações</w:t>
      </w:r>
      <w:proofErr w:type="spellEnd"/>
      <w:r w:rsidRPr="00E72405">
        <w:rPr>
          <w:rFonts w:ascii="Cambria" w:eastAsiaTheme="minorHAnsi" w:hAnsi="Cambria" w:cs="AGaramondPro-Regular"/>
          <w:i/>
          <w:sz w:val="20"/>
          <w:szCs w:val="20"/>
        </w:rPr>
        <w:t xml:space="preserve"> de </w:t>
      </w:r>
      <w:proofErr w:type="spellStart"/>
      <w:r w:rsidRPr="00E72405">
        <w:rPr>
          <w:rFonts w:ascii="Cambria" w:eastAsiaTheme="minorHAnsi" w:hAnsi="Cambria" w:cs="AGaramondPro-Regular"/>
          <w:i/>
          <w:sz w:val="20"/>
          <w:szCs w:val="20"/>
        </w:rPr>
        <w:t>Defesa</w:t>
      </w:r>
      <w:proofErr w:type="spellEnd"/>
      <w:r w:rsidRPr="00E72405">
        <w:rPr>
          <w:rFonts w:ascii="Cambria" w:eastAsiaTheme="minorHAnsi" w:hAnsi="Cambria" w:cs="AGaramondPro-Regular"/>
          <w:i/>
          <w:sz w:val="20"/>
          <w:szCs w:val="20"/>
        </w:rPr>
        <w:t xml:space="preserve"> </w:t>
      </w:r>
      <w:proofErr w:type="spellStart"/>
      <w:r w:rsidRPr="00E72405">
        <w:rPr>
          <w:rFonts w:ascii="Cambria" w:eastAsiaTheme="minorHAnsi" w:hAnsi="Cambria" w:cs="AGaramondPro-Regular"/>
          <w:i/>
          <w:sz w:val="20"/>
          <w:szCs w:val="20"/>
        </w:rPr>
        <w:t>Interna</w:t>
      </w:r>
      <w:proofErr w:type="spellEnd"/>
      <w:r w:rsidRPr="00E72405">
        <w:rPr>
          <w:rFonts w:ascii="Cambria" w:eastAsiaTheme="minorHAnsi" w:hAnsi="Cambria" w:cs="AGaramondPro-Regular"/>
          <w:i/>
          <w:sz w:val="20"/>
          <w:szCs w:val="20"/>
        </w:rPr>
        <w:t>-CODI</w:t>
      </w:r>
      <w:r w:rsidRPr="00E72405">
        <w:rPr>
          <w:rFonts w:ascii="Cambria" w:eastAsiaTheme="minorHAnsi" w:hAnsi="Cambria" w:cs="AGaramondPro-Regular"/>
          <w:sz w:val="20"/>
          <w:szCs w:val="20"/>
        </w:rPr>
        <w:t>]</w:t>
      </w:r>
      <w:r w:rsidRPr="00E72405">
        <w:rPr>
          <w:rStyle w:val="Emphasis"/>
          <w:rFonts w:ascii="Cambria" w:hAnsi="Cambria"/>
          <w:sz w:val="20"/>
          <w:szCs w:val="20"/>
        </w:rPr>
        <w:t>.</w:t>
      </w:r>
      <w:r w:rsidRPr="00E72405">
        <w:rPr>
          <w:rStyle w:val="FootnoteReference"/>
          <w:rFonts w:ascii="Cambria" w:hAnsi="Cambria"/>
          <w:sz w:val="20"/>
          <w:szCs w:val="20"/>
        </w:rPr>
        <w:footnoteReference w:id="19"/>
      </w:r>
    </w:p>
    <w:p w:rsidR="00490D5A" w:rsidRPr="00E72405" w:rsidRDefault="00490D5A" w:rsidP="00490D5A">
      <w:pPr>
        <w:pStyle w:val="NoSpacing"/>
        <w:rPr>
          <w:rStyle w:val="Emphasis"/>
          <w:rFonts w:ascii="Cambria" w:hAnsi="Cambria"/>
          <w:b/>
          <w:bCs/>
          <w:i w:val="0"/>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According to the report of the National Truth Commission (CNV), in January 1970 DOI/CODI were set up in various capital cities across the country,</w:t>
      </w:r>
      <w:r w:rsidRPr="00E72405">
        <w:rPr>
          <w:rStyle w:val="FootnoteReference"/>
          <w:rFonts w:ascii="Cambria" w:eastAsiaTheme="minorHAnsi" w:hAnsi="Cambria" w:cs="AGaramondPro-Regular"/>
          <w:sz w:val="20"/>
          <w:szCs w:val="20"/>
        </w:rPr>
        <w:footnoteReference w:id="20"/>
      </w:r>
      <w:r w:rsidRPr="00E72405">
        <w:rPr>
          <w:rStyle w:val="Emphasis"/>
          <w:rFonts w:ascii="Cambria" w:hAnsi="Cambria"/>
          <w:sz w:val="20"/>
          <w:szCs w:val="20"/>
        </w:rPr>
        <w:t xml:space="preserve"> </w:t>
      </w:r>
      <w:r w:rsidRPr="00E72405">
        <w:rPr>
          <w:rStyle w:val="Emphasis"/>
          <w:rFonts w:ascii="Cambria" w:hAnsi="Cambria"/>
          <w:i w:val="0"/>
          <w:sz w:val="20"/>
          <w:szCs w:val="20"/>
        </w:rPr>
        <w:t>to function as “intelligence units specializing in operations and subordinate to the commanders of each force.</w:t>
      </w:r>
      <w:r w:rsidRPr="00E72405">
        <w:rPr>
          <w:rFonts w:ascii="Cambria" w:eastAsiaTheme="minorHAnsi" w:hAnsi="Cambria" w:cs="AGaramondPro-Regular"/>
          <w:sz w:val="20"/>
          <w:szCs w:val="20"/>
        </w:rPr>
        <w:t>”</w:t>
      </w:r>
      <w:r w:rsidRPr="00E72405">
        <w:rPr>
          <w:rStyle w:val="FootnoteReference"/>
          <w:rFonts w:ascii="Cambria" w:eastAsiaTheme="minorHAnsi" w:hAnsi="Cambria" w:cs="AGaramondPro-Regular"/>
          <w:sz w:val="20"/>
          <w:szCs w:val="20"/>
        </w:rPr>
        <w:footnoteReference w:id="21"/>
      </w:r>
      <w:r w:rsidR="00490D5A" w:rsidRPr="00E72405">
        <w:rPr>
          <w:rFonts w:ascii="Cambria" w:eastAsiaTheme="minorHAnsi" w:hAnsi="Cambria" w:cs="AGaramondPro-Regular"/>
          <w:i/>
          <w:sz w:val="20"/>
          <w:szCs w:val="20"/>
        </w:rPr>
        <w:t xml:space="preserve"> </w:t>
      </w:r>
      <w:r w:rsidRPr="00E72405">
        <w:rPr>
          <w:rFonts w:ascii="Cambria" w:eastAsiaTheme="minorHAnsi" w:hAnsi="Cambria" w:cs="AGaramondPro-Regular"/>
          <w:sz w:val="20"/>
          <w:szCs w:val="20"/>
        </w:rPr>
        <w:t>According to a 1977</w:t>
      </w:r>
      <w:r w:rsidRPr="00E72405">
        <w:rPr>
          <w:rFonts w:ascii="Cambria" w:eastAsiaTheme="minorHAnsi" w:hAnsi="Cambria" w:cs="AGaramondPro-Regular"/>
          <w:i/>
          <w:sz w:val="20"/>
          <w:szCs w:val="20"/>
        </w:rPr>
        <w:t xml:space="preserve"> </w:t>
      </w:r>
      <w:r w:rsidRPr="00E72405">
        <w:rPr>
          <w:rFonts w:ascii="Cambria" w:eastAsiaTheme="minorHAnsi" w:hAnsi="Cambria" w:cs="AGaramondPro-Regular"/>
          <w:sz w:val="20"/>
          <w:szCs w:val="20"/>
        </w:rPr>
        <w:t>study of the Armed Forces, the purpose of the CODI was to “ensure the necessary coordination in planning and executing the internal defense measures, at the various levels of Command.”</w:t>
      </w:r>
      <w:r w:rsidRPr="00E72405">
        <w:rPr>
          <w:rStyle w:val="FootnoteReference"/>
          <w:rFonts w:ascii="Cambria" w:hAnsi="Cambria"/>
          <w:sz w:val="20"/>
          <w:szCs w:val="20"/>
        </w:rPr>
        <w:footnoteReference w:id="22"/>
      </w:r>
      <w:r w:rsidRPr="00E72405">
        <w:rPr>
          <w:rFonts w:ascii="Cambria" w:eastAsiaTheme="minorHAnsi" w:hAnsi="Cambria" w:cs="AGaramondPro-Regular"/>
          <w:sz w:val="20"/>
          <w:szCs w:val="20"/>
        </w:rPr>
        <w:t xml:space="preserve"> For their part, the DOI were charged with making arrests and conducting investigations and interrogations.</w:t>
      </w:r>
      <w:r w:rsidRPr="00E72405">
        <w:rPr>
          <w:rStyle w:val="FootnoteReference"/>
          <w:rFonts w:ascii="Cambria" w:hAnsi="Cambria"/>
          <w:sz w:val="20"/>
          <w:szCs w:val="20"/>
        </w:rPr>
        <w:footnoteReference w:id="23"/>
      </w:r>
      <w:r w:rsidRPr="00E72405">
        <w:rPr>
          <w:rStyle w:val="Emphasis"/>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Style w:val="Emphasis"/>
          <w:b/>
          <w:bCs/>
          <w:sz w:val="20"/>
          <w:szCs w:val="20"/>
        </w:rPr>
      </w:pPr>
      <w:r w:rsidRPr="00E72405">
        <w:rPr>
          <w:rFonts w:ascii="Cambria" w:hAnsi="Cambria"/>
          <w:sz w:val="20"/>
          <w:szCs w:val="20"/>
        </w:rPr>
        <w:t>The CEMDP concluded that “under the command of a high-ranking Army officer, the DOI-CODI became the primary perpetrator of political repression in the country.”</w:t>
      </w:r>
      <w:r w:rsidRPr="00E72405">
        <w:rPr>
          <w:rStyle w:val="FootnoteReference"/>
          <w:rFonts w:ascii="Cambria" w:hAnsi="Cambria" w:cs="Arial"/>
          <w:bCs/>
          <w:sz w:val="20"/>
          <w:szCs w:val="20"/>
        </w:rPr>
        <w:footnoteReference w:id="24"/>
      </w:r>
      <w:r w:rsidRPr="00E72405">
        <w:rPr>
          <w:rFonts w:ascii="Cambria" w:hAnsi="Cambria"/>
          <w:sz w:val="20"/>
          <w:szCs w:val="20"/>
        </w:rPr>
        <w:t xml:space="preserve">  The CEMDP pointed out that the Second Army’s DOI-CODI in the state of </w:t>
      </w:r>
      <w:r w:rsidRPr="00E72405">
        <w:rPr>
          <w:rStyle w:val="Emphasis"/>
          <w:rFonts w:ascii="Cambria" w:hAnsi="Cambria" w:cs="Arial"/>
          <w:sz w:val="20"/>
          <w:szCs w:val="20"/>
        </w:rPr>
        <w:t>S</w:t>
      </w:r>
      <w:r w:rsidRPr="00E72405">
        <w:rPr>
          <w:rFonts w:ascii="Cambria" w:hAnsi="Cambria"/>
          <w:sz w:val="20"/>
          <w:szCs w:val="20"/>
        </w:rPr>
        <w:t>ão</w:t>
      </w:r>
      <w:r w:rsidRPr="00E72405">
        <w:rPr>
          <w:rStyle w:val="Emphasis"/>
          <w:rFonts w:ascii="Cambria" w:hAnsi="Cambria" w:cs="Arial"/>
          <w:i w:val="0"/>
          <w:sz w:val="20"/>
          <w:szCs w:val="20"/>
        </w:rPr>
        <w:t xml:space="preserve"> Paulo had itself been responsible for over 6,000 arrests and at least 64 cases of disappearances or deaths.</w:t>
      </w:r>
      <w:r w:rsidRPr="00E72405">
        <w:rPr>
          <w:rStyle w:val="FootnoteReference"/>
          <w:rFonts w:ascii="Cambria" w:hAnsi="Cambria" w:cs="Arial"/>
          <w:bCs/>
          <w:sz w:val="20"/>
          <w:szCs w:val="20"/>
        </w:rPr>
        <w:footnoteReference w:id="25"/>
      </w:r>
      <w:r w:rsidRPr="00E72405">
        <w:rPr>
          <w:rStyle w:val="Emphasis"/>
          <w:rFonts w:ascii="Cambria" w:hAnsi="Cambria" w:cs="Arial"/>
          <w:sz w:val="20"/>
          <w:szCs w:val="20"/>
        </w:rPr>
        <w:t xml:space="preserve"> </w:t>
      </w:r>
    </w:p>
    <w:p w:rsidR="007F35B9" w:rsidRPr="00E72405" w:rsidRDefault="007F35B9" w:rsidP="007F35B9">
      <w:pPr>
        <w:spacing w:after="0" w:line="240" w:lineRule="auto"/>
        <w:ind w:left="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Style w:val="Emphasis"/>
          <w:b/>
          <w:bCs/>
          <w:sz w:val="20"/>
          <w:szCs w:val="20"/>
        </w:rPr>
      </w:pPr>
      <w:r w:rsidRPr="00E72405">
        <w:rPr>
          <w:rStyle w:val="Emphasis"/>
          <w:rFonts w:ascii="Cambria" w:hAnsi="Cambria" w:cs="Arial"/>
          <w:i w:val="0"/>
          <w:sz w:val="20"/>
          <w:szCs w:val="20"/>
        </w:rPr>
        <w:t>In 1974, General Ernesto Geisel became president, at a time when the regime’s image was eroding abroad in the wake of countless complaints of human rights violations, which the Catholic Churchy was particularly instrumental in making public.</w:t>
      </w:r>
      <w:r w:rsidRPr="00E72405">
        <w:rPr>
          <w:rStyle w:val="FootnoteReference"/>
          <w:rFonts w:ascii="Cambria" w:hAnsi="Cambria" w:cs="Arial"/>
          <w:bCs/>
          <w:i/>
          <w:sz w:val="20"/>
          <w:szCs w:val="20"/>
        </w:rPr>
        <w:footnoteReference w:id="26"/>
      </w:r>
      <w:r w:rsidRPr="00E72405">
        <w:rPr>
          <w:rStyle w:val="Emphasis"/>
          <w:rFonts w:ascii="Cambria" w:hAnsi="Cambria" w:cs="Arial"/>
          <w:i w:val="0"/>
          <w:sz w:val="20"/>
          <w:szCs w:val="20"/>
        </w:rPr>
        <w:t xml:space="preserve"> President Geisel took power with the goal of trying to restore the “legitimacy” lost during the administration of former President </w:t>
      </w:r>
      <w:proofErr w:type="spellStart"/>
      <w:r w:rsidRPr="00E72405">
        <w:rPr>
          <w:rStyle w:val="Emphasis"/>
          <w:rFonts w:ascii="Cambria" w:hAnsi="Cambria" w:cs="Arial"/>
          <w:i w:val="0"/>
          <w:sz w:val="20"/>
          <w:szCs w:val="20"/>
        </w:rPr>
        <w:t>Médici</w:t>
      </w:r>
      <w:proofErr w:type="spellEnd"/>
      <w:r w:rsidRPr="00E72405">
        <w:rPr>
          <w:rStyle w:val="Emphasis"/>
          <w:rFonts w:ascii="Cambria" w:hAnsi="Cambria" w:cs="Arial"/>
          <w:i w:val="0"/>
          <w:sz w:val="20"/>
          <w:szCs w:val="20"/>
        </w:rPr>
        <w:t>.  The new president made promises of a slow and gradual “openness” and a relative easing of the restrictions on freedom of the press</w:t>
      </w:r>
      <w:r w:rsidRPr="00E72405">
        <w:rPr>
          <w:rStyle w:val="Emphasis"/>
          <w:rFonts w:cs="Arial"/>
          <w:sz w:val="20"/>
          <w:szCs w:val="20"/>
        </w:rPr>
        <w:t>.</w:t>
      </w:r>
      <w:r w:rsidRPr="00E72405">
        <w:rPr>
          <w:rStyle w:val="FootnoteReference"/>
          <w:rFonts w:ascii="Cambria" w:hAnsi="Cambria" w:cs="Arial"/>
          <w:bCs/>
          <w:sz w:val="20"/>
          <w:szCs w:val="20"/>
        </w:rPr>
        <w:footnoteReference w:id="27"/>
      </w:r>
      <w:r w:rsidRPr="00E72405">
        <w:rPr>
          <w:rStyle w:val="Emphasis"/>
          <w:rFonts w:cs="Arial"/>
          <w:sz w:val="20"/>
          <w:szCs w:val="20"/>
        </w:rPr>
        <w:t xml:space="preserve"> </w:t>
      </w:r>
    </w:p>
    <w:p w:rsidR="007F35B9" w:rsidRPr="00E72405" w:rsidRDefault="007F35B9" w:rsidP="007F35B9">
      <w:pPr>
        <w:spacing w:after="0" w:line="240" w:lineRule="auto"/>
        <w:ind w:left="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cs="Arial"/>
          <w:i w:val="0"/>
          <w:sz w:val="20"/>
          <w:szCs w:val="20"/>
        </w:rPr>
        <w:t>In its Final Report,  the National Truth Commission (CNV) wrote the following:</w:t>
      </w:r>
    </w:p>
    <w:p w:rsidR="007F35B9" w:rsidRPr="00E72405" w:rsidRDefault="007F35B9" w:rsidP="007F35B9">
      <w:pPr>
        <w:tabs>
          <w:tab w:val="left" w:pos="0"/>
        </w:tabs>
        <w:spacing w:after="0" w:line="240" w:lineRule="auto"/>
        <w:ind w:right="720"/>
        <w:jc w:val="both"/>
        <w:rPr>
          <w:rStyle w:val="Emphasis"/>
          <w:rFonts w:cs="Arial"/>
          <w:b/>
          <w:sz w:val="20"/>
          <w:szCs w:val="20"/>
        </w:rPr>
      </w:pPr>
    </w:p>
    <w:p w:rsidR="007F35B9" w:rsidRPr="00E72405" w:rsidRDefault="007F35B9" w:rsidP="007F35B9">
      <w:pPr>
        <w:tabs>
          <w:tab w:val="left" w:pos="0"/>
        </w:tabs>
        <w:spacing w:after="0" w:line="240" w:lineRule="auto"/>
        <w:ind w:left="720" w:right="720"/>
        <w:jc w:val="both"/>
        <w:rPr>
          <w:rStyle w:val="Emphasis"/>
          <w:rFonts w:ascii="Cambria" w:hAnsi="Cambria" w:cs="Arial"/>
          <w:b/>
          <w:i w:val="0"/>
          <w:sz w:val="18"/>
          <w:szCs w:val="18"/>
        </w:rPr>
      </w:pPr>
      <w:r w:rsidRPr="00E72405">
        <w:rPr>
          <w:rStyle w:val="Emphasis"/>
          <w:rFonts w:ascii="Cambria" w:hAnsi="Cambria" w:cs="Arial"/>
          <w:i w:val="0"/>
          <w:sz w:val="18"/>
          <w:szCs w:val="18"/>
        </w:rPr>
        <w:t>By its end, Geisel’s presidency was characterized –perhaps more so than the previous governments-by the two currents that flowed through the entire dictatorial regime.  The first was repressive violence on various levels:  press censorship, detentions, torture and murders.  Later, Geisel himself would try to rationalize the violence when, in interviews with historians documenting his career under the 1964 authoritarian regime, admitted to having considered torture necessary in certain cases: “there are circumstances in which the individual is forced to use torture to extract certain confessions</w:t>
      </w:r>
      <w:r w:rsidR="00CA0FDB" w:rsidRPr="00E72405">
        <w:rPr>
          <w:rStyle w:val="Emphasis"/>
          <w:rFonts w:ascii="Cambria" w:hAnsi="Cambria" w:cs="Arial"/>
          <w:i w:val="0"/>
          <w:sz w:val="18"/>
          <w:szCs w:val="18"/>
        </w:rPr>
        <w:t xml:space="preserve"> and to avoid a greater evil.” </w:t>
      </w:r>
      <w:r w:rsidRPr="00E72405">
        <w:rPr>
          <w:rStyle w:val="Emphasis"/>
          <w:rFonts w:ascii="Cambria" w:hAnsi="Cambria" w:cs="Arial"/>
          <w:i w:val="0"/>
          <w:sz w:val="18"/>
          <w:szCs w:val="18"/>
        </w:rPr>
        <w:t>A second current was the institutional re-invention intended to protect the authoritarian nature of the regime in certain circumstances.</w:t>
      </w:r>
      <w:r w:rsidRPr="00E72405">
        <w:rPr>
          <w:rStyle w:val="FootnoteReference"/>
          <w:rFonts w:ascii="Cambria" w:hAnsi="Cambria" w:cs="Arial"/>
          <w:bCs/>
          <w:i/>
          <w:sz w:val="18"/>
          <w:szCs w:val="18"/>
        </w:rPr>
        <w:footnoteReference w:id="28"/>
      </w:r>
    </w:p>
    <w:p w:rsidR="007F35B9" w:rsidRPr="00E72405" w:rsidRDefault="007F35B9" w:rsidP="00727A02">
      <w:pPr>
        <w:spacing w:after="0" w:line="240" w:lineRule="auto"/>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Style w:val="Emphasis"/>
          <w:rFonts w:ascii="Cambria" w:hAnsi="Cambria" w:cs="Arial"/>
          <w:i w:val="0"/>
          <w:sz w:val="20"/>
          <w:szCs w:val="20"/>
        </w:rPr>
        <w:t>Under Geisel’s government, the widespread offensive that the military regime’s security agencies were waging against the Brazilian Communist Party began to be disclosed.  The Final Report of the National Truth Commission (CNV) states that in January 1975, the regime undertook “police actions against the Brazilian Communist Party (PCB).  Dozens of members were rounded up and tortured.”</w:t>
      </w:r>
      <w:r w:rsidRPr="00E72405">
        <w:rPr>
          <w:rStyle w:val="FootnoteReference"/>
          <w:rFonts w:ascii="Cambria" w:hAnsi="Cambria"/>
          <w:sz w:val="20"/>
          <w:szCs w:val="20"/>
        </w:rPr>
        <w:footnoteReference w:id="29"/>
      </w:r>
      <w:r w:rsidRPr="00E72405">
        <w:rPr>
          <w:rStyle w:val="Emphasis"/>
          <w:rFonts w:ascii="Cambria" w:hAnsi="Cambria"/>
          <w:sz w:val="20"/>
          <w:szCs w:val="20"/>
        </w:rPr>
        <w:t xml:space="preserve"> </w:t>
      </w:r>
      <w:r w:rsidRPr="00E72405">
        <w:rPr>
          <w:rStyle w:val="Emphasis"/>
          <w:rFonts w:ascii="Cambria" w:hAnsi="Cambria"/>
          <w:i w:val="0"/>
          <w:sz w:val="20"/>
          <w:szCs w:val="20"/>
        </w:rPr>
        <w:t xml:space="preserve"> Although the PCB was one of the opposition organizations that had not joined the “armed resistance”,</w:t>
      </w:r>
      <w:r w:rsidRPr="00E72405">
        <w:rPr>
          <w:rStyle w:val="FootnoteReference"/>
          <w:rFonts w:ascii="Cambria" w:hAnsi="Cambria"/>
          <w:sz w:val="20"/>
          <w:szCs w:val="20"/>
        </w:rPr>
        <w:footnoteReference w:id="30"/>
      </w:r>
      <w:r w:rsidRPr="00E72405">
        <w:rPr>
          <w:rStyle w:val="Emphasis"/>
          <w:rFonts w:ascii="Cambria" w:hAnsi="Cambria"/>
          <w:i w:val="0"/>
          <w:sz w:val="20"/>
          <w:szCs w:val="20"/>
        </w:rPr>
        <w:t xml:space="preserve"> in 1974 and 1975 “the security agencies physically eliminated almost every member of the PCB’s central committee.”</w:t>
      </w:r>
      <w:r w:rsidRPr="00E72405">
        <w:rPr>
          <w:rStyle w:val="FootnoteReference"/>
          <w:rFonts w:ascii="Cambria" w:hAnsi="Cambria"/>
          <w:sz w:val="20"/>
          <w:szCs w:val="20"/>
        </w:rPr>
        <w:footnoteReference w:id="31"/>
      </w:r>
      <w:r w:rsidR="00CA0FDB" w:rsidRPr="00E72405">
        <w:rPr>
          <w:rStyle w:val="Emphasis"/>
          <w:rFonts w:ascii="Cambria" w:hAnsi="Cambria"/>
          <w:i w:val="0"/>
          <w:sz w:val="20"/>
          <w:szCs w:val="20"/>
        </w:rPr>
        <w:t xml:space="preserve"> </w:t>
      </w:r>
      <w:r w:rsidRPr="00E72405">
        <w:rPr>
          <w:rStyle w:val="Emphasis"/>
          <w:rFonts w:ascii="Cambria" w:hAnsi="Cambria"/>
          <w:i w:val="0"/>
          <w:sz w:val="20"/>
          <w:szCs w:val="20"/>
        </w:rPr>
        <w:t>Against that backdrop, at least 12 journalists were detained in October 1975 in the</w:t>
      </w:r>
      <w:r w:rsidRPr="00E72405">
        <w:rPr>
          <w:rStyle w:val="Emphasis"/>
          <w:sz w:val="20"/>
          <w:szCs w:val="20"/>
        </w:rPr>
        <w:t xml:space="preserve"> </w:t>
      </w:r>
      <w:r w:rsidRPr="00E72405">
        <w:rPr>
          <w:rFonts w:ascii="Cambria" w:hAnsi="Cambria"/>
          <w:sz w:val="20"/>
          <w:szCs w:val="20"/>
        </w:rPr>
        <w:t>“DOI/CODI/SP” because of their activism or suspected activism in the PCB.</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Style w:val="Emphasis"/>
          <w:rFonts w:cs="Arial"/>
          <w:b/>
          <w:sz w:val="20"/>
          <w:szCs w:val="20"/>
        </w:rPr>
      </w:pPr>
      <w:r w:rsidRPr="00E72405">
        <w:rPr>
          <w:rStyle w:val="Emphasis"/>
          <w:rFonts w:ascii="Cambria" w:hAnsi="Cambria" w:cs="Arial"/>
          <w:i w:val="0"/>
          <w:sz w:val="20"/>
          <w:szCs w:val="20"/>
        </w:rPr>
        <w:t>The CEMDPA observed the following in this regard:</w:t>
      </w:r>
    </w:p>
    <w:p w:rsidR="007F35B9" w:rsidRPr="00E72405" w:rsidRDefault="007F35B9" w:rsidP="007F35B9">
      <w:pPr>
        <w:pStyle w:val="ListParagraph"/>
        <w:rPr>
          <w:rStyle w:val="Emphasis"/>
          <w:rFonts w:cs="Arial"/>
          <w:b/>
          <w:sz w:val="20"/>
          <w:szCs w:val="20"/>
        </w:rPr>
      </w:pPr>
    </w:p>
    <w:p w:rsidR="007F35B9" w:rsidRPr="00E72405" w:rsidRDefault="007F35B9" w:rsidP="00490D5A">
      <w:pPr>
        <w:tabs>
          <w:tab w:val="left" w:pos="720"/>
        </w:tabs>
        <w:spacing w:after="0" w:line="240" w:lineRule="auto"/>
        <w:ind w:left="720" w:right="720"/>
        <w:jc w:val="both"/>
        <w:rPr>
          <w:rStyle w:val="Emphasis"/>
          <w:rFonts w:ascii="Cambria" w:hAnsi="Cambria" w:cs="Arial"/>
          <w:b/>
          <w:i w:val="0"/>
          <w:sz w:val="18"/>
          <w:szCs w:val="18"/>
        </w:rPr>
      </w:pPr>
      <w:r w:rsidRPr="00E72405">
        <w:rPr>
          <w:rStyle w:val="Emphasis"/>
          <w:rFonts w:ascii="Cambria" w:hAnsi="Cambria" w:cs="Arial"/>
          <w:i w:val="0"/>
          <w:sz w:val="18"/>
          <w:szCs w:val="18"/>
        </w:rPr>
        <w:t xml:space="preserve">[...] hundreds of members of this party were detained.  On March 3, 2004, </w:t>
      </w:r>
      <w:proofErr w:type="spellStart"/>
      <w:r w:rsidRPr="00E72405">
        <w:rPr>
          <w:rStyle w:val="Emphasis"/>
          <w:rFonts w:ascii="Cambria" w:hAnsi="Cambria" w:cs="Arial"/>
          <w:i w:val="0"/>
          <w:sz w:val="18"/>
          <w:szCs w:val="18"/>
        </w:rPr>
        <w:t>Isto</w:t>
      </w:r>
      <w:proofErr w:type="spellEnd"/>
      <w:r w:rsidRPr="00E72405">
        <w:rPr>
          <w:rStyle w:val="Emphasis"/>
          <w:rFonts w:ascii="Cambria" w:hAnsi="Cambria" w:cs="Arial"/>
          <w:i w:val="0"/>
          <w:sz w:val="18"/>
          <w:szCs w:val="18"/>
        </w:rPr>
        <w:t xml:space="preserve"> É reported that the number may have been as high as 679.  If the military regime’s strategy up to that point was to exterminate opponents involved in the armed resistance, the central focus then shifted to the PCB, which had always positioned itself as opponents of the guerrilla movement but which was capable of keeping intact a party structure that could become a threat if Geisel’s outreach should materialize in the form of real political openness.  The idea, then, was to neutralize the PCB before democracy was restored.</w:t>
      </w:r>
      <w:r w:rsidRPr="00E72405">
        <w:rPr>
          <w:rStyle w:val="FootnoteReference"/>
          <w:rFonts w:ascii="Cambria" w:hAnsi="Cambria" w:cs="Arial"/>
          <w:bCs/>
          <w:i/>
          <w:sz w:val="18"/>
          <w:szCs w:val="18"/>
          <w:lang w:val="pt-BR"/>
        </w:rPr>
        <w:footnoteReference w:id="32"/>
      </w:r>
    </w:p>
    <w:p w:rsidR="007F35B9" w:rsidRPr="00E72405" w:rsidRDefault="007F35B9" w:rsidP="007F35B9">
      <w:pPr>
        <w:tabs>
          <w:tab w:val="left" w:pos="0"/>
        </w:tabs>
        <w:spacing w:after="0" w:line="240" w:lineRule="auto"/>
        <w:jc w:val="both"/>
        <w:rPr>
          <w:rStyle w:val="Emphasis"/>
          <w:rFonts w:cs="Arial"/>
          <w:b/>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The “repressive agencies” operated “with complete impunity and [their activities] were covered up through legal tricks like amnesty.”</w:t>
      </w:r>
      <w:r w:rsidRPr="00E72405">
        <w:rPr>
          <w:rStyle w:val="FootnoteReference"/>
          <w:rFonts w:ascii="Cambria" w:hAnsi="Cambria"/>
          <w:i/>
          <w:sz w:val="20"/>
          <w:szCs w:val="20"/>
        </w:rPr>
        <w:footnoteReference w:id="33"/>
      </w:r>
      <w:r w:rsidRPr="00E72405">
        <w:rPr>
          <w:rStyle w:val="Emphasis"/>
          <w:rFonts w:ascii="Cambria" w:hAnsi="Cambria"/>
          <w:i w:val="0"/>
          <w:sz w:val="20"/>
          <w:szCs w:val="20"/>
        </w:rPr>
        <w:t xml:space="preserve">  The complaints of deaths, disappearances and torture during </w:t>
      </w:r>
      <w:r w:rsidRPr="00E72405">
        <w:rPr>
          <w:rStyle w:val="Emphasis"/>
          <w:rFonts w:ascii="Cambria" w:hAnsi="Cambria"/>
          <w:i w:val="0"/>
          <w:sz w:val="20"/>
          <w:szCs w:val="20"/>
        </w:rPr>
        <w:lastRenderedPageBreak/>
        <w:t>this dictatorial period were “quickly denied, censored in the press and often times became a problem for those who reported them.”</w:t>
      </w:r>
      <w:r w:rsidRPr="00E72405">
        <w:rPr>
          <w:rStyle w:val="FootnoteReference"/>
          <w:rFonts w:ascii="Cambria" w:hAnsi="Cambria"/>
          <w:i/>
          <w:sz w:val="20"/>
          <w:szCs w:val="20"/>
        </w:rPr>
        <w:footnoteReference w:id="34"/>
      </w:r>
      <w:r w:rsidRPr="00E72405">
        <w:rPr>
          <w:rStyle w:val="Emphasis"/>
          <w:rFonts w:ascii="Cambria" w:hAnsi="Cambria"/>
          <w:i w:val="0"/>
          <w:sz w:val="20"/>
          <w:szCs w:val="20"/>
        </w:rPr>
        <w:t xml:space="preserve">  According to the project “Brazil: Never Again” [“</w:t>
      </w:r>
      <w:proofErr w:type="spellStart"/>
      <w:r w:rsidRPr="00E72405">
        <w:rPr>
          <w:rStyle w:val="Emphasis"/>
          <w:rFonts w:ascii="Cambria" w:hAnsi="Cambria"/>
          <w:i w:val="0"/>
          <w:sz w:val="20"/>
          <w:szCs w:val="20"/>
        </w:rPr>
        <w:t>Brasil</w:t>
      </w:r>
      <w:proofErr w:type="spellEnd"/>
      <w:r w:rsidRPr="00E72405">
        <w:rPr>
          <w:rStyle w:val="Emphasis"/>
          <w:rFonts w:ascii="Cambria" w:hAnsi="Cambria"/>
          <w:i w:val="0"/>
          <w:sz w:val="20"/>
          <w:szCs w:val="20"/>
        </w:rPr>
        <w:t xml:space="preserve">: </w:t>
      </w:r>
      <w:proofErr w:type="spellStart"/>
      <w:r w:rsidRPr="00E72405">
        <w:rPr>
          <w:rStyle w:val="Emphasis"/>
          <w:rFonts w:ascii="Cambria" w:hAnsi="Cambria"/>
          <w:i w:val="0"/>
          <w:sz w:val="20"/>
          <w:szCs w:val="20"/>
        </w:rPr>
        <w:t>Nunca</w:t>
      </w:r>
      <w:proofErr w:type="spellEnd"/>
      <w:r w:rsidRPr="00E72405">
        <w:rPr>
          <w:rStyle w:val="Emphasis"/>
          <w:rFonts w:ascii="Cambria" w:hAnsi="Cambria"/>
          <w:i w:val="0"/>
          <w:sz w:val="20"/>
          <w:szCs w:val="20"/>
        </w:rPr>
        <w:t xml:space="preserve"> </w:t>
      </w:r>
      <w:proofErr w:type="spellStart"/>
      <w:r w:rsidRPr="00E72405">
        <w:rPr>
          <w:rStyle w:val="Emphasis"/>
          <w:rFonts w:ascii="Cambria" w:hAnsi="Cambria"/>
          <w:i w:val="0"/>
          <w:sz w:val="20"/>
          <w:szCs w:val="20"/>
        </w:rPr>
        <w:t>Mais</w:t>
      </w:r>
      <w:proofErr w:type="spellEnd"/>
      <w:r w:rsidRPr="00E72405">
        <w:rPr>
          <w:rStyle w:val="Emphasis"/>
          <w:rFonts w:ascii="Cambria" w:hAnsi="Cambria"/>
          <w:i w:val="0"/>
          <w:sz w:val="20"/>
          <w:szCs w:val="20"/>
        </w:rPr>
        <w:t>”], “[t]he Public Prosecutor’s Office acted more as the judicial arm of the police agencies of political repression than as a guardian of the law and the body responsible for public prosecution.”</w:t>
      </w:r>
      <w:r w:rsidRPr="00E72405">
        <w:rPr>
          <w:rStyle w:val="FootnoteReference"/>
          <w:rFonts w:ascii="Cambria" w:hAnsi="Cambria"/>
          <w:i/>
          <w:sz w:val="20"/>
          <w:szCs w:val="20"/>
        </w:rPr>
        <w:footnoteReference w:id="35"/>
      </w:r>
      <w:r w:rsidRPr="00E72405">
        <w:rPr>
          <w:rStyle w:val="Emphasis"/>
          <w:rFonts w:ascii="Cambria" w:hAnsi="Cambria"/>
          <w:i w:val="0"/>
          <w:sz w:val="20"/>
          <w:szCs w:val="20"/>
        </w:rPr>
        <w:t xml:space="preserve">  Similarly, the technical expertise apparatus was also harnessed to work “under the same system of police repression.”</w:t>
      </w:r>
      <w:r w:rsidRPr="00E72405">
        <w:rPr>
          <w:rStyle w:val="FootnoteReference"/>
          <w:rFonts w:ascii="Cambria" w:hAnsi="Cambria"/>
          <w:i/>
          <w:sz w:val="20"/>
          <w:szCs w:val="20"/>
        </w:rPr>
        <w:footnoteReference w:id="36"/>
      </w:r>
      <w:r w:rsidRPr="00E72405">
        <w:rPr>
          <w:rStyle w:val="Emphasis"/>
          <w:rFonts w:ascii="Cambria" w:hAnsi="Cambria"/>
          <w:i w:val="0"/>
          <w:sz w:val="20"/>
          <w:szCs w:val="20"/>
        </w:rPr>
        <w:t xml:space="preserve"> The CNV’s Final Report stated that “military justice became the dictatorship’s principal vehicle for enforcing its policy and exercising punitive authority, especially with the arrival of AI-2 [Institutional Act No. 2] which expanded its powers so that it could investigate and prosecute civilians accused of crimes against the national security.”</w:t>
      </w:r>
      <w:r w:rsidRPr="00E72405">
        <w:rPr>
          <w:rStyle w:val="FootnoteReference"/>
          <w:rFonts w:ascii="Cambria" w:hAnsi="Cambria"/>
          <w:bCs/>
          <w:i/>
          <w:sz w:val="20"/>
          <w:szCs w:val="20"/>
        </w:rPr>
        <w:footnoteReference w:id="37"/>
      </w:r>
      <w:r w:rsidRPr="00E72405">
        <w:rPr>
          <w:rStyle w:val="Emphasis"/>
          <w:rFonts w:ascii="Cambria" w:hAnsi="Cambria"/>
          <w:i w:val="0"/>
          <w:sz w:val="20"/>
          <w:szCs w:val="20"/>
        </w:rPr>
        <w:t xml:space="preserve"> </w:t>
      </w:r>
    </w:p>
    <w:p w:rsidR="007F35B9" w:rsidRPr="00E72405" w:rsidRDefault="007F35B9" w:rsidP="007F35B9">
      <w:pPr>
        <w:spacing w:after="0" w:line="240" w:lineRule="auto"/>
        <w:ind w:left="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Style w:val="Emphasis"/>
          <w:b/>
          <w:bCs/>
          <w:sz w:val="20"/>
          <w:szCs w:val="20"/>
        </w:rPr>
      </w:pPr>
      <w:r w:rsidRPr="00E72405">
        <w:rPr>
          <w:rFonts w:ascii="Cambria" w:hAnsi="Cambria"/>
          <w:sz w:val="20"/>
          <w:szCs w:val="20"/>
        </w:rPr>
        <w:t xml:space="preserve">On March 15, 1979, General </w:t>
      </w:r>
      <w:proofErr w:type="spellStart"/>
      <w:r w:rsidRPr="00E72405">
        <w:rPr>
          <w:rFonts w:ascii="Cambria" w:hAnsi="Cambria"/>
          <w:sz w:val="20"/>
          <w:szCs w:val="20"/>
        </w:rPr>
        <w:t>João</w:t>
      </w:r>
      <w:proofErr w:type="spellEnd"/>
      <w:r w:rsidRPr="00E72405">
        <w:rPr>
          <w:rFonts w:ascii="Cambria" w:hAnsi="Cambria"/>
          <w:sz w:val="20"/>
          <w:szCs w:val="20"/>
        </w:rPr>
        <w:t xml:space="preserve"> </w:t>
      </w:r>
      <w:proofErr w:type="spellStart"/>
      <w:r w:rsidRPr="00E72405">
        <w:rPr>
          <w:rFonts w:ascii="Cambria" w:hAnsi="Cambria"/>
          <w:sz w:val="20"/>
          <w:szCs w:val="20"/>
        </w:rPr>
        <w:t>Baptista</w:t>
      </w:r>
      <w:proofErr w:type="spellEnd"/>
      <w:r w:rsidRPr="00E72405">
        <w:rPr>
          <w:rFonts w:ascii="Cambria" w:hAnsi="Cambria"/>
          <w:sz w:val="20"/>
          <w:szCs w:val="20"/>
        </w:rPr>
        <w:t xml:space="preserve"> de Oliveira </w:t>
      </w:r>
      <w:proofErr w:type="spellStart"/>
      <w:r w:rsidRPr="00E72405">
        <w:rPr>
          <w:rFonts w:ascii="Cambria" w:hAnsi="Cambria"/>
          <w:sz w:val="20"/>
          <w:szCs w:val="20"/>
        </w:rPr>
        <w:t>Figueiredo</w:t>
      </w:r>
      <w:proofErr w:type="spellEnd"/>
      <w:r w:rsidRPr="00E72405">
        <w:rPr>
          <w:rFonts w:ascii="Cambria" w:hAnsi="Cambria"/>
          <w:sz w:val="20"/>
          <w:szCs w:val="20"/>
        </w:rPr>
        <w:t xml:space="preserve"> became President of the Republic.</w:t>
      </w:r>
      <w:r w:rsidRPr="00E72405">
        <w:rPr>
          <w:rStyle w:val="FootnoteReference"/>
          <w:rFonts w:ascii="Cambria" w:hAnsi="Cambria"/>
          <w:sz w:val="20"/>
          <w:szCs w:val="20"/>
        </w:rPr>
        <w:footnoteReference w:id="38"/>
      </w:r>
      <w:r w:rsidRPr="00E72405">
        <w:rPr>
          <w:rFonts w:ascii="Cambria" w:hAnsi="Cambria"/>
          <w:sz w:val="20"/>
          <w:szCs w:val="20"/>
        </w:rPr>
        <w:t xml:space="preserve">  On August 28 of that year, Law 6.683 (hereinafter the “amnesty law” or “Law 6.683/79) was enacted, which extinguished the criminal liability of all individuals who had committed “political or related crimes” during the period from September 2, 1961 to August 15, 1979.</w:t>
      </w:r>
      <w:r w:rsidRPr="00E72405">
        <w:rPr>
          <w:rStyle w:val="FootnoteReference"/>
          <w:rFonts w:ascii="Cambria" w:hAnsi="Cambria"/>
          <w:sz w:val="20"/>
          <w:szCs w:val="20"/>
        </w:rPr>
        <w:footnoteReference w:id="39"/>
      </w:r>
      <w:r w:rsidRPr="00E72405">
        <w:rPr>
          <w:rFonts w:ascii="Cambria" w:hAnsi="Cambria"/>
          <w:sz w:val="20"/>
          <w:szCs w:val="20"/>
        </w:rPr>
        <w:t xml:space="preserve"> The purpose of the amnesty law was to pardon those citizens who had been prosecuted on the basis of the emergency laws enacted by the military regime.  However, the concept of “related crimes” was included, in theory, to accommodate the agents of the State involved in the practice of torture and killing.</w:t>
      </w:r>
      <w:r w:rsidRPr="00E72405">
        <w:rPr>
          <w:rStyle w:val="FootnoteReference"/>
          <w:rFonts w:ascii="Cambria" w:hAnsi="Cambria"/>
          <w:sz w:val="20"/>
          <w:szCs w:val="20"/>
        </w:rPr>
        <w:footnoteReference w:id="40"/>
      </w:r>
    </w:p>
    <w:p w:rsidR="007F35B9" w:rsidRPr="00E72405" w:rsidRDefault="007F35B9" w:rsidP="007F35B9">
      <w:pPr>
        <w:spacing w:after="0" w:line="240" w:lineRule="auto"/>
        <w:jc w:val="both"/>
        <w:rPr>
          <w:rStyle w:val="Emphasis"/>
          <w:rFonts w:cs="Arial"/>
          <w:b/>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i w:val="0"/>
          <w:sz w:val="20"/>
          <w:szCs w:val="20"/>
        </w:rPr>
      </w:pPr>
      <w:r w:rsidRPr="00E72405">
        <w:rPr>
          <w:rStyle w:val="Emphasis"/>
          <w:rFonts w:ascii="Cambria" w:hAnsi="Cambria" w:cs="Arial"/>
          <w:i w:val="0"/>
          <w:sz w:val="20"/>
          <w:szCs w:val="20"/>
        </w:rPr>
        <w:t>Here, the CEMDP found that upon adoption of Law 6.683/79, “the prevailing official interpretation […] became the idea that no criminal liability attached to crimes committed by agents of the political repression.”</w:t>
      </w:r>
      <w:r w:rsidRPr="00E72405">
        <w:rPr>
          <w:rStyle w:val="FootnoteReference"/>
          <w:rFonts w:ascii="Cambria" w:hAnsi="Cambria" w:cs="Arial"/>
          <w:bCs/>
          <w:i/>
          <w:sz w:val="20"/>
          <w:szCs w:val="20"/>
        </w:rPr>
        <w:footnoteReference w:id="41"/>
      </w:r>
      <w:r w:rsidRPr="00E72405">
        <w:rPr>
          <w:rStyle w:val="Emphasis"/>
          <w:rFonts w:ascii="Cambria" w:hAnsi="Cambria" w:cs="Arial"/>
          <w:i w:val="0"/>
          <w:sz w:val="20"/>
          <w:szCs w:val="20"/>
        </w:rPr>
        <w:t xml:space="preserve"> The National Truth Commission observed the following:</w:t>
      </w:r>
    </w:p>
    <w:p w:rsidR="007F35B9" w:rsidRPr="00E72405" w:rsidRDefault="007F35B9" w:rsidP="007F35B9">
      <w:pPr>
        <w:spacing w:after="0" w:line="240" w:lineRule="auto"/>
        <w:jc w:val="both"/>
        <w:rPr>
          <w:rStyle w:val="Emphasis"/>
          <w:b/>
          <w:sz w:val="20"/>
          <w:szCs w:val="20"/>
        </w:rPr>
      </w:pPr>
    </w:p>
    <w:p w:rsidR="007F35B9" w:rsidRPr="00E72405" w:rsidRDefault="007F35B9" w:rsidP="00490D5A">
      <w:pPr>
        <w:spacing w:after="0" w:line="240" w:lineRule="auto"/>
        <w:ind w:left="720" w:right="720"/>
        <w:jc w:val="both"/>
        <w:rPr>
          <w:rStyle w:val="Emphasis"/>
          <w:b/>
          <w:bCs/>
          <w:sz w:val="18"/>
          <w:szCs w:val="18"/>
        </w:rPr>
      </w:pPr>
      <w:r w:rsidRPr="00E72405">
        <w:rPr>
          <w:rFonts w:ascii="Cambria" w:hAnsi="Cambria"/>
          <w:sz w:val="18"/>
          <w:szCs w:val="18"/>
        </w:rPr>
        <w:t>[…] the military institutions were liberal in applying the Amnesty Law to military personnel -even in cases that occurred subsequent to the law’s enactment- and routinely ignored or legitimized serious human rights violations reported by political detainees, their families and lawyers.  The federal and state regular courts uncovered significant abuse of the right of defense by the Union and the agents of repression being prosecuted.  Also observed was a pattern on the part of the courts –particularly the higher courts, and following an interpretation by the Federal Supreme Court that persists to this day- to regard the amnesty law as an impediment precluding prosecution and investigation of serious human rights violations committed by the agents of the repression during the dictatorship.</w:t>
      </w:r>
      <w:r w:rsidRPr="00E72405">
        <w:rPr>
          <w:rStyle w:val="FootnoteReference"/>
          <w:rFonts w:ascii="Cambria" w:eastAsiaTheme="minorHAnsi" w:hAnsi="Cambria" w:cs="AGaramondPro-Regular"/>
          <w:sz w:val="18"/>
          <w:szCs w:val="18"/>
        </w:rPr>
        <w:footnoteReference w:id="42"/>
      </w:r>
      <w:r w:rsidRPr="00E72405">
        <w:rPr>
          <w:rFonts w:ascii="Cambria" w:hAnsi="Cambria"/>
          <w:sz w:val="18"/>
          <w:szCs w:val="18"/>
        </w:rPr>
        <w:t>.</w:t>
      </w:r>
    </w:p>
    <w:p w:rsidR="007F35B9" w:rsidRPr="00E72405" w:rsidRDefault="007F35B9" w:rsidP="007F35B9">
      <w:pPr>
        <w:tabs>
          <w:tab w:val="left" w:pos="0"/>
        </w:tabs>
        <w:spacing w:after="0" w:line="240" w:lineRule="auto"/>
        <w:jc w:val="both"/>
        <w:rPr>
          <w:rStyle w:val="Emphasis"/>
          <w:rFonts w:cs="Arial"/>
          <w:b/>
          <w:sz w:val="20"/>
          <w:szCs w:val="20"/>
        </w:rPr>
      </w:pPr>
    </w:p>
    <w:p w:rsidR="007F35B9" w:rsidRPr="00E72405" w:rsidRDefault="007F35B9" w:rsidP="006B64E9">
      <w:pPr>
        <w:pStyle w:val="Heading2"/>
      </w:pPr>
      <w:bookmarkStart w:id="14" w:name="_Toc433359800"/>
      <w:r w:rsidRPr="00E72405">
        <w:t xml:space="preserve">Concerning </w:t>
      </w:r>
      <w:r w:rsidR="00D85590" w:rsidRPr="00E72405">
        <w:t xml:space="preserve">journalist and public intellectual </w:t>
      </w:r>
      <w:r w:rsidRPr="00E72405">
        <w:t>Vladimir Herzog</w:t>
      </w:r>
      <w:bookmarkEnd w:id="14"/>
    </w:p>
    <w:p w:rsidR="007F35B9" w:rsidRPr="00E72405" w:rsidRDefault="007F35B9" w:rsidP="007F35B9">
      <w:pPr>
        <w:spacing w:after="0" w:line="240" w:lineRule="auto"/>
        <w:ind w:firstLine="720"/>
        <w:jc w:val="both"/>
        <w:rPr>
          <w:rFonts w:ascii="Cambria" w:hAnsi="Cambria"/>
          <w:b/>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sz w:val="20"/>
          <w:szCs w:val="20"/>
        </w:rPr>
      </w:pPr>
      <w:r w:rsidRPr="00E72405">
        <w:rPr>
          <w:rFonts w:ascii="Cambria" w:hAnsi="Cambria"/>
          <w:sz w:val="20"/>
          <w:szCs w:val="20"/>
        </w:rPr>
        <w:t>Journalist Vladimir Herzog (also known as “</w:t>
      </w:r>
      <w:proofErr w:type="spellStart"/>
      <w:r w:rsidRPr="00E72405">
        <w:rPr>
          <w:rFonts w:ascii="Cambria" w:hAnsi="Cambria"/>
          <w:sz w:val="20"/>
          <w:szCs w:val="20"/>
        </w:rPr>
        <w:t>Vlado</w:t>
      </w:r>
      <w:proofErr w:type="spellEnd"/>
      <w:r w:rsidRPr="00E72405">
        <w:rPr>
          <w:rFonts w:ascii="Cambria" w:hAnsi="Cambria"/>
          <w:sz w:val="20"/>
          <w:szCs w:val="20"/>
        </w:rPr>
        <w:t xml:space="preserve">” to friends and family) was born on May 27, 1937 in the city of Osijek, Croatia.  In 1946 he and his parents, Zora and Sigmund Herzog, </w:t>
      </w:r>
      <w:r w:rsidR="00CA0FDB" w:rsidRPr="00E72405">
        <w:rPr>
          <w:rFonts w:ascii="Cambria" w:hAnsi="Cambria"/>
          <w:sz w:val="20"/>
          <w:szCs w:val="20"/>
        </w:rPr>
        <w:t>immigrated</w:t>
      </w:r>
      <w:r w:rsidRPr="00E72405">
        <w:rPr>
          <w:rFonts w:ascii="Cambria" w:hAnsi="Cambria"/>
          <w:sz w:val="20"/>
          <w:szCs w:val="20"/>
        </w:rPr>
        <w:t xml:space="preserve"> to Brazil.</w:t>
      </w:r>
      <w:r w:rsidRPr="00E72405">
        <w:rPr>
          <w:rStyle w:val="FootnoteReference"/>
          <w:rFonts w:ascii="Cambria" w:hAnsi="Cambria"/>
          <w:sz w:val="20"/>
          <w:szCs w:val="20"/>
        </w:rPr>
        <w:footnoteReference w:id="43"/>
      </w:r>
      <w:r w:rsidRPr="00E72405">
        <w:rPr>
          <w:rFonts w:ascii="Cambria" w:hAnsi="Cambria"/>
          <w:sz w:val="20"/>
          <w:szCs w:val="20"/>
        </w:rPr>
        <w:t xml:space="preserve"> Herzog studied philosophy at the University of </w:t>
      </w:r>
      <w:r w:rsidRPr="00E72405">
        <w:rPr>
          <w:rStyle w:val="Emphasis"/>
          <w:rFonts w:ascii="Cambria" w:hAnsi="Cambria" w:cs="Arial"/>
          <w:i w:val="0"/>
          <w:sz w:val="20"/>
          <w:szCs w:val="20"/>
        </w:rPr>
        <w:t>São Paulo and embarked upon his career in journalism in 1959</w:t>
      </w:r>
      <w:r w:rsidRPr="00E72405">
        <w:rPr>
          <w:rStyle w:val="FootnoteReference"/>
          <w:rFonts w:ascii="Cambria" w:hAnsi="Cambria"/>
          <w:sz w:val="20"/>
          <w:szCs w:val="20"/>
        </w:rPr>
        <w:footnoteReference w:id="44"/>
      </w:r>
      <w:r w:rsidRPr="00E72405">
        <w:rPr>
          <w:rFonts w:ascii="Cambria" w:hAnsi="Cambria"/>
          <w:sz w:val="20"/>
          <w:szCs w:val="20"/>
        </w:rPr>
        <w:t xml:space="preserve"> as a reporter, editor and news chief for the newspaper </w:t>
      </w:r>
      <w:r w:rsidRPr="00E72405">
        <w:rPr>
          <w:rFonts w:ascii="Cambria" w:hAnsi="Cambria"/>
          <w:i/>
          <w:sz w:val="20"/>
          <w:szCs w:val="20"/>
        </w:rPr>
        <w:t xml:space="preserve">O Estado de </w:t>
      </w:r>
      <w:r w:rsidRPr="00E72405">
        <w:rPr>
          <w:rStyle w:val="Emphasis"/>
          <w:rFonts w:ascii="Cambria" w:hAnsi="Cambria" w:cs="Arial"/>
          <w:i w:val="0"/>
          <w:sz w:val="20"/>
          <w:szCs w:val="20"/>
        </w:rPr>
        <w:t>São Paulo</w:t>
      </w:r>
      <w:r w:rsidRPr="00E72405">
        <w:rPr>
          <w:rStyle w:val="Emphasis"/>
          <w:rFonts w:ascii="Cambria" w:hAnsi="Cambria" w:cs="Arial"/>
          <w:sz w:val="20"/>
          <w:szCs w:val="20"/>
        </w:rPr>
        <w:t xml:space="preserve">.  </w:t>
      </w:r>
      <w:r w:rsidRPr="00E72405">
        <w:rPr>
          <w:rStyle w:val="Emphasis"/>
          <w:rFonts w:ascii="Cambria" w:hAnsi="Cambria" w:cs="Arial"/>
          <w:i w:val="0"/>
          <w:sz w:val="20"/>
          <w:szCs w:val="20"/>
        </w:rPr>
        <w:t>He also participated in the “</w:t>
      </w:r>
      <w:proofErr w:type="spellStart"/>
      <w:r w:rsidRPr="00E72405">
        <w:rPr>
          <w:rStyle w:val="Emphasis"/>
          <w:rFonts w:ascii="Cambria" w:hAnsi="Cambria" w:cs="Arial"/>
          <w:i w:val="0"/>
          <w:sz w:val="20"/>
          <w:szCs w:val="20"/>
        </w:rPr>
        <w:t>Teatro</w:t>
      </w:r>
      <w:proofErr w:type="spellEnd"/>
      <w:r w:rsidRPr="00E72405">
        <w:rPr>
          <w:rStyle w:val="Emphasis"/>
          <w:rFonts w:ascii="Cambria" w:hAnsi="Cambria" w:cs="Arial"/>
          <w:i w:val="0"/>
          <w:sz w:val="20"/>
          <w:szCs w:val="20"/>
        </w:rPr>
        <w:t xml:space="preserve"> de Arena” and “Cinema Novo”, cultural movements geared toward depicting the country’s reality.</w:t>
      </w:r>
      <w:r w:rsidRPr="00E72405">
        <w:rPr>
          <w:rStyle w:val="FootnoteReference"/>
          <w:rFonts w:ascii="Cambria" w:hAnsi="Cambria" w:cs="Arial"/>
          <w:bCs/>
          <w:sz w:val="20"/>
          <w:szCs w:val="20"/>
        </w:rPr>
        <w:footnoteReference w:id="45"/>
      </w:r>
      <w:r w:rsidRPr="00E72405">
        <w:rPr>
          <w:rStyle w:val="Emphasis"/>
          <w:rFonts w:ascii="Cambria" w:hAnsi="Cambria" w:cs="Arial"/>
          <w:sz w:val="20"/>
          <w:szCs w:val="20"/>
        </w:rPr>
        <w:t xml:space="preserve">  </w:t>
      </w:r>
      <w:r w:rsidRPr="00E72405">
        <w:rPr>
          <w:rStyle w:val="Emphasis"/>
          <w:rFonts w:ascii="Cambria" w:hAnsi="Cambria" w:cs="Arial"/>
          <w:i w:val="0"/>
          <w:sz w:val="20"/>
          <w:szCs w:val="20"/>
        </w:rPr>
        <w:t>In 1963, he started working in television, as a news editor.</w:t>
      </w:r>
      <w:r w:rsidRPr="00E72405">
        <w:rPr>
          <w:rStyle w:val="FootnoteReference"/>
          <w:rFonts w:ascii="Cambria" w:hAnsi="Cambria" w:cs="Arial"/>
          <w:bCs/>
          <w:sz w:val="20"/>
          <w:szCs w:val="20"/>
        </w:rPr>
        <w:footnoteReference w:id="46"/>
      </w:r>
      <w:r w:rsidRPr="00E72405">
        <w:rPr>
          <w:rStyle w:val="Emphasis"/>
          <w:rFonts w:ascii="Cambria" w:hAnsi="Cambria" w:cs="Arial"/>
          <w:sz w:val="20"/>
          <w:szCs w:val="20"/>
        </w:rPr>
        <w:t xml:space="preserve">  </w:t>
      </w:r>
      <w:r w:rsidRPr="00E72405">
        <w:rPr>
          <w:rStyle w:val="Emphasis"/>
          <w:rFonts w:ascii="Cambria" w:hAnsi="Cambria" w:cs="Arial"/>
          <w:i w:val="0"/>
          <w:sz w:val="20"/>
          <w:szCs w:val="20"/>
        </w:rPr>
        <w:t>That year, he directed a well-known short documentary on the plight of the fisherman on Copacabana Beach in Rio de Janeiro</w:t>
      </w:r>
      <w:r w:rsidRPr="00E72405">
        <w:rPr>
          <w:rStyle w:val="Emphasis"/>
          <w:rFonts w:ascii="Cambria" w:hAnsi="Cambria" w:cs="Arial"/>
          <w:sz w:val="20"/>
          <w:szCs w:val="20"/>
        </w:rPr>
        <w:t>.</w:t>
      </w:r>
      <w:r w:rsidRPr="00E72405">
        <w:rPr>
          <w:rStyle w:val="FootnoteReference"/>
          <w:rFonts w:ascii="Cambria" w:hAnsi="Cambria" w:cs="Arial"/>
          <w:bCs/>
          <w:sz w:val="20"/>
          <w:szCs w:val="20"/>
        </w:rPr>
        <w:footnoteReference w:id="47"/>
      </w:r>
      <w:r w:rsidRPr="00E72405">
        <w:rPr>
          <w:rStyle w:val="Emphasis"/>
          <w:rFonts w:ascii="Cambria" w:hAnsi="Cambria" w:cs="Arial"/>
          <w:sz w:val="20"/>
          <w:szCs w:val="20"/>
        </w:rPr>
        <w:t xml:space="preserve"> </w:t>
      </w:r>
    </w:p>
    <w:p w:rsidR="007F35B9" w:rsidRPr="00E72405" w:rsidRDefault="007F35B9" w:rsidP="007F35B9">
      <w:pPr>
        <w:pStyle w:val="NoSpacing"/>
        <w:rPr>
          <w:rStyle w:val="Emphasis"/>
          <w:b/>
          <w:bCs/>
          <w:sz w:val="20"/>
          <w:szCs w:val="20"/>
        </w:rPr>
      </w:pPr>
    </w:p>
    <w:p w:rsidR="00095228" w:rsidRPr="00E72405" w:rsidRDefault="007F35B9" w:rsidP="00E658C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Emphasis"/>
          <w:b/>
          <w:bCs/>
          <w:i w:val="0"/>
          <w:sz w:val="20"/>
          <w:szCs w:val="20"/>
        </w:rPr>
      </w:pPr>
      <w:r w:rsidRPr="00E72405">
        <w:rPr>
          <w:rStyle w:val="Emphasis"/>
          <w:rFonts w:cs="Arial"/>
          <w:i w:val="0"/>
          <w:sz w:val="20"/>
          <w:szCs w:val="20"/>
        </w:rPr>
        <w:t>On February 15, 1964, he married Clarice Ribeiro Chaves,</w:t>
      </w:r>
      <w:r w:rsidRPr="00E72405">
        <w:rPr>
          <w:rStyle w:val="FootnoteReference"/>
          <w:rFonts w:cs="Arial"/>
          <w:bCs/>
          <w:sz w:val="20"/>
          <w:szCs w:val="20"/>
        </w:rPr>
        <w:footnoteReference w:id="48"/>
      </w:r>
      <w:r w:rsidRPr="00E72405">
        <w:rPr>
          <w:rStyle w:val="Emphasis"/>
          <w:rFonts w:cs="Arial"/>
          <w:i w:val="0"/>
          <w:sz w:val="20"/>
          <w:szCs w:val="20"/>
        </w:rPr>
        <w:t xml:space="preserve"> a student in social sciences and reporter for the newspaper</w:t>
      </w:r>
      <w:r w:rsidRPr="00E72405">
        <w:rPr>
          <w:rStyle w:val="Emphasis"/>
          <w:rFonts w:cs="Arial"/>
          <w:sz w:val="20"/>
          <w:szCs w:val="20"/>
        </w:rPr>
        <w:t xml:space="preserve"> </w:t>
      </w:r>
      <w:proofErr w:type="spellStart"/>
      <w:r w:rsidRPr="00E72405">
        <w:rPr>
          <w:rStyle w:val="Emphasis"/>
          <w:rFonts w:cs="Arial"/>
          <w:sz w:val="20"/>
          <w:szCs w:val="20"/>
        </w:rPr>
        <w:t>Última</w:t>
      </w:r>
      <w:proofErr w:type="spellEnd"/>
      <w:r w:rsidRPr="00E72405">
        <w:rPr>
          <w:rStyle w:val="Emphasis"/>
          <w:rFonts w:cs="Arial"/>
          <w:sz w:val="20"/>
          <w:szCs w:val="20"/>
        </w:rPr>
        <w:t xml:space="preserve"> Hora</w:t>
      </w:r>
      <w:r w:rsidRPr="00E72405">
        <w:rPr>
          <w:rStyle w:val="Emphasis"/>
          <w:rFonts w:cs="Arial"/>
          <w:i w:val="0"/>
          <w:sz w:val="20"/>
          <w:szCs w:val="20"/>
        </w:rPr>
        <w:t xml:space="preserve">. </w:t>
      </w:r>
      <w:r w:rsidR="00CA0FDB" w:rsidRPr="00E72405">
        <w:rPr>
          <w:rStyle w:val="Emphasis"/>
          <w:rFonts w:cs="Arial"/>
          <w:i w:val="0"/>
          <w:sz w:val="20"/>
          <w:szCs w:val="20"/>
        </w:rPr>
        <w:t xml:space="preserve">After the </w:t>
      </w:r>
      <w:r w:rsidR="00095228" w:rsidRPr="00E72405">
        <w:rPr>
          <w:i/>
          <w:sz w:val="20"/>
          <w:szCs w:val="20"/>
        </w:rPr>
        <w:t>coup d’état</w:t>
      </w:r>
      <w:r w:rsidR="00095228" w:rsidRPr="00E72405">
        <w:rPr>
          <w:sz w:val="20"/>
          <w:szCs w:val="20"/>
        </w:rPr>
        <w:t xml:space="preserve">, </w:t>
      </w:r>
      <w:r w:rsidR="00095228" w:rsidRPr="00E72405">
        <w:rPr>
          <w:rStyle w:val="Emphasis"/>
          <w:rFonts w:cs="Arial"/>
          <w:i w:val="0"/>
          <w:sz w:val="20"/>
          <w:szCs w:val="20"/>
        </w:rPr>
        <w:t>i</w:t>
      </w:r>
      <w:r w:rsidRPr="00E72405">
        <w:rPr>
          <w:rStyle w:val="Emphasis"/>
          <w:rFonts w:cs="Arial"/>
          <w:i w:val="0"/>
          <w:sz w:val="20"/>
          <w:szCs w:val="20"/>
        </w:rPr>
        <w:t>n 1965 the couple moved to London, where the journalist worked as a producer and broadcaster for the BBC.</w:t>
      </w:r>
      <w:r w:rsidRPr="00E72405">
        <w:rPr>
          <w:rStyle w:val="FootnoteReference"/>
          <w:rFonts w:cs="Arial"/>
          <w:bCs/>
          <w:sz w:val="20"/>
          <w:szCs w:val="20"/>
        </w:rPr>
        <w:footnoteReference w:id="49"/>
      </w:r>
      <w:r w:rsidRPr="00E72405">
        <w:rPr>
          <w:rStyle w:val="Emphasis"/>
          <w:rFonts w:cs="Arial"/>
          <w:sz w:val="20"/>
          <w:szCs w:val="20"/>
        </w:rPr>
        <w:t xml:space="preserve"> </w:t>
      </w:r>
      <w:r w:rsidRPr="00E72405">
        <w:rPr>
          <w:rStyle w:val="Emphasis"/>
          <w:rFonts w:cs="Arial"/>
          <w:i w:val="0"/>
          <w:sz w:val="20"/>
          <w:szCs w:val="20"/>
        </w:rPr>
        <w:t>His two sons, Ivo and André, were born in London.</w:t>
      </w:r>
      <w:r w:rsidRPr="00E72405">
        <w:rPr>
          <w:rStyle w:val="FootnoteReference"/>
          <w:rFonts w:cs="Arial"/>
          <w:bCs/>
          <w:sz w:val="20"/>
          <w:szCs w:val="20"/>
        </w:rPr>
        <w:footnoteReference w:id="50"/>
      </w:r>
      <w:r w:rsidR="004C2329" w:rsidRPr="00E72405">
        <w:rPr>
          <w:rStyle w:val="Emphasis"/>
          <w:rFonts w:cs="Arial"/>
          <w:i w:val="0"/>
          <w:sz w:val="20"/>
          <w:szCs w:val="20"/>
        </w:rPr>
        <w:t xml:space="preserve"> </w:t>
      </w:r>
      <w:r w:rsidRPr="00E72405">
        <w:rPr>
          <w:rStyle w:val="Emphasis"/>
          <w:rFonts w:cs="Arial"/>
          <w:i w:val="0"/>
          <w:sz w:val="20"/>
          <w:szCs w:val="20"/>
        </w:rPr>
        <w:t>Vladimir Herzog returned to Brazil in late 1968,</w:t>
      </w:r>
      <w:r w:rsidRPr="00E72405">
        <w:rPr>
          <w:rStyle w:val="FootnoteReference"/>
          <w:rFonts w:cs="Arial"/>
          <w:bCs/>
          <w:sz w:val="20"/>
          <w:szCs w:val="20"/>
        </w:rPr>
        <w:footnoteReference w:id="51"/>
      </w:r>
      <w:r w:rsidRPr="00E72405">
        <w:rPr>
          <w:rStyle w:val="Emphasis"/>
          <w:rFonts w:cs="Arial"/>
          <w:i w:val="0"/>
          <w:sz w:val="20"/>
          <w:szCs w:val="20"/>
        </w:rPr>
        <w:t xml:space="preserve"> following a time of “personal and professional triumphs.”</w:t>
      </w:r>
      <w:r w:rsidRPr="00E72405">
        <w:rPr>
          <w:rStyle w:val="FootnoteReference"/>
          <w:rFonts w:cs="Arial"/>
          <w:bCs/>
          <w:sz w:val="20"/>
          <w:szCs w:val="20"/>
        </w:rPr>
        <w:footnoteReference w:id="52"/>
      </w:r>
    </w:p>
    <w:p w:rsidR="00095228" w:rsidRPr="00E72405" w:rsidRDefault="00095228" w:rsidP="00095228">
      <w:pPr>
        <w:pStyle w:val="ListParagraph"/>
        <w:rPr>
          <w:rStyle w:val="Emphasis"/>
          <w:rFonts w:cs="Arial"/>
          <w:sz w:val="20"/>
          <w:szCs w:val="20"/>
        </w:rPr>
      </w:pPr>
    </w:p>
    <w:p w:rsidR="007F35B9" w:rsidRPr="00E72405" w:rsidRDefault="007F35B9" w:rsidP="00E658C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Emphasis"/>
          <w:b/>
          <w:bCs/>
          <w:i w:val="0"/>
          <w:sz w:val="20"/>
          <w:szCs w:val="20"/>
        </w:rPr>
      </w:pPr>
      <w:r w:rsidRPr="00E72405">
        <w:rPr>
          <w:rStyle w:val="Emphasis"/>
          <w:rFonts w:cs="Arial"/>
          <w:i w:val="0"/>
          <w:sz w:val="20"/>
          <w:szCs w:val="20"/>
        </w:rPr>
        <w:t xml:space="preserve">Upon his return to Brazil, Vladimir Herzog was appointed cultural editor of the magazine </w:t>
      </w:r>
      <w:proofErr w:type="spellStart"/>
      <w:r w:rsidRPr="00E72405">
        <w:rPr>
          <w:rStyle w:val="Emphasis"/>
          <w:rFonts w:cs="Arial"/>
          <w:i w:val="0"/>
          <w:sz w:val="20"/>
          <w:szCs w:val="20"/>
        </w:rPr>
        <w:t>Visão</w:t>
      </w:r>
      <w:proofErr w:type="spellEnd"/>
      <w:r w:rsidRPr="00E72405">
        <w:rPr>
          <w:rStyle w:val="Emphasis"/>
          <w:rFonts w:cs="Arial"/>
          <w:i w:val="0"/>
          <w:sz w:val="20"/>
          <w:szCs w:val="20"/>
        </w:rPr>
        <w:t>,</w:t>
      </w:r>
      <w:r w:rsidRPr="00E72405">
        <w:rPr>
          <w:rStyle w:val="FootnoteReference"/>
          <w:rFonts w:cs="Arial"/>
          <w:bCs/>
          <w:i/>
          <w:sz w:val="20"/>
          <w:szCs w:val="20"/>
        </w:rPr>
        <w:footnoteReference w:id="53"/>
      </w:r>
      <w:r w:rsidRPr="00E72405">
        <w:rPr>
          <w:rStyle w:val="Emphasis"/>
          <w:rFonts w:cs="Arial"/>
          <w:i w:val="0"/>
          <w:sz w:val="20"/>
          <w:szCs w:val="20"/>
        </w:rPr>
        <w:t xml:space="preserve"> and worked there for five years.</w:t>
      </w:r>
      <w:r w:rsidRPr="00E72405">
        <w:rPr>
          <w:rStyle w:val="FootnoteReference"/>
          <w:rFonts w:cs="Arial"/>
          <w:bCs/>
          <w:sz w:val="20"/>
          <w:szCs w:val="20"/>
        </w:rPr>
        <w:footnoteReference w:id="54"/>
      </w:r>
      <w:r w:rsidRPr="00E72405">
        <w:rPr>
          <w:rStyle w:val="Emphasis"/>
          <w:rFonts w:cs="Arial"/>
          <w:i w:val="0"/>
          <w:sz w:val="20"/>
          <w:szCs w:val="20"/>
        </w:rPr>
        <w:t xml:space="preserve"> While working at </w:t>
      </w:r>
      <w:proofErr w:type="spellStart"/>
      <w:r w:rsidRPr="00E72405">
        <w:rPr>
          <w:rStyle w:val="Emphasis"/>
          <w:rFonts w:cs="Arial"/>
          <w:i w:val="0"/>
          <w:sz w:val="20"/>
          <w:szCs w:val="20"/>
        </w:rPr>
        <w:t>Visão</w:t>
      </w:r>
      <w:proofErr w:type="spellEnd"/>
      <w:r w:rsidRPr="00E72405">
        <w:rPr>
          <w:rStyle w:val="Emphasis"/>
          <w:rFonts w:cs="Arial"/>
          <w:i w:val="0"/>
          <w:sz w:val="20"/>
          <w:szCs w:val="20"/>
        </w:rPr>
        <w:t xml:space="preserve">, Vladimir Herzog joined the journalism team at </w:t>
      </w:r>
      <w:r w:rsidR="00095228" w:rsidRPr="00E72405">
        <w:rPr>
          <w:rStyle w:val="Emphasis"/>
          <w:rFonts w:cs="Arial"/>
          <w:i w:val="0"/>
          <w:sz w:val="20"/>
          <w:szCs w:val="20"/>
        </w:rPr>
        <w:t xml:space="preserve">the public </w:t>
      </w:r>
      <w:r w:rsidRPr="00E72405">
        <w:rPr>
          <w:rStyle w:val="Emphasis"/>
          <w:rFonts w:cs="Arial"/>
          <w:i w:val="0"/>
          <w:sz w:val="20"/>
          <w:szCs w:val="20"/>
        </w:rPr>
        <w:t xml:space="preserve">television channel </w:t>
      </w:r>
      <w:r w:rsidRPr="00E72405">
        <w:rPr>
          <w:rStyle w:val="Emphasis"/>
          <w:rFonts w:cs="Arial"/>
          <w:sz w:val="20"/>
          <w:szCs w:val="20"/>
        </w:rPr>
        <w:t xml:space="preserve">TV </w:t>
      </w:r>
      <w:proofErr w:type="spellStart"/>
      <w:r w:rsidRPr="00E72405">
        <w:rPr>
          <w:rStyle w:val="Emphasis"/>
          <w:rFonts w:cs="Arial"/>
          <w:sz w:val="20"/>
          <w:szCs w:val="20"/>
        </w:rPr>
        <w:t>Cultura</w:t>
      </w:r>
      <w:proofErr w:type="spellEnd"/>
      <w:r w:rsidRPr="00E72405">
        <w:rPr>
          <w:rStyle w:val="Emphasis"/>
          <w:rFonts w:cs="Arial"/>
          <w:i w:val="0"/>
          <w:sz w:val="20"/>
          <w:szCs w:val="20"/>
        </w:rPr>
        <w:t>, where he</w:t>
      </w:r>
      <w:r w:rsidR="00095228" w:rsidRPr="00E72405">
        <w:rPr>
          <w:rStyle w:val="Emphasis"/>
          <w:rFonts w:cs="Arial"/>
          <w:i w:val="0"/>
          <w:sz w:val="20"/>
          <w:szCs w:val="20"/>
        </w:rPr>
        <w:t xml:space="preserve"> worked since</w:t>
      </w:r>
      <w:r w:rsidRPr="00E72405">
        <w:rPr>
          <w:rStyle w:val="Emphasis"/>
          <w:rFonts w:cs="Arial"/>
          <w:i w:val="0"/>
          <w:sz w:val="20"/>
          <w:szCs w:val="20"/>
        </w:rPr>
        <w:t xml:space="preserve"> 1972,</w:t>
      </w:r>
      <w:r w:rsidRPr="00E72405">
        <w:rPr>
          <w:rStyle w:val="FootnoteReference"/>
          <w:rFonts w:cs="Arial"/>
          <w:bCs/>
          <w:sz w:val="20"/>
          <w:szCs w:val="20"/>
        </w:rPr>
        <w:footnoteReference w:id="55"/>
      </w:r>
      <w:r w:rsidRPr="00E72405">
        <w:rPr>
          <w:rStyle w:val="Emphasis"/>
          <w:rFonts w:cs="Arial"/>
          <w:sz w:val="20"/>
          <w:szCs w:val="20"/>
        </w:rPr>
        <w:t xml:space="preserve"> </w:t>
      </w:r>
      <w:r w:rsidRPr="00E72405">
        <w:rPr>
          <w:rStyle w:val="Emphasis"/>
          <w:rFonts w:cs="Arial"/>
          <w:i w:val="0"/>
          <w:sz w:val="20"/>
          <w:szCs w:val="20"/>
        </w:rPr>
        <w:t>first as editor of the team for the program “</w:t>
      </w:r>
      <w:r w:rsidRPr="00E72405">
        <w:rPr>
          <w:rStyle w:val="Emphasis"/>
          <w:rFonts w:cs="Arial"/>
          <w:sz w:val="20"/>
          <w:szCs w:val="20"/>
        </w:rPr>
        <w:t xml:space="preserve">Hora da </w:t>
      </w:r>
      <w:proofErr w:type="spellStart"/>
      <w:r w:rsidRPr="00E72405">
        <w:rPr>
          <w:rStyle w:val="Emphasis"/>
          <w:rFonts w:cs="Arial"/>
          <w:sz w:val="20"/>
          <w:szCs w:val="20"/>
        </w:rPr>
        <w:t>Notícia</w:t>
      </w:r>
      <w:proofErr w:type="spellEnd"/>
      <w:r w:rsidRPr="00E72405">
        <w:rPr>
          <w:rStyle w:val="Emphasis"/>
          <w:rFonts w:cs="Arial"/>
          <w:i w:val="0"/>
          <w:sz w:val="20"/>
          <w:szCs w:val="20"/>
        </w:rPr>
        <w:t>” and then as director of the department of “television journalism.”</w:t>
      </w:r>
      <w:r w:rsidRPr="00E72405">
        <w:rPr>
          <w:rStyle w:val="FootnoteReference"/>
          <w:rFonts w:cs="Arial"/>
          <w:bCs/>
          <w:sz w:val="20"/>
          <w:szCs w:val="20"/>
        </w:rPr>
        <w:footnoteReference w:id="56"/>
      </w:r>
      <w:r w:rsidRPr="00E72405">
        <w:rPr>
          <w:rStyle w:val="Emphasis"/>
          <w:rFonts w:cs="Arial"/>
          <w:i w:val="0"/>
          <w:sz w:val="20"/>
          <w:szCs w:val="20"/>
        </w:rPr>
        <w:t xml:space="preserve">During </w:t>
      </w:r>
      <w:r w:rsidRPr="00E72405">
        <w:rPr>
          <w:rStyle w:val="Emphasis"/>
          <w:rFonts w:cs="Arial"/>
          <w:i w:val="0"/>
          <w:sz w:val="20"/>
          <w:szCs w:val="20"/>
        </w:rPr>
        <w:lastRenderedPageBreak/>
        <w:t>those years, Vladimir Herzog pushed the concept of the social responsibility of the press</w:t>
      </w:r>
      <w:r w:rsidRPr="00E72405">
        <w:rPr>
          <w:rStyle w:val="FootnoteReference"/>
          <w:rFonts w:cs="Arial"/>
          <w:bCs/>
          <w:color w:val="auto"/>
          <w:sz w:val="20"/>
          <w:szCs w:val="20"/>
        </w:rPr>
        <w:footnoteReference w:id="57"/>
      </w:r>
      <w:r w:rsidRPr="00E72405">
        <w:rPr>
          <w:rStyle w:val="Emphasis"/>
          <w:rFonts w:cs="Arial"/>
          <w:i w:val="0"/>
          <w:color w:val="auto"/>
          <w:sz w:val="20"/>
          <w:szCs w:val="20"/>
        </w:rPr>
        <w:t xml:space="preserve"> and came under surveillance by agents because of his supposed activism in the Brazilian Communist Party.</w:t>
      </w:r>
      <w:r w:rsidRPr="00E72405">
        <w:rPr>
          <w:rStyle w:val="FootnoteReference"/>
          <w:rFonts w:cs="Arial"/>
          <w:bCs/>
          <w:color w:val="auto"/>
          <w:sz w:val="20"/>
          <w:szCs w:val="20"/>
        </w:rPr>
        <w:footnoteReference w:id="58"/>
      </w:r>
      <w:r w:rsidRPr="00E72405">
        <w:rPr>
          <w:rStyle w:val="Emphasis"/>
          <w:rFonts w:cs="Arial"/>
          <w:color w:val="auto"/>
          <w:sz w:val="20"/>
          <w:szCs w:val="20"/>
        </w:rPr>
        <w:t xml:space="preserve"> </w:t>
      </w:r>
      <w:r w:rsidR="00095228" w:rsidRPr="00E72405">
        <w:rPr>
          <w:rStyle w:val="hps"/>
          <w:rFonts w:cs="Arial"/>
          <w:color w:val="auto"/>
          <w:sz w:val="20"/>
          <w:szCs w:val="20"/>
          <w:lang w:val="en"/>
        </w:rPr>
        <w:t>He also made</w:t>
      </w:r>
      <w:r w:rsidR="00095228" w:rsidRPr="00E72405">
        <w:rPr>
          <w:rFonts w:cs="Arial"/>
          <w:color w:val="auto"/>
          <w:sz w:val="20"/>
          <w:szCs w:val="20"/>
          <w:lang w:val="en"/>
        </w:rPr>
        <w:t xml:space="preserve"> </w:t>
      </w:r>
      <w:r w:rsidR="00095228" w:rsidRPr="00E72405">
        <w:rPr>
          <w:rStyle w:val="hps"/>
          <w:rFonts w:cs="Arial"/>
          <w:color w:val="auto"/>
          <w:sz w:val="20"/>
          <w:szCs w:val="20"/>
          <w:lang w:val="en"/>
        </w:rPr>
        <w:t>an important</w:t>
      </w:r>
      <w:r w:rsidR="00095228" w:rsidRPr="00E72405">
        <w:rPr>
          <w:rFonts w:cs="Arial"/>
          <w:color w:val="auto"/>
          <w:sz w:val="20"/>
          <w:szCs w:val="20"/>
          <w:lang w:val="en"/>
        </w:rPr>
        <w:t xml:space="preserve"> </w:t>
      </w:r>
      <w:r w:rsidR="00095228" w:rsidRPr="00E72405">
        <w:rPr>
          <w:rStyle w:val="hps"/>
          <w:rFonts w:cs="Arial"/>
          <w:color w:val="auto"/>
          <w:sz w:val="20"/>
          <w:szCs w:val="20"/>
          <w:lang w:val="en"/>
        </w:rPr>
        <w:t>report on</w:t>
      </w:r>
      <w:r w:rsidR="00095228" w:rsidRPr="00E72405">
        <w:rPr>
          <w:rFonts w:cs="Arial"/>
          <w:color w:val="auto"/>
          <w:sz w:val="20"/>
          <w:szCs w:val="20"/>
          <w:lang w:val="en"/>
        </w:rPr>
        <w:t xml:space="preserve"> </w:t>
      </w:r>
      <w:r w:rsidR="00095228" w:rsidRPr="00E72405">
        <w:rPr>
          <w:rStyle w:val="hps"/>
          <w:rFonts w:cs="Arial"/>
          <w:color w:val="auto"/>
          <w:sz w:val="20"/>
          <w:szCs w:val="20"/>
          <w:lang w:val="en"/>
        </w:rPr>
        <w:t>the first decade of</w:t>
      </w:r>
      <w:r w:rsidR="00095228" w:rsidRPr="00E72405">
        <w:rPr>
          <w:rFonts w:cs="Arial"/>
          <w:color w:val="auto"/>
          <w:sz w:val="20"/>
          <w:szCs w:val="20"/>
          <w:lang w:val="en"/>
        </w:rPr>
        <w:t xml:space="preserve"> </w:t>
      </w:r>
      <w:r w:rsidR="00095228" w:rsidRPr="00E72405">
        <w:rPr>
          <w:rStyle w:val="hps"/>
          <w:rFonts w:cs="Arial"/>
          <w:color w:val="auto"/>
          <w:sz w:val="20"/>
          <w:szCs w:val="20"/>
          <w:lang w:val="en"/>
        </w:rPr>
        <w:t>military regimen</w:t>
      </w:r>
      <w:r w:rsidR="00095228" w:rsidRPr="00E72405">
        <w:rPr>
          <w:rStyle w:val="FootnoteReference"/>
          <w:color w:val="auto"/>
          <w:sz w:val="20"/>
          <w:szCs w:val="20"/>
          <w:lang w:val="en"/>
        </w:rPr>
        <w:footnoteReference w:id="59"/>
      </w:r>
      <w:r w:rsidR="00095228" w:rsidRPr="00E72405">
        <w:rPr>
          <w:rStyle w:val="hps"/>
          <w:rFonts w:cs="Arial"/>
          <w:color w:val="auto"/>
          <w:sz w:val="20"/>
          <w:szCs w:val="20"/>
          <w:lang w:val="en"/>
        </w:rPr>
        <w:t>.</w:t>
      </w:r>
    </w:p>
    <w:p w:rsidR="007F35B9" w:rsidRPr="00E72405" w:rsidRDefault="007F35B9" w:rsidP="00095228">
      <w:pPr>
        <w:pStyle w:val="NoSpacing"/>
        <w:rPr>
          <w:rStyle w:val="Emphasis"/>
          <w:b/>
          <w:bCs/>
          <w:sz w:val="20"/>
          <w:szCs w:val="20"/>
        </w:rPr>
      </w:pPr>
    </w:p>
    <w:p w:rsidR="007F35B9" w:rsidRPr="00E72405" w:rsidRDefault="007F35B9" w:rsidP="00E658CD">
      <w:pPr>
        <w:numPr>
          <w:ilvl w:val="0"/>
          <w:numId w:val="6"/>
        </w:numPr>
        <w:spacing w:after="0" w:line="240" w:lineRule="auto"/>
        <w:ind w:left="0" w:firstLine="720"/>
        <w:jc w:val="both"/>
        <w:rPr>
          <w:rFonts w:ascii="Cambria" w:hAnsi="Cambria"/>
          <w:i/>
          <w:sz w:val="20"/>
          <w:szCs w:val="20"/>
        </w:rPr>
      </w:pPr>
      <w:r w:rsidRPr="00E72405">
        <w:rPr>
          <w:rStyle w:val="Emphasis"/>
          <w:rFonts w:ascii="Cambria" w:hAnsi="Cambria"/>
          <w:i w:val="0"/>
          <w:sz w:val="20"/>
          <w:szCs w:val="20"/>
        </w:rPr>
        <w:t xml:space="preserve">In September 1975, a month before he was murdered, Herzog rose to the position of news director at </w:t>
      </w:r>
      <w:r w:rsidRPr="00E72405">
        <w:rPr>
          <w:rStyle w:val="Emphasis"/>
          <w:rFonts w:ascii="Cambria" w:hAnsi="Cambria"/>
          <w:sz w:val="20"/>
          <w:szCs w:val="20"/>
        </w:rPr>
        <w:t xml:space="preserve">TV </w:t>
      </w:r>
      <w:proofErr w:type="spellStart"/>
      <w:r w:rsidRPr="00E72405">
        <w:rPr>
          <w:rStyle w:val="Emphasis"/>
          <w:rFonts w:ascii="Cambria" w:hAnsi="Cambria"/>
          <w:sz w:val="20"/>
          <w:szCs w:val="20"/>
        </w:rPr>
        <w:t>Cultura</w:t>
      </w:r>
      <w:proofErr w:type="spellEnd"/>
      <w:r w:rsidRPr="00E72405">
        <w:rPr>
          <w:rStyle w:val="Emphasis"/>
          <w:rFonts w:ascii="Cambria" w:hAnsi="Cambria"/>
          <w:i w:val="0"/>
          <w:sz w:val="20"/>
          <w:szCs w:val="20"/>
        </w:rPr>
        <w:t>.</w:t>
      </w:r>
      <w:r w:rsidRPr="00E72405">
        <w:rPr>
          <w:rStyle w:val="FootnoteReference"/>
          <w:rFonts w:ascii="Cambria" w:hAnsi="Cambria"/>
          <w:sz w:val="20"/>
          <w:szCs w:val="20"/>
        </w:rPr>
        <w:footnoteReference w:id="60"/>
      </w:r>
      <w:r w:rsidRPr="00E72405">
        <w:rPr>
          <w:rStyle w:val="Emphasis"/>
          <w:rFonts w:ascii="Cambria" w:hAnsi="Cambria"/>
          <w:i w:val="0"/>
          <w:sz w:val="20"/>
          <w:szCs w:val="20"/>
        </w:rPr>
        <w:t xml:space="preserve"> The military intelligence agencies which were operating covertly inside station, described the journalist “as a problem for the military regime”</w:t>
      </w:r>
      <w:r w:rsidRPr="00E72405">
        <w:rPr>
          <w:rStyle w:val="FootnoteReference"/>
          <w:rFonts w:ascii="Cambria" w:hAnsi="Cambria" w:cs="AGaramondPro-Regular"/>
          <w:sz w:val="20"/>
          <w:szCs w:val="20"/>
        </w:rPr>
        <w:footnoteReference w:id="61"/>
      </w:r>
      <w:r w:rsidRPr="00E72405">
        <w:rPr>
          <w:rStyle w:val="Emphasis"/>
          <w:rFonts w:ascii="Cambria" w:hAnsi="Cambria"/>
          <w:sz w:val="20"/>
          <w:szCs w:val="20"/>
        </w:rPr>
        <w:t xml:space="preserve"> </w:t>
      </w:r>
      <w:r w:rsidRPr="00E72405">
        <w:rPr>
          <w:rStyle w:val="Emphasis"/>
          <w:rFonts w:ascii="Cambria" w:hAnsi="Cambria"/>
          <w:i w:val="0"/>
          <w:sz w:val="20"/>
          <w:szCs w:val="20"/>
        </w:rPr>
        <w:t>and reported that his return to television was evidence that “a process of leftist infiltration was resuming at that State-subsidized television channel</w:t>
      </w:r>
      <w:r w:rsidRPr="00E72405">
        <w:rPr>
          <w:rStyle w:val="Emphasis"/>
          <w:rFonts w:ascii="Cambria" w:hAnsi="Cambria"/>
          <w:sz w:val="20"/>
          <w:szCs w:val="20"/>
        </w:rPr>
        <w:t>.</w:t>
      </w:r>
      <w:r w:rsidRPr="00E72405">
        <w:rPr>
          <w:rFonts w:ascii="Cambria" w:hAnsi="Cambria" w:cs="AGaramondPro-Regular"/>
          <w:sz w:val="20"/>
          <w:szCs w:val="20"/>
        </w:rPr>
        <w:t>"</w:t>
      </w:r>
      <w:r w:rsidRPr="00E72405">
        <w:rPr>
          <w:rStyle w:val="FootnoteReference"/>
          <w:rFonts w:ascii="Cambria" w:hAnsi="Cambria" w:cs="AGaramondPro-Regular"/>
          <w:sz w:val="20"/>
          <w:szCs w:val="20"/>
        </w:rPr>
        <w:footnoteReference w:id="62"/>
      </w:r>
      <w:r w:rsidRPr="00E72405">
        <w:rPr>
          <w:rFonts w:ascii="Cambria" w:hAnsi="Cambria" w:cs="AGaramondPro-Regular"/>
          <w:sz w:val="20"/>
          <w:szCs w:val="20"/>
        </w:rPr>
        <w:t xml:space="preserve">  This view was shared publicly by state representatives who accused the </w:t>
      </w:r>
      <w:r w:rsidR="00C419D4" w:rsidRPr="00E72405">
        <w:rPr>
          <w:rFonts w:ascii="Cambria" w:hAnsi="Cambria" w:cs="AGaramondPro-Regular"/>
          <w:sz w:val="20"/>
          <w:szCs w:val="20"/>
        </w:rPr>
        <w:t xml:space="preserve">public </w:t>
      </w:r>
      <w:r w:rsidRPr="00E72405">
        <w:rPr>
          <w:rFonts w:ascii="Cambria" w:hAnsi="Cambria" w:cs="AGaramondPro-Regular"/>
          <w:sz w:val="20"/>
          <w:szCs w:val="20"/>
        </w:rPr>
        <w:t>channel of pro-Communist propaganda.</w:t>
      </w:r>
      <w:r w:rsidRPr="00E72405">
        <w:rPr>
          <w:rStyle w:val="FootnoteReference"/>
          <w:rFonts w:ascii="Cambria" w:hAnsi="Cambria"/>
          <w:sz w:val="20"/>
          <w:szCs w:val="20"/>
        </w:rPr>
        <w:footnoteReference w:id="63"/>
      </w:r>
    </w:p>
    <w:p w:rsidR="007F35B9" w:rsidRPr="00E72405" w:rsidRDefault="007F35B9" w:rsidP="00095228">
      <w:pPr>
        <w:pStyle w:val="NoSpacing"/>
        <w:rPr>
          <w:rStyle w:val="Emphasis"/>
          <w:rFonts w:ascii="Cambria" w:hAnsi="Cambria"/>
          <w:i w:val="0"/>
          <w:iCs w:val="0"/>
        </w:rPr>
      </w:pPr>
    </w:p>
    <w:p w:rsidR="007F35B9" w:rsidRPr="00E72405" w:rsidRDefault="007F35B9" w:rsidP="006B64E9">
      <w:pPr>
        <w:pStyle w:val="Heading2"/>
        <w:rPr>
          <w:rStyle w:val="Emphasis"/>
          <w:b w:val="0"/>
          <w:bCs w:val="0"/>
          <w:i w:val="0"/>
        </w:rPr>
      </w:pPr>
      <w:bookmarkStart w:id="15" w:name="_Toc433359801"/>
      <w:r w:rsidRPr="00E72405">
        <w:rPr>
          <w:rStyle w:val="Emphasis"/>
          <w:rFonts w:cs="Arial"/>
          <w:i w:val="0"/>
        </w:rPr>
        <w:t>Arbitrary detention, torture and death of Vladimir Herzog</w:t>
      </w:r>
      <w:bookmarkEnd w:id="15"/>
    </w:p>
    <w:p w:rsidR="007F35B9" w:rsidRPr="00E72405" w:rsidRDefault="007F35B9" w:rsidP="007F35B9">
      <w:pPr>
        <w:tabs>
          <w:tab w:val="left" w:pos="1440"/>
        </w:tabs>
        <w:spacing w:after="0" w:line="240" w:lineRule="auto"/>
        <w:ind w:firstLine="720"/>
        <w:jc w:val="both"/>
        <w:rPr>
          <w:rStyle w:val="Emphasis"/>
          <w:rFonts w:ascii="Cambria" w:hAnsi="Cambria"/>
          <w:bCs/>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On October 17, 1975, a colleague of Vladimir Herzog, journalist Paulo Sergio </w:t>
      </w:r>
      <w:proofErr w:type="spellStart"/>
      <w:r w:rsidRPr="00E72405">
        <w:rPr>
          <w:rFonts w:ascii="Cambria" w:hAnsi="Cambria"/>
          <w:sz w:val="20"/>
          <w:szCs w:val="20"/>
        </w:rPr>
        <w:t>Markun</w:t>
      </w:r>
      <w:proofErr w:type="spellEnd"/>
      <w:r w:rsidRPr="00E72405">
        <w:rPr>
          <w:rFonts w:ascii="Cambria" w:hAnsi="Cambria"/>
          <w:sz w:val="20"/>
          <w:szCs w:val="20"/>
        </w:rPr>
        <w:t xml:space="preserve">, was detained by agents from the Second Army’s Intelligence Operations Detachment/Center for Internal Defense Operations in </w:t>
      </w:r>
      <w:r w:rsidR="004958D2" w:rsidRPr="00E72405">
        <w:rPr>
          <w:rStyle w:val="Emphasis"/>
          <w:rFonts w:ascii="Cambria" w:hAnsi="Cambria" w:cs="Arial"/>
          <w:i w:val="0"/>
          <w:sz w:val="20"/>
          <w:szCs w:val="20"/>
        </w:rPr>
        <w:t>São Paulo</w:t>
      </w:r>
      <w:r w:rsidR="004958D2" w:rsidRPr="00E72405">
        <w:rPr>
          <w:rFonts w:ascii="Cambria" w:hAnsi="Cambria"/>
          <w:sz w:val="20"/>
          <w:szCs w:val="20"/>
        </w:rPr>
        <w:t xml:space="preserve"> </w:t>
      </w:r>
      <w:r w:rsidRPr="00E72405">
        <w:rPr>
          <w:rFonts w:ascii="Cambria" w:hAnsi="Cambria"/>
          <w:sz w:val="20"/>
          <w:szCs w:val="20"/>
        </w:rPr>
        <w:t xml:space="preserve">(DOI/CODI/SP].  On October 19, 1975, Paulo Sergio </w:t>
      </w:r>
      <w:proofErr w:type="spellStart"/>
      <w:r w:rsidRPr="00E72405">
        <w:rPr>
          <w:rFonts w:ascii="Cambria" w:hAnsi="Cambria"/>
          <w:sz w:val="20"/>
          <w:szCs w:val="20"/>
        </w:rPr>
        <w:t>Markun</w:t>
      </w:r>
      <w:proofErr w:type="spellEnd"/>
      <w:r w:rsidRPr="00E72405">
        <w:rPr>
          <w:rFonts w:ascii="Cambria" w:hAnsi="Cambria"/>
          <w:sz w:val="20"/>
          <w:szCs w:val="20"/>
        </w:rPr>
        <w:t xml:space="preserve"> asked his father to inform Vladimir Herzog that he, too, was being targeted as a PCB activist and would probably be detained.</w:t>
      </w:r>
      <w:r w:rsidRPr="00E72405">
        <w:rPr>
          <w:rStyle w:val="FootnoteReference"/>
          <w:rFonts w:ascii="Cambria" w:hAnsi="Cambria"/>
          <w:sz w:val="20"/>
          <w:szCs w:val="20"/>
        </w:rPr>
        <w:footnoteReference w:id="64"/>
      </w:r>
      <w:r w:rsidRPr="00E72405">
        <w:rPr>
          <w:rFonts w:ascii="Cambria" w:hAnsi="Cambria"/>
          <w:sz w:val="20"/>
          <w:szCs w:val="20"/>
        </w:rPr>
        <w:t xml:space="preserve">  On October 20, 1975, </w:t>
      </w:r>
      <w:proofErr w:type="spellStart"/>
      <w:r w:rsidRPr="00E72405">
        <w:rPr>
          <w:rFonts w:ascii="Cambria" w:hAnsi="Cambria"/>
          <w:sz w:val="20"/>
          <w:szCs w:val="20"/>
        </w:rPr>
        <w:t>Markun’s</w:t>
      </w:r>
      <w:proofErr w:type="spellEnd"/>
      <w:r w:rsidRPr="00E72405">
        <w:rPr>
          <w:rFonts w:ascii="Cambria" w:hAnsi="Cambria"/>
          <w:sz w:val="20"/>
          <w:szCs w:val="20"/>
        </w:rPr>
        <w:t xml:space="preserve"> father warned Vladimir Herzog that he would be summoned for interrogation.</w:t>
      </w:r>
      <w:r w:rsidRPr="00E72405">
        <w:rPr>
          <w:rStyle w:val="FootnoteReference"/>
          <w:rFonts w:ascii="Cambria" w:hAnsi="Cambria"/>
          <w:sz w:val="20"/>
          <w:szCs w:val="20"/>
        </w:rPr>
        <w:footnoteReference w:id="65"/>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The journalist reported what happened to Dr. </w:t>
      </w:r>
      <w:proofErr w:type="spellStart"/>
      <w:r w:rsidRPr="00E72405">
        <w:rPr>
          <w:rFonts w:ascii="Cambria" w:hAnsi="Cambria"/>
          <w:sz w:val="20"/>
          <w:szCs w:val="20"/>
        </w:rPr>
        <w:t>Rui</w:t>
      </w:r>
      <w:proofErr w:type="spellEnd"/>
      <w:r w:rsidRPr="00E72405">
        <w:rPr>
          <w:rFonts w:ascii="Cambria" w:hAnsi="Cambria"/>
          <w:sz w:val="20"/>
          <w:szCs w:val="20"/>
        </w:rPr>
        <w:t xml:space="preserve"> </w:t>
      </w:r>
      <w:proofErr w:type="spellStart"/>
      <w:r w:rsidRPr="00E72405">
        <w:rPr>
          <w:rFonts w:ascii="Cambria" w:hAnsi="Cambria"/>
          <w:sz w:val="20"/>
          <w:szCs w:val="20"/>
        </w:rPr>
        <w:t>Nogueira</w:t>
      </w:r>
      <w:proofErr w:type="spellEnd"/>
      <w:r w:rsidRPr="00E72405">
        <w:rPr>
          <w:rFonts w:ascii="Cambria" w:hAnsi="Cambria"/>
          <w:sz w:val="20"/>
          <w:szCs w:val="20"/>
        </w:rPr>
        <w:t xml:space="preserve"> Martins, President of the Father </w:t>
      </w:r>
      <w:proofErr w:type="spellStart"/>
      <w:r w:rsidRPr="00E72405">
        <w:rPr>
          <w:rFonts w:ascii="Cambria" w:hAnsi="Cambria"/>
          <w:sz w:val="20"/>
          <w:szCs w:val="20"/>
        </w:rPr>
        <w:t>Anchieta</w:t>
      </w:r>
      <w:proofErr w:type="spellEnd"/>
      <w:r w:rsidRPr="00E72405">
        <w:rPr>
          <w:rFonts w:ascii="Cambria" w:hAnsi="Cambria"/>
          <w:sz w:val="20"/>
          <w:szCs w:val="20"/>
        </w:rPr>
        <w:t xml:space="preserve"> Foundation (a sponsor of </w:t>
      </w:r>
      <w:r w:rsidRPr="00E72405">
        <w:rPr>
          <w:rFonts w:ascii="Cambria" w:hAnsi="Cambria"/>
          <w:i/>
          <w:sz w:val="20"/>
          <w:szCs w:val="20"/>
        </w:rPr>
        <w:t xml:space="preserve">TV </w:t>
      </w:r>
      <w:proofErr w:type="spellStart"/>
      <w:r w:rsidRPr="00E72405">
        <w:rPr>
          <w:rFonts w:ascii="Cambria" w:hAnsi="Cambria"/>
          <w:i/>
          <w:sz w:val="20"/>
          <w:szCs w:val="20"/>
        </w:rPr>
        <w:t>Cultura</w:t>
      </w:r>
      <w:proofErr w:type="spellEnd"/>
      <w:r w:rsidR="00490D5A" w:rsidRPr="00E72405">
        <w:rPr>
          <w:rFonts w:ascii="Cambria" w:hAnsi="Cambria"/>
          <w:sz w:val="20"/>
          <w:szCs w:val="20"/>
        </w:rPr>
        <w:t xml:space="preserve">). </w:t>
      </w:r>
      <w:r w:rsidRPr="00E72405">
        <w:rPr>
          <w:rFonts w:ascii="Cambria" w:hAnsi="Cambria"/>
          <w:sz w:val="20"/>
          <w:szCs w:val="20"/>
        </w:rPr>
        <w:t xml:space="preserve">Herzog also went to the Office of the </w:t>
      </w:r>
      <w:r w:rsidRPr="00E72405">
        <w:rPr>
          <w:rStyle w:val="Emphasis"/>
          <w:rFonts w:ascii="Cambria" w:hAnsi="Cambria" w:cs="Arial"/>
          <w:i w:val="0"/>
          <w:sz w:val="20"/>
          <w:szCs w:val="20"/>
        </w:rPr>
        <w:t xml:space="preserve">São Paulo State Secretary for Culture, which had ties to TV </w:t>
      </w:r>
      <w:proofErr w:type="spellStart"/>
      <w:r w:rsidRPr="00E72405">
        <w:rPr>
          <w:rStyle w:val="Emphasis"/>
          <w:rFonts w:ascii="Cambria" w:hAnsi="Cambria" w:cs="Arial"/>
          <w:i w:val="0"/>
          <w:sz w:val="20"/>
          <w:szCs w:val="20"/>
        </w:rPr>
        <w:t>Cultura</w:t>
      </w:r>
      <w:proofErr w:type="spellEnd"/>
      <w:r w:rsidRPr="00E72405">
        <w:rPr>
          <w:rStyle w:val="Emphasis"/>
          <w:rFonts w:ascii="Cambria" w:hAnsi="Cambria" w:cs="Arial"/>
          <w:i w:val="0"/>
          <w:sz w:val="20"/>
          <w:szCs w:val="20"/>
        </w:rPr>
        <w:t>, to report what happened to the State Secretary at that time, Mr.</w:t>
      </w:r>
      <w:r w:rsidRPr="00E72405">
        <w:rPr>
          <w:rStyle w:val="Emphasis"/>
          <w:rFonts w:ascii="Cambria" w:hAnsi="Cambria" w:cs="Arial"/>
          <w:sz w:val="20"/>
          <w:szCs w:val="20"/>
        </w:rPr>
        <w:t xml:space="preserve">  </w:t>
      </w:r>
      <w:r w:rsidRPr="00E72405">
        <w:rPr>
          <w:rFonts w:ascii="Cambria" w:hAnsi="Cambria"/>
          <w:sz w:val="20"/>
          <w:szCs w:val="20"/>
        </w:rPr>
        <w:t xml:space="preserve">José </w:t>
      </w:r>
      <w:proofErr w:type="spellStart"/>
      <w:r w:rsidRPr="00E72405">
        <w:rPr>
          <w:rFonts w:ascii="Cambria" w:hAnsi="Cambria"/>
          <w:sz w:val="20"/>
          <w:szCs w:val="20"/>
        </w:rPr>
        <w:t>Mindlin</w:t>
      </w:r>
      <w:proofErr w:type="spellEnd"/>
      <w:r w:rsidRPr="00E72405">
        <w:rPr>
          <w:rFonts w:ascii="Cambria" w:hAnsi="Cambria"/>
          <w:sz w:val="20"/>
          <w:szCs w:val="20"/>
        </w:rPr>
        <w:t>. However, Herzog was only received by the advisor to the Secretary.</w:t>
      </w:r>
      <w:r w:rsidRPr="00E72405">
        <w:rPr>
          <w:rStyle w:val="FootnoteReference"/>
          <w:rFonts w:ascii="Cambria" w:hAnsi="Cambria"/>
          <w:sz w:val="20"/>
          <w:szCs w:val="20"/>
        </w:rPr>
        <w:footnoteReference w:id="66"/>
      </w:r>
      <w:r w:rsidRPr="00E72405">
        <w:rPr>
          <w:rFonts w:ascii="Cambria" w:hAnsi="Cambria"/>
          <w:sz w:val="20"/>
          <w:szCs w:val="20"/>
        </w:rPr>
        <w:t xml:space="preserve"> </w:t>
      </w:r>
    </w:p>
    <w:p w:rsidR="007F35B9" w:rsidRPr="00E72405" w:rsidRDefault="007F35B9" w:rsidP="007F35B9">
      <w:pPr>
        <w:spacing w:after="0" w:line="240" w:lineRule="auto"/>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On the night of October 24, 1975, two persons in civilian dress came to Vladimir Herzog’s home and told Clarice Herzog that they were looking for her husband to report some news.  Clarice Herzog told them that her husband was at </w:t>
      </w:r>
      <w:r w:rsidRPr="00E72405">
        <w:rPr>
          <w:rFonts w:ascii="Cambria" w:hAnsi="Cambria"/>
          <w:i/>
          <w:sz w:val="20"/>
          <w:szCs w:val="20"/>
        </w:rPr>
        <w:t xml:space="preserve">TV </w:t>
      </w:r>
      <w:proofErr w:type="spellStart"/>
      <w:r w:rsidRPr="00E72405">
        <w:rPr>
          <w:rFonts w:ascii="Cambria" w:hAnsi="Cambria"/>
          <w:i/>
          <w:sz w:val="20"/>
          <w:szCs w:val="20"/>
        </w:rPr>
        <w:t>Cultura</w:t>
      </w:r>
      <w:proofErr w:type="spellEnd"/>
      <w:r w:rsidRPr="00E72405">
        <w:rPr>
          <w:rFonts w:ascii="Cambria" w:hAnsi="Cambria"/>
          <w:i/>
          <w:sz w:val="20"/>
          <w:szCs w:val="20"/>
        </w:rPr>
        <w:t xml:space="preserve">, </w:t>
      </w:r>
      <w:r w:rsidRPr="00E72405">
        <w:rPr>
          <w:rFonts w:ascii="Cambria" w:hAnsi="Cambria"/>
          <w:sz w:val="20"/>
          <w:szCs w:val="20"/>
        </w:rPr>
        <w:t>and they could find him there.  She also alerted her husband to what had happened.</w:t>
      </w:r>
      <w:r w:rsidRPr="00E72405">
        <w:rPr>
          <w:rStyle w:val="FootnoteReference"/>
          <w:rFonts w:ascii="Cambria" w:hAnsi="Cambria"/>
          <w:sz w:val="20"/>
          <w:szCs w:val="20"/>
        </w:rPr>
        <w:footnoteReference w:id="67"/>
      </w:r>
      <w:r w:rsidRPr="00E72405">
        <w:rPr>
          <w:rFonts w:ascii="Cambria" w:hAnsi="Cambria"/>
          <w:sz w:val="20"/>
          <w:szCs w:val="20"/>
        </w:rPr>
        <w:t xml:space="preserve"> That same night, two agents from the DOI/CODI/SP went to the </w:t>
      </w:r>
      <w:r w:rsidRPr="00E72405">
        <w:rPr>
          <w:rFonts w:ascii="Cambria" w:hAnsi="Cambria"/>
          <w:i/>
          <w:sz w:val="20"/>
          <w:szCs w:val="20"/>
        </w:rPr>
        <w:t xml:space="preserve">TV </w:t>
      </w:r>
      <w:proofErr w:type="spellStart"/>
      <w:r w:rsidRPr="00E72405">
        <w:rPr>
          <w:rFonts w:ascii="Cambria" w:hAnsi="Cambria"/>
          <w:i/>
          <w:sz w:val="20"/>
          <w:szCs w:val="20"/>
        </w:rPr>
        <w:t>Cultura</w:t>
      </w:r>
      <w:proofErr w:type="spellEnd"/>
      <w:r w:rsidRPr="00E72405">
        <w:rPr>
          <w:rFonts w:ascii="Cambria" w:hAnsi="Cambria"/>
          <w:sz w:val="20"/>
          <w:szCs w:val="20"/>
        </w:rPr>
        <w:t xml:space="preserve"> television station where they asked Herzog to accompany them to the detachment where he was to give testimony</w:t>
      </w:r>
      <w:r w:rsidRPr="00E72405">
        <w:rPr>
          <w:rStyle w:val="FootnoteReference"/>
          <w:rFonts w:ascii="Cambria" w:hAnsi="Cambria" w:cs="Arial"/>
          <w:bCs/>
          <w:sz w:val="20"/>
          <w:szCs w:val="20"/>
        </w:rPr>
        <w:footnoteReference w:id="68"/>
      </w:r>
      <w:r w:rsidRPr="00E72405">
        <w:rPr>
          <w:rStyle w:val="Emphasis"/>
          <w:rFonts w:ascii="Cambria" w:hAnsi="Cambria" w:cs="Arial"/>
          <w:i w:val="0"/>
          <w:sz w:val="20"/>
          <w:szCs w:val="20"/>
        </w:rPr>
        <w:t xml:space="preserve"> </w:t>
      </w:r>
      <w:r w:rsidRPr="00E72405">
        <w:rPr>
          <w:rStyle w:val="Emphasis"/>
          <w:rFonts w:ascii="Cambria" w:hAnsi="Cambria" w:cs="Arial"/>
          <w:i w:val="0"/>
          <w:sz w:val="20"/>
          <w:szCs w:val="20"/>
        </w:rPr>
        <w:lastRenderedPageBreak/>
        <w:t>“[o]n suspicion of belonging to and orchestrating contacts with members of the PCB.”</w:t>
      </w:r>
      <w:r w:rsidRPr="00E72405">
        <w:rPr>
          <w:rStyle w:val="FootnoteReference"/>
          <w:rFonts w:ascii="Cambria" w:hAnsi="Cambria" w:cs="Arial"/>
          <w:bCs/>
          <w:sz w:val="20"/>
          <w:szCs w:val="20"/>
        </w:rPr>
        <w:footnoteReference w:id="69"/>
      </w:r>
      <w:r w:rsidRPr="00E72405">
        <w:rPr>
          <w:rStyle w:val="Emphasis"/>
          <w:rFonts w:ascii="Cambria" w:hAnsi="Cambria" w:cs="Arial"/>
          <w:i w:val="0"/>
          <w:sz w:val="20"/>
          <w:szCs w:val="20"/>
        </w:rPr>
        <w:t xml:space="preserve">  The directors of the television station told the agents that Vladimir Herzog’s presence was essential on the program being aired.  After receiving instructions from Colonel </w:t>
      </w:r>
      <w:proofErr w:type="spellStart"/>
      <w:r w:rsidRPr="00E72405">
        <w:rPr>
          <w:rStyle w:val="Emphasis"/>
          <w:rFonts w:ascii="Cambria" w:hAnsi="Cambria" w:cs="Arial"/>
          <w:i w:val="0"/>
          <w:sz w:val="20"/>
          <w:szCs w:val="20"/>
        </w:rPr>
        <w:t>Audir</w:t>
      </w:r>
      <w:proofErr w:type="spellEnd"/>
      <w:r w:rsidRPr="00E72405">
        <w:rPr>
          <w:rStyle w:val="Emphasis"/>
          <w:rFonts w:ascii="Cambria" w:hAnsi="Cambria" w:cs="Arial"/>
          <w:i w:val="0"/>
          <w:sz w:val="20"/>
          <w:szCs w:val="20"/>
        </w:rPr>
        <w:t xml:space="preserve"> Santos </w:t>
      </w:r>
      <w:proofErr w:type="spellStart"/>
      <w:r w:rsidRPr="00E72405">
        <w:rPr>
          <w:rStyle w:val="Emphasis"/>
          <w:rFonts w:ascii="Cambria" w:hAnsi="Cambria" w:cs="Arial"/>
          <w:i w:val="0"/>
          <w:sz w:val="20"/>
          <w:szCs w:val="20"/>
        </w:rPr>
        <w:t>Maciel</w:t>
      </w:r>
      <w:proofErr w:type="spellEnd"/>
      <w:r w:rsidRPr="00E72405">
        <w:rPr>
          <w:rStyle w:val="Emphasis"/>
          <w:rFonts w:ascii="Cambria" w:hAnsi="Cambria" w:cs="Arial"/>
          <w:i w:val="0"/>
          <w:sz w:val="20"/>
          <w:szCs w:val="20"/>
        </w:rPr>
        <w:t>, it was agreed that the journalist would report “voluntarily” to the DOI/CODI/SP the following morning.</w:t>
      </w:r>
      <w:r w:rsidRPr="00E72405">
        <w:rPr>
          <w:rStyle w:val="FootnoteReference"/>
          <w:rFonts w:ascii="Cambria" w:hAnsi="Cambria" w:cs="Arial"/>
          <w:bCs/>
          <w:sz w:val="20"/>
          <w:szCs w:val="20"/>
        </w:rPr>
        <w:footnoteReference w:id="70"/>
      </w:r>
    </w:p>
    <w:p w:rsidR="007F35B9" w:rsidRPr="00E72405" w:rsidRDefault="007F35B9" w:rsidP="007F35B9">
      <w:pPr>
        <w:spacing w:after="0" w:line="240" w:lineRule="auto"/>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 xml:space="preserve">At 8:00 am on October 25, Vladimir Herzog reported to the DOI/CODI/SP in the company of journalist Paulo Pereira </w:t>
      </w:r>
      <w:proofErr w:type="spellStart"/>
      <w:r w:rsidRPr="00E72405">
        <w:rPr>
          <w:rStyle w:val="Emphasis"/>
          <w:rFonts w:ascii="Cambria" w:hAnsi="Cambria"/>
          <w:i w:val="0"/>
          <w:sz w:val="20"/>
          <w:szCs w:val="20"/>
        </w:rPr>
        <w:t>Nunes</w:t>
      </w:r>
      <w:proofErr w:type="spellEnd"/>
      <w:r w:rsidRPr="00E72405">
        <w:rPr>
          <w:rStyle w:val="Emphasis"/>
          <w:rFonts w:ascii="Cambria" w:hAnsi="Cambria"/>
          <w:i w:val="0"/>
          <w:sz w:val="20"/>
          <w:szCs w:val="20"/>
        </w:rPr>
        <w:t>.</w:t>
      </w:r>
      <w:r w:rsidRPr="00E72405">
        <w:rPr>
          <w:rStyle w:val="FootnoteReference"/>
          <w:rFonts w:ascii="Cambria" w:hAnsi="Cambria"/>
          <w:sz w:val="20"/>
          <w:szCs w:val="20"/>
        </w:rPr>
        <w:footnoteReference w:id="71"/>
      </w:r>
      <w:r w:rsidR="00490D5A" w:rsidRPr="00E72405">
        <w:rPr>
          <w:rStyle w:val="Emphasis"/>
          <w:rFonts w:ascii="Cambria" w:hAnsi="Cambria"/>
          <w:i w:val="0"/>
          <w:sz w:val="20"/>
          <w:szCs w:val="20"/>
        </w:rPr>
        <w:t xml:space="preserve"> </w:t>
      </w:r>
      <w:r w:rsidRPr="00E72405">
        <w:rPr>
          <w:rStyle w:val="Emphasis"/>
          <w:rFonts w:ascii="Cambria" w:hAnsi="Cambria"/>
          <w:i w:val="0"/>
          <w:sz w:val="20"/>
          <w:szCs w:val="20"/>
        </w:rPr>
        <w:t xml:space="preserve">Upon arrival they were received by a soldier who, after checking their identification documents and speaking with someone by intercom, told Herzog that he was to stay and Pereira </w:t>
      </w:r>
      <w:proofErr w:type="spellStart"/>
      <w:r w:rsidRPr="00E72405">
        <w:rPr>
          <w:rStyle w:val="Emphasis"/>
          <w:rFonts w:ascii="Cambria" w:hAnsi="Cambria"/>
          <w:i w:val="0"/>
          <w:sz w:val="20"/>
          <w:szCs w:val="20"/>
        </w:rPr>
        <w:t>Nunes</w:t>
      </w:r>
      <w:proofErr w:type="spellEnd"/>
      <w:r w:rsidRPr="00E72405">
        <w:rPr>
          <w:rStyle w:val="Emphasis"/>
          <w:rFonts w:ascii="Cambria" w:hAnsi="Cambria"/>
          <w:i w:val="0"/>
          <w:sz w:val="20"/>
          <w:szCs w:val="20"/>
        </w:rPr>
        <w:t xml:space="preserve"> was to go.</w:t>
      </w:r>
      <w:r w:rsidRPr="00E72405">
        <w:rPr>
          <w:rStyle w:val="FootnoteReference"/>
          <w:rFonts w:ascii="Cambria" w:hAnsi="Cambria"/>
          <w:sz w:val="20"/>
          <w:szCs w:val="20"/>
          <w:lang w:val="es-ES_tradnl"/>
        </w:rPr>
        <w:footnoteReference w:id="72"/>
      </w:r>
      <w:r w:rsidRPr="00E72405">
        <w:rPr>
          <w:rStyle w:val="Emphasis"/>
          <w:rFonts w:ascii="Cambria" w:hAnsi="Cambria"/>
          <w:sz w:val="20"/>
          <w:szCs w:val="20"/>
        </w:rPr>
        <w:t xml:space="preserve"> </w:t>
      </w:r>
    </w:p>
    <w:p w:rsidR="007F35B9" w:rsidRPr="00E72405" w:rsidRDefault="007F35B9" w:rsidP="007F35B9">
      <w:pPr>
        <w:spacing w:after="0" w:line="240" w:lineRule="auto"/>
        <w:ind w:left="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Witnesses said that upon arrival at the DOI/CODI/SP they were given a beltless, one-piece suit and shoes, but no laces or socks.</w:t>
      </w:r>
      <w:r w:rsidRPr="00E72405">
        <w:rPr>
          <w:rStyle w:val="FootnoteReference"/>
          <w:rFonts w:ascii="Cambria" w:hAnsi="Cambria"/>
          <w:sz w:val="20"/>
          <w:szCs w:val="20"/>
        </w:rPr>
        <w:footnoteReference w:id="73"/>
      </w:r>
      <w:r w:rsidRPr="00E72405">
        <w:rPr>
          <w:rStyle w:val="Emphasis"/>
          <w:rFonts w:ascii="Cambria" w:hAnsi="Cambria"/>
          <w:i w:val="0"/>
          <w:sz w:val="20"/>
          <w:szCs w:val="20"/>
        </w:rPr>
        <w:t xml:space="preserve">  They also stated that at the entrance, a “black cloth hoo</w:t>
      </w:r>
      <w:r w:rsidR="00490D5A" w:rsidRPr="00E72405">
        <w:rPr>
          <w:rStyle w:val="Emphasis"/>
          <w:rFonts w:ascii="Cambria" w:hAnsi="Cambria"/>
          <w:i w:val="0"/>
          <w:sz w:val="20"/>
          <w:szCs w:val="20"/>
        </w:rPr>
        <w:t>d” was placed over their heads.</w:t>
      </w:r>
      <w:r w:rsidRPr="00E72405">
        <w:rPr>
          <w:rStyle w:val="FootnoteReference"/>
          <w:rFonts w:ascii="Cambria" w:hAnsi="Cambria"/>
          <w:sz w:val="20"/>
          <w:szCs w:val="20"/>
        </w:rPr>
        <w:footnoteReference w:id="74"/>
      </w:r>
      <w:r w:rsidR="00490D5A" w:rsidRPr="00E72405">
        <w:rPr>
          <w:rStyle w:val="Emphasis"/>
          <w:rFonts w:ascii="Cambria" w:hAnsi="Cambria"/>
          <w:sz w:val="20"/>
          <w:szCs w:val="20"/>
        </w:rPr>
        <w:t xml:space="preserve"> </w:t>
      </w:r>
      <w:r w:rsidRPr="00E72405">
        <w:rPr>
          <w:rStyle w:val="Emphasis"/>
          <w:rFonts w:ascii="Cambria" w:hAnsi="Cambria"/>
          <w:i w:val="0"/>
          <w:sz w:val="20"/>
          <w:szCs w:val="20"/>
        </w:rPr>
        <w:t xml:space="preserve">According to witnesses Rodolfo Osvaldo </w:t>
      </w:r>
      <w:proofErr w:type="spellStart"/>
      <w:r w:rsidRPr="00E72405">
        <w:rPr>
          <w:rStyle w:val="Emphasis"/>
          <w:rFonts w:ascii="Cambria" w:hAnsi="Cambria"/>
          <w:i w:val="0"/>
          <w:sz w:val="20"/>
          <w:szCs w:val="20"/>
        </w:rPr>
        <w:t>Konder</w:t>
      </w:r>
      <w:proofErr w:type="spellEnd"/>
      <w:r w:rsidRPr="00E72405">
        <w:rPr>
          <w:rStyle w:val="Emphasis"/>
          <w:rFonts w:ascii="Cambria" w:hAnsi="Cambria"/>
          <w:i w:val="0"/>
          <w:sz w:val="20"/>
          <w:szCs w:val="20"/>
        </w:rPr>
        <w:t xml:space="preserve"> and George </w:t>
      </w:r>
      <w:proofErr w:type="spellStart"/>
      <w:r w:rsidRPr="00E72405">
        <w:rPr>
          <w:rStyle w:val="Emphasis"/>
          <w:rFonts w:ascii="Cambria" w:hAnsi="Cambria"/>
          <w:i w:val="0"/>
          <w:sz w:val="20"/>
          <w:szCs w:val="20"/>
        </w:rPr>
        <w:t>Benigno</w:t>
      </w:r>
      <w:proofErr w:type="spellEnd"/>
      <w:r w:rsidRPr="00E72405">
        <w:rPr>
          <w:rStyle w:val="Emphasis"/>
          <w:rFonts w:ascii="Cambria" w:hAnsi="Cambria"/>
          <w:i w:val="0"/>
          <w:sz w:val="20"/>
          <w:szCs w:val="20"/>
        </w:rPr>
        <w:t xml:space="preserve"> </w:t>
      </w:r>
      <w:proofErr w:type="spellStart"/>
      <w:r w:rsidRPr="00E72405">
        <w:rPr>
          <w:rStyle w:val="Emphasis"/>
          <w:rFonts w:ascii="Cambria" w:hAnsi="Cambria"/>
          <w:i w:val="0"/>
          <w:sz w:val="20"/>
          <w:szCs w:val="20"/>
        </w:rPr>
        <w:t>Jathay</w:t>
      </w:r>
      <w:proofErr w:type="spellEnd"/>
      <w:r w:rsidRPr="00E72405">
        <w:rPr>
          <w:rStyle w:val="Emphasis"/>
          <w:rFonts w:ascii="Cambria" w:hAnsi="Cambria"/>
          <w:i w:val="0"/>
          <w:sz w:val="20"/>
          <w:szCs w:val="20"/>
        </w:rPr>
        <w:t xml:space="preserve"> Duque Estrada, two journalists who were also being held at the DOI/CODI/SP</w:t>
      </w:r>
      <w:r w:rsidR="00AA39C1" w:rsidRPr="00E72405">
        <w:rPr>
          <w:rStyle w:val="Emphasis"/>
          <w:rFonts w:ascii="Cambria" w:hAnsi="Cambria"/>
          <w:i w:val="0"/>
          <w:sz w:val="20"/>
          <w:szCs w:val="20"/>
        </w:rPr>
        <w:t xml:space="preserve"> on October 25, 1975</w:t>
      </w:r>
      <w:r w:rsidRPr="00E72405">
        <w:rPr>
          <w:rStyle w:val="Emphasis"/>
          <w:rFonts w:ascii="Cambria" w:hAnsi="Cambria"/>
          <w:i w:val="0"/>
          <w:sz w:val="20"/>
          <w:szCs w:val="20"/>
        </w:rPr>
        <w:t>, were taken to an interrogation room where Vladimir Herzog was present; the victim was dressed in the same uniform, without a belt and with a black-cloth hood over his head.</w:t>
      </w:r>
      <w:r w:rsidRPr="00E72405">
        <w:rPr>
          <w:rStyle w:val="FootnoteReference"/>
          <w:rFonts w:ascii="Cambria" w:hAnsi="Cambria"/>
          <w:sz w:val="20"/>
          <w:szCs w:val="20"/>
        </w:rPr>
        <w:footnoteReference w:id="75"/>
      </w:r>
      <w:r w:rsidR="00490D5A" w:rsidRPr="00E72405">
        <w:rPr>
          <w:rStyle w:val="Emphasis"/>
          <w:rFonts w:ascii="Cambria" w:hAnsi="Cambria"/>
          <w:sz w:val="20"/>
          <w:szCs w:val="20"/>
        </w:rPr>
        <w:t xml:space="preserve"> </w:t>
      </w:r>
      <w:r w:rsidRPr="00E72405">
        <w:rPr>
          <w:rStyle w:val="Emphasis"/>
          <w:rFonts w:ascii="Cambria" w:hAnsi="Cambria"/>
          <w:i w:val="0"/>
          <w:sz w:val="20"/>
          <w:szCs w:val="20"/>
        </w:rPr>
        <w:t>According to the witnesses, they were able to identify Herzog and his investigator because, when they entered the interrogation room they were ordered to remove the hoods.</w:t>
      </w:r>
      <w:r w:rsidRPr="00E72405">
        <w:rPr>
          <w:rStyle w:val="FootnoteReference"/>
          <w:rFonts w:ascii="Cambria" w:hAnsi="Cambria"/>
          <w:sz w:val="20"/>
          <w:szCs w:val="20"/>
        </w:rPr>
        <w:footnoteReference w:id="76"/>
      </w:r>
      <w:r w:rsidR="00490D5A" w:rsidRPr="00E72405">
        <w:rPr>
          <w:rStyle w:val="Emphasis"/>
          <w:rFonts w:ascii="Cambria" w:hAnsi="Cambria"/>
          <w:i w:val="0"/>
          <w:sz w:val="20"/>
          <w:szCs w:val="20"/>
        </w:rPr>
        <w:t xml:space="preserve"> </w:t>
      </w:r>
      <w:r w:rsidR="001223D6" w:rsidRPr="00E72405">
        <w:rPr>
          <w:rStyle w:val="Emphasis"/>
          <w:rFonts w:ascii="Cambria" w:hAnsi="Cambria"/>
          <w:i w:val="0"/>
          <w:sz w:val="20"/>
          <w:szCs w:val="20"/>
        </w:rPr>
        <w:t>In the internal process it was</w:t>
      </w:r>
      <w:r w:rsidR="00AA39C1" w:rsidRPr="00E72405">
        <w:rPr>
          <w:rStyle w:val="Emphasis"/>
          <w:rFonts w:ascii="Cambria" w:hAnsi="Cambria"/>
          <w:i w:val="0"/>
          <w:sz w:val="20"/>
          <w:szCs w:val="20"/>
        </w:rPr>
        <w:t xml:space="preserve"> </w:t>
      </w:r>
      <w:r w:rsidR="004958D2" w:rsidRPr="00E72405">
        <w:rPr>
          <w:rStyle w:val="Emphasis"/>
          <w:rFonts w:ascii="Cambria" w:hAnsi="Cambria"/>
          <w:i w:val="0"/>
          <w:sz w:val="20"/>
          <w:szCs w:val="20"/>
        </w:rPr>
        <w:t>established</w:t>
      </w:r>
      <w:r w:rsidR="00AA39C1" w:rsidRPr="00E72405">
        <w:rPr>
          <w:rStyle w:val="Emphasis"/>
          <w:rFonts w:ascii="Cambria" w:hAnsi="Cambria"/>
          <w:i w:val="0"/>
          <w:sz w:val="20"/>
          <w:szCs w:val="20"/>
        </w:rPr>
        <w:t xml:space="preserve"> that </w:t>
      </w:r>
      <w:r w:rsidR="001223D6" w:rsidRPr="00E72405">
        <w:rPr>
          <w:rStyle w:val="Emphasis"/>
          <w:rFonts w:ascii="Cambria" w:hAnsi="Cambria"/>
          <w:i w:val="0"/>
          <w:sz w:val="20"/>
          <w:szCs w:val="20"/>
        </w:rPr>
        <w:t>t</w:t>
      </w:r>
      <w:r w:rsidRPr="00E72405">
        <w:rPr>
          <w:rStyle w:val="Emphasis"/>
          <w:rFonts w:ascii="Cambria" w:hAnsi="Cambria"/>
          <w:i w:val="0"/>
          <w:sz w:val="20"/>
          <w:szCs w:val="20"/>
        </w:rPr>
        <w:t xml:space="preserve">he police investigator assigned to Herzog was Pedro Antonio Mira </w:t>
      </w:r>
      <w:proofErr w:type="spellStart"/>
      <w:r w:rsidRPr="00E72405">
        <w:rPr>
          <w:rStyle w:val="Emphasis"/>
          <w:rFonts w:ascii="Cambria" w:hAnsi="Cambria"/>
          <w:i w:val="0"/>
          <w:sz w:val="20"/>
          <w:szCs w:val="20"/>
        </w:rPr>
        <w:t>Grancieri</w:t>
      </w:r>
      <w:proofErr w:type="spellEnd"/>
      <w:r w:rsidRPr="00E72405">
        <w:rPr>
          <w:rStyle w:val="Emphasis"/>
          <w:rFonts w:ascii="Cambria" w:hAnsi="Cambria"/>
          <w:i w:val="0"/>
          <w:sz w:val="20"/>
          <w:szCs w:val="20"/>
        </w:rPr>
        <w:t>, who in August 1986 was named Chief of Police at a S</w:t>
      </w:r>
      <w:r w:rsidRPr="00E72405">
        <w:rPr>
          <w:rFonts w:ascii="Cambria" w:hAnsi="Cambria"/>
          <w:sz w:val="20"/>
          <w:szCs w:val="20"/>
        </w:rPr>
        <w:t>ão</w:t>
      </w:r>
      <w:r w:rsidRPr="00E72405">
        <w:rPr>
          <w:rStyle w:val="Emphasis"/>
          <w:rFonts w:ascii="Cambria" w:hAnsi="Cambria"/>
          <w:sz w:val="20"/>
          <w:szCs w:val="20"/>
        </w:rPr>
        <w:t xml:space="preserve"> </w:t>
      </w:r>
      <w:r w:rsidRPr="00E72405">
        <w:rPr>
          <w:rStyle w:val="Emphasis"/>
          <w:rFonts w:ascii="Cambria" w:hAnsi="Cambria"/>
          <w:i w:val="0"/>
          <w:sz w:val="20"/>
          <w:szCs w:val="20"/>
        </w:rPr>
        <w:t>Paulo police station.</w:t>
      </w:r>
      <w:r w:rsidRPr="00E72405">
        <w:rPr>
          <w:rStyle w:val="FootnoteReference"/>
          <w:rFonts w:ascii="Cambria" w:hAnsi="Cambria"/>
          <w:i/>
          <w:sz w:val="20"/>
          <w:szCs w:val="20"/>
        </w:rPr>
        <w:footnoteReference w:id="77"/>
      </w:r>
      <w:r w:rsidRPr="00E72405">
        <w:rPr>
          <w:rStyle w:val="Emphasis"/>
          <w:rFonts w:ascii="Cambria" w:hAnsi="Cambria"/>
          <w:i w:val="0"/>
          <w:sz w:val="20"/>
          <w:szCs w:val="20"/>
        </w:rPr>
        <w:t xml:space="preserve"> </w:t>
      </w:r>
    </w:p>
    <w:p w:rsidR="007F35B9" w:rsidRPr="00E72405" w:rsidRDefault="007F35B9" w:rsidP="007F35B9">
      <w:pPr>
        <w:spacing w:after="0" w:line="240" w:lineRule="auto"/>
        <w:ind w:left="720"/>
        <w:jc w:val="both"/>
        <w:rPr>
          <w:rStyle w:val="Emphasis"/>
          <w:b/>
          <w:bCs/>
          <w:sz w:val="20"/>
          <w:szCs w:val="20"/>
        </w:rPr>
      </w:pPr>
    </w:p>
    <w:p w:rsidR="007F35B9" w:rsidRPr="00E72405" w:rsidRDefault="001223D6"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 xml:space="preserve">In this October 25, </w:t>
      </w:r>
      <w:r w:rsidR="007F35B9" w:rsidRPr="00E72405">
        <w:rPr>
          <w:rStyle w:val="Emphasis"/>
          <w:rFonts w:ascii="Cambria" w:hAnsi="Cambria"/>
          <w:i w:val="0"/>
          <w:sz w:val="20"/>
          <w:szCs w:val="20"/>
        </w:rPr>
        <w:t xml:space="preserve">Mira </w:t>
      </w:r>
      <w:proofErr w:type="spellStart"/>
      <w:r w:rsidR="007F35B9" w:rsidRPr="00E72405">
        <w:rPr>
          <w:rStyle w:val="Emphasis"/>
          <w:rFonts w:ascii="Cambria" w:hAnsi="Cambria"/>
          <w:i w:val="0"/>
          <w:sz w:val="20"/>
          <w:szCs w:val="20"/>
        </w:rPr>
        <w:t>Grancieri</w:t>
      </w:r>
      <w:proofErr w:type="spellEnd"/>
      <w:r w:rsidR="007F35B9" w:rsidRPr="00E72405">
        <w:rPr>
          <w:rStyle w:val="Emphasis"/>
          <w:rFonts w:ascii="Cambria" w:hAnsi="Cambria"/>
          <w:i w:val="0"/>
          <w:sz w:val="20"/>
          <w:szCs w:val="20"/>
        </w:rPr>
        <w:t xml:space="preserve"> summoned </w:t>
      </w:r>
      <w:proofErr w:type="spellStart"/>
      <w:r w:rsidR="007F35B9" w:rsidRPr="00E72405">
        <w:rPr>
          <w:rStyle w:val="Emphasis"/>
          <w:rFonts w:ascii="Cambria" w:hAnsi="Cambria"/>
          <w:i w:val="0"/>
          <w:sz w:val="20"/>
          <w:szCs w:val="20"/>
        </w:rPr>
        <w:t>Konder</w:t>
      </w:r>
      <w:proofErr w:type="spellEnd"/>
      <w:r w:rsidR="007F35B9" w:rsidRPr="00E72405">
        <w:rPr>
          <w:rStyle w:val="Emphasis"/>
          <w:rFonts w:ascii="Cambria" w:hAnsi="Cambria"/>
          <w:i w:val="0"/>
          <w:sz w:val="20"/>
          <w:szCs w:val="20"/>
        </w:rPr>
        <w:t xml:space="preserve"> and Duque Estrada to confirm Herzog’s identity.  He was sitting on a</w:t>
      </w:r>
      <w:r w:rsidR="00981477" w:rsidRPr="00E72405">
        <w:rPr>
          <w:rStyle w:val="Emphasis"/>
          <w:rFonts w:ascii="Cambria" w:hAnsi="Cambria"/>
          <w:i w:val="0"/>
          <w:sz w:val="20"/>
          <w:szCs w:val="20"/>
        </w:rPr>
        <w:t>n</w:t>
      </w:r>
      <w:r w:rsidR="007F35B9" w:rsidRPr="00E72405">
        <w:rPr>
          <w:rStyle w:val="Emphasis"/>
          <w:rFonts w:ascii="Cambria" w:hAnsi="Cambria"/>
          <w:i w:val="0"/>
          <w:sz w:val="20"/>
          <w:szCs w:val="20"/>
        </w:rPr>
        <w:t xml:space="preserve"> </w:t>
      </w:r>
      <w:r w:rsidRPr="00E72405">
        <w:rPr>
          <w:rStyle w:val="Emphasis"/>
          <w:rFonts w:ascii="Cambria" w:hAnsi="Cambria"/>
          <w:i w:val="0"/>
          <w:sz w:val="20"/>
          <w:szCs w:val="20"/>
        </w:rPr>
        <w:t xml:space="preserve">electric shock </w:t>
      </w:r>
      <w:r w:rsidR="007F35B9" w:rsidRPr="00E72405">
        <w:rPr>
          <w:rStyle w:val="Emphasis"/>
          <w:rFonts w:ascii="Cambria" w:hAnsi="Cambria"/>
          <w:i w:val="0"/>
          <w:sz w:val="20"/>
          <w:szCs w:val="20"/>
        </w:rPr>
        <w:t>seat referred to as the “dragon’s throne”</w:t>
      </w:r>
      <w:r w:rsidR="007F35B9" w:rsidRPr="00E72405">
        <w:rPr>
          <w:rStyle w:val="FootnoteReference"/>
          <w:rFonts w:ascii="Cambria" w:hAnsi="Cambria"/>
          <w:sz w:val="20"/>
          <w:szCs w:val="20"/>
        </w:rPr>
        <w:footnoteReference w:id="78"/>
      </w:r>
      <w:r w:rsidR="007F35B9" w:rsidRPr="00E72405">
        <w:rPr>
          <w:rStyle w:val="Emphasis"/>
          <w:rFonts w:ascii="Cambria" w:hAnsi="Cambria"/>
          <w:sz w:val="20"/>
          <w:szCs w:val="20"/>
        </w:rPr>
        <w:t xml:space="preserve"> </w:t>
      </w:r>
      <w:r w:rsidR="007F35B9" w:rsidRPr="00E72405">
        <w:rPr>
          <w:rStyle w:val="Emphasis"/>
          <w:rFonts w:ascii="Cambria" w:hAnsi="Cambria"/>
          <w:i w:val="0"/>
          <w:sz w:val="20"/>
          <w:szCs w:val="20"/>
        </w:rPr>
        <w:t>inside the interrogation room.</w:t>
      </w:r>
      <w:r w:rsidR="007F35B9" w:rsidRPr="00E72405">
        <w:rPr>
          <w:rStyle w:val="FootnoteReference"/>
          <w:rFonts w:ascii="Cambria" w:hAnsi="Cambria"/>
          <w:sz w:val="20"/>
          <w:szCs w:val="20"/>
        </w:rPr>
        <w:footnoteReference w:id="79"/>
      </w:r>
      <w:r w:rsidR="00490D5A" w:rsidRPr="00E72405">
        <w:rPr>
          <w:rStyle w:val="Emphasis"/>
          <w:rFonts w:ascii="Cambria" w:hAnsi="Cambria"/>
          <w:i w:val="0"/>
          <w:sz w:val="20"/>
          <w:szCs w:val="20"/>
        </w:rPr>
        <w:t xml:space="preserve"> </w:t>
      </w:r>
      <w:r w:rsidR="007F35B9" w:rsidRPr="00E72405">
        <w:rPr>
          <w:rStyle w:val="Emphasis"/>
          <w:rFonts w:ascii="Cambria" w:hAnsi="Cambria"/>
          <w:i w:val="0"/>
          <w:sz w:val="20"/>
          <w:szCs w:val="20"/>
        </w:rPr>
        <w:t xml:space="preserve">Both were coerced into advising Vladimir Herzog that it was “useless to hide </w:t>
      </w:r>
      <w:r w:rsidR="007F35B9" w:rsidRPr="00E72405">
        <w:rPr>
          <w:rStyle w:val="Emphasis"/>
          <w:rFonts w:ascii="Cambria" w:hAnsi="Cambria"/>
          <w:i w:val="0"/>
          <w:sz w:val="20"/>
          <w:szCs w:val="20"/>
        </w:rPr>
        <w:lastRenderedPageBreak/>
        <w:t>information”</w:t>
      </w:r>
      <w:r w:rsidR="007F35B9" w:rsidRPr="00E72405">
        <w:rPr>
          <w:rStyle w:val="FootnoteReference"/>
          <w:rFonts w:ascii="Cambria" w:hAnsi="Cambria"/>
          <w:sz w:val="20"/>
          <w:szCs w:val="20"/>
        </w:rPr>
        <w:footnoteReference w:id="80"/>
      </w:r>
      <w:r w:rsidR="007F35B9" w:rsidRPr="00E72405">
        <w:rPr>
          <w:rStyle w:val="Emphasis"/>
          <w:rFonts w:ascii="Cambria" w:hAnsi="Cambria"/>
          <w:i w:val="0"/>
          <w:sz w:val="20"/>
          <w:szCs w:val="20"/>
        </w:rPr>
        <w:t xml:space="preserve"> and to “tell what you know because the information that the interrogators were after (…) had already been supplied by persons detained before” them.</w:t>
      </w:r>
      <w:r w:rsidR="007F35B9" w:rsidRPr="00E72405">
        <w:rPr>
          <w:rStyle w:val="FootnoteReference"/>
          <w:rFonts w:ascii="Cambria" w:hAnsi="Cambria"/>
          <w:sz w:val="20"/>
          <w:szCs w:val="20"/>
        </w:rPr>
        <w:footnoteReference w:id="81"/>
      </w:r>
      <w:r w:rsidR="007F35B9" w:rsidRPr="00E72405">
        <w:rPr>
          <w:rStyle w:val="Emphasis"/>
          <w:rFonts w:ascii="Cambria" w:hAnsi="Cambria"/>
          <w:sz w:val="20"/>
          <w:szCs w:val="20"/>
        </w:rPr>
        <w:t xml:space="preserve"> </w:t>
      </w:r>
      <w:r w:rsidR="007F35B9" w:rsidRPr="00E72405">
        <w:rPr>
          <w:rStyle w:val="Emphasis"/>
          <w:rFonts w:ascii="Cambria" w:hAnsi="Cambria"/>
          <w:i w:val="0"/>
          <w:sz w:val="20"/>
          <w:szCs w:val="20"/>
        </w:rPr>
        <w:t>Nevertheless, Herzog insisted that “he didn’t know anything.”</w:t>
      </w:r>
      <w:r w:rsidR="007F35B9" w:rsidRPr="00E72405">
        <w:rPr>
          <w:rStyle w:val="FootnoteReference"/>
          <w:rFonts w:ascii="Cambria" w:hAnsi="Cambria"/>
          <w:sz w:val="20"/>
          <w:szCs w:val="20"/>
        </w:rPr>
        <w:footnoteReference w:id="82"/>
      </w:r>
      <w:r w:rsidR="00AA39C1" w:rsidRPr="00E72405">
        <w:rPr>
          <w:rStyle w:val="Emphasis"/>
          <w:rFonts w:ascii="Cambria" w:hAnsi="Cambria"/>
          <w:i w:val="0"/>
          <w:sz w:val="20"/>
          <w:szCs w:val="20"/>
        </w:rPr>
        <w:t xml:space="preserve"> </w:t>
      </w:r>
      <w:proofErr w:type="spellStart"/>
      <w:r w:rsidR="007F35B9" w:rsidRPr="00E72405">
        <w:rPr>
          <w:rStyle w:val="Emphasis"/>
          <w:rFonts w:ascii="Cambria" w:hAnsi="Cambria"/>
          <w:i w:val="0"/>
          <w:sz w:val="20"/>
          <w:szCs w:val="20"/>
        </w:rPr>
        <w:t>Konder</w:t>
      </w:r>
      <w:proofErr w:type="spellEnd"/>
      <w:r w:rsidR="007F35B9" w:rsidRPr="00E72405">
        <w:rPr>
          <w:rStyle w:val="Emphasis"/>
          <w:rFonts w:ascii="Cambria" w:hAnsi="Cambria"/>
          <w:i w:val="0"/>
          <w:sz w:val="20"/>
          <w:szCs w:val="20"/>
        </w:rPr>
        <w:t xml:space="preserve"> and Duque Estrada were removed from the cell and taken to an adjoining room, where they could hear the journalist’s screams and Mira </w:t>
      </w:r>
      <w:proofErr w:type="spellStart"/>
      <w:r w:rsidR="007F35B9" w:rsidRPr="00E72405">
        <w:rPr>
          <w:rStyle w:val="Emphasis"/>
          <w:rFonts w:ascii="Cambria" w:hAnsi="Cambria"/>
          <w:i w:val="0"/>
          <w:sz w:val="20"/>
          <w:szCs w:val="20"/>
        </w:rPr>
        <w:t>Grancieri</w:t>
      </w:r>
      <w:proofErr w:type="spellEnd"/>
      <w:r w:rsidR="007F35B9" w:rsidRPr="00E72405">
        <w:rPr>
          <w:rStyle w:val="Emphasis"/>
          <w:rFonts w:ascii="Cambria" w:hAnsi="Cambria"/>
          <w:i w:val="0"/>
          <w:sz w:val="20"/>
          <w:szCs w:val="20"/>
        </w:rPr>
        <w:t xml:space="preserve"> yelling: “Vladimir Herzog has to acknowledge his involvement in one of the cells of the Brazilian Communist Party.”</w:t>
      </w:r>
      <w:r w:rsidR="007F35B9" w:rsidRPr="00E72405">
        <w:rPr>
          <w:rStyle w:val="FootnoteReference"/>
          <w:rFonts w:ascii="Cambria" w:hAnsi="Cambria"/>
          <w:sz w:val="20"/>
          <w:szCs w:val="20"/>
        </w:rPr>
        <w:footnoteReference w:id="83"/>
      </w:r>
    </w:p>
    <w:p w:rsidR="007F35B9" w:rsidRPr="00E72405" w:rsidRDefault="007F35B9" w:rsidP="007F35B9">
      <w:pPr>
        <w:spacing w:after="0" w:line="240" w:lineRule="auto"/>
        <w:ind w:left="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 xml:space="preserve">Rodolfo Osvaldo </w:t>
      </w:r>
      <w:proofErr w:type="spellStart"/>
      <w:r w:rsidRPr="00E72405">
        <w:rPr>
          <w:rStyle w:val="Emphasis"/>
          <w:rFonts w:ascii="Cambria" w:hAnsi="Cambria"/>
          <w:i w:val="0"/>
          <w:sz w:val="20"/>
          <w:szCs w:val="20"/>
        </w:rPr>
        <w:t>Konder</w:t>
      </w:r>
      <w:proofErr w:type="spellEnd"/>
      <w:r w:rsidRPr="00E72405">
        <w:rPr>
          <w:rStyle w:val="Emphasis"/>
          <w:rFonts w:ascii="Cambria" w:hAnsi="Cambria"/>
          <w:i w:val="0"/>
          <w:sz w:val="20"/>
          <w:szCs w:val="20"/>
        </w:rPr>
        <w:t xml:space="preserve"> testified that “from there [they were able] to hear the screams clearly, first that of the interrogator and then the screams of Vladimir; [they also] heard when the interrogator asked for the “electric prod” [</w:t>
      </w:r>
      <w:proofErr w:type="spellStart"/>
      <w:r w:rsidRPr="00E72405">
        <w:rPr>
          <w:rStyle w:val="Emphasis"/>
          <w:rFonts w:ascii="Cambria" w:hAnsi="Cambria"/>
          <w:i w:val="0"/>
          <w:sz w:val="20"/>
          <w:szCs w:val="20"/>
        </w:rPr>
        <w:t>pimentinha</w:t>
      </w:r>
      <w:proofErr w:type="spellEnd"/>
      <w:r w:rsidRPr="00E72405">
        <w:rPr>
          <w:rStyle w:val="Emphasis"/>
          <w:rFonts w:ascii="Cambria" w:hAnsi="Cambria"/>
          <w:i w:val="0"/>
          <w:sz w:val="20"/>
          <w:szCs w:val="20"/>
        </w:rPr>
        <w:t>] and for help from a team of torturers.”</w:t>
      </w:r>
      <w:r w:rsidRPr="00E72405">
        <w:rPr>
          <w:rStyle w:val="FootnoteReference"/>
          <w:rFonts w:ascii="Cambria" w:hAnsi="Cambria"/>
          <w:sz w:val="20"/>
          <w:szCs w:val="20"/>
        </w:rPr>
        <w:footnoteReference w:id="84"/>
      </w:r>
      <w:r w:rsidRPr="00E72405">
        <w:rPr>
          <w:rStyle w:val="Emphasis"/>
          <w:rFonts w:ascii="Cambria" w:hAnsi="Cambria"/>
          <w:i w:val="0"/>
          <w:sz w:val="20"/>
          <w:szCs w:val="20"/>
        </w:rPr>
        <w:t xml:space="preserve"> </w:t>
      </w:r>
      <w:proofErr w:type="spellStart"/>
      <w:r w:rsidRPr="00E72405">
        <w:rPr>
          <w:rStyle w:val="Emphasis"/>
          <w:rFonts w:ascii="Cambria" w:hAnsi="Cambria"/>
          <w:i w:val="0"/>
          <w:sz w:val="20"/>
          <w:szCs w:val="20"/>
        </w:rPr>
        <w:t>Konder</w:t>
      </w:r>
      <w:proofErr w:type="spellEnd"/>
      <w:r w:rsidRPr="00E72405">
        <w:rPr>
          <w:rStyle w:val="Emphasis"/>
          <w:rFonts w:ascii="Cambria" w:hAnsi="Cambria"/>
          <w:i w:val="0"/>
          <w:sz w:val="20"/>
          <w:szCs w:val="20"/>
        </w:rPr>
        <w:t xml:space="preserve"> said that someone turned on a radio so that Herzog’s screams under torture and t</w:t>
      </w:r>
      <w:r w:rsidR="00E721F9" w:rsidRPr="00E72405">
        <w:rPr>
          <w:rStyle w:val="Emphasis"/>
          <w:rFonts w:ascii="Cambria" w:hAnsi="Cambria"/>
          <w:i w:val="0"/>
          <w:sz w:val="20"/>
          <w:szCs w:val="20"/>
        </w:rPr>
        <w:t>he sound of the radio combined.</w:t>
      </w:r>
      <w:r w:rsidRPr="00E72405">
        <w:rPr>
          <w:rStyle w:val="FootnoteReference"/>
          <w:rFonts w:ascii="Cambria" w:hAnsi="Cambria"/>
          <w:sz w:val="20"/>
          <w:szCs w:val="20"/>
        </w:rPr>
        <w:footnoteReference w:id="85"/>
      </w:r>
      <w:r w:rsidR="00E721F9" w:rsidRPr="00E72405">
        <w:rPr>
          <w:rStyle w:val="Emphasis"/>
          <w:rFonts w:ascii="Cambria" w:hAnsi="Cambria"/>
          <w:i w:val="0"/>
          <w:sz w:val="20"/>
          <w:szCs w:val="20"/>
        </w:rPr>
        <w:t xml:space="preserve"> </w:t>
      </w:r>
      <w:r w:rsidRPr="00E72405">
        <w:rPr>
          <w:rStyle w:val="Emphasis"/>
          <w:rFonts w:ascii="Cambria" w:hAnsi="Cambria"/>
          <w:i w:val="0"/>
          <w:sz w:val="20"/>
          <w:szCs w:val="20"/>
        </w:rPr>
        <w:t>He also stated that “at a certain point, Vladimir’s voice changed, as if something had been introduced into his mouth; his voice was muffled, as if someone had put a gag on him.”</w:t>
      </w:r>
      <w:r w:rsidRPr="00E72405">
        <w:rPr>
          <w:rStyle w:val="FootnoteReference"/>
          <w:rFonts w:ascii="Cambria" w:hAnsi="Cambria"/>
          <w:sz w:val="20"/>
          <w:szCs w:val="20"/>
        </w:rPr>
        <w:footnoteReference w:id="86"/>
      </w:r>
      <w:r w:rsidRPr="00E72405">
        <w:rPr>
          <w:rStyle w:val="Emphasis"/>
          <w:rFonts w:ascii="Cambria" w:hAnsi="Cambria"/>
          <w:i w:val="0"/>
          <w:sz w:val="20"/>
          <w:szCs w:val="20"/>
        </w:rPr>
        <w:t xml:space="preserve"> He also stated that thereafter, the screams stopped.</w:t>
      </w:r>
      <w:r w:rsidRPr="00E72405">
        <w:rPr>
          <w:rStyle w:val="FootnoteReference"/>
          <w:rFonts w:ascii="Cambria" w:hAnsi="Cambria"/>
          <w:sz w:val="20"/>
          <w:szCs w:val="20"/>
        </w:rPr>
        <w:footnoteReference w:id="87"/>
      </w:r>
    </w:p>
    <w:p w:rsidR="007F35B9" w:rsidRPr="00E72405" w:rsidRDefault="007F35B9" w:rsidP="007F35B9">
      <w:pPr>
        <w:spacing w:after="0" w:line="240" w:lineRule="auto"/>
        <w:ind w:left="720"/>
        <w:jc w:val="both"/>
        <w:rPr>
          <w:rStyle w:val="Emphasis"/>
          <w:rFonts w:ascii="Cambria" w:hAnsi="Cambria"/>
          <w:b/>
          <w:bCs/>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sz w:val="20"/>
          <w:szCs w:val="20"/>
        </w:rPr>
      </w:pPr>
      <w:r w:rsidRPr="00E72405">
        <w:rPr>
          <w:rFonts w:ascii="Cambria" w:hAnsi="Cambria"/>
          <w:sz w:val="20"/>
          <w:szCs w:val="20"/>
        </w:rPr>
        <w:t>Vladimir Herzog was found dead some hours later, on October 25, 1975.</w:t>
      </w:r>
      <w:r w:rsidRPr="00E72405">
        <w:rPr>
          <w:rStyle w:val="FootnoteReference"/>
          <w:rFonts w:ascii="Cambria" w:hAnsi="Cambria"/>
          <w:sz w:val="20"/>
          <w:szCs w:val="20"/>
        </w:rPr>
        <w:footnoteReference w:id="88"/>
      </w:r>
      <w:r w:rsidR="00E721F9" w:rsidRPr="00E72405">
        <w:rPr>
          <w:rFonts w:ascii="Cambria" w:hAnsi="Cambria"/>
          <w:sz w:val="20"/>
          <w:szCs w:val="20"/>
        </w:rPr>
        <w:t xml:space="preserve"> </w:t>
      </w:r>
      <w:r w:rsidRPr="00E72405">
        <w:rPr>
          <w:rFonts w:ascii="Cambria" w:hAnsi="Cambria"/>
          <w:sz w:val="20"/>
          <w:szCs w:val="20"/>
        </w:rPr>
        <w:t xml:space="preserve">According to the case file, Rodolfo Osvaldo </w:t>
      </w:r>
      <w:proofErr w:type="spellStart"/>
      <w:r w:rsidRPr="00E72405">
        <w:rPr>
          <w:rFonts w:ascii="Cambria" w:hAnsi="Cambria"/>
          <w:sz w:val="20"/>
          <w:szCs w:val="20"/>
        </w:rPr>
        <w:t>Konder</w:t>
      </w:r>
      <w:proofErr w:type="spellEnd"/>
      <w:r w:rsidRPr="00E72405">
        <w:rPr>
          <w:rFonts w:ascii="Cambria" w:hAnsi="Cambria"/>
          <w:sz w:val="20"/>
          <w:szCs w:val="20"/>
        </w:rPr>
        <w:t xml:space="preserve"> was the last witness to see Herzog alive,</w:t>
      </w:r>
      <w:r w:rsidRPr="00E72405">
        <w:rPr>
          <w:rStyle w:val="FootnoteReference"/>
          <w:rFonts w:ascii="Cambria" w:hAnsi="Cambria"/>
          <w:sz w:val="20"/>
          <w:szCs w:val="20"/>
        </w:rPr>
        <w:footnoteReference w:id="89"/>
      </w:r>
      <w:r w:rsidRPr="00E72405">
        <w:rPr>
          <w:rFonts w:ascii="Cambria" w:hAnsi="Cambria"/>
          <w:sz w:val="20"/>
          <w:szCs w:val="20"/>
        </w:rPr>
        <w:t xml:space="preserve"> when he was summoned for a “face-to-face” </w:t>
      </w:r>
      <w:r w:rsidRPr="00E72405">
        <w:rPr>
          <w:rStyle w:val="Emphasis"/>
          <w:rFonts w:ascii="Cambria" w:hAnsi="Cambria"/>
          <w:i w:val="0"/>
          <w:sz w:val="20"/>
          <w:szCs w:val="20"/>
        </w:rPr>
        <w:t>[</w:t>
      </w:r>
      <w:proofErr w:type="spellStart"/>
      <w:r w:rsidRPr="00E72405">
        <w:rPr>
          <w:rFonts w:ascii="Cambria" w:hAnsi="Cambria"/>
          <w:i/>
          <w:sz w:val="20"/>
          <w:szCs w:val="20"/>
        </w:rPr>
        <w:t>acareação</w:t>
      </w:r>
      <w:proofErr w:type="spellEnd"/>
      <w:r w:rsidRPr="00E72405">
        <w:rPr>
          <w:rStyle w:val="Emphasis"/>
          <w:rFonts w:ascii="Cambria" w:hAnsi="Cambria"/>
          <w:i w:val="0"/>
          <w:sz w:val="20"/>
          <w:szCs w:val="20"/>
        </w:rPr>
        <w:t>]</w:t>
      </w:r>
      <w:r w:rsidRPr="00E72405">
        <w:rPr>
          <w:rStyle w:val="Emphasis"/>
          <w:rFonts w:ascii="Cambria" w:hAnsi="Cambria"/>
          <w:sz w:val="20"/>
          <w:szCs w:val="20"/>
        </w:rPr>
        <w:t xml:space="preserve"> </w:t>
      </w:r>
      <w:r w:rsidRPr="00E72405">
        <w:rPr>
          <w:rStyle w:val="Emphasis"/>
          <w:rFonts w:ascii="Cambria" w:hAnsi="Cambria"/>
          <w:i w:val="0"/>
          <w:sz w:val="20"/>
          <w:szCs w:val="20"/>
        </w:rPr>
        <w:t>with the victim.</w:t>
      </w:r>
      <w:r w:rsidRPr="00E72405">
        <w:rPr>
          <w:rStyle w:val="FootnoteReference"/>
          <w:rFonts w:ascii="Cambria" w:hAnsi="Cambria"/>
          <w:sz w:val="20"/>
          <w:szCs w:val="20"/>
        </w:rPr>
        <w:footnoteReference w:id="90"/>
      </w:r>
      <w:r w:rsidR="001223D6" w:rsidRPr="00E72405">
        <w:rPr>
          <w:rStyle w:val="Emphasis"/>
          <w:rFonts w:ascii="Cambria" w:hAnsi="Cambria"/>
          <w:sz w:val="20"/>
          <w:szCs w:val="20"/>
        </w:rPr>
        <w:t xml:space="preserve"> </w:t>
      </w:r>
      <w:r w:rsidRPr="00E72405">
        <w:rPr>
          <w:rStyle w:val="Emphasis"/>
          <w:rFonts w:ascii="Cambria" w:hAnsi="Cambria"/>
          <w:i w:val="0"/>
          <w:sz w:val="20"/>
          <w:szCs w:val="20"/>
        </w:rPr>
        <w:t xml:space="preserve">In his statement on these events, Osvaldo </w:t>
      </w:r>
      <w:proofErr w:type="spellStart"/>
      <w:r w:rsidRPr="00E72405">
        <w:rPr>
          <w:rStyle w:val="Emphasis"/>
          <w:rFonts w:ascii="Cambria" w:hAnsi="Cambria"/>
          <w:i w:val="0"/>
          <w:sz w:val="20"/>
          <w:szCs w:val="20"/>
        </w:rPr>
        <w:t>Konder</w:t>
      </w:r>
      <w:proofErr w:type="spellEnd"/>
      <w:r w:rsidRPr="00E72405">
        <w:rPr>
          <w:rStyle w:val="Emphasis"/>
          <w:rFonts w:ascii="Cambria" w:hAnsi="Cambria"/>
          <w:i w:val="0"/>
          <w:sz w:val="20"/>
          <w:szCs w:val="20"/>
        </w:rPr>
        <w:t xml:space="preserve"> recounted the following:</w:t>
      </w:r>
    </w:p>
    <w:p w:rsidR="007F35B9" w:rsidRPr="00E72405" w:rsidRDefault="007F35B9" w:rsidP="007F35B9">
      <w:pPr>
        <w:spacing w:after="0" w:line="240" w:lineRule="auto"/>
        <w:ind w:left="720"/>
        <w:jc w:val="both"/>
        <w:rPr>
          <w:rStyle w:val="Emphasis"/>
          <w:b/>
          <w:bCs/>
          <w:sz w:val="18"/>
          <w:szCs w:val="18"/>
        </w:rPr>
      </w:pPr>
    </w:p>
    <w:p w:rsidR="007F35B9" w:rsidRPr="00E72405" w:rsidRDefault="007F35B9" w:rsidP="001223D6">
      <w:pPr>
        <w:spacing w:after="0" w:line="240" w:lineRule="auto"/>
        <w:ind w:left="720" w:right="720"/>
        <w:jc w:val="both"/>
        <w:rPr>
          <w:rStyle w:val="Emphasis"/>
          <w:rFonts w:ascii="Cambria" w:hAnsi="Cambria"/>
          <w:b/>
          <w:bCs/>
          <w:i w:val="0"/>
          <w:sz w:val="18"/>
          <w:szCs w:val="18"/>
        </w:rPr>
      </w:pPr>
      <w:r w:rsidRPr="00E72405">
        <w:rPr>
          <w:rStyle w:val="Emphasis"/>
          <w:rFonts w:ascii="Cambria" w:hAnsi="Cambria"/>
          <w:i w:val="0"/>
          <w:sz w:val="18"/>
          <w:szCs w:val="18"/>
        </w:rPr>
        <w:t>The interrogator left the room again and later returned and took [him] by the arm to take [him] to the room where Vladimir was being held, allowing him, once again, to take off the hood.  Vladimir was sitting on the same chair, with the hood over his head.  But by now he appeared to be especially nervous; his hands were trembling and his voice was very weak.  The interrogator then asked Vladimir to talk to [</w:t>
      </w:r>
      <w:proofErr w:type="spellStart"/>
      <w:r w:rsidRPr="00E72405">
        <w:rPr>
          <w:rStyle w:val="Emphasis"/>
          <w:rFonts w:ascii="Cambria" w:hAnsi="Cambria"/>
          <w:i w:val="0"/>
          <w:sz w:val="18"/>
          <w:szCs w:val="18"/>
        </w:rPr>
        <w:t>Konder</w:t>
      </w:r>
      <w:proofErr w:type="spellEnd"/>
      <w:r w:rsidRPr="00E72405">
        <w:rPr>
          <w:rStyle w:val="Emphasis"/>
          <w:rFonts w:ascii="Cambria" w:hAnsi="Cambria"/>
          <w:i w:val="0"/>
          <w:sz w:val="18"/>
          <w:szCs w:val="18"/>
        </w:rPr>
        <w:t>] about the meeting. (…)  The interrogator then made a gesture signaling that they -[</w:t>
      </w:r>
      <w:proofErr w:type="spellStart"/>
      <w:r w:rsidRPr="00E72405">
        <w:rPr>
          <w:rStyle w:val="Emphasis"/>
          <w:rFonts w:ascii="Cambria" w:hAnsi="Cambria"/>
          <w:i w:val="0"/>
          <w:sz w:val="18"/>
          <w:szCs w:val="18"/>
        </w:rPr>
        <w:t>Konder</w:t>
      </w:r>
      <w:proofErr w:type="spellEnd"/>
      <w:r w:rsidRPr="00E72405">
        <w:rPr>
          <w:rStyle w:val="Emphasis"/>
          <w:rFonts w:ascii="Cambria" w:hAnsi="Cambria"/>
          <w:i w:val="0"/>
          <w:sz w:val="18"/>
          <w:szCs w:val="18"/>
        </w:rPr>
        <w:t>] and the interrogator- were to leave the room again.  (…) [</w:t>
      </w:r>
      <w:proofErr w:type="spellStart"/>
      <w:r w:rsidRPr="00E72405">
        <w:rPr>
          <w:rStyle w:val="Emphasis"/>
          <w:rFonts w:ascii="Cambria" w:hAnsi="Cambria"/>
          <w:i w:val="0"/>
          <w:sz w:val="18"/>
          <w:szCs w:val="18"/>
        </w:rPr>
        <w:t>Konder</w:t>
      </w:r>
      <w:proofErr w:type="spellEnd"/>
      <w:r w:rsidRPr="00E72405">
        <w:rPr>
          <w:rStyle w:val="Emphasis"/>
          <w:rFonts w:ascii="Cambria" w:hAnsi="Cambria"/>
          <w:i w:val="0"/>
          <w:sz w:val="18"/>
          <w:szCs w:val="18"/>
        </w:rPr>
        <w:t>] wait[</w:t>
      </w:r>
      <w:proofErr w:type="spellStart"/>
      <w:r w:rsidRPr="00E72405">
        <w:rPr>
          <w:rStyle w:val="Emphasis"/>
          <w:rFonts w:ascii="Cambria" w:hAnsi="Cambria"/>
          <w:i w:val="0"/>
          <w:sz w:val="18"/>
          <w:szCs w:val="18"/>
        </w:rPr>
        <w:t>ed</w:t>
      </w:r>
      <w:proofErr w:type="spellEnd"/>
      <w:r w:rsidRPr="00E72405">
        <w:rPr>
          <w:rStyle w:val="Emphasis"/>
          <w:rFonts w:ascii="Cambria" w:hAnsi="Cambria"/>
          <w:i w:val="0"/>
          <w:sz w:val="18"/>
          <w:szCs w:val="18"/>
        </w:rPr>
        <w:t>] some hours until (…) the same interrogator, now very nervous, [dictated] a statement [to him] to the effect that [they] had convinced Vladimir Herzog to make his statement voluntarily.</w:t>
      </w:r>
      <w:r w:rsidRPr="00E72405">
        <w:rPr>
          <w:rStyle w:val="FootnoteReference"/>
          <w:rFonts w:ascii="Cambria" w:hAnsi="Cambria"/>
          <w:sz w:val="18"/>
          <w:szCs w:val="18"/>
        </w:rPr>
        <w:footnoteReference w:id="91"/>
      </w:r>
    </w:p>
    <w:p w:rsidR="007F35B9" w:rsidRPr="00E72405" w:rsidRDefault="007F35B9" w:rsidP="007F35B9">
      <w:pPr>
        <w:tabs>
          <w:tab w:val="left" w:pos="1440"/>
        </w:tabs>
        <w:spacing w:after="0" w:line="240" w:lineRule="auto"/>
        <w:ind w:firstLine="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That same day, the Second Army published an official note to the effect that “at around 16:00 hours, they went to the room where they had left [Vladimir Herzog] unguarded and found him dead.  He had hanged himself with a strip of cloth.”</w:t>
      </w:r>
      <w:r w:rsidRPr="00E72405">
        <w:rPr>
          <w:rStyle w:val="FootnoteReference"/>
          <w:rFonts w:ascii="Cambria" w:hAnsi="Cambria"/>
          <w:sz w:val="20"/>
          <w:szCs w:val="20"/>
        </w:rPr>
        <w:footnoteReference w:id="92"/>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Furthermore, according to the official note, proceedings conducted at the Second Army’s facilities “uncovered the structure and activities of the Committee of the State Communist Party;”</w:t>
      </w:r>
      <w:r w:rsidRPr="00E72405">
        <w:rPr>
          <w:rStyle w:val="FootnoteReference"/>
          <w:rFonts w:ascii="Cambria" w:hAnsi="Cambria"/>
          <w:sz w:val="20"/>
          <w:szCs w:val="20"/>
        </w:rPr>
        <w:footnoteReference w:id="93"/>
      </w:r>
      <w:r w:rsidRPr="00E72405">
        <w:rPr>
          <w:rFonts w:ascii="Cambria" w:hAnsi="Cambria"/>
          <w:sz w:val="20"/>
          <w:szCs w:val="20"/>
        </w:rPr>
        <w:t xml:space="preserve">  Vladimir Herzog was identified by “his comrades” as “an activist in and member of a basic cell of journalists belonging to that Party.”</w:t>
      </w:r>
      <w:r w:rsidRPr="00E72405">
        <w:rPr>
          <w:rStyle w:val="FootnoteReference"/>
          <w:rFonts w:ascii="Cambria" w:hAnsi="Cambria"/>
          <w:sz w:val="20"/>
          <w:szCs w:val="20"/>
        </w:rPr>
        <w:footnoteReference w:id="94"/>
      </w:r>
      <w:r w:rsidR="00093D4A" w:rsidRPr="00E72405">
        <w:rPr>
          <w:rFonts w:ascii="Cambria" w:hAnsi="Cambria"/>
          <w:sz w:val="20"/>
          <w:szCs w:val="20"/>
        </w:rPr>
        <w:t xml:space="preserve"> </w:t>
      </w:r>
      <w:r w:rsidRPr="00E72405">
        <w:rPr>
          <w:rFonts w:ascii="Cambria" w:hAnsi="Cambria"/>
          <w:sz w:val="20"/>
          <w:szCs w:val="20"/>
        </w:rPr>
        <w:t>He was therefore “invited to make statements to clarify the matter”</w:t>
      </w:r>
      <w:r w:rsidRPr="00E72405">
        <w:rPr>
          <w:rStyle w:val="FootnoteReference"/>
          <w:rFonts w:ascii="Cambria" w:hAnsi="Cambria"/>
          <w:sz w:val="20"/>
          <w:szCs w:val="20"/>
        </w:rPr>
        <w:footnoteReference w:id="95"/>
      </w:r>
      <w:r w:rsidRPr="00E72405">
        <w:rPr>
          <w:rFonts w:ascii="Cambria" w:hAnsi="Cambria"/>
          <w:sz w:val="20"/>
          <w:szCs w:val="20"/>
        </w:rPr>
        <w:t>; he arrived in the company of a “fellow journalist at 8:00 a.m. on the 25</w:t>
      </w:r>
      <w:r w:rsidRPr="00E72405">
        <w:rPr>
          <w:rFonts w:ascii="Cambria" w:hAnsi="Cambria"/>
          <w:sz w:val="20"/>
          <w:szCs w:val="20"/>
          <w:vertAlign w:val="superscript"/>
        </w:rPr>
        <w:t>th</w:t>
      </w:r>
      <w:r w:rsidRPr="00E72405">
        <w:rPr>
          <w:rFonts w:ascii="Cambria" w:hAnsi="Cambria"/>
          <w:sz w:val="20"/>
          <w:szCs w:val="20"/>
        </w:rPr>
        <w:t xml:space="preserve"> of this month.”</w:t>
      </w:r>
      <w:r w:rsidRPr="00E72405">
        <w:rPr>
          <w:rStyle w:val="FootnoteReference"/>
          <w:rFonts w:ascii="Cambria" w:hAnsi="Cambria"/>
          <w:sz w:val="20"/>
          <w:szCs w:val="20"/>
        </w:rPr>
        <w:footnoteReference w:id="96"/>
      </w:r>
      <w:r w:rsidR="00093D4A" w:rsidRPr="00E72405">
        <w:rPr>
          <w:rFonts w:ascii="Cambria" w:hAnsi="Cambria"/>
          <w:sz w:val="20"/>
          <w:szCs w:val="20"/>
        </w:rPr>
        <w:t xml:space="preserve"> </w:t>
      </w:r>
      <w:r w:rsidRPr="00E72405">
        <w:rPr>
          <w:rFonts w:ascii="Cambria" w:hAnsi="Cambria"/>
          <w:sz w:val="20"/>
          <w:szCs w:val="20"/>
        </w:rPr>
        <w:t>The official note indicates that although initially “reluctant” [“</w:t>
      </w:r>
      <w:proofErr w:type="spellStart"/>
      <w:r w:rsidRPr="00E72405">
        <w:rPr>
          <w:rFonts w:ascii="Cambria" w:hAnsi="Cambria"/>
          <w:i/>
          <w:sz w:val="20"/>
          <w:szCs w:val="20"/>
        </w:rPr>
        <w:t>relutado</w:t>
      </w:r>
      <w:proofErr w:type="spellEnd"/>
      <w:r w:rsidRPr="00E72405">
        <w:rPr>
          <w:rFonts w:ascii="Cambria" w:hAnsi="Cambria"/>
          <w:sz w:val="20"/>
          <w:szCs w:val="20"/>
        </w:rPr>
        <w:t>”] to admit “[h]is ties and criminal activities,”</w:t>
      </w:r>
      <w:r w:rsidRPr="00E72405">
        <w:rPr>
          <w:rStyle w:val="FootnoteReference"/>
          <w:rFonts w:ascii="Cambria" w:hAnsi="Cambria"/>
          <w:sz w:val="20"/>
          <w:szCs w:val="20"/>
        </w:rPr>
        <w:footnoteReference w:id="97"/>
      </w:r>
      <w:r w:rsidR="00E721F9" w:rsidRPr="00E72405">
        <w:rPr>
          <w:rFonts w:ascii="Cambria" w:hAnsi="Cambria"/>
          <w:sz w:val="20"/>
          <w:szCs w:val="20"/>
        </w:rPr>
        <w:t xml:space="preserve"> </w:t>
      </w:r>
      <w:r w:rsidRPr="00E72405">
        <w:rPr>
          <w:rFonts w:ascii="Cambria" w:hAnsi="Cambria"/>
          <w:sz w:val="20"/>
          <w:szCs w:val="20"/>
        </w:rPr>
        <w:t>Vladimir Herzog acknowledged his participation in the PCB after a</w:t>
      </w:r>
      <w:r w:rsidRPr="00E72405">
        <w:rPr>
          <w:rFonts w:ascii="Cambria" w:hAnsi="Cambria"/>
          <w:i/>
          <w:sz w:val="20"/>
          <w:szCs w:val="20"/>
        </w:rPr>
        <w:t xml:space="preserve"> “face-to-face </w:t>
      </w:r>
      <w:r w:rsidRPr="00E72405">
        <w:rPr>
          <w:rStyle w:val="Emphasis"/>
          <w:rFonts w:ascii="Cambria" w:hAnsi="Cambria"/>
          <w:i w:val="0"/>
          <w:sz w:val="20"/>
          <w:szCs w:val="20"/>
        </w:rPr>
        <w:t>[</w:t>
      </w:r>
      <w:proofErr w:type="spellStart"/>
      <w:r w:rsidRPr="00E72405">
        <w:rPr>
          <w:rFonts w:ascii="Cambria" w:hAnsi="Cambria"/>
          <w:i/>
          <w:sz w:val="20"/>
          <w:szCs w:val="20"/>
        </w:rPr>
        <w:t>acareação</w:t>
      </w:r>
      <w:proofErr w:type="spellEnd"/>
      <w:r w:rsidRPr="00E72405">
        <w:rPr>
          <w:rStyle w:val="Emphasis"/>
          <w:rFonts w:ascii="Cambria" w:hAnsi="Cambria"/>
          <w:i w:val="0"/>
          <w:sz w:val="20"/>
          <w:szCs w:val="20"/>
        </w:rPr>
        <w:t xml:space="preserve">] with journalists Rodolfo Osvaldo </w:t>
      </w:r>
      <w:proofErr w:type="spellStart"/>
      <w:r w:rsidRPr="00E72405">
        <w:rPr>
          <w:rStyle w:val="Emphasis"/>
          <w:rFonts w:ascii="Cambria" w:hAnsi="Cambria"/>
          <w:i w:val="0"/>
          <w:sz w:val="20"/>
          <w:szCs w:val="20"/>
        </w:rPr>
        <w:t>Konder</w:t>
      </w:r>
      <w:proofErr w:type="spellEnd"/>
      <w:r w:rsidRPr="00E72405">
        <w:rPr>
          <w:rStyle w:val="Emphasis"/>
          <w:rFonts w:ascii="Cambria" w:hAnsi="Cambria"/>
          <w:i w:val="0"/>
          <w:sz w:val="20"/>
          <w:szCs w:val="20"/>
        </w:rPr>
        <w:t xml:space="preserve"> and George </w:t>
      </w:r>
      <w:proofErr w:type="spellStart"/>
      <w:r w:rsidRPr="00E72405">
        <w:rPr>
          <w:rStyle w:val="Emphasis"/>
          <w:rFonts w:ascii="Cambria" w:hAnsi="Cambria"/>
          <w:i w:val="0"/>
          <w:sz w:val="20"/>
          <w:szCs w:val="20"/>
        </w:rPr>
        <w:t>Benigno</w:t>
      </w:r>
      <w:proofErr w:type="spellEnd"/>
      <w:r w:rsidRPr="00E72405">
        <w:rPr>
          <w:rStyle w:val="Emphasis"/>
          <w:rFonts w:ascii="Cambria" w:hAnsi="Cambria"/>
          <w:i w:val="0"/>
          <w:sz w:val="20"/>
          <w:szCs w:val="20"/>
        </w:rPr>
        <w:t xml:space="preserve"> </w:t>
      </w:r>
      <w:proofErr w:type="spellStart"/>
      <w:r w:rsidRPr="00E72405">
        <w:rPr>
          <w:rStyle w:val="Emphasis"/>
          <w:rFonts w:ascii="Cambria" w:hAnsi="Cambria"/>
          <w:i w:val="0"/>
          <w:sz w:val="20"/>
          <w:szCs w:val="20"/>
        </w:rPr>
        <w:t>Jathay</w:t>
      </w:r>
      <w:proofErr w:type="spellEnd"/>
      <w:r w:rsidRPr="00E72405">
        <w:rPr>
          <w:rStyle w:val="Emphasis"/>
          <w:rFonts w:ascii="Cambria" w:hAnsi="Cambria"/>
          <w:i w:val="0"/>
          <w:sz w:val="20"/>
          <w:szCs w:val="20"/>
        </w:rPr>
        <w:t xml:space="preserve"> Duque Estrada,</w:t>
      </w:r>
      <w:r w:rsidRPr="00E72405">
        <w:rPr>
          <w:rStyle w:val="Emphasis"/>
          <w:rFonts w:ascii="Cambria" w:hAnsi="Cambria"/>
          <w:sz w:val="20"/>
          <w:szCs w:val="20"/>
        </w:rPr>
        <w:t xml:space="preserve"> </w:t>
      </w:r>
      <w:r w:rsidRPr="00E72405">
        <w:rPr>
          <w:rStyle w:val="Emphasis"/>
          <w:rFonts w:ascii="Cambria" w:hAnsi="Cambria"/>
          <w:i w:val="0"/>
          <w:sz w:val="20"/>
          <w:szCs w:val="20"/>
        </w:rPr>
        <w:t>“[w]ho advised him to tell the whole truth, since that is what they had done.”</w:t>
      </w:r>
      <w:r w:rsidRPr="00E72405">
        <w:rPr>
          <w:rStyle w:val="FootnoteReference"/>
          <w:rFonts w:ascii="Cambria" w:hAnsi="Cambria"/>
          <w:i/>
          <w:sz w:val="20"/>
          <w:szCs w:val="20"/>
        </w:rPr>
        <w:footnoteReference w:id="98"/>
      </w:r>
      <w:r w:rsidR="00093D4A" w:rsidRPr="00E72405">
        <w:rPr>
          <w:rStyle w:val="Emphasis"/>
          <w:rFonts w:ascii="Cambria" w:hAnsi="Cambria"/>
          <w:i w:val="0"/>
          <w:sz w:val="20"/>
          <w:szCs w:val="20"/>
        </w:rPr>
        <w:t xml:space="preserve"> </w:t>
      </w:r>
      <w:r w:rsidRPr="00E72405">
        <w:rPr>
          <w:rStyle w:val="Emphasis"/>
          <w:rFonts w:ascii="Cambria" w:hAnsi="Cambria"/>
          <w:i w:val="0"/>
          <w:sz w:val="20"/>
          <w:szCs w:val="20"/>
        </w:rPr>
        <w:t>The note also states that he was permitted to write “his statements in his own hand</w:t>
      </w:r>
      <w:r w:rsidRPr="00E72405">
        <w:rPr>
          <w:rStyle w:val="Emphasis"/>
          <w:rFonts w:ascii="Cambria" w:hAnsi="Cambria"/>
          <w:sz w:val="20"/>
          <w:szCs w:val="20"/>
        </w:rPr>
        <w:t>”</w:t>
      </w:r>
      <w:r w:rsidRPr="00E72405">
        <w:rPr>
          <w:rStyle w:val="FootnoteReference"/>
          <w:rFonts w:ascii="Cambria" w:hAnsi="Cambria"/>
          <w:sz w:val="20"/>
          <w:szCs w:val="20"/>
        </w:rPr>
        <w:footnoteReference w:id="99"/>
      </w:r>
      <w:r w:rsidRPr="00E72405">
        <w:rPr>
          <w:rFonts w:ascii="Cambria" w:hAnsi="Cambria"/>
          <w:sz w:val="20"/>
          <w:szCs w:val="20"/>
        </w:rPr>
        <w:t xml:space="preserve"> and that the paper was later found “in pieces” alongside his body.</w:t>
      </w:r>
      <w:r w:rsidRPr="00E72405">
        <w:rPr>
          <w:rStyle w:val="FootnoteReference"/>
          <w:rFonts w:ascii="Cambria" w:hAnsi="Cambria"/>
          <w:sz w:val="20"/>
          <w:szCs w:val="20"/>
        </w:rPr>
        <w:footnoteReference w:id="100"/>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Finally, the note states that “the Secretariat of Security was asked to perform the necessary tests, and the experts confirmed how the suicide had occurred.”</w:t>
      </w:r>
      <w:r w:rsidRPr="00E72405">
        <w:rPr>
          <w:rStyle w:val="FootnoteReference"/>
          <w:rFonts w:ascii="Cambria" w:hAnsi="Cambria"/>
          <w:sz w:val="20"/>
          <w:szCs w:val="20"/>
        </w:rPr>
        <w:footnoteReference w:id="101"/>
      </w:r>
      <w:r w:rsidRPr="00E72405">
        <w:rPr>
          <w:rFonts w:ascii="Cambria" w:hAnsi="Cambria"/>
          <w:sz w:val="20"/>
          <w:szCs w:val="20"/>
        </w:rPr>
        <w:t xml:space="preserve">  In effect, a forensics report was prepared on October 25 by Officer </w:t>
      </w:r>
      <w:proofErr w:type="spellStart"/>
      <w:r w:rsidRPr="00E72405">
        <w:rPr>
          <w:rFonts w:ascii="Cambria" w:hAnsi="Cambria"/>
          <w:sz w:val="20"/>
          <w:szCs w:val="20"/>
        </w:rPr>
        <w:t>Motoho</w:t>
      </w:r>
      <w:proofErr w:type="spellEnd"/>
      <w:r w:rsidRPr="00E72405">
        <w:rPr>
          <w:rFonts w:ascii="Cambria" w:hAnsi="Cambria"/>
          <w:sz w:val="20"/>
          <w:szCs w:val="20"/>
        </w:rPr>
        <w:t xml:space="preserve"> </w:t>
      </w:r>
      <w:proofErr w:type="spellStart"/>
      <w:r w:rsidRPr="00E72405">
        <w:rPr>
          <w:rFonts w:ascii="Cambria" w:hAnsi="Cambria"/>
          <w:sz w:val="20"/>
          <w:szCs w:val="20"/>
        </w:rPr>
        <w:t>Chiota</w:t>
      </w:r>
      <w:proofErr w:type="spellEnd"/>
      <w:r w:rsidRPr="00E72405">
        <w:rPr>
          <w:rFonts w:ascii="Cambria" w:hAnsi="Cambria"/>
          <w:sz w:val="20"/>
          <w:szCs w:val="20"/>
        </w:rPr>
        <w:t>, in which he concluded that “the scenario in which the corpse was discovered was typical of a suicide by hanging.”</w:t>
      </w:r>
      <w:r w:rsidRPr="00E72405">
        <w:rPr>
          <w:rStyle w:val="FootnoteReference"/>
          <w:rFonts w:ascii="Cambria" w:hAnsi="Cambria"/>
          <w:sz w:val="20"/>
          <w:szCs w:val="20"/>
        </w:rPr>
        <w:footnoteReference w:id="102"/>
      </w:r>
      <w:r w:rsidRPr="00E72405">
        <w:rPr>
          <w:rFonts w:ascii="Cambria" w:hAnsi="Cambria"/>
          <w:sz w:val="20"/>
          <w:szCs w:val="20"/>
        </w:rPr>
        <w:t xml:space="preserve"> </w:t>
      </w:r>
      <w:r w:rsidR="001223D6" w:rsidRPr="00E72405">
        <w:rPr>
          <w:rFonts w:ascii="Cambria" w:hAnsi="Cambria"/>
          <w:sz w:val="20"/>
          <w:szCs w:val="20"/>
        </w:rPr>
        <w:t xml:space="preserve">It was also prepared an </w:t>
      </w:r>
      <w:r w:rsidRPr="00E72405">
        <w:rPr>
          <w:rFonts w:ascii="Cambria" w:hAnsi="Cambria"/>
          <w:sz w:val="20"/>
          <w:szCs w:val="20"/>
        </w:rPr>
        <w:t>autopsy certificate</w:t>
      </w:r>
      <w:r w:rsidR="001223D6" w:rsidRPr="00E72405">
        <w:rPr>
          <w:rFonts w:ascii="Cambria" w:hAnsi="Cambria"/>
          <w:sz w:val="20"/>
          <w:szCs w:val="20"/>
        </w:rPr>
        <w:t xml:space="preserve"> signed</w:t>
      </w:r>
      <w:r w:rsidRPr="00E72405">
        <w:rPr>
          <w:rFonts w:ascii="Cambria" w:hAnsi="Cambria"/>
          <w:sz w:val="20"/>
          <w:szCs w:val="20"/>
        </w:rPr>
        <w:t xml:space="preserve"> </w:t>
      </w:r>
      <w:r w:rsidR="001223D6" w:rsidRPr="00E72405">
        <w:rPr>
          <w:rFonts w:ascii="Cambria" w:hAnsi="Cambria"/>
          <w:sz w:val="20"/>
          <w:szCs w:val="20"/>
        </w:rPr>
        <w:t xml:space="preserve">by </w:t>
      </w:r>
      <w:r w:rsidR="00093D4A" w:rsidRPr="00E72405">
        <w:rPr>
          <w:rFonts w:ascii="Cambria" w:hAnsi="Cambria"/>
          <w:sz w:val="20"/>
          <w:szCs w:val="20"/>
        </w:rPr>
        <w:t xml:space="preserve">the </w:t>
      </w:r>
      <w:r w:rsidR="001223D6" w:rsidRPr="00E72405">
        <w:rPr>
          <w:rStyle w:val="hps"/>
          <w:rFonts w:ascii="Cambria" w:hAnsi="Cambria" w:cs="Arial"/>
          <w:sz w:val="20"/>
          <w:szCs w:val="20"/>
          <w:lang w:val="en"/>
        </w:rPr>
        <w:t>forensic</w:t>
      </w:r>
      <w:r w:rsidR="001223D6" w:rsidRPr="00E72405">
        <w:rPr>
          <w:rFonts w:ascii="Cambria" w:hAnsi="Cambria" w:cs="Arial"/>
          <w:sz w:val="20"/>
          <w:szCs w:val="20"/>
          <w:lang w:val="en"/>
        </w:rPr>
        <w:t xml:space="preserve"> </w:t>
      </w:r>
      <w:r w:rsidR="001223D6" w:rsidRPr="00E72405">
        <w:rPr>
          <w:rStyle w:val="hps"/>
          <w:rFonts w:ascii="Cambria" w:hAnsi="Cambria" w:cs="Arial"/>
          <w:sz w:val="20"/>
          <w:szCs w:val="20"/>
          <w:lang w:val="en"/>
        </w:rPr>
        <w:t>doctors</w:t>
      </w:r>
      <w:r w:rsidR="001223D6" w:rsidRPr="00E72405">
        <w:rPr>
          <w:rFonts w:ascii="Cambria" w:hAnsi="Cambria" w:cs="Arial"/>
          <w:sz w:val="20"/>
          <w:szCs w:val="20"/>
          <w:lang w:val="en"/>
        </w:rPr>
        <w:t xml:space="preserve"> </w:t>
      </w:r>
      <w:r w:rsidR="001223D6" w:rsidRPr="00E72405">
        <w:rPr>
          <w:rStyle w:val="hps"/>
          <w:rFonts w:ascii="Cambria" w:hAnsi="Cambria" w:cs="Arial"/>
          <w:sz w:val="20"/>
          <w:szCs w:val="20"/>
          <w:lang w:val="en"/>
        </w:rPr>
        <w:t>of the Institute of</w:t>
      </w:r>
      <w:r w:rsidR="001223D6" w:rsidRPr="00E72405">
        <w:rPr>
          <w:rFonts w:ascii="Cambria" w:hAnsi="Cambria" w:cs="Arial"/>
          <w:sz w:val="20"/>
          <w:szCs w:val="20"/>
          <w:lang w:val="en"/>
        </w:rPr>
        <w:t xml:space="preserve"> </w:t>
      </w:r>
      <w:r w:rsidR="001223D6" w:rsidRPr="00E72405">
        <w:rPr>
          <w:rStyle w:val="hps"/>
          <w:rFonts w:ascii="Cambria" w:hAnsi="Cambria" w:cs="Arial"/>
          <w:sz w:val="20"/>
          <w:szCs w:val="20"/>
          <w:lang w:val="en"/>
        </w:rPr>
        <w:t>Legal</w:t>
      </w:r>
      <w:r w:rsidR="001223D6" w:rsidRPr="00E72405">
        <w:rPr>
          <w:rFonts w:ascii="Cambria" w:hAnsi="Cambria" w:cs="Arial"/>
          <w:sz w:val="20"/>
          <w:szCs w:val="20"/>
          <w:lang w:val="en"/>
        </w:rPr>
        <w:t xml:space="preserve"> </w:t>
      </w:r>
      <w:r w:rsidR="001223D6" w:rsidRPr="00E72405">
        <w:rPr>
          <w:rStyle w:val="hps"/>
          <w:rFonts w:ascii="Cambria" w:hAnsi="Cambria" w:cs="Arial"/>
          <w:sz w:val="20"/>
          <w:szCs w:val="20"/>
          <w:lang w:val="en"/>
        </w:rPr>
        <w:t>Medicine</w:t>
      </w:r>
      <w:r w:rsidR="001223D6" w:rsidRPr="00E72405">
        <w:rPr>
          <w:rFonts w:ascii="Cambria" w:hAnsi="Cambria" w:cs="Arial"/>
          <w:sz w:val="20"/>
          <w:szCs w:val="20"/>
          <w:lang w:val="en"/>
        </w:rPr>
        <w:t xml:space="preserve"> </w:t>
      </w:r>
      <w:r w:rsidR="001223D6" w:rsidRPr="00E72405">
        <w:rPr>
          <w:rStyle w:val="hps"/>
          <w:rFonts w:ascii="Cambria" w:hAnsi="Cambria" w:cs="Arial"/>
          <w:sz w:val="20"/>
          <w:szCs w:val="20"/>
          <w:lang w:val="en"/>
        </w:rPr>
        <w:t>of the state of</w:t>
      </w:r>
      <w:r w:rsidR="001223D6" w:rsidRPr="00E72405">
        <w:rPr>
          <w:rFonts w:ascii="Cambria" w:hAnsi="Cambria" w:cs="Arial"/>
          <w:sz w:val="20"/>
          <w:szCs w:val="20"/>
          <w:lang w:val="en"/>
        </w:rPr>
        <w:t xml:space="preserve"> </w:t>
      </w:r>
      <w:r w:rsidR="001223D6" w:rsidRPr="00E72405">
        <w:rPr>
          <w:rStyle w:val="hps"/>
          <w:rFonts w:ascii="Cambria" w:hAnsi="Cambria" w:cs="Arial"/>
          <w:sz w:val="20"/>
          <w:szCs w:val="20"/>
          <w:lang w:val="en"/>
        </w:rPr>
        <w:t>São</w:t>
      </w:r>
      <w:r w:rsidR="001223D6" w:rsidRPr="00E72405">
        <w:rPr>
          <w:rFonts w:ascii="Cambria" w:hAnsi="Cambria" w:cs="Arial"/>
          <w:sz w:val="20"/>
          <w:szCs w:val="20"/>
          <w:lang w:val="en"/>
        </w:rPr>
        <w:t xml:space="preserve"> </w:t>
      </w:r>
      <w:r w:rsidR="00093D4A" w:rsidRPr="00E72405">
        <w:rPr>
          <w:rStyle w:val="hps"/>
          <w:rFonts w:ascii="Cambria" w:hAnsi="Cambria" w:cs="Arial"/>
          <w:sz w:val="20"/>
          <w:szCs w:val="20"/>
          <w:lang w:val="en"/>
        </w:rPr>
        <w:t>Pau</w:t>
      </w:r>
      <w:r w:rsidR="001223D6" w:rsidRPr="00E72405">
        <w:rPr>
          <w:rStyle w:val="hps"/>
          <w:rFonts w:ascii="Cambria" w:hAnsi="Cambria" w:cs="Arial"/>
          <w:sz w:val="20"/>
          <w:szCs w:val="20"/>
          <w:lang w:val="en"/>
        </w:rPr>
        <w:t>lo</w:t>
      </w:r>
      <w:r w:rsidR="001223D6" w:rsidRPr="00E72405">
        <w:rPr>
          <w:rFonts w:ascii="Cambria" w:hAnsi="Cambria" w:cs="Arial"/>
          <w:sz w:val="20"/>
          <w:szCs w:val="20"/>
          <w:lang w:val="en"/>
        </w:rPr>
        <w:t>,</w:t>
      </w:r>
      <w:r w:rsidR="001223D6" w:rsidRPr="00E72405">
        <w:rPr>
          <w:rFonts w:ascii="Cambria" w:hAnsi="Cambria"/>
          <w:sz w:val="20"/>
          <w:szCs w:val="20"/>
        </w:rPr>
        <w:t xml:space="preserve"> </w:t>
      </w:r>
      <w:proofErr w:type="spellStart"/>
      <w:r w:rsidRPr="00E72405">
        <w:rPr>
          <w:rFonts w:ascii="Cambria" w:hAnsi="Cambria"/>
          <w:sz w:val="20"/>
          <w:szCs w:val="20"/>
        </w:rPr>
        <w:t>Arildo</w:t>
      </w:r>
      <w:proofErr w:type="spellEnd"/>
      <w:r w:rsidRPr="00E72405">
        <w:rPr>
          <w:rFonts w:ascii="Cambria" w:hAnsi="Cambria"/>
          <w:sz w:val="20"/>
          <w:szCs w:val="20"/>
        </w:rPr>
        <w:t xml:space="preserve"> </w:t>
      </w:r>
      <w:proofErr w:type="spellStart"/>
      <w:r w:rsidRPr="00E72405">
        <w:rPr>
          <w:rFonts w:ascii="Cambria" w:hAnsi="Cambria"/>
          <w:sz w:val="20"/>
          <w:szCs w:val="20"/>
        </w:rPr>
        <w:t>Viana</w:t>
      </w:r>
      <w:proofErr w:type="spellEnd"/>
      <w:r w:rsidRPr="00E72405">
        <w:rPr>
          <w:rFonts w:ascii="Cambria" w:hAnsi="Cambria"/>
          <w:sz w:val="20"/>
          <w:szCs w:val="20"/>
        </w:rPr>
        <w:t xml:space="preserve"> and Harry Shibata.</w:t>
      </w:r>
      <w:r w:rsidRPr="00E72405">
        <w:rPr>
          <w:rStyle w:val="FootnoteReference"/>
          <w:rFonts w:ascii="Cambria" w:hAnsi="Cambria"/>
          <w:sz w:val="20"/>
          <w:szCs w:val="20"/>
        </w:rPr>
        <w:footnoteReference w:id="103"/>
      </w:r>
      <w:r w:rsidRPr="00E72405">
        <w:rPr>
          <w:rFonts w:ascii="Cambria" w:hAnsi="Cambria"/>
          <w:sz w:val="20"/>
          <w:szCs w:val="20"/>
        </w:rPr>
        <w:t xml:space="preserve"> An infamous and controversial photograph showing Vladimir Herzog “hanging by a strip of cloth from the window of the cell in which he was being held, with his legs bent,” was also attached to the forensics report, as proof of the suicide.</w:t>
      </w:r>
      <w:r w:rsidRPr="00E72405">
        <w:rPr>
          <w:rStyle w:val="FootnoteReference"/>
          <w:rFonts w:ascii="Cambria" w:hAnsi="Cambria"/>
          <w:sz w:val="20"/>
          <w:szCs w:val="20"/>
        </w:rPr>
        <w:footnoteReference w:id="104"/>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On October 27, 1975, the newspaper </w:t>
      </w:r>
      <w:proofErr w:type="spellStart"/>
      <w:r w:rsidRPr="00E72405">
        <w:rPr>
          <w:rFonts w:ascii="Cambria" w:hAnsi="Cambria"/>
          <w:i/>
          <w:sz w:val="20"/>
          <w:szCs w:val="20"/>
        </w:rPr>
        <w:t>Folha</w:t>
      </w:r>
      <w:proofErr w:type="spellEnd"/>
      <w:r w:rsidRPr="00E72405">
        <w:rPr>
          <w:rFonts w:ascii="Cambria" w:hAnsi="Cambria"/>
          <w:i/>
          <w:sz w:val="20"/>
          <w:szCs w:val="20"/>
        </w:rPr>
        <w:t xml:space="preserve"> de </w:t>
      </w:r>
      <w:r w:rsidRPr="00E72405">
        <w:rPr>
          <w:rStyle w:val="Emphasis"/>
          <w:rFonts w:ascii="Cambria" w:hAnsi="Cambria" w:cs="Arial"/>
          <w:sz w:val="20"/>
          <w:szCs w:val="20"/>
        </w:rPr>
        <w:t xml:space="preserve">São Paulo </w:t>
      </w:r>
      <w:r w:rsidRPr="00E72405">
        <w:rPr>
          <w:rStyle w:val="Emphasis"/>
          <w:rFonts w:ascii="Cambria" w:hAnsi="Cambria" w:cs="Arial"/>
          <w:i w:val="0"/>
          <w:sz w:val="20"/>
          <w:szCs w:val="20"/>
        </w:rPr>
        <w:t>published the communique that the Second Army released in connection with Herz</w:t>
      </w:r>
      <w:r w:rsidR="00E721F9" w:rsidRPr="00E72405">
        <w:rPr>
          <w:rStyle w:val="Emphasis"/>
          <w:rFonts w:ascii="Cambria" w:hAnsi="Cambria" w:cs="Arial"/>
          <w:i w:val="0"/>
          <w:sz w:val="20"/>
          <w:szCs w:val="20"/>
        </w:rPr>
        <w:t xml:space="preserve">og’s death. </w:t>
      </w:r>
      <w:r w:rsidRPr="00E72405">
        <w:rPr>
          <w:rStyle w:val="Emphasis"/>
          <w:rFonts w:ascii="Cambria" w:hAnsi="Cambria" w:cs="Arial"/>
          <w:i w:val="0"/>
          <w:sz w:val="20"/>
          <w:szCs w:val="20"/>
        </w:rPr>
        <w:t xml:space="preserve">The headline read “Second Army announces </w:t>
      </w:r>
      <w:r w:rsidRPr="00E72405">
        <w:rPr>
          <w:rStyle w:val="Emphasis"/>
          <w:rFonts w:ascii="Cambria" w:hAnsi="Cambria" w:cs="Arial"/>
          <w:i w:val="0"/>
          <w:sz w:val="20"/>
          <w:szCs w:val="20"/>
        </w:rPr>
        <w:lastRenderedPageBreak/>
        <w:t>journalist’s suicide.”</w:t>
      </w:r>
      <w:r w:rsidRPr="00E72405">
        <w:rPr>
          <w:rStyle w:val="FootnoteReference"/>
          <w:rFonts w:ascii="Cambria" w:hAnsi="Cambria" w:cs="Arial"/>
          <w:bCs/>
          <w:sz w:val="20"/>
          <w:szCs w:val="20"/>
        </w:rPr>
        <w:footnoteReference w:id="105"/>
      </w:r>
      <w:r w:rsidRPr="00E72405">
        <w:rPr>
          <w:rStyle w:val="Emphasis"/>
          <w:rFonts w:ascii="Cambria" w:hAnsi="Cambria" w:cs="Arial"/>
          <w:i w:val="0"/>
          <w:sz w:val="20"/>
          <w:szCs w:val="20"/>
        </w:rPr>
        <w:t xml:space="preserve"> The newspaper published “[t]he note with the official version of the death.”</w:t>
      </w:r>
      <w:r w:rsidRPr="00E72405">
        <w:rPr>
          <w:rStyle w:val="FootnoteReference"/>
          <w:rFonts w:ascii="Cambria" w:hAnsi="Cambria" w:cs="Arial"/>
          <w:bCs/>
          <w:i/>
          <w:sz w:val="20"/>
          <w:szCs w:val="20"/>
        </w:rPr>
        <w:footnoteReference w:id="106"/>
      </w:r>
      <w:r w:rsidRPr="00E72405">
        <w:rPr>
          <w:rStyle w:val="Emphasis"/>
          <w:rFonts w:ascii="Cambria" w:hAnsi="Cambria" w:cs="Arial"/>
          <w:i w:val="0"/>
          <w:sz w:val="20"/>
          <w:szCs w:val="20"/>
        </w:rPr>
        <w:t xml:space="preserve">  This was how the false version of his death was engineered.”</w:t>
      </w:r>
      <w:r w:rsidRPr="00E72405">
        <w:rPr>
          <w:rStyle w:val="FootnoteReference"/>
          <w:rFonts w:ascii="Cambria" w:hAnsi="Cambria" w:cs="Arial"/>
          <w:bCs/>
          <w:sz w:val="20"/>
          <w:szCs w:val="20"/>
        </w:rPr>
        <w:footnoteReference w:id="107"/>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Clarice Herzog was informed of Vladimir Herzog’s death on the night of October 25, 1975.</w:t>
      </w:r>
      <w:r w:rsidRPr="00E72405">
        <w:rPr>
          <w:rStyle w:val="FootnoteReference"/>
          <w:rFonts w:ascii="Cambria" w:hAnsi="Cambria"/>
          <w:sz w:val="20"/>
          <w:szCs w:val="20"/>
        </w:rPr>
        <w:footnoteReference w:id="108"/>
      </w:r>
      <w:r w:rsidRPr="00E72405">
        <w:rPr>
          <w:rFonts w:ascii="Cambria" w:hAnsi="Cambria"/>
          <w:sz w:val="20"/>
          <w:szCs w:val="20"/>
        </w:rPr>
        <w:t xml:space="preserve"> According to the statement that Clarice Herzog gave in the 1975 military police inquiry</w:t>
      </w:r>
      <w:r w:rsidR="00093D4A" w:rsidRPr="00E72405">
        <w:rPr>
          <w:rFonts w:ascii="Cambria" w:hAnsi="Cambria"/>
          <w:sz w:val="20"/>
          <w:szCs w:val="20"/>
        </w:rPr>
        <w:t xml:space="preserve"> (infra </w:t>
      </w:r>
      <w:proofErr w:type="spellStart"/>
      <w:r w:rsidR="00093D4A" w:rsidRPr="00E72405">
        <w:rPr>
          <w:rFonts w:ascii="Cambria" w:hAnsi="Cambria"/>
          <w:sz w:val="20"/>
          <w:szCs w:val="20"/>
        </w:rPr>
        <w:t>párr</w:t>
      </w:r>
      <w:proofErr w:type="spellEnd"/>
      <w:r w:rsidR="00093D4A" w:rsidRPr="00E72405">
        <w:rPr>
          <w:rFonts w:ascii="Cambria" w:hAnsi="Cambria"/>
          <w:sz w:val="20"/>
          <w:szCs w:val="20"/>
        </w:rPr>
        <w:t>. XX)</w:t>
      </w:r>
      <w:r w:rsidRPr="00E72405">
        <w:rPr>
          <w:rFonts w:ascii="Cambria" w:hAnsi="Cambria"/>
          <w:sz w:val="20"/>
          <w:szCs w:val="20"/>
        </w:rPr>
        <w:t>, the persons who informed her of her husband’s death did not tell her the circumstances under which Vladimir Herzog had died.</w:t>
      </w:r>
      <w:r w:rsidRPr="00E72405">
        <w:rPr>
          <w:rStyle w:val="FootnoteReference"/>
          <w:rFonts w:ascii="Cambria" w:hAnsi="Cambria"/>
          <w:sz w:val="20"/>
          <w:szCs w:val="20"/>
        </w:rPr>
        <w:footnoteReference w:id="109"/>
      </w:r>
      <w:r w:rsidRPr="00E72405">
        <w:rPr>
          <w:rFonts w:ascii="Cambria" w:hAnsi="Cambria"/>
          <w:sz w:val="20"/>
          <w:szCs w:val="20"/>
        </w:rPr>
        <w:t xml:space="preserve"> She also described how she went to the Institute of Legal Medicine, but neither she nor other family members were allowed to see Vladimir Herzog’s body.  Clarice Herzog stated that she was not permitted to have other physicians examine the body “before it was prepared for burial according to the rites of the Jewish faith.”</w:t>
      </w:r>
      <w:r w:rsidRPr="00E72405">
        <w:rPr>
          <w:rStyle w:val="FootnoteReference"/>
          <w:rFonts w:ascii="Cambria" w:hAnsi="Cambria"/>
          <w:sz w:val="20"/>
          <w:szCs w:val="20"/>
        </w:rPr>
        <w:footnoteReference w:id="110"/>
      </w:r>
      <w:r w:rsidRPr="00E72405">
        <w:rPr>
          <w:rFonts w:ascii="Cambria" w:hAnsi="Cambria"/>
          <w:sz w:val="20"/>
          <w:szCs w:val="20"/>
        </w:rPr>
        <w:t xml:space="preserve"> One individual from the Jewish Congregation who was conducting the funeral services, told her that: “[h]e had orders from superiors that he was not to allow [Herzog’s body to be examined by other physicians], further alleging that there were undercover police inside the hospital and that had she insisted she would have been taken into custody.”</w:t>
      </w:r>
      <w:r w:rsidRPr="00E72405">
        <w:rPr>
          <w:rStyle w:val="FootnoteReference"/>
          <w:rFonts w:ascii="Cambria" w:hAnsi="Cambria"/>
          <w:sz w:val="20"/>
          <w:szCs w:val="20"/>
        </w:rPr>
        <w:footnoteReference w:id="111"/>
      </w:r>
      <w:r w:rsidR="00E721F9" w:rsidRPr="00E72405">
        <w:rPr>
          <w:rFonts w:ascii="Cambria" w:hAnsi="Cambria"/>
          <w:sz w:val="20"/>
          <w:szCs w:val="20"/>
        </w:rPr>
        <w:t xml:space="preserve"> </w:t>
      </w:r>
      <w:r w:rsidRPr="00E72405">
        <w:rPr>
          <w:rFonts w:ascii="Cambria" w:hAnsi="Cambria"/>
          <w:sz w:val="20"/>
          <w:szCs w:val="20"/>
        </w:rPr>
        <w:t>Clarice Herzog also said that all she was able to see was Vladimir Herzog’s face inside the closed casket, during the wake held in the “Albert Einstein” Jewish hospital on October 26, 1975.</w:t>
      </w:r>
      <w:r w:rsidRPr="00E72405">
        <w:rPr>
          <w:rStyle w:val="FootnoteReference"/>
          <w:rFonts w:ascii="Cambria" w:hAnsi="Cambria"/>
          <w:sz w:val="20"/>
          <w:szCs w:val="20"/>
        </w:rPr>
        <w:footnoteReference w:id="112"/>
      </w:r>
      <w:r w:rsidR="00E721F9" w:rsidRPr="00E72405">
        <w:rPr>
          <w:rFonts w:ascii="Cambria" w:hAnsi="Cambria"/>
          <w:sz w:val="20"/>
          <w:szCs w:val="20"/>
        </w:rPr>
        <w:t xml:space="preserve"> </w:t>
      </w:r>
      <w:r w:rsidRPr="00E72405">
        <w:rPr>
          <w:rFonts w:ascii="Cambria" w:hAnsi="Cambria"/>
          <w:sz w:val="20"/>
          <w:szCs w:val="20"/>
        </w:rPr>
        <w:t>On October 27, 1975, Vladimir was buried in the “</w:t>
      </w:r>
      <w:proofErr w:type="spellStart"/>
      <w:r w:rsidRPr="00E72405">
        <w:rPr>
          <w:rFonts w:ascii="Cambria" w:hAnsi="Cambria"/>
          <w:sz w:val="20"/>
          <w:szCs w:val="20"/>
        </w:rPr>
        <w:t>Butanta</w:t>
      </w:r>
      <w:proofErr w:type="spellEnd"/>
      <w:r w:rsidRPr="00E72405">
        <w:rPr>
          <w:rFonts w:ascii="Cambria" w:hAnsi="Cambria"/>
          <w:sz w:val="20"/>
          <w:szCs w:val="20"/>
        </w:rPr>
        <w:t xml:space="preserve"> Jewish Cemetery”, with “hundreds of people” in attendance.</w:t>
      </w:r>
      <w:r w:rsidRPr="00E72405">
        <w:rPr>
          <w:rStyle w:val="FootnoteReference"/>
          <w:rFonts w:ascii="Cambria" w:hAnsi="Cambria"/>
          <w:sz w:val="20"/>
          <w:szCs w:val="20"/>
        </w:rPr>
        <w:footnoteReference w:id="113"/>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sz w:val="20"/>
          <w:szCs w:val="20"/>
        </w:rPr>
      </w:pPr>
      <w:r w:rsidRPr="00E72405">
        <w:rPr>
          <w:rFonts w:ascii="Cambria" w:hAnsi="Cambria"/>
          <w:sz w:val="20"/>
          <w:szCs w:val="20"/>
        </w:rPr>
        <w:t>Among those attending the funeral were four journalists who were being held at the DOI/CODI/SP.</w:t>
      </w:r>
      <w:r w:rsidRPr="00E72405">
        <w:rPr>
          <w:rStyle w:val="FootnoteReference"/>
          <w:rFonts w:ascii="Cambria" w:hAnsi="Cambria"/>
          <w:sz w:val="20"/>
          <w:szCs w:val="20"/>
        </w:rPr>
        <w:footnoteReference w:id="114"/>
      </w:r>
      <w:r w:rsidR="00E721F9" w:rsidRPr="00E72405">
        <w:rPr>
          <w:rFonts w:ascii="Cambria" w:hAnsi="Cambria"/>
          <w:sz w:val="20"/>
          <w:szCs w:val="20"/>
        </w:rPr>
        <w:t xml:space="preserve"> </w:t>
      </w:r>
      <w:r w:rsidRPr="00E72405">
        <w:rPr>
          <w:rFonts w:ascii="Cambria" w:hAnsi="Cambria"/>
          <w:sz w:val="20"/>
          <w:szCs w:val="20"/>
        </w:rPr>
        <w:t>The morning of October 27, 1975, the journalists were instructed to attend Vladimir Herzog’s funeral and, if they did, “they could even spend the night at home that night.”</w:t>
      </w:r>
      <w:r w:rsidRPr="00E72405">
        <w:rPr>
          <w:rStyle w:val="FootnoteReference"/>
          <w:rFonts w:ascii="Cambria" w:hAnsi="Cambria"/>
          <w:sz w:val="20"/>
          <w:szCs w:val="20"/>
        </w:rPr>
        <w:footnoteReference w:id="115"/>
      </w:r>
      <w:r w:rsidR="00E721F9" w:rsidRPr="00E72405">
        <w:rPr>
          <w:rFonts w:ascii="Cambria" w:hAnsi="Cambria"/>
          <w:sz w:val="20"/>
          <w:szCs w:val="20"/>
        </w:rPr>
        <w:t xml:space="preserve"> </w:t>
      </w:r>
      <w:r w:rsidRPr="00E72405">
        <w:rPr>
          <w:rFonts w:ascii="Cambria" w:hAnsi="Cambria"/>
          <w:sz w:val="20"/>
          <w:szCs w:val="20"/>
        </w:rPr>
        <w:t>According to one of the journalists attending the funeral, “the idea was apparently to show that the other journalists were fine.”</w:t>
      </w:r>
      <w:r w:rsidRPr="00E72405">
        <w:rPr>
          <w:rStyle w:val="FootnoteReference"/>
          <w:rFonts w:ascii="Cambria" w:hAnsi="Cambria"/>
          <w:sz w:val="20"/>
          <w:szCs w:val="20"/>
        </w:rPr>
        <w:footnoteReference w:id="116"/>
      </w:r>
      <w:r w:rsidRPr="00E72405">
        <w:rPr>
          <w:rFonts w:ascii="Cambria" w:hAnsi="Cambria"/>
          <w:sz w:val="20"/>
          <w:szCs w:val="20"/>
        </w:rPr>
        <w:t xml:space="preserve">  According to the testimony of journalist Rodolfo Osvaldo </w:t>
      </w:r>
      <w:proofErr w:type="spellStart"/>
      <w:r w:rsidRPr="00E72405">
        <w:rPr>
          <w:rFonts w:ascii="Cambria" w:hAnsi="Cambria"/>
          <w:sz w:val="20"/>
          <w:szCs w:val="20"/>
        </w:rPr>
        <w:t>Konder</w:t>
      </w:r>
      <w:proofErr w:type="spellEnd"/>
      <w:r w:rsidRPr="00E72405">
        <w:rPr>
          <w:rFonts w:ascii="Cambria" w:hAnsi="Cambria"/>
          <w:sz w:val="20"/>
          <w:szCs w:val="20"/>
        </w:rPr>
        <w:t xml:space="preserve">, while at the funeral, </w:t>
      </w:r>
      <w:r w:rsidRPr="00E72405">
        <w:rPr>
          <w:rStyle w:val="Emphasis"/>
          <w:rFonts w:ascii="Cambria" w:hAnsi="Cambria"/>
          <w:i w:val="0"/>
          <w:sz w:val="20"/>
          <w:szCs w:val="20"/>
        </w:rPr>
        <w:t xml:space="preserve">George </w:t>
      </w:r>
      <w:proofErr w:type="spellStart"/>
      <w:r w:rsidRPr="00E72405">
        <w:rPr>
          <w:rStyle w:val="Emphasis"/>
          <w:rFonts w:ascii="Cambria" w:hAnsi="Cambria"/>
          <w:i w:val="0"/>
          <w:sz w:val="20"/>
          <w:szCs w:val="20"/>
        </w:rPr>
        <w:t>Benigno</w:t>
      </w:r>
      <w:proofErr w:type="spellEnd"/>
      <w:r w:rsidRPr="00E72405">
        <w:rPr>
          <w:rStyle w:val="Emphasis"/>
          <w:rFonts w:ascii="Cambria" w:hAnsi="Cambria"/>
          <w:i w:val="0"/>
          <w:sz w:val="20"/>
          <w:szCs w:val="20"/>
        </w:rPr>
        <w:t xml:space="preserve"> </w:t>
      </w:r>
      <w:proofErr w:type="spellStart"/>
      <w:r w:rsidRPr="00E72405">
        <w:rPr>
          <w:rStyle w:val="Emphasis"/>
          <w:rFonts w:ascii="Cambria" w:hAnsi="Cambria"/>
          <w:i w:val="0"/>
          <w:sz w:val="20"/>
          <w:szCs w:val="20"/>
        </w:rPr>
        <w:t>Jathay</w:t>
      </w:r>
      <w:proofErr w:type="spellEnd"/>
      <w:r w:rsidRPr="00E72405">
        <w:rPr>
          <w:rStyle w:val="Emphasis"/>
          <w:rFonts w:ascii="Cambria" w:hAnsi="Cambria"/>
          <w:i w:val="0"/>
          <w:sz w:val="20"/>
          <w:szCs w:val="20"/>
        </w:rPr>
        <w:t xml:space="preserve"> Duque Estrada and he learned that their names had been mentioned in the official note issued by the Second Army</w:t>
      </w:r>
      <w:r w:rsidRPr="00E72405">
        <w:rPr>
          <w:rStyle w:val="Emphasis"/>
          <w:rFonts w:ascii="Cambria" w:hAnsi="Cambria"/>
          <w:sz w:val="20"/>
          <w:szCs w:val="20"/>
        </w:rPr>
        <w:t xml:space="preserve"> </w:t>
      </w:r>
      <w:r w:rsidRPr="00E72405">
        <w:rPr>
          <w:rStyle w:val="Emphasis"/>
          <w:rFonts w:ascii="Cambria" w:hAnsi="Cambria"/>
          <w:i w:val="0"/>
          <w:sz w:val="20"/>
          <w:szCs w:val="20"/>
        </w:rPr>
        <w:t>as having “informed on Vladimir Herzog.”</w:t>
      </w:r>
      <w:r w:rsidRPr="00E72405">
        <w:rPr>
          <w:rStyle w:val="FootnoteReference"/>
          <w:rFonts w:ascii="Cambria" w:hAnsi="Cambria"/>
          <w:sz w:val="20"/>
          <w:szCs w:val="20"/>
        </w:rPr>
        <w:footnoteReference w:id="117"/>
      </w:r>
      <w:r w:rsidRPr="00E72405">
        <w:rPr>
          <w:rStyle w:val="Emphasis"/>
          <w:rFonts w:ascii="Cambria" w:hAnsi="Cambria"/>
          <w:i w:val="0"/>
          <w:sz w:val="20"/>
          <w:szCs w:val="20"/>
        </w:rPr>
        <w:t xml:space="preserve"> He also stated that upon their return to the DOI/CODI/SP, they demanded “that the note be corrected,” only to be threatened by a person identified as “Dr. Paul</w:t>
      </w:r>
      <w:r w:rsidR="00E721F9" w:rsidRPr="00E72405">
        <w:rPr>
          <w:rStyle w:val="Emphasis"/>
          <w:rFonts w:ascii="Cambria" w:hAnsi="Cambria"/>
          <w:i w:val="0"/>
          <w:sz w:val="20"/>
          <w:szCs w:val="20"/>
        </w:rPr>
        <w:t>o</w:t>
      </w:r>
      <w:r w:rsidRPr="00E72405">
        <w:rPr>
          <w:rStyle w:val="Emphasis"/>
          <w:rFonts w:ascii="Cambria" w:hAnsi="Cambria"/>
          <w:i w:val="0"/>
          <w:sz w:val="20"/>
          <w:szCs w:val="20"/>
        </w:rPr>
        <w:t xml:space="preserve">”.  According to </w:t>
      </w:r>
      <w:proofErr w:type="spellStart"/>
      <w:r w:rsidRPr="00E72405">
        <w:rPr>
          <w:rStyle w:val="Emphasis"/>
          <w:rFonts w:ascii="Cambria" w:hAnsi="Cambria"/>
          <w:i w:val="0"/>
          <w:sz w:val="20"/>
          <w:szCs w:val="20"/>
        </w:rPr>
        <w:t>Konder</w:t>
      </w:r>
      <w:proofErr w:type="spellEnd"/>
      <w:r w:rsidRPr="00E72405">
        <w:rPr>
          <w:rStyle w:val="Emphasis"/>
          <w:rFonts w:ascii="Cambria" w:hAnsi="Cambria"/>
          <w:i w:val="0"/>
          <w:sz w:val="20"/>
          <w:szCs w:val="20"/>
        </w:rPr>
        <w:t>, “Dr. Paul</w:t>
      </w:r>
      <w:r w:rsidR="00E721F9" w:rsidRPr="00E72405">
        <w:rPr>
          <w:rStyle w:val="Emphasis"/>
          <w:rFonts w:ascii="Cambria" w:hAnsi="Cambria"/>
          <w:i w:val="0"/>
          <w:sz w:val="20"/>
          <w:szCs w:val="20"/>
        </w:rPr>
        <w:t>o</w:t>
      </w:r>
      <w:r w:rsidRPr="00E72405">
        <w:rPr>
          <w:rStyle w:val="Emphasis"/>
          <w:rFonts w:ascii="Cambria" w:hAnsi="Cambria"/>
          <w:i w:val="0"/>
          <w:sz w:val="20"/>
          <w:szCs w:val="20"/>
        </w:rPr>
        <w:t>” told them that “the Second Army’s note had placed them in an extremely dangerous situation, because they could at any moment be ‘executed’ by members of the Communist Party.”</w:t>
      </w:r>
      <w:r w:rsidRPr="00E72405">
        <w:rPr>
          <w:rStyle w:val="FootnoteReference"/>
          <w:rFonts w:ascii="Cambria" w:hAnsi="Cambria"/>
          <w:sz w:val="20"/>
          <w:szCs w:val="20"/>
          <w:lang w:val="es-ES_tradnl"/>
        </w:rPr>
        <w:footnoteReference w:id="118"/>
      </w:r>
    </w:p>
    <w:p w:rsidR="007F35B9" w:rsidRPr="00E72405" w:rsidRDefault="007F35B9" w:rsidP="007F35B9">
      <w:pPr>
        <w:spacing w:after="0" w:line="240" w:lineRule="auto"/>
        <w:ind w:left="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lastRenderedPageBreak/>
        <w:t>The Special Commission on Political Deaths and Disappearances stated that Vladimir Herzog’s torture and death became “the straw that broke the camel’s back and unleashed a strong reaction among the public, the press and civil society as a whole protesting the repeated use of discredited claims (of suicide) to try to cover up what had become routine practice in the dungeons of the regime.”</w:t>
      </w:r>
      <w:r w:rsidRPr="00E72405">
        <w:rPr>
          <w:rStyle w:val="FootnoteReference"/>
          <w:rFonts w:ascii="Cambria" w:hAnsi="Cambria"/>
          <w:i/>
          <w:sz w:val="20"/>
          <w:szCs w:val="20"/>
        </w:rPr>
        <w:footnoteReference w:id="119"/>
      </w:r>
      <w:r w:rsidRPr="00E72405">
        <w:rPr>
          <w:rStyle w:val="Emphasis"/>
          <w:rFonts w:ascii="Cambria" w:hAnsi="Cambria"/>
          <w:i w:val="0"/>
          <w:sz w:val="20"/>
          <w:szCs w:val="20"/>
        </w:rPr>
        <w:t xml:space="preserve">  Upon learning of Vladimir Herzog’s death, a number of journalists “brought newsrooms all over </w:t>
      </w:r>
      <w:r w:rsidRPr="00E72405">
        <w:rPr>
          <w:rFonts w:ascii="Cambria" w:hAnsi="Cambria"/>
          <w:sz w:val="20"/>
          <w:szCs w:val="20"/>
        </w:rPr>
        <w:t>São Paulo to a standstill.”</w:t>
      </w:r>
      <w:r w:rsidRPr="00E72405">
        <w:rPr>
          <w:rStyle w:val="FootnoteReference"/>
          <w:rFonts w:ascii="Cambria" w:hAnsi="Cambria"/>
          <w:sz w:val="20"/>
          <w:szCs w:val="20"/>
        </w:rPr>
        <w:footnoteReference w:id="120"/>
      </w:r>
      <w:r w:rsidRPr="00E72405">
        <w:rPr>
          <w:rFonts w:ascii="Cambria" w:hAnsi="Cambria"/>
          <w:sz w:val="20"/>
          <w:szCs w:val="20"/>
        </w:rPr>
        <w:t xml:space="preserve">  The Journalists Union started a round-the-clock vigil and 30 thousand protesting students paralyzed the Pontifical Catholic University (PUC), the University of São</w:t>
      </w:r>
      <w:r w:rsidRPr="00E72405">
        <w:rPr>
          <w:rStyle w:val="Emphasis"/>
          <w:rFonts w:ascii="Cambria" w:hAnsi="Cambria"/>
          <w:i w:val="0"/>
          <w:sz w:val="20"/>
          <w:szCs w:val="20"/>
        </w:rPr>
        <w:t xml:space="preserve"> Paulo and the </w:t>
      </w:r>
      <w:proofErr w:type="spellStart"/>
      <w:r w:rsidRPr="00E72405">
        <w:rPr>
          <w:rStyle w:val="Emphasis"/>
          <w:rFonts w:ascii="Cambria" w:hAnsi="Cambria"/>
          <w:i w:val="0"/>
          <w:sz w:val="20"/>
          <w:szCs w:val="20"/>
        </w:rPr>
        <w:t>Getulio</w:t>
      </w:r>
      <w:proofErr w:type="spellEnd"/>
      <w:r w:rsidRPr="00E72405">
        <w:rPr>
          <w:rStyle w:val="Emphasis"/>
          <w:rFonts w:ascii="Cambria" w:hAnsi="Cambria"/>
          <w:i w:val="0"/>
          <w:sz w:val="20"/>
          <w:szCs w:val="20"/>
        </w:rPr>
        <w:t xml:space="preserve"> Vargas Foundation.</w:t>
      </w:r>
      <w:r w:rsidRPr="00E72405">
        <w:rPr>
          <w:rStyle w:val="FootnoteReference"/>
          <w:rFonts w:ascii="Cambria" w:hAnsi="Cambria"/>
          <w:i/>
          <w:sz w:val="20"/>
          <w:szCs w:val="20"/>
        </w:rPr>
        <w:footnoteReference w:id="121"/>
      </w:r>
      <w:r w:rsidRPr="00E72405">
        <w:rPr>
          <w:rStyle w:val="Emphasis"/>
          <w:rFonts w:ascii="Cambria" w:hAnsi="Cambria"/>
          <w:i w:val="0"/>
          <w:sz w:val="20"/>
          <w:szCs w:val="20"/>
        </w:rPr>
        <w:t xml:space="preserve">  Despite the attempt by the commander of the Second Army to close the main avenues leading to “</w:t>
      </w:r>
      <w:proofErr w:type="spellStart"/>
      <w:r w:rsidRPr="00E72405">
        <w:rPr>
          <w:rStyle w:val="Emphasis"/>
          <w:rFonts w:ascii="Cambria" w:hAnsi="Cambria"/>
          <w:i w:val="0"/>
          <w:sz w:val="20"/>
          <w:szCs w:val="20"/>
        </w:rPr>
        <w:t>Praça</w:t>
      </w:r>
      <w:proofErr w:type="spellEnd"/>
      <w:r w:rsidRPr="00E72405">
        <w:rPr>
          <w:rStyle w:val="Emphasis"/>
          <w:rFonts w:ascii="Cambria" w:hAnsi="Cambria"/>
          <w:i w:val="0"/>
          <w:sz w:val="20"/>
          <w:szCs w:val="20"/>
        </w:rPr>
        <w:t xml:space="preserve"> da </w:t>
      </w:r>
      <w:proofErr w:type="spellStart"/>
      <w:r w:rsidRPr="00E72405">
        <w:rPr>
          <w:rStyle w:val="Emphasis"/>
          <w:rFonts w:ascii="Cambria" w:hAnsi="Cambria"/>
          <w:i w:val="0"/>
          <w:sz w:val="20"/>
          <w:szCs w:val="20"/>
        </w:rPr>
        <w:t>Sé</w:t>
      </w:r>
      <w:proofErr w:type="spellEnd"/>
      <w:r w:rsidRPr="00E72405">
        <w:rPr>
          <w:rStyle w:val="Emphasis"/>
          <w:rFonts w:ascii="Cambria" w:hAnsi="Cambria"/>
          <w:i w:val="0"/>
          <w:sz w:val="20"/>
          <w:szCs w:val="20"/>
        </w:rPr>
        <w:t>” to avoid demonstrations during an ecumenical service held at the “</w:t>
      </w:r>
      <w:proofErr w:type="spellStart"/>
      <w:r w:rsidRPr="00E72405">
        <w:rPr>
          <w:rStyle w:val="Emphasis"/>
          <w:rFonts w:ascii="Cambria" w:hAnsi="Cambria"/>
          <w:i w:val="0"/>
          <w:sz w:val="20"/>
          <w:szCs w:val="20"/>
        </w:rPr>
        <w:t>Catedral</w:t>
      </w:r>
      <w:proofErr w:type="spellEnd"/>
      <w:r w:rsidRPr="00E72405">
        <w:rPr>
          <w:rStyle w:val="Emphasis"/>
          <w:rFonts w:ascii="Cambria" w:hAnsi="Cambria"/>
          <w:i w:val="0"/>
          <w:sz w:val="20"/>
          <w:szCs w:val="20"/>
        </w:rPr>
        <w:t xml:space="preserve"> da </w:t>
      </w:r>
      <w:proofErr w:type="spellStart"/>
      <w:r w:rsidRPr="00E72405">
        <w:rPr>
          <w:rStyle w:val="Emphasis"/>
          <w:rFonts w:ascii="Cambria" w:hAnsi="Cambria"/>
          <w:i w:val="0"/>
          <w:sz w:val="20"/>
          <w:szCs w:val="20"/>
        </w:rPr>
        <w:t>Sé</w:t>
      </w:r>
      <w:proofErr w:type="spellEnd"/>
      <w:r w:rsidRPr="00E72405">
        <w:rPr>
          <w:rStyle w:val="Emphasis"/>
          <w:rFonts w:ascii="Cambria" w:hAnsi="Cambria"/>
          <w:i w:val="0"/>
          <w:sz w:val="20"/>
          <w:szCs w:val="20"/>
        </w:rPr>
        <w:t>,” to pay tribute to the journalist, around 8,000 people attended the service.</w:t>
      </w:r>
      <w:r w:rsidRPr="00E72405">
        <w:rPr>
          <w:rStyle w:val="FootnoteReference"/>
          <w:rFonts w:ascii="Cambria" w:hAnsi="Cambria"/>
          <w:i/>
          <w:sz w:val="20"/>
          <w:szCs w:val="20"/>
        </w:rPr>
        <w:footnoteReference w:id="122"/>
      </w:r>
      <w:r w:rsidRPr="00E72405">
        <w:rPr>
          <w:rStyle w:val="Emphasis"/>
          <w:rFonts w:ascii="Cambria" w:hAnsi="Cambria"/>
          <w:i w:val="0"/>
          <w:sz w:val="20"/>
          <w:szCs w:val="20"/>
        </w:rPr>
        <w:t xml:space="preserve">  The assassination of Vladimir Herzog was thus “one of the most widely publicized and documented during the years of the dictatorship and is regarded as a turning point in the resistance movement.”</w:t>
      </w:r>
      <w:r w:rsidRPr="00E72405">
        <w:rPr>
          <w:rStyle w:val="FootnoteReference"/>
          <w:rFonts w:ascii="Cambria" w:hAnsi="Cambria"/>
          <w:i/>
          <w:sz w:val="20"/>
          <w:szCs w:val="20"/>
        </w:rPr>
        <w:footnoteReference w:id="123"/>
      </w:r>
      <w:r w:rsidRPr="00E72405">
        <w:rPr>
          <w:rStyle w:val="Emphasis"/>
          <w:rFonts w:ascii="Cambria" w:hAnsi="Cambria"/>
          <w:i w:val="0"/>
          <w:sz w:val="20"/>
          <w:szCs w:val="20"/>
        </w:rPr>
        <w:t xml:space="preserve"> </w:t>
      </w:r>
    </w:p>
    <w:p w:rsidR="007F35B9" w:rsidRPr="00E72405" w:rsidRDefault="007F35B9" w:rsidP="007F35B9">
      <w:pPr>
        <w:spacing w:after="0" w:line="240" w:lineRule="auto"/>
        <w:ind w:left="720"/>
        <w:jc w:val="both"/>
        <w:rPr>
          <w:rStyle w:val="Emphasis"/>
          <w:rFonts w:ascii="Cambria" w:hAnsi="Cambria"/>
          <w:b/>
          <w:bCs/>
          <w:sz w:val="20"/>
          <w:szCs w:val="20"/>
        </w:rPr>
      </w:pPr>
    </w:p>
    <w:p w:rsidR="007F35B9" w:rsidRPr="00E72405" w:rsidRDefault="007F35B9" w:rsidP="006B64E9">
      <w:pPr>
        <w:pStyle w:val="Heading2"/>
        <w:rPr>
          <w:rStyle w:val="Emphasis"/>
          <w:b w:val="0"/>
          <w:bCs w:val="0"/>
          <w:i w:val="0"/>
        </w:rPr>
      </w:pPr>
      <w:bookmarkStart w:id="16" w:name="_Toc433359802"/>
      <w:r w:rsidRPr="00E72405">
        <w:rPr>
          <w:rStyle w:val="Emphasis"/>
          <w:i w:val="0"/>
        </w:rPr>
        <w:t>Domestic proceedings</w:t>
      </w:r>
      <w:bookmarkEnd w:id="16"/>
    </w:p>
    <w:p w:rsidR="007F35B9" w:rsidRPr="00E72405" w:rsidRDefault="007F35B9" w:rsidP="007F35B9">
      <w:pPr>
        <w:keepNext/>
        <w:widowControl w:val="0"/>
        <w:tabs>
          <w:tab w:val="left" w:pos="1440"/>
        </w:tabs>
        <w:spacing w:after="0" w:line="240" w:lineRule="auto"/>
        <w:ind w:firstLine="720"/>
        <w:jc w:val="both"/>
        <w:rPr>
          <w:rStyle w:val="Emphasis"/>
          <w:bCs/>
          <w:i w:val="0"/>
          <w:sz w:val="20"/>
          <w:szCs w:val="20"/>
        </w:rPr>
      </w:pPr>
    </w:p>
    <w:p w:rsidR="007F35B9" w:rsidRPr="00E72405" w:rsidRDefault="007F35B9" w:rsidP="006B64E9">
      <w:pPr>
        <w:pStyle w:val="Heading3"/>
        <w:rPr>
          <w:rStyle w:val="Emphasis"/>
          <w:i w:val="0"/>
          <w:iCs w:val="0"/>
        </w:rPr>
      </w:pPr>
      <w:bookmarkStart w:id="17" w:name="_Toc433359803"/>
      <w:r w:rsidRPr="00E72405">
        <w:rPr>
          <w:rStyle w:val="Emphasis"/>
          <w:i w:val="0"/>
          <w:iCs w:val="0"/>
        </w:rPr>
        <w:t>The investigation by the Military Police</w:t>
      </w:r>
      <w:bookmarkEnd w:id="17"/>
      <w:r w:rsidRPr="00E72405">
        <w:rPr>
          <w:rStyle w:val="Emphasis"/>
          <w:i w:val="0"/>
          <w:iCs w:val="0"/>
        </w:rPr>
        <w:t xml:space="preserve"> </w:t>
      </w:r>
    </w:p>
    <w:p w:rsidR="007F35B9" w:rsidRPr="00E72405" w:rsidRDefault="007F35B9" w:rsidP="007F35B9">
      <w:pPr>
        <w:keepNext/>
        <w:widowControl w:val="0"/>
        <w:tabs>
          <w:tab w:val="left" w:pos="1440"/>
        </w:tabs>
        <w:spacing w:after="0" w:line="240" w:lineRule="auto"/>
        <w:ind w:firstLine="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Because of the impact that news of Vladimir Herzog’s death had on public opinion, on October 30, 1975 the General Commander of the Second Army issued Order [</w:t>
      </w:r>
      <w:proofErr w:type="spellStart"/>
      <w:r w:rsidRPr="00E72405">
        <w:rPr>
          <w:rStyle w:val="Emphasis"/>
          <w:rFonts w:ascii="Cambria" w:hAnsi="Cambria"/>
          <w:i w:val="0"/>
          <w:sz w:val="20"/>
          <w:szCs w:val="20"/>
        </w:rPr>
        <w:t>Portaria</w:t>
      </w:r>
      <w:proofErr w:type="spellEnd"/>
      <w:r w:rsidRPr="00E72405">
        <w:rPr>
          <w:rStyle w:val="Emphasis"/>
          <w:rFonts w:ascii="Cambria" w:hAnsi="Cambria"/>
          <w:i w:val="0"/>
          <w:sz w:val="20"/>
          <w:szCs w:val="20"/>
        </w:rPr>
        <w:t>] No 03-SJ to “determine the circumstances surrounding the suicide of journalist [Vladimir Herzog].”</w:t>
      </w:r>
      <w:r w:rsidRPr="00E72405">
        <w:rPr>
          <w:rStyle w:val="FootnoteReference"/>
          <w:rFonts w:ascii="Cambria" w:hAnsi="Cambria"/>
          <w:i/>
          <w:sz w:val="20"/>
          <w:szCs w:val="20"/>
        </w:rPr>
        <w:footnoteReference w:id="124"/>
      </w:r>
      <w:r w:rsidRPr="00E72405">
        <w:rPr>
          <w:rStyle w:val="Emphasis"/>
          <w:rFonts w:ascii="Cambria" w:hAnsi="Cambria"/>
          <w:i w:val="0"/>
          <w:sz w:val="20"/>
          <w:szCs w:val="20"/>
        </w:rPr>
        <w:t xml:space="preserve"> </w:t>
      </w:r>
    </w:p>
    <w:p w:rsidR="007F35B9" w:rsidRPr="00E72405" w:rsidRDefault="007F35B9" w:rsidP="007F35B9">
      <w:pPr>
        <w:spacing w:after="0" w:line="240" w:lineRule="auto"/>
        <w:ind w:left="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 xml:space="preserve"> The military police investigation began on October 31, 1975, and was headed by Brigadier General Fernando </w:t>
      </w:r>
      <w:proofErr w:type="spellStart"/>
      <w:r w:rsidRPr="00E72405">
        <w:rPr>
          <w:rStyle w:val="Emphasis"/>
          <w:rFonts w:ascii="Cambria" w:hAnsi="Cambria"/>
          <w:i w:val="0"/>
          <w:sz w:val="20"/>
          <w:szCs w:val="20"/>
        </w:rPr>
        <w:t>Guimarães</w:t>
      </w:r>
      <w:proofErr w:type="spellEnd"/>
      <w:r w:rsidRPr="00E72405">
        <w:rPr>
          <w:rStyle w:val="Emphasis"/>
          <w:rFonts w:ascii="Cambria" w:hAnsi="Cambria"/>
          <w:i w:val="0"/>
          <w:sz w:val="20"/>
          <w:szCs w:val="20"/>
        </w:rPr>
        <w:t xml:space="preserve"> de </w:t>
      </w:r>
      <w:proofErr w:type="spellStart"/>
      <w:r w:rsidRPr="00E72405">
        <w:rPr>
          <w:rStyle w:val="Emphasis"/>
          <w:rFonts w:ascii="Cambria" w:hAnsi="Cambria"/>
          <w:i w:val="0"/>
          <w:sz w:val="20"/>
          <w:szCs w:val="20"/>
        </w:rPr>
        <w:t>Cerqueira</w:t>
      </w:r>
      <w:proofErr w:type="spellEnd"/>
      <w:r w:rsidRPr="00E72405">
        <w:rPr>
          <w:rStyle w:val="Emphasis"/>
          <w:rFonts w:ascii="Cambria" w:hAnsi="Cambria"/>
          <w:i w:val="0"/>
          <w:sz w:val="20"/>
          <w:szCs w:val="20"/>
        </w:rPr>
        <w:t xml:space="preserve"> Lima.</w:t>
      </w:r>
      <w:r w:rsidRPr="00E72405">
        <w:rPr>
          <w:rStyle w:val="FootnoteReference"/>
          <w:rFonts w:ascii="Cambria" w:hAnsi="Cambria"/>
          <w:i/>
          <w:sz w:val="20"/>
          <w:szCs w:val="20"/>
        </w:rPr>
        <w:footnoteReference w:id="125"/>
      </w:r>
      <w:r w:rsidRPr="00E72405">
        <w:rPr>
          <w:rStyle w:val="Emphasis"/>
          <w:rFonts w:ascii="Cambria" w:hAnsi="Cambria"/>
          <w:i w:val="0"/>
          <w:sz w:val="20"/>
          <w:szCs w:val="20"/>
        </w:rPr>
        <w:t>Participating was the Military Prosecutor [Promotor] representing the Military Prosecutor General’s Office, who at the time was the Legal Advisor to the Second Army Command.</w:t>
      </w:r>
      <w:r w:rsidRPr="00E72405">
        <w:rPr>
          <w:rStyle w:val="FootnoteReference"/>
          <w:rFonts w:ascii="Cambria" w:hAnsi="Cambria"/>
          <w:i/>
          <w:sz w:val="20"/>
          <w:szCs w:val="20"/>
        </w:rPr>
        <w:footnoteReference w:id="126"/>
      </w:r>
      <w:r w:rsidRPr="00E72405">
        <w:rPr>
          <w:rStyle w:val="Emphasis"/>
          <w:rFonts w:ascii="Cambria" w:hAnsi="Cambria"/>
          <w:i w:val="0"/>
          <w:sz w:val="20"/>
          <w:szCs w:val="20"/>
        </w:rPr>
        <w:t xml:space="preserve">  Furthermore, the record of the autopsy signed by </w:t>
      </w:r>
      <w:proofErr w:type="spellStart"/>
      <w:r w:rsidRPr="00E72405">
        <w:rPr>
          <w:rStyle w:val="Emphasis"/>
          <w:rFonts w:ascii="Cambria" w:hAnsi="Cambria"/>
          <w:i w:val="0"/>
          <w:sz w:val="20"/>
          <w:szCs w:val="20"/>
        </w:rPr>
        <w:t>Arildo</w:t>
      </w:r>
      <w:proofErr w:type="spellEnd"/>
      <w:r w:rsidRPr="00E72405">
        <w:rPr>
          <w:rStyle w:val="Emphasis"/>
          <w:rFonts w:ascii="Cambria" w:hAnsi="Cambria"/>
          <w:i w:val="0"/>
          <w:sz w:val="20"/>
          <w:szCs w:val="20"/>
        </w:rPr>
        <w:t xml:space="preserve"> </w:t>
      </w:r>
      <w:proofErr w:type="spellStart"/>
      <w:r w:rsidRPr="00E72405">
        <w:rPr>
          <w:rStyle w:val="Emphasis"/>
          <w:rFonts w:ascii="Cambria" w:hAnsi="Cambria"/>
          <w:i w:val="0"/>
          <w:sz w:val="20"/>
          <w:szCs w:val="20"/>
        </w:rPr>
        <w:t>Viana</w:t>
      </w:r>
      <w:proofErr w:type="spellEnd"/>
      <w:r w:rsidRPr="00E72405">
        <w:rPr>
          <w:rStyle w:val="Emphasis"/>
          <w:rFonts w:ascii="Cambria" w:hAnsi="Cambria"/>
          <w:i w:val="0"/>
          <w:sz w:val="20"/>
          <w:szCs w:val="20"/>
        </w:rPr>
        <w:t xml:space="preserve"> and Harry Shibata on October 27, 1975,</w:t>
      </w:r>
      <w:r w:rsidRPr="00E72405">
        <w:rPr>
          <w:rStyle w:val="FootnoteReference"/>
          <w:rFonts w:ascii="Cambria" w:hAnsi="Cambria"/>
          <w:i/>
          <w:sz w:val="20"/>
          <w:szCs w:val="20"/>
        </w:rPr>
        <w:footnoteReference w:id="127"/>
      </w:r>
      <w:r w:rsidRPr="00E72405">
        <w:rPr>
          <w:rStyle w:val="Emphasis"/>
          <w:rFonts w:ascii="Cambria" w:hAnsi="Cambria"/>
          <w:i w:val="0"/>
          <w:sz w:val="20"/>
          <w:szCs w:val="20"/>
        </w:rPr>
        <w:t xml:space="preserve"> and the report dated October 25, 1975 on the autopsy performed after the death of Vladimir Herzog, were sent to the IPM.</w:t>
      </w:r>
      <w:r w:rsidRPr="00E72405">
        <w:rPr>
          <w:rStyle w:val="FootnoteReference"/>
          <w:rFonts w:ascii="Cambria" w:hAnsi="Cambria"/>
          <w:i/>
          <w:sz w:val="20"/>
          <w:szCs w:val="20"/>
        </w:rPr>
        <w:footnoteReference w:id="128"/>
      </w:r>
      <w:r w:rsidRPr="00E72405">
        <w:rPr>
          <w:rStyle w:val="Emphasis"/>
          <w:rFonts w:ascii="Cambria" w:hAnsi="Cambria"/>
          <w:i w:val="0"/>
          <w:sz w:val="20"/>
          <w:szCs w:val="20"/>
        </w:rPr>
        <w:t xml:space="preserve">  According to the report, “</w:t>
      </w:r>
      <w:proofErr w:type="spellStart"/>
      <w:r w:rsidRPr="00E72405">
        <w:rPr>
          <w:rStyle w:val="Emphasis"/>
          <w:rFonts w:ascii="Cambria" w:hAnsi="Cambria"/>
          <w:i w:val="0"/>
          <w:sz w:val="20"/>
          <w:szCs w:val="20"/>
        </w:rPr>
        <w:t>Capi</w:t>
      </w:r>
      <w:r w:rsidRPr="00E72405">
        <w:rPr>
          <w:rFonts w:ascii="Cambria" w:hAnsi="Cambria"/>
          <w:sz w:val="20"/>
          <w:szCs w:val="20"/>
        </w:rPr>
        <w:t>tão</w:t>
      </w:r>
      <w:proofErr w:type="spellEnd"/>
      <w:r w:rsidRPr="00E72405">
        <w:rPr>
          <w:rStyle w:val="Emphasis"/>
          <w:rFonts w:ascii="Cambria" w:hAnsi="Cambria"/>
          <w:i w:val="0"/>
          <w:sz w:val="20"/>
          <w:szCs w:val="20"/>
        </w:rPr>
        <w:t xml:space="preserve"> </w:t>
      </w:r>
      <w:proofErr w:type="spellStart"/>
      <w:r w:rsidRPr="00E72405">
        <w:rPr>
          <w:rStyle w:val="Emphasis"/>
          <w:rFonts w:ascii="Cambria" w:hAnsi="Cambria"/>
          <w:i w:val="0"/>
          <w:sz w:val="20"/>
          <w:szCs w:val="20"/>
        </w:rPr>
        <w:t>Ubirajara</w:t>
      </w:r>
      <w:proofErr w:type="spellEnd"/>
      <w:r w:rsidRPr="00E72405">
        <w:rPr>
          <w:rStyle w:val="Emphasis"/>
          <w:rFonts w:ascii="Cambria" w:hAnsi="Cambria"/>
          <w:i w:val="0"/>
          <w:sz w:val="20"/>
          <w:szCs w:val="20"/>
        </w:rPr>
        <w:t>” was the person who discovered the body of Herzog at the DOI/CODI/ SP.</w:t>
      </w:r>
      <w:r w:rsidRPr="00E72405">
        <w:rPr>
          <w:rStyle w:val="FootnoteReference"/>
          <w:rFonts w:ascii="Cambria" w:hAnsi="Cambria"/>
          <w:i/>
          <w:sz w:val="20"/>
          <w:szCs w:val="20"/>
        </w:rPr>
        <w:footnoteReference w:id="129"/>
      </w:r>
      <w:r w:rsidRPr="00E72405">
        <w:rPr>
          <w:rStyle w:val="Emphasis"/>
          <w:rFonts w:ascii="Cambria" w:hAnsi="Cambria"/>
          <w:i w:val="0"/>
          <w:sz w:val="20"/>
          <w:szCs w:val="20"/>
        </w:rPr>
        <w:t xml:space="preserve">  The autopsy report also states that his death was by </w:t>
      </w:r>
      <w:r w:rsidRPr="00E72405">
        <w:rPr>
          <w:rStyle w:val="Emphasis"/>
          <w:rFonts w:ascii="Cambria" w:hAnsi="Cambria"/>
          <w:i w:val="0"/>
          <w:sz w:val="20"/>
          <w:szCs w:val="20"/>
        </w:rPr>
        <w:lastRenderedPageBreak/>
        <w:t>suicide.  Later, expert Harry Shibata testified at trial that he never saw Vladimir Herzog’s body.</w:t>
      </w:r>
      <w:r w:rsidRPr="00E72405">
        <w:rPr>
          <w:rStyle w:val="FootnoteReference"/>
          <w:rFonts w:ascii="Cambria" w:hAnsi="Cambria"/>
          <w:i/>
          <w:sz w:val="20"/>
          <w:szCs w:val="20"/>
        </w:rPr>
        <w:footnoteReference w:id="130"/>
      </w:r>
      <w:r w:rsidR="00093D4A" w:rsidRPr="00E72405">
        <w:rPr>
          <w:rFonts w:ascii="Cambria" w:hAnsi="Cambria"/>
          <w:i/>
          <w:sz w:val="20"/>
          <w:szCs w:val="20"/>
        </w:rPr>
        <w:t xml:space="preserve"> </w:t>
      </w:r>
      <w:r w:rsidR="00AB7D9B" w:rsidRPr="00E72405">
        <w:rPr>
          <w:rStyle w:val="Emphasis"/>
          <w:rFonts w:ascii="Cambria" w:hAnsi="Cambria"/>
          <w:i w:val="0"/>
          <w:sz w:val="20"/>
          <w:szCs w:val="20"/>
          <w:lang w:val="es-ES_tradnl"/>
        </w:rPr>
        <w:t>(infra párr. 105</w:t>
      </w:r>
      <w:r w:rsidR="00093D4A" w:rsidRPr="00E72405">
        <w:rPr>
          <w:rStyle w:val="Emphasis"/>
          <w:rFonts w:ascii="Cambria" w:hAnsi="Cambria"/>
          <w:i w:val="0"/>
          <w:sz w:val="20"/>
          <w:szCs w:val="20"/>
          <w:lang w:val="es-ES_tradnl"/>
        </w:rPr>
        <w:t>)</w:t>
      </w:r>
      <w:r w:rsidRPr="00E72405">
        <w:rPr>
          <w:rStyle w:val="Emphasis"/>
          <w:rFonts w:ascii="Cambria" w:hAnsi="Cambria"/>
          <w:i w:val="0"/>
          <w:sz w:val="20"/>
          <w:szCs w:val="20"/>
        </w:rPr>
        <w:t xml:space="preserve"> </w:t>
      </w:r>
    </w:p>
    <w:p w:rsidR="007F35B9" w:rsidRPr="00E72405" w:rsidRDefault="007F35B9" w:rsidP="00E521FD">
      <w:pPr>
        <w:spacing w:after="0" w:line="240" w:lineRule="auto"/>
        <w:jc w:val="both"/>
        <w:rPr>
          <w:rStyle w:val="Emphasis"/>
          <w:b/>
          <w:bCs/>
          <w:sz w:val="20"/>
          <w:szCs w:val="20"/>
        </w:rPr>
      </w:pPr>
    </w:p>
    <w:p w:rsidR="007F35B9" w:rsidRPr="00E72405" w:rsidRDefault="00A9594E" w:rsidP="00E658CD">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In the investigation’s framework, the j</w:t>
      </w:r>
      <w:r w:rsidR="007F35B9" w:rsidRPr="00E72405">
        <w:rPr>
          <w:rStyle w:val="Emphasis"/>
          <w:rFonts w:ascii="Cambria" w:hAnsi="Cambria"/>
          <w:i w:val="0"/>
          <w:sz w:val="20"/>
          <w:szCs w:val="20"/>
        </w:rPr>
        <w:t xml:space="preserve">ournalists George </w:t>
      </w:r>
      <w:proofErr w:type="spellStart"/>
      <w:r w:rsidR="007F35B9" w:rsidRPr="00E72405">
        <w:rPr>
          <w:rStyle w:val="Emphasis"/>
          <w:rFonts w:ascii="Cambria" w:hAnsi="Cambria"/>
          <w:i w:val="0"/>
          <w:sz w:val="20"/>
          <w:szCs w:val="20"/>
        </w:rPr>
        <w:t>Benigno</w:t>
      </w:r>
      <w:proofErr w:type="spellEnd"/>
      <w:r w:rsidR="007F35B9" w:rsidRPr="00E72405">
        <w:rPr>
          <w:rStyle w:val="Emphasis"/>
          <w:rFonts w:ascii="Cambria" w:hAnsi="Cambria"/>
          <w:i w:val="0"/>
          <w:sz w:val="20"/>
          <w:szCs w:val="20"/>
        </w:rPr>
        <w:t xml:space="preserve"> Duque Estrada and Rodolfo Osvaldo </w:t>
      </w:r>
      <w:proofErr w:type="spellStart"/>
      <w:r w:rsidR="007F35B9" w:rsidRPr="00E72405">
        <w:rPr>
          <w:rStyle w:val="Emphasis"/>
          <w:rFonts w:ascii="Cambria" w:hAnsi="Cambria"/>
          <w:i w:val="0"/>
          <w:sz w:val="20"/>
          <w:szCs w:val="20"/>
        </w:rPr>
        <w:t>Konder</w:t>
      </w:r>
      <w:proofErr w:type="spellEnd"/>
      <w:r w:rsidR="007F35B9" w:rsidRPr="00E72405">
        <w:rPr>
          <w:rStyle w:val="Emphasis"/>
          <w:rFonts w:ascii="Cambria" w:hAnsi="Cambria"/>
          <w:i w:val="0"/>
          <w:sz w:val="20"/>
          <w:szCs w:val="20"/>
        </w:rPr>
        <w:t xml:space="preserve">, who had been in custody at the Second Army’s DOI/CODI/SP since October 24, 1975, testified as witnesses in the presence of authorities from the headquarters of the Second Army Command on October 31, </w:t>
      </w:r>
      <w:proofErr w:type="gramStart"/>
      <w:r w:rsidR="007F35B9" w:rsidRPr="00E72405">
        <w:rPr>
          <w:rStyle w:val="Emphasis"/>
          <w:rFonts w:ascii="Cambria" w:hAnsi="Cambria"/>
          <w:i w:val="0"/>
          <w:sz w:val="20"/>
          <w:szCs w:val="20"/>
        </w:rPr>
        <w:t>1975.</w:t>
      </w:r>
      <w:proofErr w:type="gramEnd"/>
      <w:r w:rsidR="007F35B9" w:rsidRPr="00E72405">
        <w:rPr>
          <w:rStyle w:val="FootnoteReference"/>
          <w:rFonts w:ascii="Cambria" w:hAnsi="Cambria"/>
          <w:i/>
          <w:sz w:val="20"/>
          <w:szCs w:val="20"/>
        </w:rPr>
        <w:footnoteReference w:id="131"/>
      </w:r>
      <w:r w:rsidR="007F35B9" w:rsidRPr="00E72405">
        <w:rPr>
          <w:rStyle w:val="Emphasis"/>
          <w:rFonts w:ascii="Cambria" w:hAnsi="Cambria"/>
          <w:i w:val="0"/>
          <w:sz w:val="20"/>
          <w:szCs w:val="20"/>
        </w:rPr>
        <w:t xml:space="preserve">  The case file indicates that years later,</w:t>
      </w:r>
      <w:r w:rsidRPr="00E72405">
        <w:rPr>
          <w:rStyle w:val="Emphasis"/>
          <w:rFonts w:ascii="Cambria" w:hAnsi="Cambria"/>
          <w:i w:val="0"/>
          <w:sz w:val="20"/>
          <w:szCs w:val="20"/>
        </w:rPr>
        <w:t xml:space="preserve"> in the state police inquiry open</w:t>
      </w:r>
      <w:r w:rsidR="007F35B9" w:rsidRPr="00E72405">
        <w:rPr>
          <w:rStyle w:val="Emphasis"/>
          <w:rFonts w:ascii="Cambria" w:hAnsi="Cambria"/>
          <w:i w:val="0"/>
          <w:sz w:val="20"/>
          <w:szCs w:val="20"/>
        </w:rPr>
        <w:t xml:space="preserve"> in 1992</w:t>
      </w:r>
      <w:r w:rsidRPr="00E72405">
        <w:rPr>
          <w:rStyle w:val="Emphasis"/>
          <w:rFonts w:ascii="Cambria" w:hAnsi="Cambria"/>
          <w:i w:val="0"/>
          <w:sz w:val="20"/>
          <w:szCs w:val="20"/>
        </w:rPr>
        <w:t xml:space="preserve"> </w:t>
      </w:r>
      <w:r w:rsidR="00AB7D9B" w:rsidRPr="00E72405">
        <w:rPr>
          <w:rStyle w:val="Emphasis"/>
          <w:rFonts w:ascii="Cambria" w:hAnsi="Cambria"/>
          <w:i w:val="0"/>
          <w:sz w:val="20"/>
          <w:szCs w:val="20"/>
        </w:rPr>
        <w:t xml:space="preserve">(infra </w:t>
      </w:r>
      <w:proofErr w:type="spellStart"/>
      <w:r w:rsidR="00AB7D9B" w:rsidRPr="00E72405">
        <w:rPr>
          <w:rStyle w:val="Emphasis"/>
          <w:rFonts w:ascii="Cambria" w:hAnsi="Cambria"/>
          <w:i w:val="0"/>
          <w:sz w:val="20"/>
          <w:szCs w:val="20"/>
        </w:rPr>
        <w:t>párr</w:t>
      </w:r>
      <w:proofErr w:type="spellEnd"/>
      <w:r w:rsidR="00AB7D9B" w:rsidRPr="00E72405">
        <w:rPr>
          <w:rStyle w:val="Emphasis"/>
          <w:rFonts w:ascii="Cambria" w:hAnsi="Cambria"/>
          <w:i w:val="0"/>
          <w:sz w:val="20"/>
          <w:szCs w:val="20"/>
        </w:rPr>
        <w:t>. 118</w:t>
      </w:r>
      <w:r w:rsidRPr="00E72405">
        <w:rPr>
          <w:rStyle w:val="Emphasis"/>
          <w:rFonts w:ascii="Cambria" w:hAnsi="Cambria"/>
          <w:i w:val="0"/>
          <w:sz w:val="20"/>
          <w:szCs w:val="20"/>
        </w:rPr>
        <w:t>)</w:t>
      </w:r>
      <w:r w:rsidR="007F35B9" w:rsidRPr="00E72405">
        <w:rPr>
          <w:rStyle w:val="Emphasis"/>
          <w:rFonts w:ascii="Cambria" w:hAnsi="Cambria"/>
          <w:i w:val="0"/>
          <w:sz w:val="20"/>
          <w:szCs w:val="20"/>
        </w:rPr>
        <w:t xml:space="preserve">, </w:t>
      </w:r>
      <w:proofErr w:type="spellStart"/>
      <w:r w:rsidR="007F35B9" w:rsidRPr="00E72405">
        <w:rPr>
          <w:rStyle w:val="Emphasis"/>
          <w:rFonts w:ascii="Cambria" w:hAnsi="Cambria"/>
          <w:i w:val="0"/>
          <w:sz w:val="20"/>
          <w:szCs w:val="20"/>
        </w:rPr>
        <w:t>Konder</w:t>
      </w:r>
      <w:proofErr w:type="spellEnd"/>
      <w:r w:rsidR="007F35B9" w:rsidRPr="00E72405">
        <w:rPr>
          <w:rStyle w:val="Emphasis"/>
          <w:rFonts w:ascii="Cambria" w:hAnsi="Cambria"/>
          <w:i w:val="0"/>
          <w:sz w:val="20"/>
          <w:szCs w:val="20"/>
        </w:rPr>
        <w:t xml:space="preserve"> stated the following:  when he was interrogated about the events as part of the military investigation, he was already under stress because of the circumstances of the torture.  Moreover, the only persons present when he testified were military personnel; no attorney was present to represent him. Mindful that he would have to return to the DOI/CODI following his testimony, he thought that the prudent course of action was not to reveal the truth, i.e., the truth about his torture and Vladimir’s torture.</w:t>
      </w:r>
      <w:r w:rsidR="007F35B9" w:rsidRPr="00E72405">
        <w:rPr>
          <w:rStyle w:val="FootnoteReference"/>
          <w:rFonts w:ascii="Cambria" w:hAnsi="Cambria"/>
          <w:i/>
          <w:sz w:val="20"/>
          <w:szCs w:val="20"/>
        </w:rPr>
        <w:footnoteReference w:id="132"/>
      </w:r>
      <w:r w:rsidR="007F35B9" w:rsidRPr="00E72405">
        <w:rPr>
          <w:rStyle w:val="Emphasis"/>
          <w:rFonts w:ascii="Cambria" w:hAnsi="Cambria"/>
          <w:i w:val="0"/>
          <w:sz w:val="20"/>
          <w:szCs w:val="20"/>
        </w:rPr>
        <w:t xml:space="preserve">  For his part, Duque Estrada stated in 1992 that the majority of the statements he made during the military police investigation “[we]re false, because they were words put in his mouth by the Military Prosecutor in that military police investigation […], especially the witness’ statement to the effect that Vladimir had not been tortured, when in fact he was.”</w:t>
      </w:r>
      <w:r w:rsidR="007F35B9" w:rsidRPr="00E72405">
        <w:rPr>
          <w:rStyle w:val="FootnoteReference"/>
          <w:rFonts w:ascii="Cambria" w:hAnsi="Cambria"/>
          <w:i/>
          <w:sz w:val="20"/>
          <w:szCs w:val="20"/>
        </w:rPr>
        <w:footnoteReference w:id="133"/>
      </w:r>
      <w:r w:rsidR="007F35B9" w:rsidRPr="00E72405">
        <w:rPr>
          <w:rStyle w:val="Emphasis"/>
          <w:rFonts w:ascii="Cambria" w:hAnsi="Cambria"/>
          <w:i w:val="0"/>
          <w:sz w:val="20"/>
          <w:szCs w:val="20"/>
        </w:rPr>
        <w:t xml:space="preserve">  Duque Estrada also stated that “when he gave his testimony, he was not represented by counsel and was very much aware of the fact that he would have go back to the DOI/CODI/SP, which is why he tempered his accusations for fear of what might happen to him when he went back there.”</w:t>
      </w:r>
      <w:r w:rsidR="007F35B9" w:rsidRPr="00E72405">
        <w:rPr>
          <w:rStyle w:val="FootnoteReference"/>
          <w:rFonts w:ascii="Cambria" w:hAnsi="Cambria"/>
          <w:i/>
          <w:sz w:val="20"/>
          <w:szCs w:val="20"/>
        </w:rPr>
        <w:footnoteReference w:id="134"/>
      </w:r>
    </w:p>
    <w:p w:rsidR="007F35B9" w:rsidRPr="00E72405" w:rsidRDefault="007F35B9" w:rsidP="007F35B9">
      <w:pPr>
        <w:spacing w:after="0" w:line="240" w:lineRule="auto"/>
        <w:ind w:left="720"/>
        <w:jc w:val="both"/>
        <w:rPr>
          <w:rStyle w:val="Emphasis"/>
          <w:b/>
          <w:bCs/>
          <w:sz w:val="20"/>
          <w:szCs w:val="20"/>
        </w:rPr>
      </w:pPr>
    </w:p>
    <w:p w:rsidR="007F35B9" w:rsidRPr="00E72405" w:rsidRDefault="007F35B9" w:rsidP="00E658CD">
      <w:pPr>
        <w:numPr>
          <w:ilvl w:val="0"/>
          <w:numId w:val="6"/>
        </w:numPr>
        <w:spacing w:after="0" w:line="240" w:lineRule="auto"/>
        <w:ind w:left="0" w:firstLine="720"/>
        <w:jc w:val="both"/>
        <w:rPr>
          <w:rFonts w:ascii="Cambria" w:hAnsi="Cambria"/>
          <w:i/>
          <w:sz w:val="20"/>
          <w:szCs w:val="20"/>
        </w:rPr>
      </w:pPr>
      <w:r w:rsidRPr="00E72405">
        <w:rPr>
          <w:rStyle w:val="Emphasis"/>
          <w:rFonts w:ascii="Cambria" w:hAnsi="Cambria"/>
          <w:i w:val="0"/>
          <w:sz w:val="20"/>
          <w:szCs w:val="20"/>
        </w:rPr>
        <w:t>General Fernando Cerqueira requested that other measures be taken “so that there could be no criticism of how [the military police investigation] was run.”</w:t>
      </w:r>
      <w:r w:rsidRPr="00E72405">
        <w:rPr>
          <w:rStyle w:val="FootnoteReference"/>
          <w:rFonts w:ascii="Cambria" w:hAnsi="Cambria"/>
          <w:i/>
          <w:sz w:val="20"/>
          <w:szCs w:val="20"/>
        </w:rPr>
        <w:footnoteReference w:id="135"/>
      </w:r>
      <w:r w:rsidRPr="00E72405">
        <w:rPr>
          <w:rStyle w:val="Emphasis"/>
          <w:rFonts w:ascii="Cambria" w:hAnsi="Cambria"/>
          <w:i w:val="0"/>
          <w:sz w:val="20"/>
          <w:szCs w:val="20"/>
        </w:rPr>
        <w:t xml:space="preserve">  He ordered an additional forensics report,</w:t>
      </w:r>
      <w:r w:rsidRPr="00E72405">
        <w:rPr>
          <w:rStyle w:val="FootnoteReference"/>
          <w:rFonts w:ascii="Cambria" w:hAnsi="Cambria"/>
          <w:b/>
          <w:i/>
          <w:sz w:val="20"/>
          <w:szCs w:val="20"/>
        </w:rPr>
        <w:footnoteReference w:id="136"/>
      </w:r>
      <w:r w:rsidRPr="00E72405">
        <w:rPr>
          <w:rStyle w:val="Emphasis"/>
          <w:rFonts w:ascii="Cambria" w:hAnsi="Cambria"/>
          <w:i w:val="0"/>
          <w:sz w:val="20"/>
          <w:szCs w:val="20"/>
        </w:rPr>
        <w:t xml:space="preserve"> which was assigned to experts Armando </w:t>
      </w:r>
      <w:proofErr w:type="spellStart"/>
      <w:r w:rsidRPr="00E72405">
        <w:rPr>
          <w:rStyle w:val="Emphasis"/>
          <w:rFonts w:ascii="Cambria" w:hAnsi="Cambria"/>
          <w:i w:val="0"/>
          <w:sz w:val="20"/>
          <w:szCs w:val="20"/>
        </w:rPr>
        <w:t>Canger</w:t>
      </w:r>
      <w:proofErr w:type="spellEnd"/>
      <w:r w:rsidRPr="00E72405">
        <w:rPr>
          <w:rStyle w:val="Emphasis"/>
          <w:rFonts w:ascii="Cambria" w:hAnsi="Cambria"/>
          <w:i w:val="0"/>
          <w:sz w:val="20"/>
          <w:szCs w:val="20"/>
        </w:rPr>
        <w:t xml:space="preserve"> Rodrigues and </w:t>
      </w:r>
      <w:proofErr w:type="spellStart"/>
      <w:r w:rsidRPr="00E72405">
        <w:rPr>
          <w:rStyle w:val="Emphasis"/>
          <w:rFonts w:ascii="Cambria" w:hAnsi="Cambria"/>
          <w:i w:val="0"/>
          <w:sz w:val="20"/>
          <w:szCs w:val="20"/>
        </w:rPr>
        <w:t>Arildo</w:t>
      </w:r>
      <w:proofErr w:type="spellEnd"/>
      <w:r w:rsidRPr="00E72405">
        <w:rPr>
          <w:rStyle w:val="Emphasis"/>
          <w:rFonts w:ascii="Cambria" w:hAnsi="Cambria"/>
          <w:i w:val="0"/>
          <w:sz w:val="20"/>
          <w:szCs w:val="20"/>
        </w:rPr>
        <w:t xml:space="preserve"> de Toledo </w:t>
      </w:r>
      <w:proofErr w:type="spellStart"/>
      <w:r w:rsidRPr="00E72405">
        <w:rPr>
          <w:rStyle w:val="Emphasis"/>
          <w:rFonts w:ascii="Cambria" w:hAnsi="Cambria"/>
          <w:i w:val="0"/>
          <w:sz w:val="20"/>
          <w:szCs w:val="20"/>
        </w:rPr>
        <w:t>Viana</w:t>
      </w:r>
      <w:proofErr w:type="spellEnd"/>
      <w:r w:rsidRPr="00E72405">
        <w:rPr>
          <w:rStyle w:val="Emphasis"/>
          <w:rFonts w:ascii="Cambria" w:hAnsi="Cambria"/>
          <w:i w:val="0"/>
          <w:sz w:val="20"/>
          <w:szCs w:val="20"/>
        </w:rPr>
        <w:t>, who on November 10, 1975 corroborated the version given at the time and stated, inter alia, that “no evidence was present of any kind of mortal injury capable of classifying the cause of death as violence or as death due to some natural pathological cause.” They concluded that “death was from asphyxiation by hanging.”</w:t>
      </w:r>
      <w:r w:rsidRPr="00E72405">
        <w:rPr>
          <w:rStyle w:val="FootnoteReference"/>
          <w:rFonts w:ascii="Cambria" w:hAnsi="Cambria"/>
          <w:b/>
          <w:i/>
          <w:sz w:val="20"/>
          <w:szCs w:val="20"/>
        </w:rPr>
        <w:t xml:space="preserve"> </w:t>
      </w:r>
      <w:r w:rsidRPr="00E72405">
        <w:rPr>
          <w:rStyle w:val="FootnoteReference"/>
          <w:rFonts w:ascii="Cambria" w:hAnsi="Cambria"/>
          <w:i/>
          <w:sz w:val="20"/>
          <w:szCs w:val="20"/>
        </w:rPr>
        <w:footnoteReference w:id="137"/>
      </w:r>
      <w:r w:rsidR="00A9594E" w:rsidRPr="00E72405">
        <w:rPr>
          <w:rStyle w:val="FootnoteReference"/>
          <w:rFonts w:ascii="Cambria" w:hAnsi="Cambria"/>
          <w:b/>
          <w:i/>
          <w:sz w:val="20"/>
          <w:szCs w:val="20"/>
        </w:rPr>
        <w:t xml:space="preserve"> </w:t>
      </w:r>
      <w:r w:rsidRPr="00E72405">
        <w:rPr>
          <w:rFonts w:ascii="Cambria" w:hAnsi="Cambria"/>
          <w:sz w:val="20"/>
          <w:szCs w:val="20"/>
        </w:rPr>
        <w:t xml:space="preserve">New witnesses were also heard, among them Lieutenant Colonel </w:t>
      </w:r>
      <w:proofErr w:type="spellStart"/>
      <w:r w:rsidRPr="00E72405">
        <w:rPr>
          <w:rFonts w:ascii="Cambria" w:hAnsi="Cambria"/>
          <w:sz w:val="20"/>
          <w:szCs w:val="20"/>
        </w:rPr>
        <w:t>Audir</w:t>
      </w:r>
      <w:proofErr w:type="spellEnd"/>
      <w:r w:rsidRPr="00E72405">
        <w:rPr>
          <w:rFonts w:ascii="Cambria" w:hAnsi="Cambria"/>
          <w:sz w:val="20"/>
          <w:szCs w:val="20"/>
        </w:rPr>
        <w:t xml:space="preserve"> Santos </w:t>
      </w:r>
      <w:proofErr w:type="spellStart"/>
      <w:r w:rsidRPr="00E72405">
        <w:rPr>
          <w:rFonts w:ascii="Cambria" w:hAnsi="Cambria"/>
          <w:sz w:val="20"/>
          <w:szCs w:val="20"/>
        </w:rPr>
        <w:t>Maciel</w:t>
      </w:r>
      <w:proofErr w:type="spellEnd"/>
      <w:r w:rsidRPr="00E72405">
        <w:rPr>
          <w:rFonts w:ascii="Cambria" w:hAnsi="Cambria"/>
          <w:sz w:val="20"/>
          <w:szCs w:val="20"/>
        </w:rPr>
        <w:t>,</w:t>
      </w:r>
      <w:r w:rsidRPr="00E72405">
        <w:rPr>
          <w:rStyle w:val="FootnoteReference"/>
          <w:rFonts w:ascii="Cambria" w:hAnsi="Cambria"/>
          <w:sz w:val="20"/>
          <w:szCs w:val="20"/>
        </w:rPr>
        <w:footnoteReference w:id="138"/>
      </w:r>
      <w:r w:rsidRPr="00E72405">
        <w:rPr>
          <w:rFonts w:ascii="Cambria" w:hAnsi="Cambria"/>
          <w:sz w:val="20"/>
          <w:szCs w:val="20"/>
        </w:rPr>
        <w:t xml:space="preserve"> journalists Luiz Weis,</w:t>
      </w:r>
      <w:r w:rsidRPr="00E72405">
        <w:rPr>
          <w:rStyle w:val="FootnoteReference"/>
          <w:rFonts w:ascii="Cambria" w:hAnsi="Cambria"/>
          <w:sz w:val="20"/>
          <w:szCs w:val="20"/>
        </w:rPr>
        <w:footnoteReference w:id="139"/>
      </w:r>
      <w:r w:rsidRPr="00E72405">
        <w:rPr>
          <w:rFonts w:ascii="Cambria" w:hAnsi="Cambria"/>
          <w:i/>
          <w:sz w:val="20"/>
          <w:szCs w:val="20"/>
        </w:rPr>
        <w:t xml:space="preserve"> </w:t>
      </w:r>
      <w:r w:rsidRPr="00E72405">
        <w:rPr>
          <w:rFonts w:ascii="Cambria" w:hAnsi="Cambria"/>
          <w:sz w:val="20"/>
          <w:szCs w:val="20"/>
        </w:rPr>
        <w:t>Anthony Jorge Andrade de Christo,</w:t>
      </w:r>
      <w:r w:rsidRPr="00E72405">
        <w:rPr>
          <w:rStyle w:val="FootnoteReference"/>
          <w:rFonts w:ascii="Cambria" w:hAnsi="Cambria"/>
          <w:sz w:val="20"/>
          <w:szCs w:val="20"/>
        </w:rPr>
        <w:footnoteReference w:id="140"/>
      </w:r>
      <w:r w:rsidRPr="00E72405">
        <w:rPr>
          <w:rFonts w:ascii="Cambria" w:hAnsi="Cambria"/>
          <w:sz w:val="20"/>
          <w:szCs w:val="20"/>
        </w:rPr>
        <w:t xml:space="preserve"> and Paulo Sergio </w:t>
      </w:r>
      <w:proofErr w:type="spellStart"/>
      <w:r w:rsidRPr="00E72405">
        <w:rPr>
          <w:rFonts w:ascii="Cambria" w:hAnsi="Cambria"/>
          <w:sz w:val="20"/>
          <w:szCs w:val="20"/>
        </w:rPr>
        <w:t>Markun</w:t>
      </w:r>
      <w:proofErr w:type="spellEnd"/>
      <w:r w:rsidRPr="00E72405">
        <w:rPr>
          <w:rFonts w:ascii="Cambria" w:hAnsi="Cambria"/>
          <w:sz w:val="20"/>
          <w:szCs w:val="20"/>
        </w:rPr>
        <w:t>,</w:t>
      </w:r>
      <w:r w:rsidRPr="00E72405">
        <w:rPr>
          <w:rStyle w:val="FootnoteReference"/>
          <w:rFonts w:ascii="Cambria" w:hAnsi="Cambria"/>
          <w:sz w:val="20"/>
          <w:szCs w:val="20"/>
        </w:rPr>
        <w:footnoteReference w:id="141"/>
      </w:r>
      <w:r w:rsidRPr="00E72405">
        <w:rPr>
          <w:rFonts w:ascii="Cambria" w:hAnsi="Cambria"/>
          <w:sz w:val="20"/>
          <w:szCs w:val="20"/>
        </w:rPr>
        <w:t xml:space="preserve"> the police investigator with the Second </w:t>
      </w:r>
      <w:r w:rsidRPr="00E72405">
        <w:rPr>
          <w:rFonts w:ascii="Cambria" w:hAnsi="Cambria"/>
          <w:sz w:val="20"/>
          <w:szCs w:val="20"/>
        </w:rPr>
        <w:lastRenderedPageBreak/>
        <w:t xml:space="preserve">Army’s DOI/CODI, Pedro Antonio Mira </w:t>
      </w:r>
      <w:proofErr w:type="spellStart"/>
      <w:r w:rsidRPr="00E72405">
        <w:rPr>
          <w:rFonts w:ascii="Cambria" w:hAnsi="Cambria"/>
          <w:sz w:val="20"/>
          <w:szCs w:val="20"/>
        </w:rPr>
        <w:t>Grancieri</w:t>
      </w:r>
      <w:proofErr w:type="spellEnd"/>
      <w:r w:rsidRPr="00E72405">
        <w:rPr>
          <w:rFonts w:ascii="Cambria" w:hAnsi="Cambria"/>
          <w:sz w:val="20"/>
          <w:szCs w:val="20"/>
        </w:rPr>
        <w:t>,</w:t>
      </w:r>
      <w:r w:rsidRPr="00E72405">
        <w:rPr>
          <w:rStyle w:val="FootnoteReference"/>
          <w:rFonts w:ascii="Cambria" w:hAnsi="Cambria"/>
          <w:sz w:val="20"/>
          <w:szCs w:val="20"/>
        </w:rPr>
        <w:footnoteReference w:id="142"/>
      </w:r>
      <w:r w:rsidRPr="00E72405">
        <w:rPr>
          <w:rFonts w:ascii="Cambria" w:hAnsi="Cambria"/>
          <w:sz w:val="20"/>
          <w:szCs w:val="20"/>
        </w:rPr>
        <w:t xml:space="preserve"> and Clarice Herzog.</w:t>
      </w:r>
      <w:r w:rsidRPr="00E72405">
        <w:rPr>
          <w:rStyle w:val="FootnoteReference"/>
          <w:rFonts w:ascii="Cambria" w:hAnsi="Cambria"/>
          <w:sz w:val="20"/>
          <w:szCs w:val="20"/>
        </w:rPr>
        <w:footnoteReference w:id="143"/>
      </w:r>
      <w:r w:rsidRPr="00E72405">
        <w:rPr>
          <w:rFonts w:ascii="Cambria" w:hAnsi="Cambria"/>
          <w:sz w:val="20"/>
          <w:szCs w:val="20"/>
        </w:rPr>
        <w:t xml:space="preserve">  Journalist Marco Antonio de Souza Rocha was also called to testify.</w:t>
      </w:r>
      <w:r w:rsidRPr="00E72405">
        <w:rPr>
          <w:rStyle w:val="FootnoteReference"/>
          <w:rFonts w:ascii="Cambria" w:hAnsi="Cambria"/>
          <w:sz w:val="20"/>
          <w:szCs w:val="20"/>
        </w:rPr>
        <w:footnoteReference w:id="144"/>
      </w:r>
      <w:r w:rsidRPr="00E72405">
        <w:rPr>
          <w:rFonts w:ascii="Cambria" w:hAnsi="Cambria"/>
          <w:i/>
          <w:sz w:val="20"/>
          <w:szCs w:val="20"/>
        </w:rPr>
        <w:t xml:space="preserve"> </w:t>
      </w:r>
    </w:p>
    <w:p w:rsidR="007F35B9" w:rsidRPr="00E72405" w:rsidRDefault="007F35B9" w:rsidP="007F35B9">
      <w:pPr>
        <w:pStyle w:val="NoSpacing"/>
        <w:rPr>
          <w:rFonts w:ascii="Cambria" w:hAnsi="Cambria"/>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According to the testimony given by Lieutenant Colonel </w:t>
      </w:r>
      <w:proofErr w:type="spellStart"/>
      <w:r w:rsidRPr="00E72405">
        <w:rPr>
          <w:rFonts w:ascii="Cambria" w:hAnsi="Cambria"/>
          <w:sz w:val="20"/>
          <w:szCs w:val="20"/>
        </w:rPr>
        <w:t>Audir</w:t>
      </w:r>
      <w:proofErr w:type="spellEnd"/>
      <w:r w:rsidRPr="00E72405">
        <w:rPr>
          <w:rFonts w:ascii="Cambria" w:hAnsi="Cambria"/>
          <w:sz w:val="20"/>
          <w:szCs w:val="20"/>
        </w:rPr>
        <w:t xml:space="preserve"> Santos </w:t>
      </w:r>
      <w:proofErr w:type="spellStart"/>
      <w:r w:rsidRPr="00E72405">
        <w:rPr>
          <w:rFonts w:ascii="Cambria" w:hAnsi="Cambria"/>
          <w:sz w:val="20"/>
          <w:szCs w:val="20"/>
        </w:rPr>
        <w:t>Maciel</w:t>
      </w:r>
      <w:proofErr w:type="spellEnd"/>
      <w:r w:rsidRPr="00E72405">
        <w:rPr>
          <w:rFonts w:ascii="Cambria" w:hAnsi="Cambria"/>
          <w:sz w:val="20"/>
          <w:szCs w:val="20"/>
        </w:rPr>
        <w:t xml:space="preserve"> on October 24, 1975, DOI agents went to Vladimir Herzog’s home on October 24, 1974, “to invite him to come to the DOI to explain journalists’ involvement and participation in the PCB.”</w:t>
      </w:r>
      <w:r w:rsidRPr="00E72405">
        <w:rPr>
          <w:rStyle w:val="FootnoteReference"/>
          <w:rFonts w:ascii="Cambria" w:hAnsi="Cambria"/>
          <w:sz w:val="20"/>
          <w:szCs w:val="20"/>
        </w:rPr>
        <w:footnoteReference w:id="145"/>
      </w:r>
      <w:r w:rsidRPr="00E72405">
        <w:rPr>
          <w:rFonts w:ascii="Cambria" w:hAnsi="Cambria"/>
          <w:sz w:val="20"/>
          <w:szCs w:val="20"/>
        </w:rPr>
        <w:t xml:space="preserve">   Pedro Antonio Mira </w:t>
      </w:r>
      <w:proofErr w:type="spellStart"/>
      <w:r w:rsidRPr="00E72405">
        <w:rPr>
          <w:rFonts w:ascii="Cambria" w:hAnsi="Cambria"/>
          <w:sz w:val="20"/>
          <w:szCs w:val="20"/>
        </w:rPr>
        <w:t>Grancieri</w:t>
      </w:r>
      <w:proofErr w:type="spellEnd"/>
      <w:r w:rsidRPr="00E72405">
        <w:rPr>
          <w:rFonts w:ascii="Cambria" w:hAnsi="Cambria"/>
          <w:sz w:val="20"/>
          <w:szCs w:val="20"/>
        </w:rPr>
        <w:t xml:space="preserve"> stated that he was the only person who questioned Herzog.  He also said that the journalist did not suffer “any abuse or physical or moral coercion” while at the DOI.</w:t>
      </w:r>
      <w:r w:rsidRPr="00E72405">
        <w:rPr>
          <w:rStyle w:val="FootnoteReference"/>
          <w:rFonts w:ascii="Cambria" w:hAnsi="Cambria"/>
          <w:sz w:val="20"/>
          <w:szCs w:val="20"/>
        </w:rPr>
        <w:footnoteReference w:id="146"/>
      </w:r>
      <w:r w:rsidRPr="00E72405">
        <w:rPr>
          <w:rFonts w:ascii="Cambria" w:hAnsi="Cambria"/>
          <w:sz w:val="20"/>
          <w:szCs w:val="20"/>
        </w:rPr>
        <w:t xml:space="preserve">  He also said that he had no “knowledge of any fact that would suggest that VLADIMIR HERZOG’s cause of death was not […] suicide by hanging.”</w:t>
      </w:r>
      <w:r w:rsidRPr="00E72405">
        <w:rPr>
          <w:rStyle w:val="FootnoteReference"/>
          <w:rFonts w:ascii="Cambria" w:hAnsi="Cambria"/>
          <w:sz w:val="20"/>
          <w:szCs w:val="20"/>
        </w:rPr>
        <w:footnoteReference w:id="147"/>
      </w:r>
      <w:r w:rsidRPr="00E72405">
        <w:rPr>
          <w:rFonts w:ascii="Cambria" w:hAnsi="Cambria"/>
          <w:sz w:val="20"/>
          <w:szCs w:val="20"/>
        </w:rPr>
        <w:t xml:space="preserve"> </w:t>
      </w:r>
    </w:p>
    <w:p w:rsidR="007F35B9" w:rsidRPr="00E72405" w:rsidRDefault="007F35B9" w:rsidP="007F35B9">
      <w:pPr>
        <w:pStyle w:val="NoSpacing"/>
        <w:rPr>
          <w:rFonts w:ascii="Cambria" w:hAnsi="Cambria"/>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Years later, journalists Luiz Weis, Anthony Jorge Andrade de Christo and Paulo </w:t>
      </w:r>
      <w:proofErr w:type="spellStart"/>
      <w:r w:rsidRPr="00E72405">
        <w:rPr>
          <w:rFonts w:ascii="Cambria" w:hAnsi="Cambria"/>
          <w:sz w:val="20"/>
          <w:szCs w:val="20"/>
        </w:rPr>
        <w:t>Sérgio</w:t>
      </w:r>
      <w:proofErr w:type="spellEnd"/>
      <w:r w:rsidRPr="00E72405">
        <w:rPr>
          <w:rFonts w:ascii="Cambria" w:hAnsi="Cambria"/>
          <w:sz w:val="20"/>
          <w:szCs w:val="20"/>
        </w:rPr>
        <w:t xml:space="preserve"> </w:t>
      </w:r>
      <w:proofErr w:type="spellStart"/>
      <w:r w:rsidRPr="00E72405">
        <w:rPr>
          <w:rFonts w:ascii="Cambria" w:hAnsi="Cambria"/>
          <w:sz w:val="20"/>
          <w:szCs w:val="20"/>
        </w:rPr>
        <w:t>Markun</w:t>
      </w:r>
      <w:proofErr w:type="spellEnd"/>
      <w:r w:rsidRPr="00E72405">
        <w:rPr>
          <w:rFonts w:ascii="Cambria" w:hAnsi="Cambria"/>
          <w:sz w:val="20"/>
          <w:szCs w:val="20"/>
        </w:rPr>
        <w:t>, who were also in custody at the Second Army’s DOI/CODI/SP, stated that they felt coerced and intimidated by the military authorities when they gave their testimony.</w:t>
      </w:r>
      <w:r w:rsidRPr="00E72405">
        <w:rPr>
          <w:rStyle w:val="FootnoteReference"/>
          <w:rFonts w:ascii="Cambria" w:hAnsi="Cambria"/>
          <w:sz w:val="20"/>
          <w:szCs w:val="20"/>
        </w:rPr>
        <w:footnoteReference w:id="148"/>
      </w:r>
      <w:r w:rsidRPr="00E72405">
        <w:rPr>
          <w:rFonts w:ascii="Cambria" w:hAnsi="Cambria"/>
          <w:sz w:val="20"/>
          <w:szCs w:val="20"/>
        </w:rPr>
        <w:t xml:space="preserve">  Clarice Herzog, for her part, stated, </w:t>
      </w:r>
      <w:r w:rsidRPr="00E72405">
        <w:rPr>
          <w:rFonts w:ascii="Cambria" w:hAnsi="Cambria"/>
          <w:i/>
          <w:sz w:val="20"/>
          <w:szCs w:val="20"/>
        </w:rPr>
        <w:t xml:space="preserve">inter alia, </w:t>
      </w:r>
      <w:r w:rsidRPr="00E72405">
        <w:rPr>
          <w:rFonts w:ascii="Cambria" w:hAnsi="Cambria"/>
          <w:sz w:val="20"/>
          <w:szCs w:val="20"/>
        </w:rPr>
        <w:t>that she knew that Herzog was tortured but refused “to give the names of the persons who recounted these events to her, for fear that they might be killed.”</w:t>
      </w:r>
      <w:r w:rsidRPr="00E72405">
        <w:rPr>
          <w:rStyle w:val="FootnoteReference"/>
          <w:rFonts w:ascii="Cambria" w:hAnsi="Cambria"/>
          <w:sz w:val="20"/>
          <w:szCs w:val="20"/>
        </w:rPr>
        <w:footnoteReference w:id="149"/>
      </w:r>
      <w:r w:rsidRPr="00E72405">
        <w:rPr>
          <w:rFonts w:ascii="Cambria" w:hAnsi="Cambria"/>
          <w:sz w:val="20"/>
          <w:szCs w:val="20"/>
        </w:rPr>
        <w:t xml:space="preserve">  For her part, Zora Herzog, the journalist’s mother, stated that her written statements had been tampered with.</w:t>
      </w:r>
      <w:r w:rsidRPr="00E72405">
        <w:rPr>
          <w:rStyle w:val="FootnoteReference"/>
          <w:rFonts w:ascii="Cambria" w:hAnsi="Cambria"/>
          <w:sz w:val="20"/>
          <w:szCs w:val="20"/>
        </w:rPr>
        <w:footnoteReference w:id="150"/>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Vladimir Herzog’s death certificated was issued on December 9, 1975.  It lists “death by hanging” as the cause of death.</w:t>
      </w:r>
      <w:r w:rsidRPr="00E72405">
        <w:rPr>
          <w:rStyle w:val="FootnoteReference"/>
          <w:rFonts w:ascii="Cambria" w:hAnsi="Cambria"/>
          <w:sz w:val="20"/>
          <w:szCs w:val="20"/>
        </w:rPr>
        <w:footnoteReference w:id="151"/>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On December 16, 1975, </w:t>
      </w:r>
      <w:r w:rsidRPr="00E72405">
        <w:rPr>
          <w:rFonts w:ascii="Cambria" w:hAnsi="Cambria"/>
          <w:i/>
          <w:sz w:val="20"/>
          <w:szCs w:val="20"/>
        </w:rPr>
        <w:t xml:space="preserve">General </w:t>
      </w:r>
      <w:r w:rsidRPr="00E72405">
        <w:rPr>
          <w:rStyle w:val="Emphasis"/>
          <w:rFonts w:ascii="Cambria" w:hAnsi="Cambria"/>
          <w:i w:val="0"/>
          <w:sz w:val="20"/>
          <w:szCs w:val="20"/>
        </w:rPr>
        <w:t>Fernando Cerqueira, who was heading up the military police investigation, issued a report in which he concluded that Herzog’s cause of death had been “voluntary suicide by hanging.”</w:t>
      </w:r>
      <w:r w:rsidRPr="00E72405">
        <w:rPr>
          <w:rStyle w:val="FootnoteReference"/>
          <w:rFonts w:ascii="Cambria" w:hAnsi="Cambria"/>
          <w:i/>
          <w:sz w:val="20"/>
          <w:szCs w:val="20"/>
        </w:rPr>
        <w:footnoteReference w:id="152"/>
      </w:r>
      <w:r w:rsidRPr="00E72405">
        <w:rPr>
          <w:rStyle w:val="Emphasis"/>
          <w:rFonts w:ascii="Cambria" w:hAnsi="Cambria"/>
          <w:i w:val="0"/>
          <w:sz w:val="20"/>
          <w:szCs w:val="20"/>
        </w:rPr>
        <w:t xml:space="preserve">  In December 1975, the Commander of the Second Army ordered the investigation closed.</w:t>
      </w:r>
      <w:r w:rsidRPr="00E72405">
        <w:rPr>
          <w:rStyle w:val="FootnoteReference"/>
          <w:rFonts w:ascii="Cambria" w:hAnsi="Cambria"/>
          <w:i/>
          <w:sz w:val="20"/>
          <w:szCs w:val="20"/>
        </w:rPr>
        <w:footnoteReference w:id="153"/>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On January 23, 1976, Clarice Herzog presented an out-of-court statement made by journalist Rodolfo Osvaldo </w:t>
      </w:r>
      <w:proofErr w:type="spellStart"/>
      <w:r w:rsidRPr="00E72405">
        <w:rPr>
          <w:rFonts w:ascii="Cambria" w:hAnsi="Cambria"/>
          <w:sz w:val="20"/>
          <w:szCs w:val="20"/>
        </w:rPr>
        <w:t>Konder</w:t>
      </w:r>
      <w:proofErr w:type="spellEnd"/>
      <w:r w:rsidRPr="00E72405">
        <w:rPr>
          <w:rFonts w:ascii="Cambria" w:hAnsi="Cambria"/>
          <w:sz w:val="20"/>
          <w:szCs w:val="20"/>
        </w:rPr>
        <w:t>, dated November 7, 1975, and asked that it be added to the investigation.</w:t>
      </w:r>
      <w:r w:rsidRPr="00E72405">
        <w:rPr>
          <w:rStyle w:val="FootnoteReference"/>
          <w:rFonts w:ascii="Cambria" w:hAnsi="Cambria"/>
          <w:sz w:val="20"/>
          <w:szCs w:val="20"/>
        </w:rPr>
        <w:footnoteReference w:id="154"/>
      </w:r>
      <w:r w:rsidRPr="00E72405">
        <w:rPr>
          <w:rFonts w:ascii="Cambria" w:hAnsi="Cambria"/>
          <w:sz w:val="20"/>
          <w:szCs w:val="20"/>
        </w:rPr>
        <w:t xml:space="preserve">  In that statement, Mr. </w:t>
      </w:r>
      <w:proofErr w:type="spellStart"/>
      <w:r w:rsidRPr="00E72405">
        <w:rPr>
          <w:rFonts w:ascii="Cambria" w:hAnsi="Cambria"/>
          <w:sz w:val="20"/>
          <w:szCs w:val="20"/>
        </w:rPr>
        <w:t>Konder</w:t>
      </w:r>
      <w:proofErr w:type="spellEnd"/>
      <w:r w:rsidR="00A9594E" w:rsidRPr="00E72405">
        <w:rPr>
          <w:rFonts w:ascii="Cambria" w:hAnsi="Cambria"/>
          <w:sz w:val="20"/>
          <w:szCs w:val="20"/>
        </w:rPr>
        <w:t xml:space="preserve"> declared</w:t>
      </w:r>
      <w:r w:rsidRPr="00E72405">
        <w:rPr>
          <w:rFonts w:ascii="Cambria" w:hAnsi="Cambria"/>
          <w:sz w:val="20"/>
          <w:szCs w:val="20"/>
        </w:rPr>
        <w:t xml:space="preserve">, </w:t>
      </w:r>
      <w:r w:rsidRPr="00E72405">
        <w:rPr>
          <w:rFonts w:ascii="Cambria" w:hAnsi="Cambria"/>
          <w:i/>
          <w:sz w:val="20"/>
          <w:szCs w:val="20"/>
        </w:rPr>
        <w:t xml:space="preserve">inter alia, </w:t>
      </w:r>
      <w:r w:rsidRPr="00E72405">
        <w:rPr>
          <w:rFonts w:ascii="Cambria" w:hAnsi="Cambria"/>
          <w:sz w:val="20"/>
          <w:szCs w:val="20"/>
        </w:rPr>
        <w:t xml:space="preserve">the torture that he had suffered at the DOI/CODI/SP, the contacts he had with Vladimir Herzog inside the DOI/CODI/SP by order of Mira </w:t>
      </w:r>
      <w:proofErr w:type="spellStart"/>
      <w:r w:rsidRPr="00E72405">
        <w:rPr>
          <w:rFonts w:ascii="Cambria" w:hAnsi="Cambria"/>
          <w:sz w:val="20"/>
          <w:szCs w:val="20"/>
        </w:rPr>
        <w:t>Grancieri</w:t>
      </w:r>
      <w:proofErr w:type="spellEnd"/>
      <w:r w:rsidRPr="00E72405">
        <w:rPr>
          <w:rFonts w:ascii="Cambria" w:hAnsi="Cambria"/>
          <w:sz w:val="20"/>
          <w:szCs w:val="20"/>
        </w:rPr>
        <w:t xml:space="preserve">, and stated that he had heard </w:t>
      </w:r>
      <w:r w:rsidRPr="00E72405">
        <w:rPr>
          <w:rFonts w:ascii="Cambria" w:hAnsi="Cambria"/>
          <w:sz w:val="20"/>
          <w:szCs w:val="20"/>
        </w:rPr>
        <w:lastRenderedPageBreak/>
        <w:t>screams and the “interrogator’s” orders for the “electric prod” [</w:t>
      </w:r>
      <w:proofErr w:type="spellStart"/>
      <w:r w:rsidRPr="00E72405">
        <w:rPr>
          <w:rFonts w:ascii="Cambria" w:hAnsi="Cambria"/>
          <w:i/>
          <w:sz w:val="20"/>
          <w:szCs w:val="20"/>
        </w:rPr>
        <w:t>Pimentinha</w:t>
      </w:r>
      <w:proofErr w:type="spellEnd"/>
      <w:r w:rsidRPr="00E72405">
        <w:rPr>
          <w:rFonts w:ascii="Cambria" w:hAnsi="Cambria"/>
          <w:sz w:val="20"/>
          <w:szCs w:val="20"/>
        </w:rPr>
        <w:t>], an instrument used to apply electric shock to torture detainees.</w:t>
      </w:r>
      <w:r w:rsidRPr="00E72405">
        <w:rPr>
          <w:rStyle w:val="FootnoteReference"/>
          <w:rFonts w:ascii="Cambria" w:hAnsi="Cambria"/>
          <w:sz w:val="20"/>
          <w:szCs w:val="20"/>
        </w:rPr>
        <w:footnoteReference w:id="155"/>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The Military Prosecutor alleged that the out-of-court statement given by journalist Rodolfo Osvaldo </w:t>
      </w:r>
      <w:proofErr w:type="spellStart"/>
      <w:r w:rsidRPr="00E72405">
        <w:rPr>
          <w:rFonts w:ascii="Cambria" w:hAnsi="Cambria"/>
          <w:sz w:val="20"/>
          <w:szCs w:val="20"/>
        </w:rPr>
        <w:t>Konder</w:t>
      </w:r>
      <w:proofErr w:type="spellEnd"/>
      <w:r w:rsidRPr="00E72405">
        <w:rPr>
          <w:rFonts w:ascii="Cambria" w:hAnsi="Cambria"/>
          <w:sz w:val="20"/>
          <w:szCs w:val="20"/>
        </w:rPr>
        <w:t xml:space="preserve"> should be disallowed as the military investigation was not a judicial proceeding</w:t>
      </w:r>
      <w:r w:rsidRPr="00E72405">
        <w:rPr>
          <w:rStyle w:val="FootnoteReference"/>
          <w:rFonts w:ascii="Cambria" w:hAnsi="Cambria"/>
          <w:sz w:val="20"/>
          <w:szCs w:val="20"/>
        </w:rPr>
        <w:footnoteReference w:id="156"/>
      </w:r>
      <w:r w:rsidRPr="00E72405">
        <w:rPr>
          <w:rFonts w:ascii="Cambria" w:hAnsi="Cambria"/>
          <w:sz w:val="20"/>
          <w:szCs w:val="20"/>
        </w:rPr>
        <w:t xml:space="preserve"> and ultimately there was no reason to accept the statement.</w:t>
      </w:r>
      <w:r w:rsidRPr="00E72405">
        <w:rPr>
          <w:rStyle w:val="FootnoteReference"/>
          <w:rFonts w:ascii="Cambria" w:hAnsi="Cambria"/>
          <w:sz w:val="20"/>
          <w:szCs w:val="20"/>
        </w:rPr>
        <w:footnoteReference w:id="157"/>
      </w:r>
      <w:r w:rsidRPr="00E72405">
        <w:rPr>
          <w:rFonts w:ascii="Cambria" w:hAnsi="Cambria"/>
          <w:sz w:val="20"/>
          <w:szCs w:val="20"/>
        </w:rPr>
        <w:t xml:space="preserve"> Thus, on February 12, 1976, it was determined that “because no crime has been committed”, the investigation should be closed.</w:t>
      </w:r>
      <w:r w:rsidRPr="00E72405">
        <w:rPr>
          <w:rStyle w:val="FootnoteReference"/>
          <w:rFonts w:ascii="Cambria" w:hAnsi="Cambria"/>
          <w:sz w:val="20"/>
          <w:szCs w:val="20"/>
        </w:rPr>
        <w:footnoteReference w:id="158"/>
      </w:r>
      <w:r w:rsidRPr="00E72405">
        <w:rPr>
          <w:rFonts w:ascii="Cambria" w:hAnsi="Cambria"/>
          <w:sz w:val="20"/>
          <w:szCs w:val="20"/>
        </w:rPr>
        <w:t xml:space="preserve">  On March 8, 1976, that decision was confirmed by the Judge Advocate of Military Justice.</w:t>
      </w:r>
      <w:r w:rsidRPr="00E72405">
        <w:rPr>
          <w:rStyle w:val="FootnoteReference"/>
          <w:rFonts w:ascii="Cambria" w:hAnsi="Cambria"/>
          <w:sz w:val="20"/>
          <w:szCs w:val="20"/>
        </w:rPr>
        <w:footnoteReference w:id="159"/>
      </w:r>
    </w:p>
    <w:p w:rsidR="007F35B9" w:rsidRPr="00E72405" w:rsidRDefault="007F35B9" w:rsidP="007F35B9">
      <w:pPr>
        <w:tabs>
          <w:tab w:val="left" w:pos="720"/>
        </w:tabs>
        <w:spacing w:after="0" w:line="240" w:lineRule="auto"/>
        <w:ind w:left="720"/>
        <w:jc w:val="both"/>
        <w:rPr>
          <w:rStyle w:val="Emphasis"/>
          <w:b/>
          <w:bCs/>
          <w:sz w:val="20"/>
          <w:szCs w:val="20"/>
        </w:rPr>
      </w:pPr>
    </w:p>
    <w:p w:rsidR="007F35B9" w:rsidRPr="00E72405" w:rsidRDefault="007F35B9" w:rsidP="00181A2D">
      <w:pPr>
        <w:pStyle w:val="Heading3"/>
        <w:rPr>
          <w:i/>
        </w:rPr>
      </w:pPr>
      <w:bookmarkStart w:id="18" w:name="_Toc433359804"/>
      <w:r w:rsidRPr="00E72405">
        <w:rPr>
          <w:rStyle w:val="Emphasis"/>
          <w:rFonts w:cs="Arial"/>
          <w:i w:val="0"/>
        </w:rPr>
        <w:t>Declaratory action filed by Vladimir Herzog’s next of kin</w:t>
      </w:r>
      <w:bookmarkEnd w:id="18"/>
      <w:r w:rsidRPr="00E72405">
        <w:rPr>
          <w:i/>
        </w:rPr>
        <w:t xml:space="preserve"> </w:t>
      </w:r>
    </w:p>
    <w:p w:rsidR="007F35B9" w:rsidRPr="00E72405" w:rsidRDefault="007F35B9" w:rsidP="007F35B9">
      <w:pPr>
        <w:keepNext/>
        <w:widowControl w:val="0"/>
        <w:tabs>
          <w:tab w:val="left" w:pos="1440"/>
        </w:tabs>
        <w:spacing w:after="0" w:line="240" w:lineRule="auto"/>
        <w:ind w:firstLine="720"/>
        <w:jc w:val="both"/>
        <w:rPr>
          <w:rFonts w:ascii="Cambria" w:hAnsi="Cambria"/>
          <w:b/>
          <w:sz w:val="20"/>
          <w:szCs w:val="20"/>
        </w:rPr>
      </w:pPr>
    </w:p>
    <w:p w:rsidR="007F35B9" w:rsidRPr="00E72405" w:rsidRDefault="007F35B9" w:rsidP="00E658CD">
      <w:pPr>
        <w:numPr>
          <w:ilvl w:val="0"/>
          <w:numId w:val="6"/>
        </w:numPr>
        <w:spacing w:after="0" w:line="240" w:lineRule="auto"/>
        <w:ind w:left="0" w:firstLine="720"/>
        <w:jc w:val="both"/>
        <w:rPr>
          <w:rStyle w:val="Emphasis"/>
          <w:rFonts w:ascii="Cambria" w:hAnsi="Cambria"/>
          <w:b/>
          <w:bCs/>
          <w:sz w:val="20"/>
          <w:szCs w:val="20"/>
        </w:rPr>
      </w:pPr>
      <w:r w:rsidRPr="00E72405">
        <w:rPr>
          <w:rFonts w:ascii="Cambria" w:hAnsi="Cambria"/>
          <w:sz w:val="20"/>
          <w:szCs w:val="20"/>
        </w:rPr>
        <w:t xml:space="preserve">On April 19, 1976, Clarice Herzog and her two sons, Ivo and André, both minors, filed a Declaratory Action with the </w:t>
      </w:r>
      <w:r w:rsidRPr="00E72405">
        <w:rPr>
          <w:rStyle w:val="Emphasis"/>
          <w:rFonts w:ascii="Cambria" w:hAnsi="Cambria" w:cs="Arial"/>
          <w:i w:val="0"/>
          <w:sz w:val="20"/>
          <w:szCs w:val="20"/>
        </w:rPr>
        <w:t>São Paulo Federal Court asking the court “to find the Federal Union responsible for the arbitrary detention of Vladimir Herzog, the torture to which he was subjected and his death.”</w:t>
      </w:r>
      <w:r w:rsidRPr="00E72405">
        <w:rPr>
          <w:rStyle w:val="FootnoteReference"/>
          <w:rFonts w:ascii="Cambria" w:hAnsi="Cambria"/>
          <w:i/>
          <w:sz w:val="20"/>
          <w:szCs w:val="20"/>
        </w:rPr>
        <w:footnoteReference w:id="160"/>
      </w:r>
      <w:r w:rsidRPr="00E72405">
        <w:rPr>
          <w:rFonts w:ascii="Cambria" w:hAnsi="Cambria"/>
          <w:sz w:val="20"/>
          <w:szCs w:val="20"/>
        </w:rPr>
        <w:t xml:space="preserve">  In their </w:t>
      </w:r>
      <w:r w:rsidR="007241F3" w:rsidRPr="00E72405">
        <w:rPr>
          <w:rFonts w:ascii="Cambria" w:hAnsi="Cambria"/>
          <w:sz w:val="20"/>
          <w:szCs w:val="20"/>
        </w:rPr>
        <w:t xml:space="preserve">civil </w:t>
      </w:r>
      <w:r w:rsidRPr="00E72405">
        <w:rPr>
          <w:rFonts w:ascii="Cambria" w:hAnsi="Cambria"/>
          <w:sz w:val="20"/>
          <w:szCs w:val="20"/>
        </w:rPr>
        <w:t>action, they stated that because Vladimir Herzog was on the premises of the Second Army’s DOI/CODI/SP, the Federal Union was responsible for his physical safety</w:t>
      </w:r>
      <w:r w:rsidRPr="00E72405">
        <w:rPr>
          <w:rStyle w:val="FootnoteReference"/>
          <w:rFonts w:ascii="Cambria" w:hAnsi="Cambria"/>
          <w:sz w:val="20"/>
          <w:szCs w:val="20"/>
        </w:rPr>
        <w:footnoteReference w:id="161"/>
      </w:r>
      <w:r w:rsidRPr="00E72405">
        <w:rPr>
          <w:rFonts w:ascii="Cambria" w:hAnsi="Cambria"/>
          <w:sz w:val="20"/>
          <w:szCs w:val="20"/>
        </w:rPr>
        <w:t xml:space="preserve"> and that the Second Army’s official note reporting his death did not “accurately portray the events that transpired in the DOI/CODI fa</w:t>
      </w:r>
      <w:r w:rsidR="007241F3" w:rsidRPr="00E72405">
        <w:rPr>
          <w:rFonts w:ascii="Cambria" w:hAnsi="Cambria"/>
          <w:sz w:val="20"/>
          <w:szCs w:val="20"/>
        </w:rPr>
        <w:t>cilities on October 25, 1975.”</w:t>
      </w:r>
      <w:r w:rsidR="00AB7D9B" w:rsidRPr="00E72405">
        <w:rPr>
          <w:rStyle w:val="FootnoteReference"/>
          <w:rFonts w:ascii="Cambria" w:hAnsi="Cambria"/>
          <w:sz w:val="20"/>
          <w:szCs w:val="20"/>
        </w:rPr>
        <w:footnoteReference w:id="162"/>
      </w:r>
      <w:r w:rsidR="007241F3" w:rsidRPr="00E72405">
        <w:rPr>
          <w:rFonts w:ascii="Cambria" w:hAnsi="Cambria"/>
          <w:sz w:val="20"/>
          <w:szCs w:val="20"/>
        </w:rPr>
        <w:t xml:space="preserve"> </w:t>
      </w:r>
      <w:r w:rsidRPr="00E72405">
        <w:rPr>
          <w:rFonts w:ascii="Cambria" w:hAnsi="Cambria"/>
          <w:sz w:val="20"/>
          <w:szCs w:val="20"/>
        </w:rPr>
        <w:t>To illustrate the contradiction, they</w:t>
      </w:r>
      <w:r w:rsidR="007241F3" w:rsidRPr="00E72405">
        <w:rPr>
          <w:rFonts w:ascii="Cambria" w:hAnsi="Cambria"/>
          <w:sz w:val="20"/>
          <w:szCs w:val="20"/>
        </w:rPr>
        <w:t xml:space="preserve"> made reference to</w:t>
      </w:r>
      <w:r w:rsidRPr="00E72405">
        <w:rPr>
          <w:rFonts w:ascii="Cambria" w:hAnsi="Cambria"/>
          <w:sz w:val="20"/>
          <w:szCs w:val="20"/>
        </w:rPr>
        <w:t xml:space="preserve"> the statement made by Rodolfo Osvaldo </w:t>
      </w:r>
      <w:proofErr w:type="spellStart"/>
      <w:r w:rsidRPr="00E72405">
        <w:rPr>
          <w:rFonts w:ascii="Cambria" w:hAnsi="Cambria"/>
          <w:sz w:val="20"/>
          <w:szCs w:val="20"/>
        </w:rPr>
        <w:t>Konder</w:t>
      </w:r>
      <w:proofErr w:type="spellEnd"/>
      <w:r w:rsidRPr="00E72405">
        <w:rPr>
          <w:rFonts w:ascii="Cambria" w:hAnsi="Cambria"/>
          <w:sz w:val="20"/>
          <w:szCs w:val="20"/>
        </w:rPr>
        <w:t xml:space="preserve"> who said that “like all the others, the one-piece suit they gave him [Vladimir] to wear inside the DOI/CODI facilities did not have a belt.</w:t>
      </w:r>
      <w:r w:rsidRPr="00E72405">
        <w:rPr>
          <w:rStyle w:val="Emphasis"/>
          <w:rFonts w:ascii="Cambria" w:hAnsi="Cambria"/>
          <w:sz w:val="20"/>
          <w:szCs w:val="20"/>
        </w:rPr>
        <w:t>”</w:t>
      </w:r>
      <w:r w:rsidRPr="00E72405">
        <w:rPr>
          <w:rStyle w:val="FootnoteReference"/>
          <w:rFonts w:ascii="Cambria" w:hAnsi="Cambria"/>
          <w:sz w:val="20"/>
          <w:szCs w:val="20"/>
        </w:rPr>
        <w:footnoteReference w:id="163"/>
      </w:r>
      <w:r w:rsidRPr="00E72405">
        <w:rPr>
          <w:rStyle w:val="Emphasis"/>
          <w:rFonts w:ascii="Cambria" w:hAnsi="Cambria"/>
          <w:sz w:val="20"/>
          <w:szCs w:val="20"/>
        </w:rPr>
        <w:t xml:space="preserve"> </w:t>
      </w:r>
    </w:p>
    <w:p w:rsidR="007F35B9" w:rsidRPr="00E72405" w:rsidRDefault="007F35B9" w:rsidP="007241F3">
      <w:pPr>
        <w:tabs>
          <w:tab w:val="left" w:pos="1440"/>
        </w:tabs>
        <w:spacing w:after="0" w:line="240" w:lineRule="auto"/>
        <w:jc w:val="both"/>
        <w:rPr>
          <w:rStyle w:val="Emphasis"/>
          <w:rFonts w:ascii="Cambria" w:hAnsi="Cambria"/>
          <w:b/>
          <w:bCs/>
          <w:sz w:val="20"/>
          <w:szCs w:val="20"/>
        </w:rPr>
      </w:pPr>
    </w:p>
    <w:p w:rsidR="00DC7D76"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On July 2, 1976, the Federal Union presented its defense argument based on the legal opinion [</w:t>
      </w:r>
      <w:proofErr w:type="spellStart"/>
      <w:r w:rsidRPr="00E72405">
        <w:rPr>
          <w:rFonts w:ascii="Cambria" w:hAnsi="Cambria"/>
          <w:i/>
          <w:sz w:val="20"/>
          <w:szCs w:val="20"/>
        </w:rPr>
        <w:t>parecer</w:t>
      </w:r>
      <w:proofErr w:type="spellEnd"/>
      <w:r w:rsidRPr="00E72405">
        <w:rPr>
          <w:rFonts w:ascii="Cambria" w:hAnsi="Cambria"/>
          <w:sz w:val="20"/>
          <w:szCs w:val="20"/>
        </w:rPr>
        <w:t xml:space="preserve">] from the </w:t>
      </w:r>
      <w:r w:rsidR="007241F3" w:rsidRPr="00E72405">
        <w:rPr>
          <w:rFonts w:ascii="Cambria" w:hAnsi="Cambria"/>
          <w:sz w:val="20"/>
          <w:szCs w:val="20"/>
        </w:rPr>
        <w:t xml:space="preserve">Army Prosecutor’s Office </w:t>
      </w:r>
      <w:r w:rsidRPr="00E72405">
        <w:rPr>
          <w:rFonts w:ascii="Cambria" w:hAnsi="Cambria"/>
          <w:sz w:val="20"/>
          <w:szCs w:val="20"/>
        </w:rPr>
        <w:t>and requested that the action filed be declared inadmissible.</w:t>
      </w:r>
      <w:r w:rsidRPr="00E72405">
        <w:rPr>
          <w:rStyle w:val="FootnoteReference"/>
          <w:rFonts w:ascii="Cambria" w:hAnsi="Cambria"/>
          <w:sz w:val="20"/>
          <w:szCs w:val="20"/>
        </w:rPr>
        <w:footnoteReference w:id="164"/>
      </w:r>
      <w:r w:rsidRPr="00E72405">
        <w:rPr>
          <w:rFonts w:ascii="Cambria" w:hAnsi="Cambria"/>
          <w:sz w:val="20"/>
          <w:szCs w:val="20"/>
        </w:rPr>
        <w:t xml:space="preserve">  In that opinion, the</w:t>
      </w:r>
      <w:r w:rsidR="007241F3" w:rsidRPr="00E72405">
        <w:rPr>
          <w:rFonts w:ascii="Cambria" w:hAnsi="Cambria"/>
          <w:sz w:val="20"/>
          <w:szCs w:val="20"/>
        </w:rPr>
        <w:t xml:space="preserve"> Army Prosecutor’s Office</w:t>
      </w:r>
      <w:r w:rsidRPr="00E72405">
        <w:rPr>
          <w:rFonts w:ascii="Cambria" w:hAnsi="Cambria"/>
          <w:sz w:val="20"/>
          <w:szCs w:val="20"/>
        </w:rPr>
        <w:t xml:space="preserve"> argued that in the March 8, 1976 ruling of the military court, the Judge Advocate had decided that the case was to be closed on the grounds that “[n]o crime was involved in the suicide of former journalist Vladimir Herzog.”</w:t>
      </w:r>
      <w:r w:rsidRPr="00E72405">
        <w:rPr>
          <w:rStyle w:val="FootnoteReference"/>
          <w:rFonts w:ascii="Cambria" w:hAnsi="Cambria"/>
          <w:sz w:val="20"/>
          <w:szCs w:val="20"/>
        </w:rPr>
        <w:footnoteReference w:id="165"/>
      </w:r>
      <w:r w:rsidRPr="00E72405">
        <w:rPr>
          <w:rFonts w:ascii="Cambria" w:hAnsi="Cambria"/>
          <w:sz w:val="20"/>
          <w:szCs w:val="20"/>
        </w:rPr>
        <w:t xml:space="preserve">  It [the Federal Union] also observed that “what happened was that Vladimir Herzog appeared before the authorities of his own free will; it was not a detention.”</w:t>
      </w:r>
      <w:r w:rsidRPr="00E72405">
        <w:rPr>
          <w:rStyle w:val="FootnoteReference"/>
          <w:rFonts w:ascii="Cambria" w:hAnsi="Cambria"/>
          <w:sz w:val="20"/>
          <w:szCs w:val="20"/>
        </w:rPr>
        <w:footnoteReference w:id="166"/>
      </w:r>
      <w:r w:rsidRPr="00E72405">
        <w:rPr>
          <w:rFonts w:ascii="Cambria" w:hAnsi="Cambria"/>
          <w:sz w:val="20"/>
          <w:szCs w:val="20"/>
        </w:rPr>
        <w:t xml:space="preserve"> It also wrote that the arguments made in the declaratory action filed by Clarice Herzog are “inconsistent”</w:t>
      </w:r>
      <w:r w:rsidRPr="00E72405">
        <w:rPr>
          <w:rStyle w:val="FootnoteReference"/>
          <w:rFonts w:ascii="Cambria" w:hAnsi="Cambria"/>
          <w:sz w:val="20"/>
          <w:szCs w:val="20"/>
        </w:rPr>
        <w:footnoteReference w:id="167"/>
      </w:r>
      <w:r w:rsidRPr="00E72405">
        <w:rPr>
          <w:rFonts w:ascii="Cambria" w:hAnsi="Cambria"/>
          <w:sz w:val="20"/>
          <w:szCs w:val="20"/>
        </w:rPr>
        <w:t xml:space="preserve"> regarding the journalist’s torture and death, and indicated that the cause of his death was </w:t>
      </w:r>
      <w:r w:rsidRPr="00E72405">
        <w:rPr>
          <w:rFonts w:ascii="Cambria" w:hAnsi="Cambria"/>
          <w:sz w:val="20"/>
          <w:szCs w:val="20"/>
        </w:rPr>
        <w:lastRenderedPageBreak/>
        <w:t>“voluntary suicide by hanging and not some act attributed to agents of the Federal Union.”</w:t>
      </w:r>
      <w:r w:rsidRPr="00E72405">
        <w:rPr>
          <w:rStyle w:val="FootnoteReference"/>
          <w:rFonts w:ascii="Cambria" w:hAnsi="Cambria"/>
          <w:sz w:val="20"/>
          <w:szCs w:val="20"/>
        </w:rPr>
        <w:footnoteReference w:id="168"/>
      </w:r>
      <w:r w:rsidRPr="00E72405">
        <w:rPr>
          <w:rFonts w:ascii="Cambria" w:hAnsi="Cambria"/>
          <w:sz w:val="20"/>
          <w:szCs w:val="20"/>
        </w:rPr>
        <w:t xml:space="preserve">  It therefore rejected the contention that the State bore any blame.</w:t>
      </w:r>
      <w:r w:rsidRPr="00E72405">
        <w:rPr>
          <w:rStyle w:val="FootnoteReference"/>
          <w:rFonts w:ascii="Cambria" w:hAnsi="Cambria"/>
          <w:sz w:val="20"/>
          <w:szCs w:val="20"/>
        </w:rPr>
        <w:footnoteReference w:id="169"/>
      </w:r>
    </w:p>
    <w:p w:rsidR="00DC7D76" w:rsidRPr="00E72405" w:rsidRDefault="00DC7D76" w:rsidP="00DC7D76">
      <w:pPr>
        <w:pStyle w:val="ListParagraph"/>
        <w:rPr>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On March 16, 1978, the Federal Judge rejected the Federal Union’s preliminary arguments and scheduled a hearing to take testimony from witnesses.</w:t>
      </w:r>
      <w:r w:rsidRPr="00E72405">
        <w:rPr>
          <w:rStyle w:val="FootnoteReference"/>
          <w:rFonts w:ascii="Cambria" w:hAnsi="Cambria"/>
          <w:sz w:val="20"/>
          <w:szCs w:val="20"/>
        </w:rPr>
        <w:footnoteReference w:id="170"/>
      </w:r>
      <w:r w:rsidRPr="00E72405">
        <w:rPr>
          <w:rFonts w:ascii="Cambria" w:hAnsi="Cambria"/>
          <w:sz w:val="20"/>
          <w:szCs w:val="20"/>
        </w:rPr>
        <w:t xml:space="preserve">  The Federal Union appealed that decision, but the appeal was denied.</w:t>
      </w:r>
      <w:r w:rsidRPr="00E72405">
        <w:rPr>
          <w:rStyle w:val="FootnoteReference"/>
          <w:rFonts w:ascii="Cambria" w:hAnsi="Cambria"/>
          <w:sz w:val="20"/>
          <w:szCs w:val="20"/>
        </w:rPr>
        <w:footnoteReference w:id="171"/>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In a brief dated May 16, 1978, Herzog’s next of kin asked that the Second Army clarify the information regarding the presence of an agent by the name of </w:t>
      </w:r>
      <w:r w:rsidRPr="00E72405">
        <w:rPr>
          <w:rFonts w:ascii="Cambria" w:hAnsi="Cambria"/>
          <w:i/>
          <w:sz w:val="20"/>
          <w:szCs w:val="20"/>
        </w:rPr>
        <w:t>“</w:t>
      </w:r>
      <w:proofErr w:type="spellStart"/>
      <w:r w:rsidRPr="00E72405">
        <w:rPr>
          <w:rFonts w:ascii="Cambria" w:hAnsi="Cambria"/>
          <w:i/>
          <w:sz w:val="20"/>
          <w:szCs w:val="20"/>
        </w:rPr>
        <w:t>Ubirajara</w:t>
      </w:r>
      <w:proofErr w:type="spellEnd"/>
      <w:r w:rsidRPr="00E72405">
        <w:rPr>
          <w:rFonts w:ascii="Cambria" w:hAnsi="Cambria"/>
          <w:i/>
          <w:sz w:val="20"/>
          <w:szCs w:val="20"/>
        </w:rPr>
        <w:t xml:space="preserve">” </w:t>
      </w:r>
      <w:r w:rsidRPr="00E72405">
        <w:rPr>
          <w:rFonts w:ascii="Cambria" w:hAnsi="Cambria"/>
          <w:sz w:val="20"/>
          <w:szCs w:val="20"/>
        </w:rPr>
        <w:t>in the DOI/CODI/SP on the day of Vladimir Herzog’s death;</w:t>
      </w:r>
      <w:r w:rsidRPr="00E72405">
        <w:rPr>
          <w:rStyle w:val="FootnoteReference"/>
          <w:rFonts w:ascii="Cambria" w:hAnsi="Cambria"/>
          <w:sz w:val="20"/>
          <w:szCs w:val="20"/>
        </w:rPr>
        <w:footnoteReference w:id="172"/>
      </w:r>
      <w:r w:rsidRPr="00E72405">
        <w:rPr>
          <w:rFonts w:ascii="Cambria" w:hAnsi="Cambria"/>
          <w:sz w:val="20"/>
          <w:szCs w:val="20"/>
        </w:rPr>
        <w:t xml:space="preserve"> they also requested that the person responsible for his “interrogation” be ordered to appear for trial.</w:t>
      </w:r>
      <w:r w:rsidRPr="00E72405">
        <w:rPr>
          <w:rStyle w:val="FootnoteReference"/>
          <w:rFonts w:ascii="Cambria" w:hAnsi="Cambria"/>
          <w:sz w:val="20"/>
          <w:szCs w:val="20"/>
        </w:rPr>
        <w:footnoteReference w:id="173"/>
      </w:r>
      <w:r w:rsidRPr="00E72405">
        <w:rPr>
          <w:rFonts w:ascii="Cambria" w:hAnsi="Cambria"/>
          <w:sz w:val="20"/>
          <w:szCs w:val="20"/>
        </w:rPr>
        <w:t xml:space="preserve">  That same day, May 16, the hearing</w:t>
      </w:r>
      <w:r w:rsidRPr="00E72405">
        <w:rPr>
          <w:rStyle w:val="FootnoteReference"/>
          <w:rFonts w:ascii="Cambria" w:hAnsi="Cambria"/>
          <w:sz w:val="20"/>
          <w:szCs w:val="20"/>
        </w:rPr>
        <w:footnoteReference w:id="174"/>
      </w:r>
      <w:r w:rsidRPr="00E72405">
        <w:rPr>
          <w:rFonts w:ascii="Cambria" w:hAnsi="Cambria"/>
          <w:sz w:val="20"/>
          <w:szCs w:val="20"/>
        </w:rPr>
        <w:t xml:space="preserve"> was held with six witnesses testifying;</w:t>
      </w:r>
      <w:r w:rsidRPr="00E72405">
        <w:rPr>
          <w:rStyle w:val="FootnoteReference"/>
          <w:rFonts w:ascii="Cambria" w:hAnsi="Cambria"/>
          <w:sz w:val="20"/>
          <w:szCs w:val="20"/>
        </w:rPr>
        <w:footnoteReference w:id="175"/>
      </w:r>
      <w:r w:rsidRPr="00E72405">
        <w:rPr>
          <w:rFonts w:ascii="Cambria" w:hAnsi="Cambria"/>
          <w:sz w:val="20"/>
          <w:szCs w:val="20"/>
        </w:rPr>
        <w:t xml:space="preserve"> of these, four had been in custody at the Second Army’s DOI/CODI/SP and stated that they had been subjected to physical and psychological torture. </w:t>
      </w:r>
    </w:p>
    <w:p w:rsidR="007F35B9" w:rsidRPr="00E72405" w:rsidRDefault="007F35B9" w:rsidP="007F35B9">
      <w:pPr>
        <w:pStyle w:val="NoSpacing"/>
        <w:rPr>
          <w:rFonts w:ascii="Cambria" w:hAnsi="Cambria"/>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At that hearing, physician Harry Shibata, one of the experts who signed the autopsy done on the body, confessed that “he had never seen Vladimir Herzog’s body.”</w:t>
      </w:r>
      <w:r w:rsidRPr="00E72405">
        <w:rPr>
          <w:rStyle w:val="FootnoteReference"/>
          <w:rFonts w:ascii="Cambria" w:hAnsi="Cambria"/>
          <w:sz w:val="20"/>
          <w:szCs w:val="20"/>
        </w:rPr>
        <w:footnoteReference w:id="176"/>
      </w:r>
      <w:r w:rsidRPr="00E72405">
        <w:rPr>
          <w:rFonts w:ascii="Cambria" w:hAnsi="Cambria"/>
          <w:sz w:val="20"/>
          <w:szCs w:val="20"/>
        </w:rPr>
        <w:t xml:space="preserve"> Journalist Anthony Christo testified that “he was not confirming the testimony given in the military police investigation; the witness stated that he had been tortured at the DOI/CODI facilities; he also said that he saw others who also appeared to have been tortured; that these statements were not included in his testimony based on the argument that they did nothing to shed light on the facts; that Prosecutor </w:t>
      </w:r>
      <w:proofErr w:type="spellStart"/>
      <w:r w:rsidRPr="00E72405">
        <w:rPr>
          <w:rFonts w:ascii="Cambria" w:hAnsi="Cambria"/>
          <w:sz w:val="20"/>
          <w:szCs w:val="20"/>
        </w:rPr>
        <w:t>Durval</w:t>
      </w:r>
      <w:proofErr w:type="spellEnd"/>
      <w:r w:rsidRPr="00E72405">
        <w:rPr>
          <w:rFonts w:ascii="Cambria" w:hAnsi="Cambria"/>
          <w:sz w:val="20"/>
          <w:szCs w:val="20"/>
        </w:rPr>
        <w:t xml:space="preserve"> was the one who claimed that these  statements were not germane to the investigation; that the person making the statement signed his testimony under coercion.”</w:t>
      </w:r>
      <w:r w:rsidRPr="00E72405">
        <w:rPr>
          <w:rStyle w:val="FootnoteReference"/>
          <w:rFonts w:ascii="Cambria" w:hAnsi="Cambria"/>
          <w:sz w:val="20"/>
          <w:szCs w:val="20"/>
        </w:rPr>
        <w:footnoteReference w:id="177"/>
      </w:r>
    </w:p>
    <w:p w:rsidR="007F35B9" w:rsidRPr="00E72405" w:rsidRDefault="007F35B9" w:rsidP="007F35B9">
      <w:pPr>
        <w:tabs>
          <w:tab w:val="left" w:pos="1440"/>
        </w:tabs>
        <w:spacing w:after="0" w:line="240" w:lineRule="auto"/>
        <w:ind w:firstLine="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Paulo Sergio </w:t>
      </w:r>
      <w:proofErr w:type="spellStart"/>
      <w:r w:rsidRPr="00E72405">
        <w:rPr>
          <w:rFonts w:ascii="Cambria" w:hAnsi="Cambria"/>
          <w:sz w:val="20"/>
          <w:szCs w:val="20"/>
        </w:rPr>
        <w:t>Markun</w:t>
      </w:r>
      <w:proofErr w:type="spellEnd"/>
      <w:r w:rsidRPr="00E72405">
        <w:rPr>
          <w:rFonts w:ascii="Cambria" w:hAnsi="Cambria"/>
          <w:sz w:val="20"/>
          <w:szCs w:val="20"/>
        </w:rPr>
        <w:t xml:space="preserve"> also confirmed that the Military Prosecutor had altered his testimony.   He stated the following:  “during the IPM the witness was asked if he had any reason to suspect that Vladimir Herzog had been tortured; the witness answered yes, because he and his wife were tortured; in response, the Prosecutor told [the witness] that his were subjective allegations and none of those statements appeared in the transcript of his testimony [</w:t>
      </w:r>
      <w:proofErr w:type="spellStart"/>
      <w:r w:rsidRPr="00E72405">
        <w:rPr>
          <w:rFonts w:ascii="Cambria" w:hAnsi="Cambria"/>
          <w:i/>
          <w:sz w:val="20"/>
          <w:szCs w:val="20"/>
        </w:rPr>
        <w:t>termo</w:t>
      </w:r>
      <w:proofErr w:type="spellEnd"/>
      <w:r w:rsidRPr="00E72405">
        <w:rPr>
          <w:rFonts w:ascii="Cambria" w:hAnsi="Cambria"/>
          <w:i/>
          <w:sz w:val="20"/>
          <w:szCs w:val="20"/>
        </w:rPr>
        <w:t xml:space="preserve"> de </w:t>
      </w:r>
      <w:proofErr w:type="spellStart"/>
      <w:r w:rsidRPr="00E72405">
        <w:rPr>
          <w:rFonts w:ascii="Cambria" w:hAnsi="Cambria"/>
          <w:i/>
          <w:sz w:val="20"/>
          <w:szCs w:val="20"/>
        </w:rPr>
        <w:t>declarações</w:t>
      </w:r>
      <w:proofErr w:type="spellEnd"/>
      <w:r w:rsidRPr="00E72405">
        <w:rPr>
          <w:rFonts w:ascii="Cambria" w:hAnsi="Cambria"/>
          <w:sz w:val="20"/>
          <w:szCs w:val="20"/>
        </w:rPr>
        <w:t>].”</w:t>
      </w:r>
      <w:r w:rsidRPr="00E72405">
        <w:rPr>
          <w:rStyle w:val="FootnoteReference"/>
          <w:rFonts w:ascii="Cambria" w:hAnsi="Cambria"/>
          <w:sz w:val="20"/>
          <w:szCs w:val="20"/>
        </w:rPr>
        <w:t xml:space="preserve"> </w:t>
      </w:r>
      <w:r w:rsidRPr="00E72405">
        <w:rPr>
          <w:rStyle w:val="FootnoteReference"/>
          <w:rFonts w:ascii="Cambria" w:hAnsi="Cambria"/>
          <w:sz w:val="20"/>
          <w:szCs w:val="20"/>
        </w:rPr>
        <w:footnoteReference w:id="178"/>
      </w:r>
    </w:p>
    <w:p w:rsidR="007F35B9" w:rsidRPr="00E72405" w:rsidRDefault="007F35B9" w:rsidP="007F35B9">
      <w:pPr>
        <w:pStyle w:val="NoSpacing"/>
        <w:rPr>
          <w:rFonts w:ascii="Cambria" w:hAnsi="Cambria"/>
        </w:rPr>
      </w:pPr>
    </w:p>
    <w:p w:rsidR="007F35B9" w:rsidRPr="00E72405" w:rsidRDefault="007F35B9" w:rsidP="00D85590">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Journalist Duque Estrada stated that “[V]</w:t>
      </w:r>
      <w:proofErr w:type="spellStart"/>
      <w:r w:rsidRPr="00E72405">
        <w:rPr>
          <w:rFonts w:ascii="Cambria" w:hAnsi="Cambria"/>
          <w:sz w:val="20"/>
          <w:szCs w:val="20"/>
        </w:rPr>
        <w:t>ladimir</w:t>
      </w:r>
      <w:proofErr w:type="spellEnd"/>
      <w:r w:rsidRPr="00E72405">
        <w:rPr>
          <w:rFonts w:ascii="Cambria" w:hAnsi="Cambria"/>
          <w:sz w:val="20"/>
          <w:szCs w:val="20"/>
        </w:rPr>
        <w:t xml:space="preserve"> Herzog spoke with an investigator who had a tattoo on his arm in the shape of anchor.  The investigator had summoned the witness and Rodolfo Oswaldo </w:t>
      </w:r>
      <w:proofErr w:type="spellStart"/>
      <w:r w:rsidRPr="00E72405">
        <w:rPr>
          <w:rFonts w:ascii="Cambria" w:hAnsi="Cambria"/>
          <w:sz w:val="20"/>
          <w:szCs w:val="20"/>
        </w:rPr>
        <w:lastRenderedPageBreak/>
        <w:t>Konder</w:t>
      </w:r>
      <w:proofErr w:type="spellEnd"/>
      <w:r w:rsidRPr="00E72405">
        <w:rPr>
          <w:rFonts w:ascii="Cambria" w:hAnsi="Cambria"/>
          <w:sz w:val="20"/>
          <w:szCs w:val="20"/>
        </w:rPr>
        <w:t xml:space="preserve"> to identify Vladimir Herzog; that Vladimir Herzog was dressed in a one-piece Brazilian Army uniform and had a black hood over his head; that Vladimir’s uniform had no belt; […] that the witness and Rodolfo Oswaldo </w:t>
      </w:r>
      <w:proofErr w:type="spellStart"/>
      <w:r w:rsidRPr="00E72405">
        <w:rPr>
          <w:rFonts w:ascii="Cambria" w:hAnsi="Cambria"/>
          <w:sz w:val="20"/>
          <w:szCs w:val="20"/>
        </w:rPr>
        <w:t>Konder</w:t>
      </w:r>
      <w:proofErr w:type="spellEnd"/>
      <w:r w:rsidRPr="00E72405">
        <w:rPr>
          <w:rFonts w:ascii="Cambria" w:hAnsi="Cambria"/>
          <w:sz w:val="20"/>
          <w:szCs w:val="20"/>
        </w:rPr>
        <w:t xml:space="preserve"> were taken from the room and seated on two chairs facing the door to the room on the first floor; that from where the witness was sitting he could hear screams which he attributes to the interrogators and Vladimir Herzog.”</w:t>
      </w:r>
      <w:r w:rsidRPr="00E72405">
        <w:rPr>
          <w:rStyle w:val="FootnoteReference"/>
          <w:rFonts w:ascii="Cambria" w:hAnsi="Cambria"/>
          <w:sz w:val="20"/>
          <w:szCs w:val="20"/>
        </w:rPr>
        <w:footnoteReference w:id="179"/>
      </w:r>
      <w:r w:rsidRPr="00E72405">
        <w:rPr>
          <w:rFonts w:ascii="Cambria" w:hAnsi="Cambria"/>
          <w:sz w:val="20"/>
          <w:szCs w:val="20"/>
        </w:rPr>
        <w:t xml:space="preserve"> Mr. Duque Estrada also observed that when he exited “Vladimir Herzog’s interrogation got underway […] the doors were open […] and many screams were coming from inside that room.”</w:t>
      </w:r>
      <w:r w:rsidRPr="00E72405">
        <w:rPr>
          <w:rStyle w:val="FootnoteReference"/>
          <w:rFonts w:ascii="Cambria" w:hAnsi="Cambria"/>
          <w:sz w:val="20"/>
          <w:szCs w:val="20"/>
        </w:rPr>
        <w:footnoteReference w:id="180"/>
      </w:r>
    </w:p>
    <w:p w:rsidR="00D85590" w:rsidRPr="00E72405" w:rsidRDefault="00D85590" w:rsidP="00D85590">
      <w:pPr>
        <w:spacing w:after="0" w:line="240" w:lineRule="auto"/>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On May 24, 1978, the Commander of the Second Army answered the memorandum from the Federal Judge in which the latter again called for Pedro Antonio Mira </w:t>
      </w:r>
      <w:proofErr w:type="spellStart"/>
      <w:r w:rsidRPr="00E72405">
        <w:rPr>
          <w:rFonts w:ascii="Cambria" w:hAnsi="Cambria"/>
          <w:sz w:val="20"/>
          <w:szCs w:val="20"/>
        </w:rPr>
        <w:t>Grancieri</w:t>
      </w:r>
      <w:proofErr w:type="spellEnd"/>
      <w:r w:rsidRPr="00E72405">
        <w:rPr>
          <w:rFonts w:ascii="Cambria" w:hAnsi="Cambria"/>
          <w:sz w:val="20"/>
          <w:szCs w:val="20"/>
        </w:rPr>
        <w:t xml:space="preserve"> and “</w:t>
      </w:r>
      <w:proofErr w:type="spellStart"/>
      <w:r w:rsidRPr="00E72405">
        <w:rPr>
          <w:rFonts w:ascii="Cambria" w:hAnsi="Cambria"/>
          <w:i/>
          <w:sz w:val="20"/>
          <w:szCs w:val="20"/>
        </w:rPr>
        <w:t>Capit</w:t>
      </w:r>
      <w:r w:rsidRPr="00E72405">
        <w:rPr>
          <w:rStyle w:val="Emphasis"/>
          <w:rFonts w:cs="Arial"/>
          <w:i w:val="0"/>
          <w:sz w:val="20"/>
          <w:szCs w:val="20"/>
        </w:rPr>
        <w:t>ã</w:t>
      </w:r>
      <w:r w:rsidRPr="00E72405">
        <w:rPr>
          <w:rFonts w:ascii="Cambria" w:hAnsi="Cambria"/>
          <w:i/>
          <w:sz w:val="20"/>
          <w:szCs w:val="20"/>
        </w:rPr>
        <w:t>o</w:t>
      </w:r>
      <w:proofErr w:type="spellEnd"/>
      <w:r w:rsidRPr="00E72405">
        <w:rPr>
          <w:rFonts w:ascii="Cambria" w:hAnsi="Cambria"/>
          <w:i/>
          <w:sz w:val="20"/>
          <w:szCs w:val="20"/>
        </w:rPr>
        <w:t xml:space="preserve"> </w:t>
      </w:r>
      <w:proofErr w:type="spellStart"/>
      <w:r w:rsidRPr="00E72405">
        <w:rPr>
          <w:rFonts w:ascii="Cambria" w:hAnsi="Cambria"/>
          <w:i/>
          <w:sz w:val="20"/>
          <w:szCs w:val="20"/>
        </w:rPr>
        <w:t>Ubirajara</w:t>
      </w:r>
      <w:proofErr w:type="spellEnd"/>
      <w:r w:rsidRPr="00E72405">
        <w:rPr>
          <w:rFonts w:ascii="Cambria" w:hAnsi="Cambria"/>
          <w:sz w:val="20"/>
          <w:szCs w:val="20"/>
        </w:rPr>
        <w:t>” to appear as witnesses.  In his reply, the Commander informed the Judge that he had “taken steps to recall Mr. PEDRO ANTONIO MIRA GRANCIERI from the area in MATO GROSSO where he was on a mission”;</w:t>
      </w:r>
      <w:r w:rsidRPr="00E72405">
        <w:rPr>
          <w:rStyle w:val="FootnoteReference"/>
          <w:rFonts w:ascii="Cambria" w:hAnsi="Cambria"/>
          <w:sz w:val="20"/>
          <w:szCs w:val="20"/>
        </w:rPr>
        <w:footnoteReference w:id="181"/>
      </w:r>
      <w:r w:rsidRPr="00E72405">
        <w:rPr>
          <w:rFonts w:ascii="Cambria" w:hAnsi="Cambria"/>
          <w:sz w:val="20"/>
          <w:szCs w:val="20"/>
        </w:rPr>
        <w:t xml:space="preserve"> the Commander pointed out, however, that because of the autonomous nature of his assigned mission, “it is absolutely impossible to locate him at the present time, so that I cannot produce him as a witness”.</w:t>
      </w:r>
      <w:r w:rsidRPr="00E72405">
        <w:rPr>
          <w:rStyle w:val="FootnoteReference"/>
          <w:rFonts w:ascii="Cambria" w:hAnsi="Cambria"/>
          <w:sz w:val="20"/>
          <w:szCs w:val="20"/>
        </w:rPr>
        <w:footnoteReference w:id="182"/>
      </w:r>
      <w:r w:rsidRPr="00E72405">
        <w:rPr>
          <w:rFonts w:ascii="Cambria" w:hAnsi="Cambria"/>
          <w:sz w:val="20"/>
          <w:szCs w:val="20"/>
        </w:rPr>
        <w:t xml:space="preserve">  As for “</w:t>
      </w:r>
      <w:proofErr w:type="spellStart"/>
      <w:r w:rsidRPr="00E72405">
        <w:rPr>
          <w:rFonts w:ascii="Cambria" w:hAnsi="Cambria"/>
          <w:i/>
          <w:sz w:val="20"/>
          <w:szCs w:val="20"/>
        </w:rPr>
        <w:t>Capit</w:t>
      </w:r>
      <w:r w:rsidRPr="00E72405">
        <w:rPr>
          <w:rStyle w:val="Emphasis"/>
          <w:rFonts w:cs="Arial"/>
          <w:i w:val="0"/>
          <w:sz w:val="20"/>
          <w:szCs w:val="20"/>
        </w:rPr>
        <w:t>ã</w:t>
      </w:r>
      <w:r w:rsidRPr="00E72405">
        <w:rPr>
          <w:rFonts w:ascii="Cambria" w:hAnsi="Cambria"/>
          <w:i/>
          <w:sz w:val="20"/>
          <w:szCs w:val="20"/>
        </w:rPr>
        <w:t>o</w:t>
      </w:r>
      <w:proofErr w:type="spellEnd"/>
      <w:r w:rsidRPr="00E72405">
        <w:rPr>
          <w:rFonts w:ascii="Cambria" w:hAnsi="Cambria"/>
          <w:i/>
          <w:sz w:val="20"/>
          <w:szCs w:val="20"/>
        </w:rPr>
        <w:t xml:space="preserve"> </w:t>
      </w:r>
      <w:proofErr w:type="spellStart"/>
      <w:r w:rsidRPr="00E72405">
        <w:rPr>
          <w:rFonts w:ascii="Cambria" w:hAnsi="Cambria"/>
          <w:i/>
          <w:sz w:val="20"/>
          <w:szCs w:val="20"/>
        </w:rPr>
        <w:t>Ubirajara</w:t>
      </w:r>
      <w:proofErr w:type="spellEnd"/>
      <w:r w:rsidRPr="00E72405">
        <w:rPr>
          <w:rFonts w:ascii="Cambria" w:hAnsi="Cambria"/>
          <w:sz w:val="20"/>
          <w:szCs w:val="20"/>
        </w:rPr>
        <w:t>”, the Commander reported that he had ordered that the data necessary to identify him be compiled.</w:t>
      </w:r>
      <w:r w:rsidRPr="00E72405">
        <w:rPr>
          <w:rStyle w:val="FootnoteReference"/>
          <w:rFonts w:ascii="Cambria" w:hAnsi="Cambria"/>
          <w:sz w:val="20"/>
          <w:szCs w:val="20"/>
        </w:rPr>
        <w:footnoteReference w:id="183"/>
      </w:r>
      <w:r w:rsidRPr="00E72405">
        <w:rPr>
          <w:rFonts w:ascii="Cambria" w:hAnsi="Cambria"/>
          <w:sz w:val="20"/>
          <w:szCs w:val="20"/>
        </w:rPr>
        <w:t xml:space="preserve">  On May 26, 1978, the plaintiffs withdrew their request that Pedro Antonio Mira </w:t>
      </w:r>
      <w:proofErr w:type="spellStart"/>
      <w:r w:rsidRPr="00E72405">
        <w:rPr>
          <w:rFonts w:ascii="Cambria" w:hAnsi="Cambria"/>
          <w:sz w:val="20"/>
          <w:szCs w:val="20"/>
        </w:rPr>
        <w:t>Grancieri</w:t>
      </w:r>
      <w:proofErr w:type="spellEnd"/>
      <w:r w:rsidRPr="00E72405">
        <w:rPr>
          <w:rFonts w:ascii="Cambria" w:hAnsi="Cambria"/>
          <w:sz w:val="20"/>
          <w:szCs w:val="20"/>
        </w:rPr>
        <w:t xml:space="preserve"> and “</w:t>
      </w:r>
      <w:proofErr w:type="spellStart"/>
      <w:r w:rsidRPr="00E72405">
        <w:rPr>
          <w:rFonts w:ascii="Cambria" w:hAnsi="Cambria"/>
          <w:i/>
          <w:sz w:val="20"/>
          <w:szCs w:val="20"/>
        </w:rPr>
        <w:t>Capit</w:t>
      </w:r>
      <w:r w:rsidRPr="00E72405">
        <w:rPr>
          <w:rStyle w:val="Emphasis"/>
          <w:rFonts w:cs="Arial"/>
          <w:i w:val="0"/>
          <w:sz w:val="20"/>
          <w:szCs w:val="20"/>
        </w:rPr>
        <w:t>ã</w:t>
      </w:r>
      <w:r w:rsidRPr="00E72405">
        <w:rPr>
          <w:rFonts w:ascii="Cambria" w:hAnsi="Cambria"/>
          <w:i/>
          <w:sz w:val="20"/>
          <w:szCs w:val="20"/>
        </w:rPr>
        <w:t>o</w:t>
      </w:r>
      <w:proofErr w:type="spellEnd"/>
      <w:r w:rsidRPr="00E72405">
        <w:rPr>
          <w:rFonts w:ascii="Cambria" w:hAnsi="Cambria"/>
          <w:i/>
          <w:sz w:val="20"/>
          <w:szCs w:val="20"/>
        </w:rPr>
        <w:t xml:space="preserve"> </w:t>
      </w:r>
      <w:proofErr w:type="spellStart"/>
      <w:r w:rsidRPr="00E72405">
        <w:rPr>
          <w:rFonts w:ascii="Cambria" w:hAnsi="Cambria"/>
          <w:i/>
          <w:sz w:val="20"/>
          <w:szCs w:val="20"/>
        </w:rPr>
        <w:t>Ubirajara</w:t>
      </w:r>
      <w:proofErr w:type="spellEnd"/>
      <w:r w:rsidRPr="00E72405">
        <w:rPr>
          <w:rFonts w:ascii="Cambria" w:hAnsi="Cambria"/>
          <w:sz w:val="20"/>
          <w:szCs w:val="20"/>
        </w:rPr>
        <w:t>” be called as witnesses.  They stated that the memorandum from the Commander of the Second Army revealed “the intention to conceal the persons truly responsible for Vladimir Herzog’s death.”</w:t>
      </w:r>
      <w:r w:rsidRPr="00E72405">
        <w:rPr>
          <w:rStyle w:val="FootnoteReference"/>
          <w:rFonts w:ascii="Cambria" w:hAnsi="Cambria"/>
          <w:sz w:val="20"/>
          <w:szCs w:val="20"/>
        </w:rPr>
        <w:footnoteReference w:id="184"/>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On June 15, 1978, the Federal Union presented its “Memorial” in which it requested that the Declaratory Action be judged “out of order since the alleged victim’s suicide was not caused by any action or omission on the part of the authorities sufficient to cause a legal person under public law to be deemed liable.”</w:t>
      </w:r>
      <w:r w:rsidRPr="00E72405">
        <w:rPr>
          <w:rStyle w:val="FootnoteReference"/>
          <w:rFonts w:ascii="Cambria" w:hAnsi="Cambria"/>
          <w:sz w:val="20"/>
          <w:szCs w:val="20"/>
        </w:rPr>
        <w:footnoteReference w:id="185"/>
      </w:r>
      <w:r w:rsidRPr="00E72405">
        <w:rPr>
          <w:rFonts w:ascii="Cambria" w:hAnsi="Cambria"/>
          <w:sz w:val="20"/>
          <w:szCs w:val="20"/>
        </w:rPr>
        <w:t xml:space="preserve">  For his part, the “ad hoc” representative of the Public Prosecutor’s Office presented his “Memorial” in which he argued in favor of the admissibility [</w:t>
      </w:r>
      <w:proofErr w:type="spellStart"/>
      <w:r w:rsidRPr="00E72405">
        <w:rPr>
          <w:rFonts w:ascii="Cambria" w:hAnsi="Cambria"/>
          <w:i/>
          <w:sz w:val="20"/>
          <w:szCs w:val="20"/>
        </w:rPr>
        <w:t>opinando</w:t>
      </w:r>
      <w:proofErr w:type="spellEnd"/>
      <w:r w:rsidRPr="00E72405">
        <w:rPr>
          <w:rFonts w:ascii="Cambria" w:hAnsi="Cambria"/>
          <w:i/>
          <w:sz w:val="20"/>
          <w:szCs w:val="20"/>
        </w:rPr>
        <w:t xml:space="preserve"> pela </w:t>
      </w:r>
      <w:proofErr w:type="spellStart"/>
      <w:r w:rsidRPr="00E72405">
        <w:rPr>
          <w:rFonts w:ascii="Cambria" w:hAnsi="Cambria"/>
          <w:i/>
          <w:sz w:val="20"/>
          <w:szCs w:val="20"/>
        </w:rPr>
        <w:t>procedencia</w:t>
      </w:r>
      <w:proofErr w:type="spellEnd"/>
      <w:r w:rsidRPr="00E72405">
        <w:rPr>
          <w:rFonts w:ascii="Cambria" w:hAnsi="Cambria"/>
          <w:sz w:val="20"/>
          <w:szCs w:val="20"/>
        </w:rPr>
        <w:t>] of the Declaratory Action.</w:t>
      </w:r>
      <w:r w:rsidRPr="00E72405">
        <w:rPr>
          <w:rStyle w:val="FootnoteReference"/>
          <w:rFonts w:ascii="Cambria" w:hAnsi="Cambria"/>
          <w:sz w:val="20"/>
          <w:szCs w:val="20"/>
        </w:rPr>
        <w:footnoteReference w:id="186"/>
      </w:r>
      <w:r w:rsidRPr="00E72405">
        <w:rPr>
          <w:rFonts w:ascii="Cambria" w:hAnsi="Cambria"/>
          <w:sz w:val="20"/>
          <w:szCs w:val="20"/>
        </w:rPr>
        <w:t xml:space="preserve">  The Federal Union then filed for a writ of mandamus [</w:t>
      </w:r>
      <w:proofErr w:type="spellStart"/>
      <w:r w:rsidRPr="00E72405">
        <w:rPr>
          <w:rFonts w:ascii="Cambria" w:hAnsi="Cambria"/>
          <w:i/>
          <w:sz w:val="20"/>
          <w:szCs w:val="20"/>
        </w:rPr>
        <w:t>Mandado</w:t>
      </w:r>
      <w:proofErr w:type="spellEnd"/>
      <w:r w:rsidRPr="00E72405">
        <w:rPr>
          <w:rFonts w:ascii="Cambria" w:hAnsi="Cambria"/>
          <w:i/>
          <w:sz w:val="20"/>
          <w:szCs w:val="20"/>
        </w:rPr>
        <w:t xml:space="preserve"> de </w:t>
      </w:r>
      <w:proofErr w:type="spellStart"/>
      <w:r w:rsidRPr="00E72405">
        <w:rPr>
          <w:rFonts w:ascii="Cambria" w:hAnsi="Cambria"/>
          <w:i/>
          <w:sz w:val="20"/>
          <w:szCs w:val="20"/>
        </w:rPr>
        <w:t>Segurança</w:t>
      </w:r>
      <w:proofErr w:type="spellEnd"/>
      <w:r w:rsidRPr="00E72405">
        <w:rPr>
          <w:rFonts w:ascii="Cambria" w:hAnsi="Cambria"/>
          <w:sz w:val="20"/>
          <w:szCs w:val="20"/>
        </w:rPr>
        <w:t xml:space="preserve">] with the Federal Court of Appeals, asking the court to order that the “reading and publication” of the judgment in the case be suspended.  On September 21, 1978, the Federal Court of Appeals, </w:t>
      </w:r>
      <w:proofErr w:type="spellStart"/>
      <w:r w:rsidRPr="00E72405">
        <w:rPr>
          <w:rFonts w:ascii="Cambria" w:hAnsi="Cambria"/>
          <w:i/>
          <w:sz w:val="20"/>
          <w:szCs w:val="20"/>
        </w:rPr>
        <w:t>en</w:t>
      </w:r>
      <w:proofErr w:type="spellEnd"/>
      <w:r w:rsidRPr="00E72405">
        <w:rPr>
          <w:rFonts w:ascii="Cambria" w:hAnsi="Cambria"/>
          <w:i/>
          <w:sz w:val="20"/>
          <w:szCs w:val="20"/>
        </w:rPr>
        <w:t xml:space="preserve"> banc, </w:t>
      </w:r>
      <w:r w:rsidRPr="00E72405">
        <w:rPr>
          <w:rFonts w:ascii="Cambria" w:hAnsi="Cambria"/>
          <w:sz w:val="20"/>
          <w:szCs w:val="20"/>
        </w:rPr>
        <w:t>dismissed the petition seeking a writ of mandamus.</w:t>
      </w:r>
      <w:r w:rsidRPr="00E72405">
        <w:rPr>
          <w:rStyle w:val="FootnoteReference"/>
          <w:rFonts w:ascii="Cambria" w:hAnsi="Cambria"/>
          <w:sz w:val="20"/>
          <w:szCs w:val="20"/>
        </w:rPr>
        <w:footnoteReference w:id="187"/>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lastRenderedPageBreak/>
        <w:t xml:space="preserve">On October 27, 1978, the Federal Judge delivered a ruling in which he affirmed, </w:t>
      </w:r>
      <w:r w:rsidRPr="00E72405">
        <w:rPr>
          <w:rFonts w:ascii="Cambria" w:hAnsi="Cambria"/>
          <w:i/>
          <w:sz w:val="20"/>
          <w:szCs w:val="20"/>
        </w:rPr>
        <w:t xml:space="preserve">inter alia, </w:t>
      </w:r>
      <w:r w:rsidRPr="00E72405">
        <w:rPr>
          <w:rFonts w:ascii="Cambria" w:hAnsi="Cambria"/>
          <w:sz w:val="20"/>
          <w:szCs w:val="20"/>
        </w:rPr>
        <w:t>that “it is irrefutable fact in the present case that Vladimir Herzog […] died an unnatural death while on the premises of the Intelligence Operations Detachment of the Center for Internal Defense (DOI/CODI), a subordinate organ and component of the Second Army.”</w:t>
      </w:r>
      <w:r w:rsidRPr="00E72405">
        <w:rPr>
          <w:rStyle w:val="FootnoteReference"/>
          <w:rFonts w:ascii="Cambria" w:hAnsi="Cambria"/>
          <w:sz w:val="20"/>
          <w:szCs w:val="20"/>
        </w:rPr>
        <w:footnoteReference w:id="188"/>
      </w:r>
      <w:r w:rsidRPr="00E72405">
        <w:rPr>
          <w:rFonts w:ascii="Cambria" w:hAnsi="Cambria"/>
          <w:sz w:val="20"/>
          <w:szCs w:val="20"/>
        </w:rPr>
        <w:t xml:space="preserve">  The judge also wrote that “it is irrefutable fact that Vladimir Herzog was found in his cell, in partial suspension, hanging by a belt of green fabric, the same color as the one-piece uniform he was wearing, clothing he was given by the agents charged with guaranteeing his physical safety.”</w:t>
      </w:r>
      <w:r w:rsidRPr="00E72405">
        <w:rPr>
          <w:rStyle w:val="FootnoteReference"/>
          <w:rFonts w:ascii="Cambria" w:hAnsi="Cambria"/>
          <w:sz w:val="20"/>
          <w:szCs w:val="20"/>
        </w:rPr>
        <w:footnoteReference w:id="189"/>
      </w:r>
      <w:r w:rsidR="00BF2755" w:rsidRPr="00E72405">
        <w:rPr>
          <w:rFonts w:ascii="Cambria" w:hAnsi="Cambria"/>
          <w:sz w:val="20"/>
          <w:szCs w:val="20"/>
        </w:rPr>
        <w:t xml:space="preserve"> </w:t>
      </w:r>
      <w:r w:rsidRPr="00E72405">
        <w:rPr>
          <w:rFonts w:ascii="Cambria" w:hAnsi="Cambria"/>
          <w:sz w:val="20"/>
          <w:szCs w:val="20"/>
        </w:rPr>
        <w:t>Continuing, the judge wrote that “there was no good reason why the detainee should be wearing a belt,” since when he was found dead, he was dressed in a one-piece uniform.</w:t>
      </w:r>
      <w:r w:rsidRPr="00E72405">
        <w:rPr>
          <w:rStyle w:val="FootnoteReference"/>
          <w:rFonts w:ascii="Cambria" w:hAnsi="Cambria"/>
          <w:sz w:val="20"/>
          <w:szCs w:val="20"/>
        </w:rPr>
        <w:footnoteReference w:id="190"/>
      </w:r>
      <w:r w:rsidRPr="00E72405">
        <w:rPr>
          <w:rFonts w:ascii="Cambria" w:hAnsi="Cambria"/>
          <w:sz w:val="20"/>
          <w:szCs w:val="20"/>
        </w:rPr>
        <w:t xml:space="preserve">  Furthermore, the witnesses gave “coherent” testimony that “detainees at the DOI/CODI did not wear belts and did not have shoe laces or socks, and no evidence to the contrary was produced at trial.”</w:t>
      </w:r>
      <w:r w:rsidRPr="00E72405">
        <w:rPr>
          <w:rStyle w:val="FootnoteReference"/>
          <w:rFonts w:ascii="Cambria" w:hAnsi="Cambria"/>
          <w:sz w:val="20"/>
          <w:szCs w:val="20"/>
        </w:rPr>
        <w:footnoteReference w:id="191"/>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As for the report on the </w:t>
      </w:r>
      <w:r w:rsidR="00DC7D76" w:rsidRPr="00E72405">
        <w:rPr>
          <w:rFonts w:ascii="Cambria" w:hAnsi="Cambria"/>
          <w:sz w:val="20"/>
          <w:szCs w:val="20"/>
        </w:rPr>
        <w:t xml:space="preserve">autopsy done on Vladimir Herzog, </w:t>
      </w:r>
      <w:r w:rsidR="008037DA" w:rsidRPr="00E72405">
        <w:rPr>
          <w:rFonts w:ascii="Cambria" w:hAnsi="Cambria"/>
          <w:sz w:val="20"/>
          <w:szCs w:val="20"/>
        </w:rPr>
        <w:t xml:space="preserve">the judge wrote that </w:t>
      </w:r>
      <w:r w:rsidRPr="00E72405">
        <w:rPr>
          <w:rFonts w:ascii="Cambria" w:hAnsi="Cambria"/>
          <w:sz w:val="20"/>
          <w:szCs w:val="20"/>
        </w:rPr>
        <w:t>Dr. Harry Shibata, testified that “he never saw the body of Vladimir Herzog.”</w:t>
      </w:r>
      <w:r w:rsidRPr="00E72405">
        <w:rPr>
          <w:rStyle w:val="FootnoteReference"/>
          <w:rFonts w:ascii="Cambria" w:hAnsi="Cambria"/>
          <w:sz w:val="20"/>
          <w:szCs w:val="20"/>
        </w:rPr>
        <w:footnoteReference w:id="192"/>
      </w:r>
      <w:r w:rsidRPr="00E72405">
        <w:rPr>
          <w:rFonts w:ascii="Cambria" w:hAnsi="Cambria"/>
          <w:sz w:val="20"/>
          <w:szCs w:val="20"/>
        </w:rPr>
        <w:t xml:space="preserve">  Thus, the judge held that the autopsy report and the additional examination ordered in the military police investigation, have no legal “efficacy.”</w:t>
      </w:r>
      <w:r w:rsidRPr="00E72405">
        <w:rPr>
          <w:rStyle w:val="FootnoteReference"/>
          <w:rFonts w:ascii="Cambria" w:hAnsi="Cambria"/>
          <w:sz w:val="20"/>
          <w:szCs w:val="20"/>
        </w:rPr>
        <w:footnoteReference w:id="193"/>
      </w:r>
      <w:r w:rsidRPr="00E72405">
        <w:rPr>
          <w:rFonts w:ascii="Cambria" w:hAnsi="Cambria"/>
          <w:sz w:val="20"/>
          <w:szCs w:val="20"/>
        </w:rPr>
        <w:t xml:space="preserve">  As for the military police investigation, the judge wrote that its evidentiary value “is merely informative; in other words, the information it contains is for the Public Prosecutor’s Office and only has probative value if repeated at trial or if the information is consistent with the evidence produced in court.” </w:t>
      </w:r>
      <w:r w:rsidRPr="00E72405">
        <w:rPr>
          <w:rStyle w:val="FootnoteReference"/>
          <w:rFonts w:ascii="Cambria" w:hAnsi="Cambria"/>
          <w:sz w:val="20"/>
          <w:szCs w:val="20"/>
        </w:rPr>
        <w:footnoteReference w:id="194"/>
      </w:r>
      <w:r w:rsidRPr="00E72405">
        <w:rPr>
          <w:rFonts w:ascii="Cambria" w:hAnsi="Cambria"/>
          <w:sz w:val="20"/>
          <w:szCs w:val="20"/>
        </w:rPr>
        <w:t xml:space="preserve"> The judge also wrote that the statements “most favorable” to the Federal Union’s account of Vladimir Herzog’s death were not repeated at trial and “contradict the evidence produced under the adversarial principle.”</w:t>
      </w:r>
      <w:r w:rsidRPr="00E72405">
        <w:rPr>
          <w:rStyle w:val="FootnoteReference"/>
          <w:rFonts w:ascii="Cambria" w:hAnsi="Cambria"/>
          <w:sz w:val="20"/>
          <w:szCs w:val="20"/>
        </w:rPr>
        <w:footnoteReference w:id="195"/>
      </w:r>
      <w:r w:rsidRPr="00E72405">
        <w:rPr>
          <w:rFonts w:ascii="Cambria" w:hAnsi="Cambria"/>
          <w:sz w:val="20"/>
          <w:szCs w:val="20"/>
        </w:rPr>
        <w:t xml:space="preserve">  He pointed out that the Federal Union failed to prove that the suicide had occurred.</w:t>
      </w:r>
      <w:r w:rsidRPr="00E72405">
        <w:rPr>
          <w:rStyle w:val="FootnoteReference"/>
          <w:rFonts w:ascii="Cambria" w:hAnsi="Cambria"/>
          <w:sz w:val="20"/>
          <w:szCs w:val="20"/>
        </w:rPr>
        <w:footnoteReference w:id="196"/>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judge also pointed to the unlawfulness of the journalist’s detention, writing “no reference is made to any investigation in which Vladimir was suspected of some crime, to any arrest warrant or to any competent authority who issued it; nor is any mention made of a communication sent to the competent judge concerning his detention.”</w:t>
      </w:r>
      <w:r w:rsidRPr="00E72405">
        <w:rPr>
          <w:rStyle w:val="FootnoteReference"/>
          <w:rFonts w:ascii="Cambria" w:hAnsi="Cambria"/>
          <w:sz w:val="20"/>
          <w:szCs w:val="20"/>
        </w:rPr>
        <w:footnoteReference w:id="197"/>
      </w:r>
      <w:r w:rsidRPr="00E72405">
        <w:rPr>
          <w:rFonts w:ascii="Cambria" w:hAnsi="Cambria"/>
          <w:sz w:val="20"/>
          <w:szCs w:val="20"/>
        </w:rPr>
        <w:t xml:space="preserve">  As for the Public Administration’s civil liability, the judge wrote that “from the moment the husband and father of the  parties bringing the declaratory action was unlawfully detained at the facilities of the Second Army’s DOI/CODI, the Federal Union unquestionably became responsible for his physical and moral safety […]."</w:t>
      </w:r>
      <w:r w:rsidRPr="00E72405">
        <w:rPr>
          <w:rStyle w:val="FootnoteReference"/>
          <w:rFonts w:ascii="Cambria" w:hAnsi="Cambria"/>
          <w:sz w:val="20"/>
          <w:szCs w:val="20"/>
        </w:rPr>
        <w:footnoteReference w:id="198"/>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Based on the foregoing, the Federal Judge deemed the Declaratory Action well-founded, and held that “a legal relationship existed between plaintiffs and respondent in the form of the latter’s obligation to pay the former material and moral damages for the death of journalist Vladimir Herzog.”</w:t>
      </w:r>
      <w:r w:rsidRPr="00E72405">
        <w:rPr>
          <w:rStyle w:val="FootnoteReference"/>
          <w:rFonts w:ascii="Cambria" w:hAnsi="Cambria"/>
          <w:sz w:val="20"/>
          <w:szCs w:val="20"/>
        </w:rPr>
        <w:footnoteReference w:id="199"/>
      </w:r>
      <w:r w:rsidRPr="00E72405">
        <w:rPr>
          <w:rFonts w:ascii="Cambria" w:hAnsi="Cambria"/>
          <w:sz w:val="20"/>
          <w:szCs w:val="20"/>
        </w:rPr>
        <w:t xml:space="preserve"> The judge also decided to send some parts of the case to the Prosecutor General of Military Justice [</w:t>
      </w:r>
      <w:proofErr w:type="spellStart"/>
      <w:r w:rsidRPr="00E72405">
        <w:rPr>
          <w:rFonts w:ascii="Cambria" w:hAnsi="Cambria"/>
          <w:i/>
          <w:sz w:val="20"/>
          <w:szCs w:val="20"/>
        </w:rPr>
        <w:t>Procurador</w:t>
      </w:r>
      <w:proofErr w:type="spellEnd"/>
      <w:r w:rsidRPr="00E72405">
        <w:rPr>
          <w:rFonts w:ascii="Cambria" w:hAnsi="Cambria"/>
          <w:i/>
          <w:sz w:val="20"/>
          <w:szCs w:val="20"/>
        </w:rPr>
        <w:t xml:space="preserve"> </w:t>
      </w:r>
      <w:proofErr w:type="spellStart"/>
      <w:r w:rsidRPr="00E72405">
        <w:rPr>
          <w:rFonts w:ascii="Cambria" w:hAnsi="Cambria"/>
          <w:i/>
          <w:sz w:val="20"/>
          <w:szCs w:val="20"/>
        </w:rPr>
        <w:t>Geral</w:t>
      </w:r>
      <w:proofErr w:type="spellEnd"/>
      <w:r w:rsidRPr="00E72405">
        <w:rPr>
          <w:rFonts w:ascii="Cambria" w:hAnsi="Cambria"/>
          <w:i/>
          <w:sz w:val="20"/>
          <w:szCs w:val="20"/>
        </w:rPr>
        <w:t xml:space="preserve"> da </w:t>
      </w:r>
      <w:proofErr w:type="spellStart"/>
      <w:r w:rsidRPr="00E72405">
        <w:rPr>
          <w:rFonts w:ascii="Cambria" w:hAnsi="Cambria"/>
          <w:i/>
          <w:sz w:val="20"/>
          <w:szCs w:val="20"/>
        </w:rPr>
        <w:t>Justiça</w:t>
      </w:r>
      <w:proofErr w:type="spellEnd"/>
      <w:r w:rsidRPr="00E72405">
        <w:rPr>
          <w:rFonts w:ascii="Cambria" w:hAnsi="Cambria"/>
          <w:i/>
          <w:sz w:val="20"/>
          <w:szCs w:val="20"/>
        </w:rPr>
        <w:t xml:space="preserve"> </w:t>
      </w:r>
      <w:proofErr w:type="spellStart"/>
      <w:r w:rsidRPr="00E72405">
        <w:rPr>
          <w:rFonts w:ascii="Cambria" w:hAnsi="Cambria"/>
          <w:i/>
          <w:sz w:val="20"/>
          <w:szCs w:val="20"/>
        </w:rPr>
        <w:t>Militar</w:t>
      </w:r>
      <w:proofErr w:type="spellEnd"/>
      <w:r w:rsidRPr="00E72405">
        <w:rPr>
          <w:rFonts w:ascii="Cambria" w:hAnsi="Cambria"/>
          <w:sz w:val="20"/>
          <w:szCs w:val="20"/>
        </w:rPr>
        <w:t>] to undertake the appropriate legal measures.</w:t>
      </w:r>
      <w:r w:rsidRPr="00E72405">
        <w:rPr>
          <w:rStyle w:val="FootnoteReference"/>
          <w:rFonts w:ascii="Cambria" w:hAnsi="Cambria"/>
          <w:sz w:val="20"/>
          <w:szCs w:val="20"/>
        </w:rPr>
        <w:footnoteReference w:id="200"/>
      </w:r>
      <w:r w:rsidRPr="00E72405">
        <w:rPr>
          <w:rFonts w:ascii="Cambria" w:hAnsi="Cambria"/>
          <w:sz w:val="20"/>
          <w:szCs w:val="20"/>
        </w:rPr>
        <w:t xml:space="preserve">  According to the Federal Judge, the proceedings in the declaratory action revealed that the crime of abuse of authority had been committed and “vehement revelations” of torture came to light “not just of Vladimir Herzog, but of other political detainees as well, on the premises of the Second Army’s DOI/CODI.”</w:t>
      </w:r>
      <w:r w:rsidRPr="00E72405">
        <w:rPr>
          <w:rStyle w:val="FootnoteReference"/>
          <w:rFonts w:ascii="Cambria" w:hAnsi="Cambria"/>
          <w:sz w:val="20"/>
          <w:szCs w:val="20"/>
        </w:rPr>
        <w:footnoteReference w:id="201"/>
      </w:r>
      <w:r w:rsidRPr="00E72405">
        <w:rPr>
          <w:rFonts w:ascii="Cambria" w:hAnsi="Cambria"/>
          <w:sz w:val="20"/>
          <w:szCs w:val="20"/>
        </w:rPr>
        <w:t xml:space="preserve"> Thus, based on the Code of Criminal Procedure and on the understanding that “over and above respondent’s civil liability, this Court has an obligation to inform the Public Prosecutor’s Office of any crimes brought to this court’s attention in the course of discharging its function,”</w:t>
      </w:r>
      <w:r w:rsidRPr="00E72405">
        <w:rPr>
          <w:rStyle w:val="FootnoteReference"/>
          <w:rFonts w:ascii="Cambria" w:hAnsi="Cambria"/>
          <w:sz w:val="20"/>
          <w:szCs w:val="20"/>
          <w:lang w:val="es-ES_tradnl"/>
        </w:rPr>
        <w:footnoteReference w:id="202"/>
      </w:r>
      <w:r w:rsidRPr="00E72405">
        <w:rPr>
          <w:rFonts w:ascii="Cambria" w:hAnsi="Cambria"/>
          <w:sz w:val="20"/>
          <w:szCs w:val="20"/>
        </w:rPr>
        <w:t xml:space="preserve"> the judge ordered that the judgment and the witnesses’ statements be sent to the Office of the Prosecutor General of Military Justice [</w:t>
      </w:r>
      <w:proofErr w:type="spellStart"/>
      <w:r w:rsidRPr="00E72405">
        <w:rPr>
          <w:rFonts w:ascii="Cambria" w:hAnsi="Cambria"/>
          <w:i/>
          <w:sz w:val="20"/>
          <w:szCs w:val="20"/>
        </w:rPr>
        <w:t>Procurador</w:t>
      </w:r>
      <w:proofErr w:type="spellEnd"/>
      <w:r w:rsidRPr="00E72405">
        <w:rPr>
          <w:rFonts w:ascii="Cambria" w:hAnsi="Cambria"/>
          <w:i/>
          <w:sz w:val="20"/>
          <w:szCs w:val="20"/>
        </w:rPr>
        <w:t xml:space="preserve"> </w:t>
      </w:r>
      <w:proofErr w:type="spellStart"/>
      <w:r w:rsidRPr="00E72405">
        <w:rPr>
          <w:rFonts w:ascii="Cambria" w:hAnsi="Cambria"/>
          <w:i/>
          <w:sz w:val="20"/>
          <w:szCs w:val="20"/>
        </w:rPr>
        <w:t>Geral</w:t>
      </w:r>
      <w:proofErr w:type="spellEnd"/>
      <w:r w:rsidRPr="00E72405">
        <w:rPr>
          <w:rFonts w:ascii="Cambria" w:hAnsi="Cambria"/>
          <w:i/>
          <w:sz w:val="20"/>
          <w:szCs w:val="20"/>
        </w:rPr>
        <w:t xml:space="preserve"> da </w:t>
      </w:r>
      <w:proofErr w:type="spellStart"/>
      <w:r w:rsidRPr="00E72405">
        <w:rPr>
          <w:rFonts w:ascii="Cambria" w:hAnsi="Cambria"/>
          <w:i/>
          <w:sz w:val="20"/>
          <w:szCs w:val="20"/>
        </w:rPr>
        <w:t>Justiça</w:t>
      </w:r>
      <w:proofErr w:type="spellEnd"/>
      <w:r w:rsidRPr="00E72405">
        <w:rPr>
          <w:rFonts w:ascii="Cambria" w:hAnsi="Cambria"/>
          <w:i/>
          <w:sz w:val="20"/>
          <w:szCs w:val="20"/>
        </w:rPr>
        <w:t xml:space="preserve"> </w:t>
      </w:r>
      <w:proofErr w:type="spellStart"/>
      <w:r w:rsidRPr="00E72405">
        <w:rPr>
          <w:rFonts w:ascii="Cambria" w:hAnsi="Cambria"/>
          <w:i/>
          <w:sz w:val="20"/>
          <w:szCs w:val="20"/>
        </w:rPr>
        <w:t>Militar</w:t>
      </w:r>
      <w:proofErr w:type="spellEnd"/>
      <w:r w:rsidRPr="00E72405">
        <w:rPr>
          <w:rFonts w:ascii="Cambria" w:hAnsi="Cambria"/>
          <w:sz w:val="20"/>
          <w:szCs w:val="20"/>
        </w:rPr>
        <w:t>].</w:t>
      </w:r>
      <w:r w:rsidRPr="00E72405">
        <w:rPr>
          <w:rStyle w:val="FootnoteReference"/>
          <w:rFonts w:ascii="Cambria" w:hAnsi="Cambria"/>
          <w:sz w:val="20"/>
          <w:szCs w:val="20"/>
          <w:lang w:val="es-ES_tradnl"/>
        </w:rPr>
        <w:footnoteReference w:id="203"/>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On November 17, 1978, the Federal Union filed an appeal to challenge that decision.</w:t>
      </w:r>
      <w:r w:rsidRPr="00E72405">
        <w:rPr>
          <w:rStyle w:val="FootnoteReference"/>
          <w:rFonts w:ascii="Cambria" w:hAnsi="Cambria"/>
          <w:sz w:val="20"/>
          <w:szCs w:val="20"/>
        </w:rPr>
        <w:footnoteReference w:id="204"/>
      </w:r>
      <w:r w:rsidRPr="00E72405">
        <w:rPr>
          <w:rFonts w:ascii="Cambria" w:hAnsi="Cambria"/>
          <w:sz w:val="20"/>
          <w:szCs w:val="20"/>
        </w:rPr>
        <w:t xml:space="preserve">  On February 14, 1979, the plaintiff filed her response to the appeal [</w:t>
      </w:r>
      <w:proofErr w:type="spellStart"/>
      <w:r w:rsidRPr="00E72405">
        <w:rPr>
          <w:rFonts w:ascii="Cambria" w:hAnsi="Cambria"/>
          <w:i/>
          <w:sz w:val="20"/>
          <w:szCs w:val="20"/>
        </w:rPr>
        <w:t>contrarrazões</w:t>
      </w:r>
      <w:proofErr w:type="spellEnd"/>
      <w:r w:rsidRPr="00E72405">
        <w:rPr>
          <w:rFonts w:ascii="Cambria" w:hAnsi="Cambria"/>
          <w:i/>
          <w:sz w:val="20"/>
          <w:szCs w:val="20"/>
        </w:rPr>
        <w:t xml:space="preserve"> </w:t>
      </w:r>
      <w:proofErr w:type="spellStart"/>
      <w:r w:rsidRPr="00E72405">
        <w:rPr>
          <w:rFonts w:ascii="Cambria" w:hAnsi="Cambria"/>
          <w:i/>
          <w:sz w:val="20"/>
          <w:szCs w:val="20"/>
        </w:rPr>
        <w:t>ao</w:t>
      </w:r>
      <w:proofErr w:type="spellEnd"/>
      <w:r w:rsidRPr="00E72405">
        <w:rPr>
          <w:rFonts w:ascii="Cambria" w:hAnsi="Cambria"/>
          <w:i/>
          <w:sz w:val="20"/>
          <w:szCs w:val="20"/>
        </w:rPr>
        <w:t xml:space="preserve"> </w:t>
      </w:r>
      <w:proofErr w:type="spellStart"/>
      <w:r w:rsidRPr="00E72405">
        <w:rPr>
          <w:rFonts w:ascii="Cambria" w:hAnsi="Cambria"/>
          <w:i/>
          <w:sz w:val="20"/>
          <w:szCs w:val="20"/>
        </w:rPr>
        <w:t>recurso</w:t>
      </w:r>
      <w:proofErr w:type="spellEnd"/>
      <w:r w:rsidRPr="00E72405">
        <w:rPr>
          <w:rFonts w:ascii="Cambria" w:hAnsi="Cambria"/>
          <w:i/>
          <w:sz w:val="20"/>
          <w:szCs w:val="20"/>
        </w:rPr>
        <w:t xml:space="preserve"> de </w:t>
      </w:r>
      <w:proofErr w:type="spellStart"/>
      <w:r w:rsidRPr="00E72405">
        <w:rPr>
          <w:rFonts w:ascii="Cambria" w:hAnsi="Cambria"/>
          <w:i/>
          <w:sz w:val="20"/>
          <w:szCs w:val="20"/>
        </w:rPr>
        <w:t>apelação</w:t>
      </w:r>
      <w:proofErr w:type="spellEnd"/>
      <w:r w:rsidRPr="00E72405">
        <w:rPr>
          <w:rFonts w:ascii="Cambria" w:hAnsi="Cambria"/>
          <w:sz w:val="20"/>
          <w:szCs w:val="20"/>
        </w:rPr>
        <w:t>].</w:t>
      </w:r>
      <w:r w:rsidRPr="00E72405">
        <w:rPr>
          <w:rStyle w:val="FootnoteReference"/>
          <w:rFonts w:ascii="Cambria" w:hAnsi="Cambria"/>
          <w:sz w:val="20"/>
          <w:szCs w:val="20"/>
        </w:rPr>
        <w:footnoteReference w:id="205"/>
      </w:r>
      <w:r w:rsidRPr="00E72405">
        <w:rPr>
          <w:rFonts w:ascii="Cambria" w:hAnsi="Cambria"/>
          <w:sz w:val="20"/>
          <w:szCs w:val="20"/>
        </w:rPr>
        <w:t xml:space="preserve">  In 1983, the Federal Court of Appeals, by a majority vote, declared that a legal relationship existed between plaintiffs and respondent “consisting of the obligation to pay damages for the harm caused by the journalist’s death.”</w:t>
      </w:r>
      <w:r w:rsidRPr="00E72405">
        <w:rPr>
          <w:rStyle w:val="FootnoteReference"/>
          <w:rFonts w:ascii="Cambria" w:hAnsi="Cambria"/>
          <w:sz w:val="20"/>
          <w:szCs w:val="20"/>
        </w:rPr>
        <w:footnoteReference w:id="206"/>
      </w:r>
      <w:r w:rsidRPr="00E72405">
        <w:rPr>
          <w:rFonts w:ascii="Cambria" w:hAnsi="Cambria"/>
          <w:sz w:val="20"/>
          <w:szCs w:val="20"/>
        </w:rPr>
        <w:t xml:space="preserve">  However, it did not fix the amount of damages, stating that “these claims are best redressed in an ordinary suit for damages, if the plaintiffs so desire.”</w:t>
      </w:r>
      <w:r w:rsidRPr="00E72405">
        <w:rPr>
          <w:rStyle w:val="FootnoteReference"/>
          <w:rFonts w:ascii="Cambria" w:hAnsi="Cambria"/>
          <w:sz w:val="20"/>
          <w:szCs w:val="20"/>
        </w:rPr>
        <w:footnoteReference w:id="207"/>
      </w:r>
      <w:r w:rsidRPr="00E72405">
        <w:rPr>
          <w:rFonts w:ascii="Cambria" w:hAnsi="Cambria"/>
          <w:sz w:val="20"/>
          <w:szCs w:val="20"/>
        </w:rPr>
        <w:t xml:space="preserve">  Given that ruling by the Federal Court of Appeals, the Federal Union filed a motion for reconsideration,</w:t>
      </w:r>
      <w:r w:rsidRPr="00E72405">
        <w:rPr>
          <w:rStyle w:val="FootnoteReference"/>
          <w:rFonts w:ascii="Cambria" w:hAnsi="Cambria"/>
          <w:sz w:val="20"/>
          <w:szCs w:val="20"/>
        </w:rPr>
        <w:footnoteReference w:id="208"/>
      </w:r>
      <w:r w:rsidRPr="00E72405">
        <w:rPr>
          <w:rFonts w:ascii="Cambria" w:hAnsi="Cambria"/>
          <w:sz w:val="20"/>
          <w:szCs w:val="20"/>
        </w:rPr>
        <w:t xml:space="preserve"> the purpose of which was to have the Federal Court </w:t>
      </w:r>
      <w:proofErr w:type="spellStart"/>
      <w:r w:rsidRPr="00E72405">
        <w:rPr>
          <w:rFonts w:ascii="Cambria" w:hAnsi="Cambria"/>
          <w:i/>
          <w:sz w:val="20"/>
          <w:szCs w:val="20"/>
        </w:rPr>
        <w:t>en</w:t>
      </w:r>
      <w:proofErr w:type="spellEnd"/>
      <w:r w:rsidRPr="00E72405">
        <w:rPr>
          <w:rFonts w:ascii="Cambria" w:hAnsi="Cambria"/>
          <w:i/>
          <w:sz w:val="20"/>
          <w:szCs w:val="20"/>
        </w:rPr>
        <w:t xml:space="preserve"> banc </w:t>
      </w:r>
      <w:r w:rsidRPr="00E72405">
        <w:rPr>
          <w:rFonts w:ascii="Cambria" w:hAnsi="Cambria"/>
          <w:sz w:val="20"/>
          <w:szCs w:val="20"/>
        </w:rPr>
        <w:t>hear the appeal</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It was not until May 18, 1994 that the Federal Regional Court of the 3</w:t>
      </w:r>
      <w:r w:rsidRPr="00E72405">
        <w:rPr>
          <w:rFonts w:ascii="Cambria" w:hAnsi="Cambria"/>
          <w:sz w:val="20"/>
          <w:szCs w:val="20"/>
          <w:vertAlign w:val="superscript"/>
        </w:rPr>
        <w:t>rd</w:t>
      </w:r>
      <w:r w:rsidRPr="00E72405">
        <w:rPr>
          <w:rFonts w:ascii="Cambria" w:hAnsi="Cambria"/>
          <w:sz w:val="20"/>
          <w:szCs w:val="20"/>
        </w:rPr>
        <w:t xml:space="preserve"> Region denied [</w:t>
      </w:r>
      <w:proofErr w:type="spellStart"/>
      <w:r w:rsidRPr="00E72405">
        <w:rPr>
          <w:rFonts w:ascii="Cambria" w:hAnsi="Cambria"/>
          <w:sz w:val="20"/>
          <w:szCs w:val="20"/>
        </w:rPr>
        <w:t>negou</w:t>
      </w:r>
      <w:proofErr w:type="spellEnd"/>
      <w:r w:rsidRPr="00E72405">
        <w:rPr>
          <w:rFonts w:ascii="Cambria" w:hAnsi="Cambria"/>
          <w:sz w:val="20"/>
          <w:szCs w:val="20"/>
        </w:rPr>
        <w:t>] the motion for reconsideration.</w:t>
      </w:r>
      <w:r w:rsidRPr="00E72405">
        <w:rPr>
          <w:rStyle w:val="FootnoteReference"/>
          <w:rFonts w:ascii="Cambria" w:hAnsi="Cambria" w:cs="Arial"/>
          <w:sz w:val="20"/>
          <w:szCs w:val="20"/>
        </w:rPr>
        <w:footnoteReference w:id="209"/>
      </w:r>
      <w:r w:rsidRPr="00E72405">
        <w:rPr>
          <w:rFonts w:ascii="Cambria" w:hAnsi="Cambria"/>
          <w:sz w:val="20"/>
          <w:szCs w:val="20"/>
        </w:rPr>
        <w:t xml:space="preserve">  That decision was published on July 25, 1995 and became a final judgment </w:t>
      </w:r>
      <w:r w:rsidRPr="00E72405">
        <w:rPr>
          <w:rStyle w:val="st1"/>
          <w:rFonts w:ascii="Cambria" w:hAnsi="Cambria" w:cs="Arial"/>
          <w:sz w:val="20"/>
          <w:szCs w:val="20"/>
        </w:rPr>
        <w:t>[</w:t>
      </w:r>
      <w:proofErr w:type="spellStart"/>
      <w:r w:rsidRPr="00E72405">
        <w:rPr>
          <w:rFonts w:ascii="Cambria" w:hAnsi="Cambria"/>
          <w:i/>
          <w:sz w:val="20"/>
          <w:szCs w:val="20"/>
        </w:rPr>
        <w:t>trânsito</w:t>
      </w:r>
      <w:proofErr w:type="spellEnd"/>
      <w:r w:rsidRPr="00E72405">
        <w:rPr>
          <w:rFonts w:ascii="Cambria" w:hAnsi="Cambria"/>
          <w:i/>
          <w:sz w:val="20"/>
          <w:szCs w:val="20"/>
        </w:rPr>
        <w:t xml:space="preserve"> </w:t>
      </w:r>
      <w:proofErr w:type="spellStart"/>
      <w:r w:rsidRPr="00E72405">
        <w:rPr>
          <w:rFonts w:ascii="Cambria" w:hAnsi="Cambria"/>
          <w:i/>
          <w:sz w:val="20"/>
          <w:szCs w:val="20"/>
        </w:rPr>
        <w:t>em</w:t>
      </w:r>
      <w:proofErr w:type="spellEnd"/>
      <w:r w:rsidRPr="00E72405">
        <w:rPr>
          <w:rFonts w:ascii="Cambria" w:hAnsi="Cambria"/>
          <w:i/>
          <w:sz w:val="20"/>
          <w:szCs w:val="20"/>
        </w:rPr>
        <w:t xml:space="preserve"> </w:t>
      </w:r>
      <w:proofErr w:type="spellStart"/>
      <w:r w:rsidRPr="00E72405">
        <w:rPr>
          <w:rFonts w:ascii="Cambria" w:hAnsi="Cambria"/>
          <w:i/>
          <w:sz w:val="20"/>
          <w:szCs w:val="20"/>
        </w:rPr>
        <w:t>julgado</w:t>
      </w:r>
      <w:proofErr w:type="spellEnd"/>
      <w:r w:rsidRPr="00E72405">
        <w:rPr>
          <w:rFonts w:ascii="Cambria" w:hAnsi="Cambria"/>
          <w:sz w:val="20"/>
          <w:szCs w:val="20"/>
        </w:rPr>
        <w:t>] in favor of the plaintiffs on September 27, 1995.</w:t>
      </w:r>
      <w:r w:rsidRPr="00E72405">
        <w:rPr>
          <w:rStyle w:val="FootnoteReference"/>
          <w:rFonts w:ascii="Cambria" w:hAnsi="Cambria" w:cs="Arial"/>
          <w:sz w:val="20"/>
          <w:szCs w:val="20"/>
        </w:rPr>
        <w:footnoteReference w:id="210"/>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B766A0" w:rsidRPr="00E72405" w:rsidRDefault="00B766A0" w:rsidP="007F35B9">
      <w:pPr>
        <w:spacing w:after="0" w:line="240" w:lineRule="auto"/>
        <w:ind w:left="720"/>
        <w:jc w:val="both"/>
        <w:rPr>
          <w:rFonts w:ascii="Cambria" w:hAnsi="Cambria"/>
          <w:sz w:val="20"/>
          <w:szCs w:val="20"/>
        </w:rPr>
      </w:pPr>
    </w:p>
    <w:p w:rsidR="00B766A0" w:rsidRPr="00E72405" w:rsidRDefault="00B766A0" w:rsidP="007F35B9">
      <w:pPr>
        <w:spacing w:after="0" w:line="240" w:lineRule="auto"/>
        <w:ind w:left="720"/>
        <w:jc w:val="both"/>
        <w:rPr>
          <w:rFonts w:ascii="Cambria" w:hAnsi="Cambria"/>
          <w:sz w:val="20"/>
          <w:szCs w:val="20"/>
        </w:rPr>
      </w:pPr>
    </w:p>
    <w:p w:rsidR="00B766A0" w:rsidRPr="00E72405" w:rsidRDefault="00B766A0" w:rsidP="007F35B9">
      <w:pPr>
        <w:spacing w:after="0" w:line="240" w:lineRule="auto"/>
        <w:ind w:left="720"/>
        <w:jc w:val="both"/>
        <w:rPr>
          <w:rFonts w:ascii="Cambria" w:hAnsi="Cambria"/>
          <w:sz w:val="20"/>
          <w:szCs w:val="20"/>
        </w:rPr>
      </w:pPr>
    </w:p>
    <w:p w:rsidR="007F35B9" w:rsidRPr="00E72405" w:rsidRDefault="007F35B9" w:rsidP="00181A2D">
      <w:pPr>
        <w:pStyle w:val="Heading3"/>
      </w:pPr>
      <w:bookmarkStart w:id="19" w:name="_Toc433359805"/>
      <w:r w:rsidRPr="00E72405">
        <w:lastRenderedPageBreak/>
        <w:t>Police Inquiry No. 487/92</w:t>
      </w:r>
      <w:r w:rsidRPr="00E72405">
        <w:rPr>
          <w:rStyle w:val="FootnoteReference"/>
        </w:rPr>
        <w:footnoteReference w:id="211"/>
      </w:r>
      <w:r w:rsidRPr="00E72405">
        <w:t xml:space="preserve"> – State Justice System</w:t>
      </w:r>
      <w:bookmarkEnd w:id="19"/>
      <w:r w:rsidRPr="00E72405">
        <w:t xml:space="preserve"> </w:t>
      </w:r>
    </w:p>
    <w:p w:rsidR="007F35B9" w:rsidRPr="00E72405" w:rsidRDefault="007F35B9" w:rsidP="007F35B9">
      <w:pPr>
        <w:tabs>
          <w:tab w:val="left" w:pos="720"/>
        </w:tabs>
        <w:spacing w:after="0" w:line="240" w:lineRule="auto"/>
        <w:ind w:left="720"/>
        <w:rPr>
          <w:rFonts w:ascii="Cambria" w:hAnsi="Cambria"/>
          <w:b/>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According to the case </w:t>
      </w:r>
      <w:r w:rsidR="008037DA" w:rsidRPr="00E72405">
        <w:rPr>
          <w:rFonts w:ascii="Cambria" w:hAnsi="Cambria"/>
          <w:sz w:val="20"/>
          <w:szCs w:val="20"/>
        </w:rPr>
        <w:t xml:space="preserve">on </w:t>
      </w:r>
      <w:r w:rsidRPr="00E72405">
        <w:rPr>
          <w:rFonts w:ascii="Cambria" w:hAnsi="Cambria"/>
          <w:sz w:val="20"/>
          <w:szCs w:val="20"/>
        </w:rPr>
        <w:t xml:space="preserve">April 27, 1992, Federal Deputy </w:t>
      </w:r>
      <w:proofErr w:type="spellStart"/>
      <w:r w:rsidRPr="00E72405">
        <w:rPr>
          <w:rFonts w:ascii="Cambria" w:hAnsi="Cambria"/>
          <w:sz w:val="20"/>
          <w:szCs w:val="20"/>
        </w:rPr>
        <w:t>Hélio</w:t>
      </w:r>
      <w:proofErr w:type="spellEnd"/>
      <w:r w:rsidRPr="00E72405">
        <w:rPr>
          <w:rFonts w:ascii="Cambria" w:hAnsi="Cambria"/>
          <w:sz w:val="20"/>
          <w:szCs w:val="20"/>
        </w:rPr>
        <w:t xml:space="preserve"> Pereira </w:t>
      </w:r>
      <w:proofErr w:type="spellStart"/>
      <w:r w:rsidRPr="00E72405">
        <w:rPr>
          <w:rFonts w:ascii="Cambria" w:hAnsi="Cambria"/>
          <w:sz w:val="20"/>
          <w:szCs w:val="20"/>
        </w:rPr>
        <w:t>Bicudo</w:t>
      </w:r>
      <w:proofErr w:type="spellEnd"/>
      <w:r w:rsidRPr="00E72405">
        <w:rPr>
          <w:rFonts w:ascii="Cambria" w:hAnsi="Cambria"/>
          <w:sz w:val="20"/>
          <w:szCs w:val="20"/>
        </w:rPr>
        <w:t xml:space="preserve"> filed a brief with the </w:t>
      </w:r>
      <w:r w:rsidRPr="00E72405">
        <w:rPr>
          <w:rFonts w:ascii="Cambria" w:hAnsi="Cambria"/>
          <w:i/>
          <w:sz w:val="20"/>
          <w:szCs w:val="20"/>
        </w:rPr>
        <w:t>S</w:t>
      </w:r>
      <w:r w:rsidRPr="00E72405">
        <w:rPr>
          <w:rStyle w:val="Emphasis"/>
          <w:rFonts w:ascii="Cambria" w:hAnsi="Cambria" w:cs="Arial"/>
          <w:i w:val="0"/>
          <w:sz w:val="20"/>
          <w:szCs w:val="20"/>
        </w:rPr>
        <w:t>ão Paulo state Public Prosecutor’s Office in which he requested a police inquiry to establish [</w:t>
      </w:r>
      <w:proofErr w:type="spellStart"/>
      <w:r w:rsidRPr="00E72405">
        <w:rPr>
          <w:rStyle w:val="Emphasis"/>
          <w:rFonts w:ascii="Cambria" w:hAnsi="Cambria" w:cs="Arial"/>
          <w:sz w:val="20"/>
          <w:szCs w:val="20"/>
        </w:rPr>
        <w:t>apurar</w:t>
      </w:r>
      <w:proofErr w:type="spellEnd"/>
      <w:r w:rsidRPr="00E72405">
        <w:rPr>
          <w:rStyle w:val="Emphasis"/>
          <w:rFonts w:ascii="Cambria" w:hAnsi="Cambria" w:cs="Arial"/>
          <w:i w:val="0"/>
          <w:sz w:val="20"/>
          <w:szCs w:val="20"/>
        </w:rPr>
        <w:t>] the culpability of</w:t>
      </w:r>
      <w:r w:rsidRPr="00E72405">
        <w:rPr>
          <w:rStyle w:val="Emphasis"/>
          <w:rFonts w:ascii="Cambria" w:hAnsi="Cambria" w:cs="Arial"/>
          <w:sz w:val="20"/>
          <w:szCs w:val="20"/>
        </w:rPr>
        <w:t xml:space="preserve"> </w:t>
      </w:r>
      <w:r w:rsidRPr="00E72405">
        <w:rPr>
          <w:rFonts w:ascii="Cambria" w:hAnsi="Cambria"/>
          <w:sz w:val="20"/>
          <w:szCs w:val="20"/>
        </w:rPr>
        <w:t xml:space="preserve">Pedro Antonio Mira </w:t>
      </w:r>
      <w:proofErr w:type="spellStart"/>
      <w:r w:rsidRPr="00E72405">
        <w:rPr>
          <w:rFonts w:ascii="Cambria" w:hAnsi="Cambria"/>
          <w:sz w:val="20"/>
          <w:szCs w:val="20"/>
        </w:rPr>
        <w:t>Grancieri</w:t>
      </w:r>
      <w:proofErr w:type="spellEnd"/>
      <w:r w:rsidRPr="00E72405">
        <w:rPr>
          <w:rFonts w:ascii="Cambria" w:hAnsi="Cambria"/>
          <w:sz w:val="20"/>
          <w:szCs w:val="20"/>
        </w:rPr>
        <w:t>, known as “</w:t>
      </w:r>
      <w:proofErr w:type="spellStart"/>
      <w:r w:rsidRPr="00E72405">
        <w:rPr>
          <w:rStyle w:val="Emphasis"/>
          <w:rFonts w:ascii="Cambria" w:hAnsi="Cambria" w:cs="Arial"/>
          <w:sz w:val="20"/>
          <w:szCs w:val="20"/>
        </w:rPr>
        <w:t>Capitão</w:t>
      </w:r>
      <w:proofErr w:type="spellEnd"/>
      <w:r w:rsidRPr="00E72405">
        <w:rPr>
          <w:rFonts w:ascii="Cambria" w:hAnsi="Cambria"/>
          <w:sz w:val="20"/>
          <w:szCs w:val="20"/>
        </w:rPr>
        <w:t xml:space="preserve"> Ramiro”, in the death of Vladimir Herzog during his interrogation at the DOI/CODI/SP.</w:t>
      </w:r>
      <w:r w:rsidRPr="00E72405">
        <w:rPr>
          <w:rStyle w:val="FootnoteReference"/>
          <w:rFonts w:ascii="Cambria" w:hAnsi="Cambria"/>
          <w:sz w:val="20"/>
          <w:szCs w:val="20"/>
        </w:rPr>
        <w:footnoteReference w:id="212"/>
      </w:r>
      <w:r w:rsidR="008037DA" w:rsidRPr="00E72405">
        <w:rPr>
          <w:rFonts w:ascii="Cambria" w:hAnsi="Cambria"/>
          <w:sz w:val="20"/>
          <w:szCs w:val="20"/>
        </w:rPr>
        <w:t xml:space="preserve"> </w:t>
      </w:r>
      <w:r w:rsidRPr="00E72405">
        <w:rPr>
          <w:rFonts w:ascii="Cambria" w:hAnsi="Cambria"/>
          <w:sz w:val="20"/>
          <w:szCs w:val="20"/>
        </w:rPr>
        <w:t>According to that brief, the facts were documented in the case file for the Declaratory Action that Clarice Herzog and her two sons filed, and in the interview published on March 25, 1992, in an article that appeared in the magazine “</w:t>
      </w:r>
      <w:proofErr w:type="spellStart"/>
      <w:r w:rsidRPr="00E72405">
        <w:rPr>
          <w:rFonts w:ascii="Cambria" w:hAnsi="Cambria"/>
          <w:i/>
          <w:sz w:val="20"/>
          <w:szCs w:val="20"/>
        </w:rPr>
        <w:t>Isto</w:t>
      </w:r>
      <w:proofErr w:type="spellEnd"/>
      <w:r w:rsidRPr="00E72405">
        <w:rPr>
          <w:rFonts w:ascii="Cambria" w:hAnsi="Cambria"/>
          <w:i/>
          <w:sz w:val="20"/>
          <w:szCs w:val="20"/>
        </w:rPr>
        <w:t xml:space="preserve"> é </w:t>
      </w:r>
      <w:proofErr w:type="spellStart"/>
      <w:r w:rsidRPr="00E72405">
        <w:rPr>
          <w:rFonts w:ascii="Cambria" w:hAnsi="Cambria"/>
          <w:i/>
          <w:sz w:val="20"/>
          <w:szCs w:val="20"/>
        </w:rPr>
        <w:t>Senhor</w:t>
      </w:r>
      <w:proofErr w:type="spellEnd"/>
      <w:r w:rsidRPr="00E72405">
        <w:rPr>
          <w:rFonts w:ascii="Cambria" w:hAnsi="Cambria"/>
          <w:sz w:val="20"/>
          <w:szCs w:val="20"/>
        </w:rPr>
        <w:t>”, under the title “</w:t>
      </w:r>
      <w:proofErr w:type="spellStart"/>
      <w:r w:rsidRPr="00E72405">
        <w:rPr>
          <w:rFonts w:ascii="Cambria" w:hAnsi="Cambria"/>
          <w:i/>
          <w:sz w:val="20"/>
          <w:szCs w:val="20"/>
        </w:rPr>
        <w:t>Eu</w:t>
      </w:r>
      <w:proofErr w:type="spellEnd"/>
      <w:r w:rsidRPr="00E72405">
        <w:rPr>
          <w:rFonts w:ascii="Cambria" w:hAnsi="Cambria"/>
          <w:i/>
          <w:sz w:val="20"/>
          <w:szCs w:val="20"/>
        </w:rPr>
        <w:t xml:space="preserve">, </w:t>
      </w:r>
      <w:proofErr w:type="spellStart"/>
      <w:r w:rsidRPr="00E72405">
        <w:rPr>
          <w:rStyle w:val="Emphasis"/>
          <w:rFonts w:ascii="Cambria" w:hAnsi="Cambria" w:cs="Arial"/>
          <w:i w:val="0"/>
          <w:sz w:val="20"/>
          <w:szCs w:val="20"/>
        </w:rPr>
        <w:t>Capitão</w:t>
      </w:r>
      <w:proofErr w:type="spellEnd"/>
      <w:r w:rsidRPr="00E72405">
        <w:rPr>
          <w:rFonts w:ascii="Cambria" w:hAnsi="Cambria"/>
          <w:i/>
          <w:sz w:val="20"/>
          <w:szCs w:val="20"/>
        </w:rPr>
        <w:t xml:space="preserve"> Ramiro, </w:t>
      </w:r>
      <w:proofErr w:type="spellStart"/>
      <w:r w:rsidRPr="00E72405">
        <w:rPr>
          <w:rFonts w:ascii="Cambria" w:hAnsi="Cambria"/>
          <w:i/>
          <w:sz w:val="20"/>
          <w:szCs w:val="20"/>
        </w:rPr>
        <w:t>interroguei</w:t>
      </w:r>
      <w:proofErr w:type="spellEnd"/>
      <w:r w:rsidRPr="00E72405">
        <w:rPr>
          <w:rFonts w:ascii="Cambria" w:hAnsi="Cambria"/>
          <w:i/>
          <w:sz w:val="20"/>
          <w:szCs w:val="20"/>
        </w:rPr>
        <w:t xml:space="preserve"> Herzog</w:t>
      </w:r>
      <w:r w:rsidRPr="00E72405">
        <w:rPr>
          <w:rFonts w:ascii="Cambria" w:hAnsi="Cambria"/>
          <w:sz w:val="20"/>
          <w:szCs w:val="20"/>
        </w:rPr>
        <w:t>” [I, Captain Ramiro, interrogated Herzog].</w:t>
      </w:r>
      <w:r w:rsidRPr="00E72405">
        <w:rPr>
          <w:rStyle w:val="FootnoteReference"/>
          <w:rFonts w:ascii="Cambria" w:hAnsi="Cambria"/>
          <w:sz w:val="20"/>
          <w:szCs w:val="20"/>
        </w:rPr>
        <w:footnoteReference w:id="213"/>
      </w:r>
      <w:r w:rsidR="008037DA" w:rsidRPr="00E72405">
        <w:rPr>
          <w:rFonts w:ascii="Cambria" w:hAnsi="Cambria"/>
          <w:sz w:val="20"/>
          <w:szCs w:val="20"/>
        </w:rPr>
        <w:t xml:space="preserve"> </w:t>
      </w:r>
      <w:r w:rsidRPr="00E72405">
        <w:rPr>
          <w:rFonts w:ascii="Cambria" w:hAnsi="Cambria"/>
          <w:sz w:val="20"/>
          <w:szCs w:val="20"/>
        </w:rPr>
        <w:t xml:space="preserve">In that interview, Mira </w:t>
      </w:r>
      <w:proofErr w:type="spellStart"/>
      <w:r w:rsidRPr="00E72405">
        <w:rPr>
          <w:rFonts w:ascii="Cambria" w:hAnsi="Cambria"/>
          <w:sz w:val="20"/>
          <w:szCs w:val="20"/>
        </w:rPr>
        <w:t>Grancieri</w:t>
      </w:r>
      <w:proofErr w:type="spellEnd"/>
      <w:r w:rsidRPr="00E72405">
        <w:rPr>
          <w:rFonts w:ascii="Cambria" w:hAnsi="Cambria"/>
          <w:sz w:val="20"/>
          <w:szCs w:val="20"/>
        </w:rPr>
        <w:t xml:space="preserve"> stated that he was the person in charge of Vladimir Herzog’s interrogation.</w:t>
      </w:r>
      <w:r w:rsidRPr="00E72405">
        <w:rPr>
          <w:rStyle w:val="FootnoteReference"/>
          <w:rFonts w:ascii="Cambria" w:hAnsi="Cambria"/>
          <w:sz w:val="20"/>
          <w:szCs w:val="20"/>
        </w:rPr>
        <w:footnoteReference w:id="214"/>
      </w:r>
      <w:r w:rsidR="008037DA" w:rsidRPr="00E72405">
        <w:rPr>
          <w:rFonts w:ascii="Cambria" w:hAnsi="Cambria"/>
          <w:sz w:val="20"/>
          <w:szCs w:val="20"/>
        </w:rPr>
        <w:t xml:space="preserve"> </w:t>
      </w:r>
      <w:r w:rsidRPr="00E72405">
        <w:rPr>
          <w:rFonts w:ascii="Cambria" w:hAnsi="Cambria"/>
          <w:sz w:val="20"/>
          <w:szCs w:val="20"/>
        </w:rPr>
        <w:t xml:space="preserve">Prior to that interview, Mira </w:t>
      </w:r>
      <w:proofErr w:type="spellStart"/>
      <w:r w:rsidRPr="00E72405">
        <w:rPr>
          <w:rFonts w:ascii="Cambria" w:hAnsi="Cambria"/>
          <w:sz w:val="20"/>
          <w:szCs w:val="20"/>
        </w:rPr>
        <w:t>Grancieri</w:t>
      </w:r>
      <w:proofErr w:type="spellEnd"/>
      <w:r w:rsidRPr="00E72405">
        <w:rPr>
          <w:rFonts w:ascii="Cambria" w:hAnsi="Cambria"/>
          <w:sz w:val="20"/>
          <w:szCs w:val="20"/>
        </w:rPr>
        <w:t xml:space="preserve"> had only given testimony in the 1975 military police investigation, but had not testified in the trial held in the Declaratory Action, as previously noted. </w:t>
      </w:r>
      <w:r w:rsidR="008037DA" w:rsidRPr="00E72405">
        <w:rPr>
          <w:rFonts w:ascii="Cambria" w:hAnsi="Cambria"/>
          <w:sz w:val="20"/>
          <w:szCs w:val="20"/>
          <w:lang w:val="es-ES_tradnl"/>
        </w:rPr>
        <w:t xml:space="preserve">(supra párr. </w:t>
      </w:r>
      <w:r w:rsidR="00AB7D9B" w:rsidRPr="00E72405">
        <w:rPr>
          <w:rFonts w:ascii="Cambria" w:hAnsi="Cambria"/>
          <w:sz w:val="20"/>
          <w:szCs w:val="20"/>
          <w:lang w:val="es-ES_tradnl"/>
        </w:rPr>
        <w:t>108</w:t>
      </w:r>
      <w:r w:rsidR="008037DA" w:rsidRPr="00E72405">
        <w:rPr>
          <w:rFonts w:ascii="Cambria" w:hAnsi="Cambria"/>
          <w:sz w:val="20"/>
          <w:szCs w:val="20"/>
          <w:lang w:val="es-ES_tradnl"/>
        </w:rPr>
        <w:t>)</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According to the statements that Pedro Antonio Mira </w:t>
      </w:r>
      <w:proofErr w:type="spellStart"/>
      <w:r w:rsidRPr="00E72405">
        <w:rPr>
          <w:rFonts w:ascii="Cambria" w:hAnsi="Cambria"/>
          <w:sz w:val="20"/>
          <w:szCs w:val="20"/>
        </w:rPr>
        <w:t>Grancieri</w:t>
      </w:r>
      <w:proofErr w:type="spellEnd"/>
      <w:r w:rsidRPr="00E72405">
        <w:rPr>
          <w:rFonts w:ascii="Cambria" w:hAnsi="Cambria"/>
          <w:sz w:val="20"/>
          <w:szCs w:val="20"/>
        </w:rPr>
        <w:t xml:space="preserve"> made in the newspaper report, he was “the only officer who interrogated Vladimir Herzog in the DOI/CODI, the only one to speak with him that day.  No one is more heavily and immediately involved in Herzog’s death than I am.”</w:t>
      </w:r>
      <w:r w:rsidRPr="00E72405">
        <w:rPr>
          <w:rStyle w:val="FootnoteReference"/>
          <w:rFonts w:ascii="Cambria" w:hAnsi="Cambria"/>
          <w:sz w:val="20"/>
          <w:szCs w:val="20"/>
        </w:rPr>
        <w:footnoteReference w:id="215"/>
      </w:r>
      <w:r w:rsidRPr="00E72405">
        <w:rPr>
          <w:rFonts w:ascii="Cambria" w:hAnsi="Cambria"/>
          <w:sz w:val="20"/>
          <w:szCs w:val="20"/>
        </w:rPr>
        <w:t xml:space="preserve">  As to the interrogation methods used, Mira </w:t>
      </w:r>
      <w:proofErr w:type="spellStart"/>
      <w:r w:rsidRPr="00E72405">
        <w:rPr>
          <w:rFonts w:ascii="Cambria" w:hAnsi="Cambria"/>
          <w:sz w:val="20"/>
          <w:szCs w:val="20"/>
        </w:rPr>
        <w:t>Grancieri</w:t>
      </w:r>
      <w:proofErr w:type="spellEnd"/>
      <w:r w:rsidRPr="00E72405">
        <w:rPr>
          <w:rFonts w:ascii="Cambria" w:hAnsi="Cambria"/>
          <w:sz w:val="20"/>
          <w:szCs w:val="20"/>
        </w:rPr>
        <w:t xml:space="preserve"> stated the following: “[O]</w:t>
      </w:r>
      <w:proofErr w:type="spellStart"/>
      <w:r w:rsidRPr="00E72405">
        <w:rPr>
          <w:rFonts w:ascii="Cambria" w:hAnsi="Cambria"/>
          <w:sz w:val="20"/>
          <w:szCs w:val="20"/>
        </w:rPr>
        <w:t>ne</w:t>
      </w:r>
      <w:proofErr w:type="spellEnd"/>
      <w:r w:rsidRPr="00E72405">
        <w:rPr>
          <w:rFonts w:ascii="Cambria" w:hAnsi="Cambria"/>
          <w:sz w:val="20"/>
          <w:szCs w:val="20"/>
        </w:rPr>
        <w:t xml:space="preserve"> of the best interrogation methods is sleep deprivation, keeping the person under constant stress because that way his defenses break down (…).  All modesty aside, I’m very good at that.  I’ve written notes on interrogation techniques that were distri</w:t>
      </w:r>
      <w:r w:rsidR="00E521FD" w:rsidRPr="00E72405">
        <w:rPr>
          <w:rFonts w:ascii="Cambria" w:hAnsi="Cambria"/>
          <w:sz w:val="20"/>
          <w:szCs w:val="20"/>
        </w:rPr>
        <w:t xml:space="preserve">buted among my colleagues. (…) </w:t>
      </w:r>
      <w:r w:rsidRPr="00E72405">
        <w:rPr>
          <w:rFonts w:ascii="Cambria" w:hAnsi="Cambria"/>
          <w:sz w:val="20"/>
          <w:szCs w:val="20"/>
        </w:rPr>
        <w:t>We only use</w:t>
      </w:r>
      <w:r w:rsidR="00A30254" w:rsidRPr="00E72405">
        <w:rPr>
          <w:rFonts w:ascii="Cambria" w:hAnsi="Cambria"/>
          <w:sz w:val="20"/>
          <w:szCs w:val="20"/>
        </w:rPr>
        <w:t>d</w:t>
      </w:r>
      <w:r w:rsidRPr="00E72405">
        <w:rPr>
          <w:rFonts w:ascii="Cambria" w:hAnsi="Cambria"/>
          <w:sz w:val="20"/>
          <w:szCs w:val="20"/>
        </w:rPr>
        <w:t xml:space="preserve"> physical aggression with terrorists, because one doesn’t get anything from anyone without exerting pressure.”</w:t>
      </w:r>
      <w:r w:rsidRPr="00E72405">
        <w:rPr>
          <w:rStyle w:val="FootnoteReference"/>
          <w:rFonts w:ascii="Cambria" w:hAnsi="Cambria"/>
          <w:sz w:val="20"/>
          <w:szCs w:val="20"/>
        </w:rPr>
        <w:footnoteReference w:id="216"/>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Style w:val="Emphasis"/>
          <w:rFonts w:ascii="Cambria" w:hAnsi="Cambria" w:cs="Arial"/>
          <w:i w:val="0"/>
          <w:sz w:val="20"/>
          <w:szCs w:val="20"/>
        </w:rPr>
        <w:t xml:space="preserve">On May 4, 1992, the </w:t>
      </w:r>
      <w:r w:rsidRPr="00E72405">
        <w:rPr>
          <w:rFonts w:ascii="Cambria" w:hAnsi="Cambria"/>
          <w:i/>
          <w:sz w:val="20"/>
          <w:szCs w:val="20"/>
        </w:rPr>
        <w:t>S</w:t>
      </w:r>
      <w:r w:rsidRPr="00E72405">
        <w:rPr>
          <w:rStyle w:val="Emphasis"/>
          <w:rFonts w:ascii="Cambria" w:hAnsi="Cambria" w:cs="Arial"/>
          <w:i w:val="0"/>
          <w:sz w:val="20"/>
          <w:szCs w:val="20"/>
        </w:rPr>
        <w:t xml:space="preserve">ão Paulo State Public Prosecutor’s Office asked the </w:t>
      </w:r>
      <w:r w:rsidRPr="00E72405">
        <w:rPr>
          <w:rFonts w:ascii="Cambria" w:hAnsi="Cambria"/>
          <w:i/>
          <w:sz w:val="20"/>
          <w:szCs w:val="20"/>
        </w:rPr>
        <w:t>S</w:t>
      </w:r>
      <w:r w:rsidRPr="00E72405">
        <w:rPr>
          <w:rStyle w:val="Emphasis"/>
          <w:rFonts w:ascii="Cambria" w:hAnsi="Cambria" w:cs="Arial"/>
          <w:i w:val="0"/>
          <w:sz w:val="20"/>
          <w:szCs w:val="20"/>
        </w:rPr>
        <w:t xml:space="preserve">ão Paulo Civil Police to launch an inquiry to determine Mira </w:t>
      </w:r>
      <w:proofErr w:type="spellStart"/>
      <w:r w:rsidRPr="00E72405">
        <w:rPr>
          <w:rStyle w:val="Emphasis"/>
          <w:rFonts w:ascii="Cambria" w:hAnsi="Cambria" w:cs="Arial"/>
          <w:i w:val="0"/>
          <w:sz w:val="20"/>
          <w:szCs w:val="20"/>
        </w:rPr>
        <w:t>Grancieri’s</w:t>
      </w:r>
      <w:proofErr w:type="spellEnd"/>
      <w:r w:rsidRPr="00E72405">
        <w:rPr>
          <w:rStyle w:val="Emphasis"/>
          <w:rFonts w:ascii="Cambria" w:hAnsi="Cambria" w:cs="Arial"/>
          <w:i w:val="0"/>
          <w:sz w:val="20"/>
          <w:szCs w:val="20"/>
        </w:rPr>
        <w:t xml:space="preserve"> culpability in and the circumstances of Vladimir Herzog’s death.</w:t>
      </w:r>
      <w:r w:rsidRPr="00E72405">
        <w:rPr>
          <w:rStyle w:val="FootnoteReference"/>
          <w:rFonts w:ascii="Cambria" w:hAnsi="Cambria" w:cs="Arial"/>
          <w:bCs/>
          <w:i/>
          <w:sz w:val="20"/>
          <w:szCs w:val="20"/>
        </w:rPr>
        <w:footnoteReference w:id="217"/>
      </w:r>
      <w:r w:rsidR="00DC7D76" w:rsidRPr="00E72405">
        <w:rPr>
          <w:rStyle w:val="Emphasis"/>
          <w:rFonts w:ascii="Cambria" w:hAnsi="Cambria" w:cs="Arial"/>
          <w:i w:val="0"/>
          <w:sz w:val="20"/>
          <w:szCs w:val="20"/>
        </w:rPr>
        <w:t xml:space="preserve"> </w:t>
      </w:r>
      <w:r w:rsidRPr="00E72405">
        <w:rPr>
          <w:rStyle w:val="Emphasis"/>
          <w:rFonts w:ascii="Cambria" w:hAnsi="Cambria" w:cs="Arial"/>
          <w:i w:val="0"/>
          <w:sz w:val="20"/>
          <w:szCs w:val="20"/>
        </w:rPr>
        <w:t xml:space="preserve">According to the case file, during the police inquiry instituted by the </w:t>
      </w:r>
      <w:r w:rsidRPr="00E72405">
        <w:rPr>
          <w:rFonts w:ascii="Cambria" w:hAnsi="Cambria"/>
          <w:i/>
          <w:sz w:val="20"/>
          <w:szCs w:val="20"/>
        </w:rPr>
        <w:t>S</w:t>
      </w:r>
      <w:r w:rsidRPr="00E72405">
        <w:rPr>
          <w:rStyle w:val="Emphasis"/>
          <w:rFonts w:ascii="Cambria" w:hAnsi="Cambria" w:cs="Arial"/>
          <w:i w:val="0"/>
          <w:sz w:val="20"/>
          <w:szCs w:val="20"/>
        </w:rPr>
        <w:t>ão Paulo State Civil Police, statements were taken from Clarice Herzog,</w:t>
      </w:r>
      <w:r w:rsidRPr="00E72405">
        <w:rPr>
          <w:rStyle w:val="FootnoteReference"/>
          <w:rFonts w:ascii="Cambria" w:hAnsi="Cambria" w:cs="Arial"/>
          <w:bCs/>
          <w:i/>
          <w:sz w:val="20"/>
          <w:szCs w:val="20"/>
        </w:rPr>
        <w:footnoteReference w:id="218"/>
      </w:r>
      <w:r w:rsidRPr="00E72405">
        <w:rPr>
          <w:rStyle w:val="Emphasis"/>
          <w:rFonts w:ascii="Cambria" w:hAnsi="Cambria" w:cs="Arial"/>
          <w:i w:val="0"/>
          <w:sz w:val="20"/>
          <w:szCs w:val="20"/>
        </w:rPr>
        <w:t xml:space="preserve"> from journalists George </w:t>
      </w:r>
      <w:proofErr w:type="spellStart"/>
      <w:r w:rsidRPr="00E72405">
        <w:rPr>
          <w:rStyle w:val="Emphasis"/>
          <w:rFonts w:ascii="Cambria" w:hAnsi="Cambria" w:cs="Arial"/>
          <w:i w:val="0"/>
          <w:sz w:val="20"/>
          <w:szCs w:val="20"/>
        </w:rPr>
        <w:t>Benigno</w:t>
      </w:r>
      <w:proofErr w:type="spellEnd"/>
      <w:r w:rsidRPr="00E72405">
        <w:rPr>
          <w:rStyle w:val="Emphasis"/>
          <w:rFonts w:ascii="Cambria" w:hAnsi="Cambria" w:cs="Arial"/>
          <w:i w:val="0"/>
          <w:sz w:val="20"/>
          <w:szCs w:val="20"/>
        </w:rPr>
        <w:t xml:space="preserve"> </w:t>
      </w:r>
      <w:proofErr w:type="spellStart"/>
      <w:r w:rsidRPr="00E72405">
        <w:rPr>
          <w:rStyle w:val="Emphasis"/>
          <w:rFonts w:ascii="Cambria" w:hAnsi="Cambria" w:cs="Arial"/>
          <w:i w:val="0"/>
          <w:sz w:val="20"/>
          <w:szCs w:val="20"/>
        </w:rPr>
        <w:t>Jatahy</w:t>
      </w:r>
      <w:proofErr w:type="spellEnd"/>
      <w:r w:rsidRPr="00E72405">
        <w:rPr>
          <w:rStyle w:val="Emphasis"/>
          <w:rFonts w:ascii="Cambria" w:hAnsi="Cambria" w:cs="Arial"/>
          <w:i w:val="0"/>
          <w:sz w:val="20"/>
          <w:szCs w:val="20"/>
        </w:rPr>
        <w:t xml:space="preserve"> Duque Estrada,</w:t>
      </w:r>
      <w:r w:rsidRPr="00E72405">
        <w:rPr>
          <w:rStyle w:val="FootnoteReference"/>
          <w:rFonts w:ascii="Cambria" w:hAnsi="Cambria" w:cs="Arial"/>
          <w:bCs/>
          <w:i/>
          <w:sz w:val="20"/>
          <w:szCs w:val="20"/>
        </w:rPr>
        <w:footnoteReference w:id="219"/>
      </w:r>
      <w:r w:rsidRPr="00E72405">
        <w:rPr>
          <w:rStyle w:val="Emphasis"/>
          <w:rFonts w:ascii="Cambria" w:hAnsi="Cambria" w:cs="Arial"/>
          <w:i w:val="0"/>
          <w:sz w:val="20"/>
          <w:szCs w:val="20"/>
        </w:rPr>
        <w:t xml:space="preserve"> Rodolfo Osvaldo </w:t>
      </w:r>
      <w:proofErr w:type="spellStart"/>
      <w:r w:rsidRPr="00E72405">
        <w:rPr>
          <w:rStyle w:val="Emphasis"/>
          <w:rFonts w:ascii="Cambria" w:hAnsi="Cambria" w:cs="Arial"/>
          <w:i w:val="0"/>
          <w:sz w:val="20"/>
          <w:szCs w:val="20"/>
        </w:rPr>
        <w:t>Konder</w:t>
      </w:r>
      <w:proofErr w:type="spellEnd"/>
      <w:r w:rsidRPr="00E72405">
        <w:rPr>
          <w:rStyle w:val="Emphasis"/>
          <w:rFonts w:ascii="Cambria" w:hAnsi="Cambria" w:cs="Arial"/>
          <w:i w:val="0"/>
          <w:sz w:val="20"/>
          <w:szCs w:val="20"/>
        </w:rPr>
        <w:t>,</w:t>
      </w:r>
      <w:r w:rsidRPr="00E72405">
        <w:rPr>
          <w:rStyle w:val="FootnoteReference"/>
          <w:rFonts w:ascii="Cambria" w:hAnsi="Cambria" w:cs="Arial"/>
          <w:bCs/>
          <w:i/>
          <w:sz w:val="20"/>
          <w:szCs w:val="20"/>
        </w:rPr>
        <w:footnoteReference w:id="220"/>
      </w:r>
      <w:r w:rsidRPr="00E72405">
        <w:rPr>
          <w:rStyle w:val="Emphasis"/>
          <w:rFonts w:ascii="Cambria" w:hAnsi="Cambria" w:cs="Arial"/>
          <w:i w:val="0"/>
          <w:sz w:val="20"/>
          <w:szCs w:val="20"/>
        </w:rPr>
        <w:t xml:space="preserve"> Anthony Jorge Andrade de Christo,</w:t>
      </w:r>
      <w:r w:rsidRPr="00E72405">
        <w:rPr>
          <w:rStyle w:val="FootnoteReference"/>
          <w:rFonts w:ascii="Cambria" w:hAnsi="Cambria" w:cs="Arial"/>
          <w:bCs/>
          <w:i/>
          <w:sz w:val="20"/>
          <w:szCs w:val="20"/>
        </w:rPr>
        <w:footnoteReference w:id="221"/>
      </w:r>
      <w:r w:rsidRPr="00E72405">
        <w:rPr>
          <w:rStyle w:val="Emphasis"/>
          <w:rFonts w:ascii="Cambria" w:hAnsi="Cambria" w:cs="Arial"/>
          <w:i w:val="0"/>
          <w:sz w:val="20"/>
          <w:szCs w:val="20"/>
        </w:rPr>
        <w:t xml:space="preserve"> Luis Fernando </w:t>
      </w:r>
      <w:proofErr w:type="spellStart"/>
      <w:r w:rsidRPr="00E72405">
        <w:rPr>
          <w:rStyle w:val="Emphasis"/>
          <w:rFonts w:ascii="Cambria" w:hAnsi="Cambria" w:cs="Arial"/>
          <w:i w:val="0"/>
          <w:sz w:val="20"/>
          <w:szCs w:val="20"/>
        </w:rPr>
        <w:t>Passo</w:t>
      </w:r>
      <w:proofErr w:type="spellEnd"/>
      <w:r w:rsidRPr="00E72405">
        <w:rPr>
          <w:rStyle w:val="Emphasis"/>
          <w:rFonts w:ascii="Cambria" w:hAnsi="Cambria" w:cs="Arial"/>
          <w:i w:val="0"/>
          <w:sz w:val="20"/>
          <w:szCs w:val="20"/>
        </w:rPr>
        <w:t xml:space="preserve"> </w:t>
      </w:r>
      <w:proofErr w:type="spellStart"/>
      <w:r w:rsidRPr="00E72405">
        <w:rPr>
          <w:rStyle w:val="Emphasis"/>
          <w:rFonts w:ascii="Cambria" w:hAnsi="Cambria" w:cs="Arial"/>
          <w:i w:val="0"/>
          <w:sz w:val="20"/>
          <w:szCs w:val="20"/>
        </w:rPr>
        <w:t>Correia</w:t>
      </w:r>
      <w:proofErr w:type="spellEnd"/>
      <w:r w:rsidRPr="00E72405">
        <w:rPr>
          <w:rStyle w:val="Emphasis"/>
          <w:rFonts w:ascii="Cambria" w:hAnsi="Cambria" w:cs="Arial"/>
          <w:i w:val="0"/>
          <w:sz w:val="20"/>
          <w:szCs w:val="20"/>
        </w:rPr>
        <w:t xml:space="preserve"> de </w:t>
      </w:r>
      <w:proofErr w:type="spellStart"/>
      <w:r w:rsidRPr="00E72405">
        <w:rPr>
          <w:rStyle w:val="Emphasis"/>
          <w:rFonts w:ascii="Cambria" w:hAnsi="Cambria" w:cs="Arial"/>
          <w:i w:val="0"/>
          <w:sz w:val="20"/>
          <w:szCs w:val="20"/>
        </w:rPr>
        <w:t>Sá</w:t>
      </w:r>
      <w:proofErr w:type="spellEnd"/>
      <w:r w:rsidRPr="00E72405">
        <w:rPr>
          <w:rStyle w:val="Emphasis"/>
          <w:rFonts w:ascii="Cambria" w:hAnsi="Cambria" w:cs="Arial"/>
          <w:i w:val="0"/>
          <w:sz w:val="20"/>
          <w:szCs w:val="20"/>
        </w:rPr>
        <w:t>,</w:t>
      </w:r>
      <w:r w:rsidRPr="00E72405">
        <w:rPr>
          <w:rStyle w:val="FootnoteReference"/>
          <w:rFonts w:ascii="Cambria" w:hAnsi="Cambria" w:cs="Arial"/>
          <w:bCs/>
          <w:i/>
          <w:sz w:val="20"/>
          <w:szCs w:val="20"/>
        </w:rPr>
        <w:footnoteReference w:id="222"/>
      </w:r>
      <w:r w:rsidRPr="00E72405">
        <w:rPr>
          <w:rStyle w:val="Emphasis"/>
          <w:rFonts w:ascii="Cambria" w:hAnsi="Cambria" w:cs="Arial"/>
          <w:i w:val="0"/>
          <w:sz w:val="20"/>
          <w:szCs w:val="20"/>
        </w:rPr>
        <w:t xml:space="preserve"> Luiz Weis,</w:t>
      </w:r>
      <w:r w:rsidRPr="00E72405">
        <w:rPr>
          <w:rStyle w:val="FootnoteReference"/>
          <w:rFonts w:ascii="Cambria" w:hAnsi="Cambria" w:cs="Arial"/>
          <w:bCs/>
          <w:i/>
          <w:sz w:val="20"/>
          <w:szCs w:val="20"/>
        </w:rPr>
        <w:footnoteReference w:id="223"/>
      </w:r>
      <w:r w:rsidRPr="00E72405">
        <w:rPr>
          <w:rStyle w:val="Emphasis"/>
          <w:rFonts w:ascii="Cambria" w:hAnsi="Cambria" w:cs="Arial"/>
          <w:i w:val="0"/>
          <w:sz w:val="20"/>
          <w:szCs w:val="20"/>
        </w:rPr>
        <w:t xml:space="preserve"> Antonio Carlos Prado Ribeiro,</w:t>
      </w:r>
      <w:r w:rsidRPr="00E72405">
        <w:rPr>
          <w:rStyle w:val="FootnoteReference"/>
          <w:rFonts w:ascii="Cambria" w:hAnsi="Cambria" w:cs="Arial"/>
          <w:bCs/>
          <w:i/>
          <w:sz w:val="20"/>
          <w:szCs w:val="20"/>
        </w:rPr>
        <w:footnoteReference w:id="224"/>
      </w:r>
      <w:r w:rsidRPr="00E72405">
        <w:rPr>
          <w:rStyle w:val="Emphasis"/>
          <w:rFonts w:ascii="Cambria" w:hAnsi="Cambria" w:cs="Arial"/>
          <w:i w:val="0"/>
          <w:sz w:val="20"/>
          <w:szCs w:val="20"/>
        </w:rPr>
        <w:t xml:space="preserve"> Paulo Sergio </w:t>
      </w:r>
      <w:proofErr w:type="spellStart"/>
      <w:r w:rsidRPr="00E72405">
        <w:rPr>
          <w:rStyle w:val="Emphasis"/>
          <w:rFonts w:ascii="Cambria" w:hAnsi="Cambria" w:cs="Arial"/>
          <w:i w:val="0"/>
          <w:sz w:val="20"/>
          <w:szCs w:val="20"/>
        </w:rPr>
        <w:t>Markun</w:t>
      </w:r>
      <w:proofErr w:type="spellEnd"/>
      <w:r w:rsidRPr="00E72405">
        <w:rPr>
          <w:rStyle w:val="Emphasis"/>
          <w:rFonts w:ascii="Cambria" w:hAnsi="Cambria" w:cs="Arial"/>
          <w:i w:val="0"/>
          <w:sz w:val="20"/>
          <w:szCs w:val="20"/>
        </w:rPr>
        <w:t>,</w:t>
      </w:r>
      <w:r w:rsidRPr="00E72405">
        <w:rPr>
          <w:rStyle w:val="FootnoteReference"/>
          <w:rFonts w:ascii="Cambria" w:hAnsi="Cambria" w:cs="Arial"/>
          <w:bCs/>
          <w:i/>
          <w:sz w:val="20"/>
          <w:szCs w:val="20"/>
        </w:rPr>
        <w:footnoteReference w:id="225"/>
      </w:r>
      <w:r w:rsidRPr="00E72405">
        <w:rPr>
          <w:rStyle w:val="Emphasis"/>
          <w:rFonts w:ascii="Cambria" w:hAnsi="Cambria" w:cs="Arial"/>
          <w:i w:val="0"/>
          <w:sz w:val="20"/>
          <w:szCs w:val="20"/>
        </w:rPr>
        <w:t xml:space="preserve"> and witnesses Maria </w:t>
      </w:r>
      <w:proofErr w:type="spellStart"/>
      <w:r w:rsidRPr="00E72405">
        <w:rPr>
          <w:rStyle w:val="Emphasis"/>
          <w:rFonts w:ascii="Cambria" w:hAnsi="Cambria" w:cs="Arial"/>
          <w:i w:val="0"/>
          <w:sz w:val="20"/>
          <w:szCs w:val="20"/>
        </w:rPr>
        <w:t>Amélia</w:t>
      </w:r>
      <w:proofErr w:type="spellEnd"/>
      <w:r w:rsidRPr="00E72405">
        <w:rPr>
          <w:rStyle w:val="Emphasis"/>
          <w:rFonts w:ascii="Cambria" w:hAnsi="Cambria" w:cs="Arial"/>
          <w:i w:val="0"/>
          <w:sz w:val="20"/>
          <w:szCs w:val="20"/>
        </w:rPr>
        <w:t xml:space="preserve"> de </w:t>
      </w:r>
      <w:r w:rsidRPr="00E72405">
        <w:rPr>
          <w:rStyle w:val="Emphasis"/>
          <w:rFonts w:ascii="Cambria" w:hAnsi="Cambria" w:cs="Arial"/>
          <w:i w:val="0"/>
          <w:sz w:val="20"/>
          <w:szCs w:val="20"/>
        </w:rPr>
        <w:lastRenderedPageBreak/>
        <w:t xml:space="preserve">Almeida </w:t>
      </w:r>
      <w:proofErr w:type="spellStart"/>
      <w:r w:rsidRPr="00E72405">
        <w:rPr>
          <w:rStyle w:val="Emphasis"/>
          <w:rFonts w:ascii="Cambria" w:hAnsi="Cambria" w:cs="Arial"/>
          <w:i w:val="0"/>
          <w:sz w:val="20"/>
          <w:szCs w:val="20"/>
        </w:rPr>
        <w:t>Teles</w:t>
      </w:r>
      <w:proofErr w:type="spellEnd"/>
      <w:r w:rsidRPr="00E72405">
        <w:rPr>
          <w:rStyle w:val="Emphasis"/>
          <w:rFonts w:ascii="Cambria" w:hAnsi="Cambria" w:cs="Arial"/>
          <w:i w:val="0"/>
          <w:sz w:val="20"/>
          <w:szCs w:val="20"/>
        </w:rPr>
        <w:t xml:space="preserve"> and Ivan </w:t>
      </w:r>
      <w:proofErr w:type="spellStart"/>
      <w:r w:rsidRPr="00E72405">
        <w:rPr>
          <w:rStyle w:val="Emphasis"/>
          <w:rFonts w:ascii="Cambria" w:hAnsi="Cambria" w:cs="Arial"/>
          <w:i w:val="0"/>
          <w:sz w:val="20"/>
          <w:szCs w:val="20"/>
        </w:rPr>
        <w:t>Akselrud</w:t>
      </w:r>
      <w:proofErr w:type="spellEnd"/>
      <w:r w:rsidRPr="00E72405">
        <w:rPr>
          <w:rStyle w:val="Emphasis"/>
          <w:rFonts w:ascii="Cambria" w:hAnsi="Cambria" w:cs="Arial"/>
          <w:i w:val="0"/>
          <w:sz w:val="20"/>
          <w:szCs w:val="20"/>
        </w:rPr>
        <w:t xml:space="preserve"> de </w:t>
      </w:r>
      <w:proofErr w:type="spellStart"/>
      <w:r w:rsidRPr="00E72405">
        <w:rPr>
          <w:rStyle w:val="Emphasis"/>
          <w:rFonts w:ascii="Cambria" w:hAnsi="Cambria" w:cs="Arial"/>
          <w:i w:val="0"/>
          <w:sz w:val="20"/>
          <w:szCs w:val="20"/>
        </w:rPr>
        <w:t>Seixas</w:t>
      </w:r>
      <w:proofErr w:type="spellEnd"/>
      <w:r w:rsidRPr="00E72405">
        <w:rPr>
          <w:rStyle w:val="Emphasis"/>
          <w:rFonts w:ascii="Cambria" w:hAnsi="Cambria" w:cs="Arial"/>
          <w:i w:val="0"/>
          <w:sz w:val="20"/>
          <w:szCs w:val="20"/>
        </w:rPr>
        <w:t>, who identified</w:t>
      </w:r>
      <w:r w:rsidRPr="00E72405">
        <w:rPr>
          <w:rStyle w:val="Emphasis"/>
          <w:rFonts w:cs="Arial"/>
          <w:sz w:val="20"/>
          <w:szCs w:val="20"/>
        </w:rPr>
        <w:t xml:space="preserve"> </w:t>
      </w:r>
      <w:r w:rsidRPr="00E72405">
        <w:rPr>
          <w:rFonts w:ascii="Cambria" w:hAnsi="Cambria"/>
          <w:sz w:val="20"/>
          <w:szCs w:val="20"/>
        </w:rPr>
        <w:t xml:space="preserve">Pedro Antonio Mira </w:t>
      </w:r>
      <w:proofErr w:type="spellStart"/>
      <w:r w:rsidRPr="00E72405">
        <w:rPr>
          <w:rFonts w:ascii="Cambria" w:hAnsi="Cambria"/>
          <w:sz w:val="20"/>
          <w:szCs w:val="20"/>
        </w:rPr>
        <w:t>Grancieri</w:t>
      </w:r>
      <w:proofErr w:type="spellEnd"/>
      <w:r w:rsidRPr="00E72405">
        <w:rPr>
          <w:rFonts w:ascii="Cambria" w:hAnsi="Cambria"/>
          <w:sz w:val="20"/>
          <w:szCs w:val="20"/>
        </w:rPr>
        <w:t xml:space="preserve"> as one of the perpetrators of the torture they suffered while being detained.</w:t>
      </w:r>
      <w:r w:rsidRPr="00E72405">
        <w:rPr>
          <w:rStyle w:val="FootnoteReference"/>
          <w:rFonts w:ascii="Cambria" w:hAnsi="Cambria"/>
          <w:sz w:val="20"/>
          <w:szCs w:val="20"/>
        </w:rPr>
        <w:footnoteReference w:id="226"/>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On May 11, 1992, the Public Prosecutor’s Office requested that Mira </w:t>
      </w:r>
      <w:proofErr w:type="spellStart"/>
      <w:r w:rsidRPr="00E72405">
        <w:rPr>
          <w:rFonts w:ascii="Cambria" w:hAnsi="Cambria"/>
          <w:sz w:val="20"/>
          <w:szCs w:val="20"/>
        </w:rPr>
        <w:t>Grancieri</w:t>
      </w:r>
      <w:proofErr w:type="spellEnd"/>
      <w:r w:rsidRPr="00E72405">
        <w:rPr>
          <w:rFonts w:ascii="Cambria" w:hAnsi="Cambria"/>
          <w:sz w:val="20"/>
          <w:szCs w:val="20"/>
        </w:rPr>
        <w:t xml:space="preserve"> report to the Police Unit “to be identified by those witnesses.”</w:t>
      </w:r>
      <w:r w:rsidRPr="00E72405">
        <w:rPr>
          <w:rStyle w:val="FootnoteReference"/>
          <w:rFonts w:ascii="Cambria" w:hAnsi="Cambria"/>
          <w:sz w:val="20"/>
          <w:szCs w:val="20"/>
        </w:rPr>
        <w:footnoteReference w:id="227"/>
      </w:r>
      <w:r w:rsidRPr="00E72405">
        <w:rPr>
          <w:rFonts w:ascii="Cambria" w:hAnsi="Cambria"/>
          <w:sz w:val="20"/>
          <w:szCs w:val="20"/>
        </w:rPr>
        <w:t xml:space="preserve">  Nevertheless, on August 24, 1992, Mira </w:t>
      </w:r>
      <w:proofErr w:type="spellStart"/>
      <w:r w:rsidRPr="00E72405">
        <w:rPr>
          <w:rFonts w:ascii="Cambria" w:hAnsi="Cambria"/>
          <w:sz w:val="20"/>
          <w:szCs w:val="20"/>
        </w:rPr>
        <w:t>Grancieri’s</w:t>
      </w:r>
      <w:proofErr w:type="spellEnd"/>
      <w:r w:rsidRPr="00E72405">
        <w:rPr>
          <w:rFonts w:ascii="Cambria" w:hAnsi="Cambria"/>
          <w:sz w:val="20"/>
          <w:szCs w:val="20"/>
        </w:rPr>
        <w:t xml:space="preserve"> attorney advised that he would not report to the Police Unit or testify in Police Inquiry No. 487/92.</w:t>
      </w:r>
      <w:r w:rsidRPr="00E72405">
        <w:rPr>
          <w:rStyle w:val="FootnoteReference"/>
          <w:rFonts w:ascii="Cambria" w:hAnsi="Cambria"/>
          <w:sz w:val="20"/>
          <w:szCs w:val="20"/>
        </w:rPr>
        <w:footnoteReference w:id="228"/>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On July 11, 1992, the Judge of the 1</w:t>
      </w:r>
      <w:r w:rsidRPr="00E72405">
        <w:rPr>
          <w:rFonts w:ascii="Cambria" w:hAnsi="Cambria"/>
          <w:sz w:val="20"/>
          <w:szCs w:val="20"/>
          <w:vertAlign w:val="superscript"/>
        </w:rPr>
        <w:t>st</w:t>
      </w:r>
      <w:r w:rsidRPr="00E72405">
        <w:rPr>
          <w:rFonts w:ascii="Cambria" w:hAnsi="Cambria"/>
          <w:sz w:val="20"/>
          <w:szCs w:val="20"/>
        </w:rPr>
        <w:t xml:space="preserve"> Jury Chamber </w:t>
      </w:r>
      <w:r w:rsidRPr="00E72405">
        <w:rPr>
          <w:rStyle w:val="Emphasis"/>
          <w:rFonts w:ascii="Cambria" w:hAnsi="Cambria" w:cs="Arial"/>
          <w:sz w:val="20"/>
          <w:szCs w:val="20"/>
        </w:rPr>
        <w:t>[</w:t>
      </w:r>
      <w:r w:rsidRPr="00E72405">
        <w:rPr>
          <w:rFonts w:ascii="Cambria" w:hAnsi="Cambria"/>
          <w:i/>
          <w:sz w:val="20"/>
          <w:szCs w:val="20"/>
        </w:rPr>
        <w:t>1</w:t>
      </w:r>
      <w:r w:rsidRPr="00E72405">
        <w:rPr>
          <w:rStyle w:val="Emphasis"/>
          <w:rFonts w:ascii="Cambria" w:hAnsi="Cambria" w:cs="Arial"/>
          <w:i w:val="0"/>
          <w:sz w:val="20"/>
          <w:szCs w:val="20"/>
        </w:rPr>
        <w:t xml:space="preserve">ª </w:t>
      </w:r>
      <w:proofErr w:type="spellStart"/>
      <w:r w:rsidRPr="00E72405">
        <w:rPr>
          <w:rStyle w:val="Emphasis"/>
          <w:rFonts w:ascii="Cambria" w:hAnsi="Cambria" w:cs="Arial"/>
          <w:i w:val="0"/>
          <w:sz w:val="20"/>
          <w:szCs w:val="20"/>
        </w:rPr>
        <w:t>Vara</w:t>
      </w:r>
      <w:proofErr w:type="spellEnd"/>
      <w:r w:rsidRPr="00E72405">
        <w:rPr>
          <w:rStyle w:val="Emphasis"/>
          <w:rFonts w:ascii="Cambria" w:hAnsi="Cambria" w:cs="Arial"/>
          <w:i w:val="0"/>
          <w:sz w:val="20"/>
          <w:szCs w:val="20"/>
        </w:rPr>
        <w:t xml:space="preserve"> do </w:t>
      </w:r>
      <w:proofErr w:type="spellStart"/>
      <w:r w:rsidRPr="00E72405">
        <w:rPr>
          <w:rStyle w:val="Emphasis"/>
          <w:rFonts w:ascii="Cambria" w:hAnsi="Cambria" w:cs="Arial"/>
          <w:i w:val="0"/>
          <w:sz w:val="20"/>
          <w:szCs w:val="20"/>
        </w:rPr>
        <w:t>Júri</w:t>
      </w:r>
      <w:proofErr w:type="spellEnd"/>
      <w:r w:rsidRPr="00E72405">
        <w:rPr>
          <w:rStyle w:val="Emphasis"/>
          <w:rFonts w:ascii="Cambria" w:hAnsi="Cambria" w:cs="Arial"/>
          <w:sz w:val="20"/>
          <w:szCs w:val="20"/>
        </w:rPr>
        <w:t xml:space="preserve">] </w:t>
      </w:r>
      <w:r w:rsidRPr="00E72405">
        <w:rPr>
          <w:rStyle w:val="Emphasis"/>
          <w:rFonts w:ascii="Cambria" w:hAnsi="Cambria" w:cs="Arial"/>
          <w:i w:val="0"/>
          <w:sz w:val="20"/>
          <w:szCs w:val="20"/>
        </w:rPr>
        <w:t xml:space="preserve">of </w:t>
      </w:r>
      <w:r w:rsidRPr="00E72405">
        <w:rPr>
          <w:rFonts w:ascii="Cambria" w:hAnsi="Cambria"/>
          <w:i/>
          <w:sz w:val="20"/>
          <w:szCs w:val="20"/>
        </w:rPr>
        <w:t>S</w:t>
      </w:r>
      <w:r w:rsidRPr="00E72405">
        <w:rPr>
          <w:rStyle w:val="Emphasis"/>
          <w:rFonts w:ascii="Cambria" w:hAnsi="Cambria" w:cs="Arial"/>
          <w:i w:val="0"/>
          <w:sz w:val="20"/>
          <w:szCs w:val="20"/>
        </w:rPr>
        <w:t>ão Paulo granted an extension of an additional 60 days to continue the investigations.</w:t>
      </w:r>
      <w:r w:rsidRPr="00E72405">
        <w:rPr>
          <w:rStyle w:val="FootnoteReference"/>
          <w:rFonts w:ascii="Cambria" w:hAnsi="Cambria" w:cs="Arial"/>
          <w:bCs/>
          <w:i/>
          <w:sz w:val="20"/>
          <w:szCs w:val="20"/>
        </w:rPr>
        <w:footnoteReference w:id="229"/>
      </w:r>
      <w:r w:rsidRPr="00E72405">
        <w:rPr>
          <w:rStyle w:val="Emphasis"/>
          <w:rFonts w:ascii="Cambria" w:hAnsi="Cambria" w:cs="Arial"/>
          <w:i w:val="0"/>
          <w:sz w:val="20"/>
          <w:szCs w:val="20"/>
        </w:rPr>
        <w:t xml:space="preserve">  However, on July 21, 1992, a petition seeking a writ of habeas corpus was filed on behalf of Pedro Antonio Mira </w:t>
      </w:r>
      <w:proofErr w:type="spellStart"/>
      <w:r w:rsidRPr="00E72405">
        <w:rPr>
          <w:rStyle w:val="Emphasis"/>
          <w:rFonts w:ascii="Cambria" w:hAnsi="Cambria" w:cs="Arial"/>
          <w:i w:val="0"/>
          <w:sz w:val="20"/>
          <w:szCs w:val="20"/>
        </w:rPr>
        <w:t>Grancieri</w:t>
      </w:r>
      <w:proofErr w:type="spellEnd"/>
      <w:r w:rsidRPr="00E72405">
        <w:rPr>
          <w:rStyle w:val="Emphasis"/>
          <w:rFonts w:ascii="Cambria" w:hAnsi="Cambria" w:cs="Arial"/>
          <w:i w:val="0"/>
          <w:sz w:val="20"/>
          <w:szCs w:val="20"/>
        </w:rPr>
        <w:t>, the argument being that the facts being examined in that police inquiry had already been examined in the military police investig</w:t>
      </w:r>
      <w:r w:rsidR="00A30254" w:rsidRPr="00E72405">
        <w:rPr>
          <w:rStyle w:val="Emphasis"/>
          <w:rFonts w:ascii="Cambria" w:hAnsi="Cambria" w:cs="Arial"/>
          <w:i w:val="0"/>
          <w:sz w:val="20"/>
          <w:szCs w:val="20"/>
        </w:rPr>
        <w:t xml:space="preserve">ation, which had been closed. </w:t>
      </w:r>
      <w:r w:rsidRPr="00E72405">
        <w:rPr>
          <w:rStyle w:val="Emphasis"/>
          <w:rFonts w:ascii="Cambria" w:hAnsi="Cambria" w:cs="Arial"/>
          <w:i w:val="0"/>
          <w:sz w:val="20"/>
          <w:szCs w:val="20"/>
        </w:rPr>
        <w:t>It was also argued that the military courts –</w:t>
      </w:r>
      <w:r w:rsidR="00A30254" w:rsidRPr="00E72405">
        <w:rPr>
          <w:rStyle w:val="Emphasis"/>
          <w:rFonts w:ascii="Cambria" w:hAnsi="Cambria" w:cs="Arial"/>
          <w:i w:val="0"/>
          <w:sz w:val="20"/>
          <w:szCs w:val="20"/>
        </w:rPr>
        <w:t xml:space="preserve"> </w:t>
      </w:r>
      <w:r w:rsidRPr="00E72405">
        <w:rPr>
          <w:rStyle w:val="Emphasis"/>
          <w:rFonts w:ascii="Cambria" w:hAnsi="Cambria" w:cs="Arial"/>
          <w:i w:val="0"/>
          <w:sz w:val="20"/>
          <w:szCs w:val="20"/>
        </w:rPr>
        <w:t>not the regular courts- would have jurisdiction over any new investigation into the facts.  It was also alleged that Law 6.683/79, known as the Amnesty Law, would preclude any investigation into the facts.</w:t>
      </w:r>
      <w:r w:rsidRPr="00E72405">
        <w:rPr>
          <w:rStyle w:val="FootnoteReference"/>
          <w:rFonts w:ascii="Cambria" w:hAnsi="Cambria"/>
          <w:i/>
          <w:sz w:val="20"/>
          <w:szCs w:val="20"/>
        </w:rPr>
        <w:footnoteReference w:id="230"/>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7F35B9">
      <w:pPr>
        <w:numPr>
          <w:ilvl w:val="0"/>
          <w:numId w:val="6"/>
        </w:numPr>
        <w:spacing w:after="0" w:line="240" w:lineRule="auto"/>
        <w:ind w:left="0" w:firstLine="720"/>
        <w:jc w:val="both"/>
        <w:rPr>
          <w:rStyle w:val="Emphasis"/>
          <w:rFonts w:ascii="Cambria" w:hAnsi="Cambria"/>
          <w:b/>
          <w:bCs/>
          <w:sz w:val="20"/>
          <w:szCs w:val="20"/>
        </w:rPr>
      </w:pPr>
      <w:r w:rsidRPr="00E72405">
        <w:rPr>
          <w:rFonts w:ascii="Cambria" w:hAnsi="Cambria"/>
          <w:sz w:val="20"/>
          <w:szCs w:val="20"/>
        </w:rPr>
        <w:t>On October 13, 1992, the 4</w:t>
      </w:r>
      <w:r w:rsidRPr="00E72405">
        <w:rPr>
          <w:rFonts w:ascii="Cambria" w:hAnsi="Cambria"/>
          <w:sz w:val="20"/>
          <w:szCs w:val="20"/>
          <w:vertAlign w:val="superscript"/>
        </w:rPr>
        <w:t>th</w:t>
      </w:r>
      <w:r w:rsidRPr="00E72405">
        <w:rPr>
          <w:rFonts w:ascii="Cambria" w:hAnsi="Cambria"/>
          <w:sz w:val="20"/>
          <w:szCs w:val="20"/>
        </w:rPr>
        <w:t xml:space="preserve"> Criminal Chamber of the </w:t>
      </w:r>
      <w:r w:rsidRPr="00E72405">
        <w:rPr>
          <w:rFonts w:ascii="Cambria" w:hAnsi="Cambria"/>
          <w:i/>
          <w:sz w:val="20"/>
          <w:szCs w:val="20"/>
        </w:rPr>
        <w:t>S</w:t>
      </w:r>
      <w:r w:rsidRPr="00E72405">
        <w:rPr>
          <w:rStyle w:val="Emphasis"/>
          <w:rFonts w:ascii="Cambria" w:hAnsi="Cambria" w:cs="Arial"/>
          <w:i w:val="0"/>
          <w:sz w:val="20"/>
          <w:szCs w:val="20"/>
        </w:rPr>
        <w:t>ão Paulo State Court [</w:t>
      </w:r>
      <w:r w:rsidRPr="00E72405">
        <w:rPr>
          <w:rFonts w:ascii="Cambria" w:hAnsi="Cambria"/>
          <w:i/>
          <w:sz w:val="20"/>
          <w:szCs w:val="20"/>
        </w:rPr>
        <w:t>4</w:t>
      </w:r>
      <w:r w:rsidRPr="00E72405">
        <w:rPr>
          <w:rStyle w:val="Emphasis"/>
          <w:rFonts w:ascii="Cambria" w:hAnsi="Cambria" w:cs="Arial"/>
          <w:i w:val="0"/>
          <w:sz w:val="20"/>
          <w:szCs w:val="20"/>
        </w:rPr>
        <w:t xml:space="preserve">ª </w:t>
      </w:r>
      <w:proofErr w:type="spellStart"/>
      <w:r w:rsidRPr="00E72405">
        <w:rPr>
          <w:rStyle w:val="Emphasis"/>
          <w:rFonts w:ascii="Cambria" w:hAnsi="Cambria" w:cs="Arial"/>
          <w:i w:val="0"/>
          <w:sz w:val="20"/>
          <w:szCs w:val="20"/>
        </w:rPr>
        <w:t>Câmara</w:t>
      </w:r>
      <w:proofErr w:type="spellEnd"/>
      <w:r w:rsidRPr="00E72405">
        <w:rPr>
          <w:rStyle w:val="Emphasis"/>
          <w:rFonts w:ascii="Cambria" w:hAnsi="Cambria" w:cs="Arial"/>
          <w:i w:val="0"/>
          <w:sz w:val="20"/>
          <w:szCs w:val="20"/>
        </w:rPr>
        <w:t xml:space="preserve"> Criminal do Tribunal de </w:t>
      </w:r>
      <w:proofErr w:type="spellStart"/>
      <w:r w:rsidRPr="00E72405">
        <w:rPr>
          <w:rStyle w:val="Emphasis"/>
          <w:rFonts w:ascii="Cambria" w:hAnsi="Cambria" w:cs="Arial"/>
          <w:i w:val="0"/>
          <w:sz w:val="20"/>
          <w:szCs w:val="20"/>
        </w:rPr>
        <w:t>Justiça</w:t>
      </w:r>
      <w:proofErr w:type="spellEnd"/>
      <w:r w:rsidRPr="00E72405">
        <w:rPr>
          <w:rStyle w:val="Emphasis"/>
          <w:rFonts w:ascii="Cambria" w:hAnsi="Cambria" w:cs="Arial"/>
          <w:i w:val="0"/>
          <w:sz w:val="20"/>
          <w:szCs w:val="20"/>
        </w:rPr>
        <w:t xml:space="preserve"> do Estado de </w:t>
      </w:r>
      <w:r w:rsidRPr="00E72405">
        <w:rPr>
          <w:rFonts w:ascii="Cambria" w:hAnsi="Cambria"/>
          <w:i/>
          <w:sz w:val="20"/>
          <w:szCs w:val="20"/>
        </w:rPr>
        <w:t>S</w:t>
      </w:r>
      <w:r w:rsidRPr="00E72405">
        <w:rPr>
          <w:rStyle w:val="Emphasis"/>
          <w:rFonts w:ascii="Cambria" w:hAnsi="Cambria" w:cs="Arial"/>
          <w:i w:val="0"/>
          <w:sz w:val="20"/>
          <w:szCs w:val="20"/>
        </w:rPr>
        <w:t>ão Paulo] unanimously agreed to grant the writ of habeas corpus and close Police Inquiry No. 487/92, in application of Law 6.683/79, the Amnesty Law</w:t>
      </w:r>
      <w:r w:rsidRPr="00E72405">
        <w:rPr>
          <w:rStyle w:val="Emphasis"/>
          <w:rFonts w:ascii="Cambria" w:hAnsi="Cambria" w:cs="Arial"/>
          <w:sz w:val="20"/>
          <w:szCs w:val="20"/>
        </w:rPr>
        <w:t>.</w:t>
      </w:r>
      <w:r w:rsidRPr="00E72405">
        <w:rPr>
          <w:rStyle w:val="FootnoteReference"/>
          <w:rFonts w:ascii="Cambria" w:hAnsi="Cambria" w:cs="Arial"/>
          <w:bCs/>
          <w:sz w:val="20"/>
          <w:szCs w:val="20"/>
        </w:rPr>
        <w:t xml:space="preserve"> </w:t>
      </w:r>
      <w:r w:rsidRPr="00E72405">
        <w:rPr>
          <w:rStyle w:val="FootnoteReference"/>
          <w:rFonts w:ascii="Cambria" w:hAnsi="Cambria" w:cs="Arial"/>
          <w:bCs/>
          <w:sz w:val="20"/>
          <w:szCs w:val="20"/>
        </w:rPr>
        <w:footnoteReference w:id="231"/>
      </w:r>
      <w:r w:rsidRPr="00E72405">
        <w:rPr>
          <w:rStyle w:val="Emphasis"/>
          <w:rFonts w:ascii="Cambria" w:hAnsi="Cambria" w:cs="Arial"/>
          <w:sz w:val="20"/>
          <w:szCs w:val="20"/>
        </w:rPr>
        <w:t xml:space="preserve"> </w:t>
      </w:r>
      <w:r w:rsidRPr="00E72405">
        <w:rPr>
          <w:rFonts w:ascii="Cambria" w:hAnsi="Cambria"/>
          <w:sz w:val="20"/>
          <w:szCs w:val="20"/>
        </w:rPr>
        <w:t>The Office of the Attorney General appealed that decision on January 28, 1993.</w:t>
      </w:r>
      <w:r w:rsidR="00DC7D76" w:rsidRPr="00E72405">
        <w:rPr>
          <w:rStyle w:val="FootnoteReference"/>
          <w:rFonts w:ascii="Cambria" w:hAnsi="Cambria"/>
          <w:sz w:val="20"/>
          <w:szCs w:val="20"/>
        </w:rPr>
        <w:t xml:space="preserve"> </w:t>
      </w:r>
      <w:r w:rsidR="00DC7D76" w:rsidRPr="00E72405">
        <w:rPr>
          <w:rStyle w:val="FootnoteReference"/>
          <w:rFonts w:ascii="Cambria" w:hAnsi="Cambria"/>
          <w:sz w:val="20"/>
          <w:szCs w:val="20"/>
        </w:rPr>
        <w:footnoteReference w:id="232"/>
      </w:r>
      <w:r w:rsidR="00DC7D76" w:rsidRPr="00E72405">
        <w:rPr>
          <w:rFonts w:ascii="Cambria" w:hAnsi="Cambria"/>
          <w:sz w:val="20"/>
          <w:szCs w:val="20"/>
        </w:rPr>
        <w:t xml:space="preserve"> </w:t>
      </w:r>
      <w:r w:rsidRPr="00E72405">
        <w:rPr>
          <w:rFonts w:ascii="Cambria" w:hAnsi="Cambria"/>
          <w:sz w:val="20"/>
          <w:szCs w:val="20"/>
        </w:rPr>
        <w:t xml:space="preserve">On August 18, 1993, the Fifth Rotation of the Superior Court of Justice [Quinta </w:t>
      </w:r>
      <w:proofErr w:type="spellStart"/>
      <w:r w:rsidRPr="00E72405">
        <w:rPr>
          <w:rFonts w:ascii="Cambria" w:hAnsi="Cambria"/>
          <w:sz w:val="20"/>
          <w:szCs w:val="20"/>
        </w:rPr>
        <w:t>Turma</w:t>
      </w:r>
      <w:proofErr w:type="spellEnd"/>
      <w:r w:rsidRPr="00E72405">
        <w:rPr>
          <w:rFonts w:ascii="Cambria" w:hAnsi="Cambria"/>
          <w:sz w:val="20"/>
          <w:szCs w:val="20"/>
        </w:rPr>
        <w:t xml:space="preserve"> do Superior</w:t>
      </w:r>
      <w:r w:rsidRPr="00E72405">
        <w:rPr>
          <w:rFonts w:ascii="Cambria" w:hAnsi="Cambria"/>
          <w:i/>
          <w:sz w:val="20"/>
          <w:szCs w:val="20"/>
        </w:rPr>
        <w:t xml:space="preserve"> Tribunal de</w:t>
      </w:r>
      <w:r w:rsidRPr="00E72405">
        <w:rPr>
          <w:rFonts w:ascii="Cambria" w:hAnsi="Cambria"/>
          <w:sz w:val="20"/>
          <w:szCs w:val="20"/>
        </w:rPr>
        <w:t xml:space="preserve"> </w:t>
      </w:r>
      <w:proofErr w:type="spellStart"/>
      <w:r w:rsidRPr="00E72405">
        <w:rPr>
          <w:rStyle w:val="Emphasis"/>
          <w:rFonts w:ascii="Cambria" w:hAnsi="Cambria" w:cs="Arial"/>
          <w:i w:val="0"/>
          <w:sz w:val="20"/>
          <w:szCs w:val="20"/>
        </w:rPr>
        <w:t>Justiça</w:t>
      </w:r>
      <w:proofErr w:type="spellEnd"/>
      <w:r w:rsidRPr="00E72405">
        <w:rPr>
          <w:rFonts w:ascii="Cambria" w:hAnsi="Cambria"/>
          <w:sz w:val="20"/>
          <w:szCs w:val="20"/>
        </w:rPr>
        <w:t xml:space="preserve">] (STJ) confirmed the decision of the </w:t>
      </w:r>
      <w:r w:rsidRPr="00E72405">
        <w:rPr>
          <w:rFonts w:ascii="Cambria" w:hAnsi="Cambria"/>
          <w:i/>
          <w:sz w:val="20"/>
          <w:szCs w:val="20"/>
        </w:rPr>
        <w:t>S</w:t>
      </w:r>
      <w:r w:rsidRPr="00E72405">
        <w:rPr>
          <w:rStyle w:val="Emphasis"/>
          <w:rFonts w:ascii="Cambria" w:hAnsi="Cambria" w:cs="Arial"/>
          <w:i w:val="0"/>
          <w:sz w:val="20"/>
          <w:szCs w:val="20"/>
        </w:rPr>
        <w:t xml:space="preserve">ão Paulo State Court that ordered the </w:t>
      </w:r>
      <w:r w:rsidR="00A30254" w:rsidRPr="00E72405">
        <w:rPr>
          <w:rStyle w:val="Emphasis"/>
          <w:rFonts w:ascii="Cambria" w:hAnsi="Cambria" w:cs="Arial"/>
          <w:i w:val="0"/>
          <w:sz w:val="20"/>
          <w:szCs w:val="20"/>
        </w:rPr>
        <w:t>closed [</w:t>
      </w:r>
      <w:proofErr w:type="spellStart"/>
      <w:r w:rsidR="00A30254" w:rsidRPr="00E72405">
        <w:rPr>
          <w:rStyle w:val="Emphasis"/>
          <w:rFonts w:ascii="Cambria" w:hAnsi="Cambria" w:cs="Arial"/>
          <w:i w:val="0"/>
          <w:sz w:val="20"/>
          <w:szCs w:val="20"/>
        </w:rPr>
        <w:t>trancamento</w:t>
      </w:r>
      <w:proofErr w:type="spellEnd"/>
      <w:r w:rsidR="00A30254" w:rsidRPr="00E72405">
        <w:rPr>
          <w:rStyle w:val="Emphasis"/>
          <w:rFonts w:ascii="Cambria" w:hAnsi="Cambria" w:cs="Arial"/>
          <w:i w:val="0"/>
          <w:sz w:val="20"/>
          <w:szCs w:val="20"/>
        </w:rPr>
        <w:t xml:space="preserve">] of the police inquiry no. 487-92  initiated by the </w:t>
      </w:r>
      <w:r w:rsidRPr="00E72405">
        <w:rPr>
          <w:rStyle w:val="Emphasis"/>
          <w:rFonts w:ascii="Cambria" w:hAnsi="Cambria" w:cs="Arial"/>
          <w:i w:val="0"/>
          <w:sz w:val="20"/>
          <w:szCs w:val="20"/>
        </w:rPr>
        <w:t>Civil Police</w:t>
      </w:r>
      <w:r w:rsidR="00EE6B3D" w:rsidRPr="00E72405">
        <w:rPr>
          <w:rStyle w:val="Emphasis"/>
          <w:rFonts w:ascii="Cambria" w:hAnsi="Cambria" w:cs="Arial"/>
          <w:i w:val="0"/>
          <w:sz w:val="20"/>
          <w:szCs w:val="20"/>
        </w:rPr>
        <w:t>.</w:t>
      </w:r>
      <w:r w:rsidR="00EE6B3D" w:rsidRPr="00E72405">
        <w:rPr>
          <w:rStyle w:val="FootnoteReference"/>
          <w:rFonts w:ascii="Cambria" w:hAnsi="Cambria" w:cs="Arial"/>
          <w:bCs/>
          <w:sz w:val="20"/>
          <w:szCs w:val="20"/>
        </w:rPr>
        <w:footnoteReference w:id="233"/>
      </w:r>
    </w:p>
    <w:p w:rsidR="00B766A0" w:rsidRPr="00E72405" w:rsidRDefault="00B766A0" w:rsidP="00B766A0">
      <w:pPr>
        <w:spacing w:after="0" w:line="240" w:lineRule="auto"/>
        <w:jc w:val="both"/>
        <w:rPr>
          <w:rFonts w:ascii="Cambria" w:hAnsi="Cambria"/>
          <w:b/>
          <w:bCs/>
          <w:i/>
          <w:iCs/>
          <w:sz w:val="20"/>
          <w:szCs w:val="20"/>
        </w:rPr>
      </w:pPr>
    </w:p>
    <w:p w:rsidR="007F35B9" w:rsidRPr="00E72405" w:rsidRDefault="007F35B9" w:rsidP="00181A2D">
      <w:pPr>
        <w:pStyle w:val="Heading3"/>
      </w:pPr>
      <w:bookmarkStart w:id="20" w:name="_Toc433359806"/>
      <w:r w:rsidRPr="00E72405">
        <w:t>Acknowledgement of responsibility under Law 9.140/1995 (</w:t>
      </w:r>
      <w:r w:rsidRPr="00E72405">
        <w:rPr>
          <w:i/>
        </w:rPr>
        <w:t>Special Commission on Political Deaths and Disappearances</w:t>
      </w:r>
      <w:r w:rsidRPr="00E72405">
        <w:t>)</w:t>
      </w:r>
      <w:bookmarkEnd w:id="20"/>
    </w:p>
    <w:p w:rsidR="007F35B9" w:rsidRPr="00E72405" w:rsidRDefault="007F35B9" w:rsidP="007F35B9">
      <w:pPr>
        <w:spacing w:after="0" w:line="240" w:lineRule="auto"/>
        <w:ind w:left="720"/>
        <w:jc w:val="both"/>
        <w:rPr>
          <w:rFonts w:ascii="Cambria" w:hAnsi="Cambria"/>
          <w:b/>
          <w:sz w:val="20"/>
          <w:szCs w:val="20"/>
        </w:rPr>
      </w:pPr>
    </w:p>
    <w:p w:rsidR="007F35B9" w:rsidRPr="00E72405" w:rsidRDefault="007F35B9" w:rsidP="00E658CD">
      <w:pPr>
        <w:numPr>
          <w:ilvl w:val="0"/>
          <w:numId w:val="6"/>
        </w:numPr>
        <w:spacing w:after="0" w:line="240" w:lineRule="auto"/>
        <w:ind w:left="0" w:firstLine="720"/>
        <w:jc w:val="both"/>
        <w:rPr>
          <w:rStyle w:val="hps"/>
          <w:rFonts w:ascii="Cambria" w:hAnsi="Cambria"/>
          <w:sz w:val="20"/>
          <w:szCs w:val="20"/>
        </w:rPr>
      </w:pPr>
      <w:r w:rsidRPr="00E72405">
        <w:rPr>
          <w:rFonts w:ascii="Cambria" w:hAnsi="Cambria"/>
          <w:sz w:val="20"/>
          <w:szCs w:val="20"/>
        </w:rPr>
        <w:t>Law No. 9.140 was enacted in 1995 and recognized as “deceased those persons who were disappeared because of having participated in or being accused of having participated in political activities during the period from September 2, 1961 to August 15, 1979.”</w:t>
      </w:r>
      <w:r w:rsidRPr="00E72405">
        <w:rPr>
          <w:rStyle w:val="FootnoteReference"/>
          <w:rFonts w:ascii="Cambria" w:hAnsi="Cambria"/>
          <w:sz w:val="20"/>
          <w:szCs w:val="20"/>
        </w:rPr>
        <w:footnoteReference w:id="234"/>
      </w:r>
      <w:r w:rsidRPr="00E72405">
        <w:rPr>
          <w:rFonts w:ascii="Cambria" w:hAnsi="Cambria"/>
          <w:sz w:val="20"/>
          <w:szCs w:val="20"/>
        </w:rPr>
        <w:t xml:space="preserve">  Law No. 9.140 created the “Special Commission on Political Deaths and Disappearances” (CEMDP). Its functions included the following: “take steps to acknowledge those persons […] who, after having participated in or having been accused of participating in political activities in the period between September 2, 1961 and August 15, 1979, have died from unnatural causes on police premises or the like.”</w:t>
      </w:r>
      <w:r w:rsidRPr="00E72405">
        <w:rPr>
          <w:rStyle w:val="FootnoteReference"/>
          <w:rFonts w:ascii="Cambria" w:hAnsi="Cambria" w:cs="Arial"/>
          <w:sz w:val="20"/>
          <w:szCs w:val="20"/>
        </w:rPr>
        <w:footnoteReference w:id="235"/>
      </w:r>
    </w:p>
    <w:p w:rsidR="007F35B9" w:rsidRPr="00E72405" w:rsidRDefault="007F35B9" w:rsidP="007F35B9">
      <w:pPr>
        <w:spacing w:after="0" w:line="240" w:lineRule="auto"/>
        <w:ind w:left="720"/>
        <w:jc w:val="both"/>
        <w:rPr>
          <w:rStyle w:val="hps"/>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lastRenderedPageBreak/>
        <w:t>Under that law, on February 28, 1996 Clarice Herzog filed a request with the CEMDP to obtain an acknowledgement of the fact that Vladimir Herzog had been tortured to death on Army premises; she also sought compensation pursuant to Article 11 of that Law.</w:t>
      </w:r>
      <w:r w:rsidRPr="00E72405">
        <w:rPr>
          <w:rStyle w:val="FootnoteReference"/>
          <w:rFonts w:ascii="Cambria" w:hAnsi="Cambria"/>
          <w:sz w:val="20"/>
          <w:szCs w:val="20"/>
        </w:rPr>
        <w:footnoteReference w:id="236"/>
      </w:r>
      <w:r w:rsidRPr="00E72405">
        <w:rPr>
          <w:rFonts w:ascii="Cambria" w:hAnsi="Cambria"/>
          <w:sz w:val="20"/>
          <w:szCs w:val="20"/>
        </w:rPr>
        <w:t xml:space="preserve">  Her request was unanimously approved in April 1996.</w:t>
      </w:r>
      <w:r w:rsidRPr="00E72405">
        <w:rPr>
          <w:rStyle w:val="FootnoteReference"/>
          <w:rFonts w:ascii="Cambria" w:hAnsi="Cambria"/>
          <w:sz w:val="20"/>
          <w:szCs w:val="20"/>
        </w:rPr>
        <w:footnoteReference w:id="237"/>
      </w:r>
      <w:r w:rsidRPr="00E72405">
        <w:rPr>
          <w:rFonts w:ascii="Cambria" w:hAnsi="Cambria"/>
          <w:sz w:val="20"/>
          <w:szCs w:val="20"/>
        </w:rPr>
        <w:t xml:space="preserve">  On July 17, 1997, the President of the Republic confirmed the decision and Clarice Herzog was paid damages of R$ 100,000.00 </w:t>
      </w:r>
      <w:proofErr w:type="spellStart"/>
      <w:r w:rsidRPr="00E72405">
        <w:rPr>
          <w:rFonts w:ascii="Cambria" w:hAnsi="Cambria"/>
          <w:i/>
          <w:sz w:val="20"/>
          <w:szCs w:val="20"/>
        </w:rPr>
        <w:t>reais</w:t>
      </w:r>
      <w:proofErr w:type="spellEnd"/>
      <w:r w:rsidRPr="00E72405">
        <w:rPr>
          <w:rFonts w:ascii="Cambria" w:hAnsi="Cambria"/>
          <w:i/>
          <w:sz w:val="20"/>
          <w:szCs w:val="20"/>
        </w:rPr>
        <w:t>.</w:t>
      </w:r>
      <w:r w:rsidRPr="00E72405">
        <w:rPr>
          <w:rStyle w:val="FootnoteReference"/>
          <w:rFonts w:ascii="Cambria" w:hAnsi="Cambria"/>
          <w:sz w:val="20"/>
          <w:szCs w:val="20"/>
        </w:rPr>
        <w:footnoteReference w:id="238"/>
      </w:r>
      <w:r w:rsidRPr="00E72405">
        <w:rPr>
          <w:rFonts w:ascii="Cambria" w:hAnsi="Cambria"/>
          <w:sz w:val="20"/>
          <w:szCs w:val="20"/>
        </w:rPr>
        <w:t xml:space="preserve"> </w:t>
      </w:r>
    </w:p>
    <w:p w:rsidR="007F35B9" w:rsidRPr="00E72405" w:rsidRDefault="007F35B9" w:rsidP="007F35B9">
      <w:pPr>
        <w:spacing w:after="0" w:line="240" w:lineRule="auto"/>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In 2007, the Secretariat of Human Rights of the Office of the President of the Republic published the report titled “</w:t>
      </w:r>
      <w:proofErr w:type="spellStart"/>
      <w:r w:rsidRPr="00E72405">
        <w:rPr>
          <w:rStyle w:val="Emphasis"/>
          <w:rFonts w:ascii="Cambria" w:hAnsi="Cambria" w:cs="Arial"/>
          <w:i w:val="0"/>
          <w:sz w:val="20"/>
          <w:szCs w:val="20"/>
        </w:rPr>
        <w:t>Direito</w:t>
      </w:r>
      <w:proofErr w:type="spellEnd"/>
      <w:r w:rsidRPr="00E72405">
        <w:rPr>
          <w:rStyle w:val="st1"/>
          <w:rFonts w:ascii="Cambria" w:hAnsi="Cambria" w:cs="Arial"/>
          <w:b/>
          <w:i/>
          <w:sz w:val="20"/>
          <w:szCs w:val="20"/>
        </w:rPr>
        <w:t xml:space="preserve"> </w:t>
      </w:r>
      <w:r w:rsidRPr="00E72405">
        <w:rPr>
          <w:rStyle w:val="st1"/>
          <w:rFonts w:ascii="Cambria" w:hAnsi="Cambria" w:cs="Arial"/>
          <w:i/>
          <w:sz w:val="20"/>
          <w:szCs w:val="20"/>
        </w:rPr>
        <w:t>à</w:t>
      </w:r>
      <w:r w:rsidRPr="00E72405">
        <w:rPr>
          <w:rStyle w:val="st1"/>
          <w:rFonts w:ascii="Cambria" w:hAnsi="Cambria" w:cs="Arial"/>
          <w:b/>
          <w:i/>
          <w:sz w:val="20"/>
          <w:szCs w:val="20"/>
        </w:rPr>
        <w:t xml:space="preserve"> </w:t>
      </w:r>
      <w:proofErr w:type="spellStart"/>
      <w:r w:rsidRPr="00E72405">
        <w:rPr>
          <w:rStyle w:val="Emphasis"/>
          <w:rFonts w:ascii="Cambria" w:hAnsi="Cambria" w:cs="Arial"/>
          <w:i w:val="0"/>
          <w:sz w:val="20"/>
          <w:szCs w:val="20"/>
        </w:rPr>
        <w:t>Memória</w:t>
      </w:r>
      <w:proofErr w:type="spellEnd"/>
      <w:r w:rsidRPr="00E72405">
        <w:rPr>
          <w:rStyle w:val="Emphasis"/>
          <w:rFonts w:ascii="Cambria" w:hAnsi="Cambria" w:cs="Arial"/>
          <w:i w:val="0"/>
          <w:sz w:val="20"/>
          <w:szCs w:val="20"/>
        </w:rPr>
        <w:t xml:space="preserve"> e</w:t>
      </w:r>
      <w:r w:rsidRPr="00E72405">
        <w:rPr>
          <w:rStyle w:val="st1"/>
          <w:rFonts w:ascii="Cambria" w:hAnsi="Cambria" w:cs="Arial"/>
          <w:b/>
          <w:i/>
          <w:sz w:val="20"/>
          <w:szCs w:val="20"/>
        </w:rPr>
        <w:t xml:space="preserve"> </w:t>
      </w:r>
      <w:r w:rsidRPr="00E72405">
        <w:rPr>
          <w:rStyle w:val="st1"/>
          <w:rFonts w:ascii="Cambria" w:hAnsi="Cambria" w:cs="Arial"/>
          <w:sz w:val="20"/>
          <w:szCs w:val="20"/>
        </w:rPr>
        <w:t>à</w:t>
      </w:r>
      <w:r w:rsidRPr="00E72405">
        <w:rPr>
          <w:rStyle w:val="st1"/>
          <w:rFonts w:ascii="Cambria" w:hAnsi="Cambria" w:cs="Arial"/>
          <w:b/>
          <w:i/>
          <w:sz w:val="20"/>
          <w:szCs w:val="20"/>
        </w:rPr>
        <w:t xml:space="preserve"> </w:t>
      </w:r>
      <w:proofErr w:type="spellStart"/>
      <w:r w:rsidRPr="00E72405">
        <w:rPr>
          <w:rStyle w:val="Emphasis"/>
          <w:rFonts w:ascii="Cambria" w:hAnsi="Cambria" w:cs="Arial"/>
          <w:i w:val="0"/>
          <w:sz w:val="20"/>
          <w:szCs w:val="20"/>
        </w:rPr>
        <w:t>Verdade</w:t>
      </w:r>
      <w:proofErr w:type="spellEnd"/>
      <w:r w:rsidRPr="00E72405">
        <w:rPr>
          <w:rStyle w:val="Emphasis"/>
          <w:rFonts w:ascii="Cambria" w:hAnsi="Cambria" w:cs="Arial"/>
          <w:i w:val="0"/>
          <w:sz w:val="20"/>
          <w:szCs w:val="20"/>
        </w:rPr>
        <w:t xml:space="preserve">: </w:t>
      </w:r>
      <w:proofErr w:type="spellStart"/>
      <w:r w:rsidRPr="00E72405">
        <w:rPr>
          <w:rStyle w:val="Emphasis"/>
          <w:rFonts w:ascii="Cambria" w:hAnsi="Cambria" w:cs="Arial"/>
          <w:i w:val="0"/>
          <w:sz w:val="20"/>
          <w:szCs w:val="20"/>
        </w:rPr>
        <w:t>Comissão</w:t>
      </w:r>
      <w:proofErr w:type="spellEnd"/>
      <w:r w:rsidRPr="00E72405">
        <w:rPr>
          <w:rStyle w:val="Emphasis"/>
          <w:rFonts w:ascii="Cambria" w:hAnsi="Cambria" w:cs="Arial"/>
          <w:i w:val="0"/>
          <w:sz w:val="20"/>
          <w:szCs w:val="20"/>
        </w:rPr>
        <w:t xml:space="preserve"> Especial </w:t>
      </w:r>
      <w:proofErr w:type="spellStart"/>
      <w:r w:rsidRPr="00E72405">
        <w:rPr>
          <w:rStyle w:val="Emphasis"/>
          <w:rFonts w:ascii="Cambria" w:hAnsi="Cambria" w:cs="Arial"/>
          <w:i w:val="0"/>
          <w:sz w:val="20"/>
          <w:szCs w:val="20"/>
        </w:rPr>
        <w:t>sobre</w:t>
      </w:r>
      <w:proofErr w:type="spellEnd"/>
      <w:r w:rsidRPr="00E72405">
        <w:rPr>
          <w:rStyle w:val="Emphasis"/>
          <w:rFonts w:ascii="Cambria" w:hAnsi="Cambria" w:cs="Arial"/>
          <w:i w:val="0"/>
          <w:sz w:val="20"/>
          <w:szCs w:val="20"/>
        </w:rPr>
        <w:t xml:space="preserve"> </w:t>
      </w:r>
      <w:proofErr w:type="spellStart"/>
      <w:r w:rsidRPr="00E72405">
        <w:rPr>
          <w:rStyle w:val="Emphasis"/>
          <w:rFonts w:ascii="Cambria" w:hAnsi="Cambria" w:cs="Arial"/>
          <w:i w:val="0"/>
          <w:sz w:val="20"/>
          <w:szCs w:val="20"/>
        </w:rPr>
        <w:t>Mortos</w:t>
      </w:r>
      <w:proofErr w:type="spellEnd"/>
      <w:r w:rsidRPr="00E72405">
        <w:rPr>
          <w:rStyle w:val="Emphasis"/>
          <w:rFonts w:ascii="Cambria" w:hAnsi="Cambria" w:cs="Arial"/>
          <w:i w:val="0"/>
          <w:sz w:val="20"/>
          <w:szCs w:val="20"/>
        </w:rPr>
        <w:t xml:space="preserve"> e </w:t>
      </w:r>
      <w:proofErr w:type="spellStart"/>
      <w:r w:rsidRPr="00E72405">
        <w:rPr>
          <w:rStyle w:val="Emphasis"/>
          <w:rFonts w:ascii="Cambria" w:hAnsi="Cambria" w:cs="Arial"/>
          <w:i w:val="0"/>
          <w:sz w:val="20"/>
          <w:szCs w:val="20"/>
        </w:rPr>
        <w:t>Desaparecidos</w:t>
      </w:r>
      <w:proofErr w:type="spellEnd"/>
      <w:r w:rsidRPr="00E72405">
        <w:rPr>
          <w:rStyle w:val="Emphasis"/>
          <w:rFonts w:ascii="Cambria" w:hAnsi="Cambria" w:cs="Arial"/>
          <w:i w:val="0"/>
          <w:sz w:val="20"/>
          <w:szCs w:val="20"/>
        </w:rPr>
        <w:t xml:space="preserve"> </w:t>
      </w:r>
      <w:proofErr w:type="spellStart"/>
      <w:r w:rsidRPr="00E72405">
        <w:rPr>
          <w:rStyle w:val="Emphasis"/>
          <w:rFonts w:ascii="Cambria" w:hAnsi="Cambria" w:cs="Arial"/>
          <w:i w:val="0"/>
          <w:sz w:val="20"/>
          <w:szCs w:val="20"/>
        </w:rPr>
        <w:t>Políticos</w:t>
      </w:r>
      <w:proofErr w:type="spellEnd"/>
      <w:r w:rsidRPr="00E72405">
        <w:rPr>
          <w:rFonts w:ascii="Cambria" w:hAnsi="Cambria"/>
          <w:b/>
          <w:sz w:val="20"/>
          <w:szCs w:val="20"/>
        </w:rPr>
        <w:t xml:space="preserve">” </w:t>
      </w:r>
      <w:r w:rsidRPr="00E72405">
        <w:rPr>
          <w:rFonts w:ascii="Cambria" w:hAnsi="Cambria"/>
          <w:sz w:val="20"/>
          <w:szCs w:val="20"/>
        </w:rPr>
        <w:t>[Right to Memory and to the Truth:  Special Commission on Political Deaths and Disappearances] which contained the CEMDP’s findings.</w:t>
      </w:r>
      <w:r w:rsidRPr="00E72405">
        <w:rPr>
          <w:rStyle w:val="FootnoteReference"/>
          <w:rFonts w:ascii="Cambria" w:hAnsi="Cambria"/>
          <w:sz w:val="20"/>
          <w:szCs w:val="20"/>
        </w:rPr>
        <w:footnoteReference w:id="239"/>
      </w:r>
      <w:r w:rsidRPr="00E72405">
        <w:rPr>
          <w:rFonts w:ascii="Cambria" w:hAnsi="Cambria"/>
          <w:sz w:val="20"/>
          <w:szCs w:val="20"/>
        </w:rPr>
        <w:t xml:space="preserve">   The report states that “on October 25, 1975, journalist Vladimir Herzog was tortured to death at the DOI-CODI of São Paul[o].”</w:t>
      </w:r>
      <w:r w:rsidRPr="00E72405">
        <w:rPr>
          <w:rStyle w:val="FootnoteReference"/>
          <w:rFonts w:ascii="Cambria" w:hAnsi="Cambria"/>
          <w:sz w:val="20"/>
          <w:szCs w:val="20"/>
        </w:rPr>
        <w:footnoteReference w:id="240"/>
      </w:r>
    </w:p>
    <w:p w:rsidR="007F35B9" w:rsidRPr="00E72405" w:rsidRDefault="007F35B9" w:rsidP="007F35B9">
      <w:pPr>
        <w:spacing w:after="0" w:line="240" w:lineRule="auto"/>
        <w:jc w:val="both"/>
        <w:rPr>
          <w:rFonts w:ascii="Cambria" w:hAnsi="Cambria"/>
          <w:sz w:val="20"/>
          <w:szCs w:val="20"/>
        </w:rPr>
      </w:pPr>
    </w:p>
    <w:p w:rsidR="007F35B9" w:rsidRPr="00E72405" w:rsidRDefault="007F35B9" w:rsidP="00181A2D">
      <w:pPr>
        <w:pStyle w:val="Heading3"/>
      </w:pPr>
      <w:bookmarkStart w:id="21" w:name="_Toc433359807"/>
      <w:r w:rsidRPr="00E72405">
        <w:t>Actions of the Office of the Federal Public Prosecutor (Case No. 2008.61.81.013434-2)</w:t>
      </w:r>
      <w:r w:rsidRPr="00E72405">
        <w:rPr>
          <w:rStyle w:val="FootnoteReference"/>
        </w:rPr>
        <w:footnoteReference w:id="241"/>
      </w:r>
      <w:bookmarkEnd w:id="21"/>
    </w:p>
    <w:p w:rsidR="007F35B9" w:rsidRPr="00E72405" w:rsidRDefault="007F35B9" w:rsidP="007F35B9">
      <w:pPr>
        <w:spacing w:after="0" w:line="240" w:lineRule="auto"/>
        <w:ind w:left="720"/>
        <w:rPr>
          <w:rFonts w:ascii="Cambria" w:hAnsi="Cambria"/>
          <w:b/>
          <w:sz w:val="20"/>
          <w:szCs w:val="20"/>
        </w:rPr>
      </w:pPr>
    </w:p>
    <w:p w:rsidR="007F35B9" w:rsidRPr="00E72405" w:rsidRDefault="007F35B9" w:rsidP="00E658CD">
      <w:pPr>
        <w:numPr>
          <w:ilvl w:val="0"/>
          <w:numId w:val="6"/>
        </w:numPr>
        <w:spacing w:after="0" w:line="240" w:lineRule="auto"/>
        <w:ind w:left="0" w:firstLine="720"/>
        <w:jc w:val="both"/>
        <w:rPr>
          <w:rFonts w:ascii="Cambria" w:hAnsi="Cambria"/>
          <w:b/>
          <w:sz w:val="20"/>
          <w:szCs w:val="20"/>
        </w:rPr>
      </w:pPr>
      <w:r w:rsidRPr="00E72405">
        <w:rPr>
          <w:rFonts w:ascii="Cambria" w:hAnsi="Cambria"/>
          <w:sz w:val="20"/>
          <w:szCs w:val="20"/>
        </w:rPr>
        <w:t xml:space="preserve">Given the facts set forth and conclusions reached in the report of the “Special Commission on Political Deaths and Disappearances” (CEMDP), on November 19, 2007, attorney and constitutional lawyer   </w:t>
      </w:r>
      <w:proofErr w:type="spellStart"/>
      <w:r w:rsidRPr="00E72405">
        <w:rPr>
          <w:rFonts w:ascii="Cambria" w:hAnsi="Cambria"/>
          <w:sz w:val="20"/>
          <w:szCs w:val="20"/>
        </w:rPr>
        <w:t>Fábio</w:t>
      </w:r>
      <w:proofErr w:type="spellEnd"/>
      <w:r w:rsidRPr="00E72405">
        <w:rPr>
          <w:rFonts w:ascii="Cambria" w:hAnsi="Cambria"/>
          <w:sz w:val="20"/>
          <w:szCs w:val="20"/>
        </w:rPr>
        <w:t xml:space="preserve"> </w:t>
      </w:r>
      <w:proofErr w:type="spellStart"/>
      <w:r w:rsidRPr="00E72405">
        <w:rPr>
          <w:rFonts w:ascii="Cambria" w:hAnsi="Cambria"/>
          <w:sz w:val="20"/>
          <w:szCs w:val="20"/>
        </w:rPr>
        <w:t>Konder</w:t>
      </w:r>
      <w:proofErr w:type="spellEnd"/>
      <w:r w:rsidRPr="00E72405">
        <w:rPr>
          <w:rFonts w:ascii="Cambria" w:hAnsi="Cambria"/>
          <w:sz w:val="20"/>
          <w:szCs w:val="20"/>
        </w:rPr>
        <w:t xml:space="preserve"> </w:t>
      </w:r>
      <w:proofErr w:type="spellStart"/>
      <w:r w:rsidRPr="00E72405">
        <w:rPr>
          <w:rFonts w:ascii="Cambria" w:hAnsi="Cambria"/>
          <w:sz w:val="20"/>
          <w:szCs w:val="20"/>
        </w:rPr>
        <w:t>Comparato</w:t>
      </w:r>
      <w:proofErr w:type="spellEnd"/>
      <w:r w:rsidRPr="00E72405">
        <w:rPr>
          <w:rFonts w:ascii="Cambria" w:hAnsi="Cambria"/>
          <w:sz w:val="20"/>
          <w:szCs w:val="20"/>
        </w:rPr>
        <w:t xml:space="preserve"> filed a request [“</w:t>
      </w:r>
      <w:proofErr w:type="spellStart"/>
      <w:r w:rsidRPr="00E72405">
        <w:rPr>
          <w:rFonts w:ascii="Cambria" w:hAnsi="Cambria"/>
          <w:i/>
          <w:sz w:val="20"/>
          <w:szCs w:val="20"/>
        </w:rPr>
        <w:t>Representação</w:t>
      </w:r>
      <w:proofErr w:type="spellEnd"/>
      <w:r w:rsidRPr="00E72405">
        <w:rPr>
          <w:rStyle w:val="FootnoteReference"/>
          <w:rFonts w:ascii="Cambria" w:hAnsi="Cambria"/>
          <w:i/>
          <w:sz w:val="20"/>
          <w:szCs w:val="20"/>
        </w:rPr>
        <w:footnoteReference w:id="242"/>
      </w:r>
      <w:r w:rsidRPr="00E72405">
        <w:rPr>
          <w:rFonts w:ascii="Cambria" w:hAnsi="Cambria"/>
          <w:sz w:val="20"/>
          <w:szCs w:val="20"/>
        </w:rPr>
        <w:t>”] with the Federal Public Prosecutor’s Office</w:t>
      </w:r>
      <w:r w:rsidRPr="00E72405">
        <w:rPr>
          <w:rStyle w:val="FootnoteReference"/>
          <w:rFonts w:ascii="Cambria" w:hAnsi="Cambria"/>
          <w:sz w:val="20"/>
          <w:szCs w:val="20"/>
        </w:rPr>
        <w:footnoteReference w:id="243"/>
      </w:r>
      <w:r w:rsidRPr="00E72405">
        <w:rPr>
          <w:rFonts w:ascii="Cambria" w:hAnsi="Cambria"/>
          <w:sz w:val="20"/>
          <w:szCs w:val="20"/>
        </w:rPr>
        <w:t xml:space="preserve"> asking that the necessary measures be taken to investigate “[t]he abuses and criminal acts against the regime’s political opponents”</w:t>
      </w:r>
      <w:r w:rsidRPr="00E72405">
        <w:rPr>
          <w:rStyle w:val="FootnoteReference"/>
          <w:rFonts w:ascii="Cambria" w:hAnsi="Cambria"/>
          <w:sz w:val="20"/>
          <w:szCs w:val="20"/>
        </w:rPr>
        <w:footnoteReference w:id="244"/>
      </w:r>
      <w:r w:rsidRPr="00E72405">
        <w:rPr>
          <w:rFonts w:ascii="Cambria" w:hAnsi="Cambria"/>
          <w:sz w:val="20"/>
          <w:szCs w:val="20"/>
        </w:rPr>
        <w:t xml:space="preserve"> committed by “public agents from the various units of the federation.”</w:t>
      </w:r>
      <w:r w:rsidRPr="00E72405">
        <w:rPr>
          <w:rFonts w:ascii="Cambria" w:hAnsi="Cambria"/>
          <w:sz w:val="20"/>
          <w:szCs w:val="20"/>
          <w:vertAlign w:val="superscript"/>
        </w:rPr>
        <w:t xml:space="preserve"> </w:t>
      </w:r>
      <w:r w:rsidRPr="00E72405">
        <w:rPr>
          <w:rFonts w:ascii="Cambria" w:hAnsi="Cambria"/>
          <w:sz w:val="20"/>
          <w:szCs w:val="20"/>
          <w:vertAlign w:val="superscript"/>
        </w:rPr>
        <w:footnoteReference w:id="245"/>
      </w:r>
      <w:r w:rsidRPr="00E72405">
        <w:rPr>
          <w:rFonts w:ascii="Cambria" w:hAnsi="Cambria"/>
          <w:sz w:val="20"/>
          <w:szCs w:val="20"/>
        </w:rPr>
        <w:t xml:space="preserve">  </w:t>
      </w:r>
      <w:r w:rsidR="00EE6B3D" w:rsidRPr="00E72405">
        <w:rPr>
          <w:rFonts w:ascii="Cambria" w:hAnsi="Cambria"/>
          <w:sz w:val="20"/>
          <w:szCs w:val="20"/>
        </w:rPr>
        <w:t xml:space="preserve">Members </w:t>
      </w:r>
      <w:r w:rsidRPr="00E72405">
        <w:rPr>
          <w:rFonts w:ascii="Cambria" w:hAnsi="Cambria"/>
          <w:sz w:val="20"/>
          <w:szCs w:val="20"/>
        </w:rPr>
        <w:t xml:space="preserve">in the Federal Public Prosecutor’s Office examined the request and, because they did not have authority to act in criminal matters, requested in March 2008 that the investigation be referred to one of the </w:t>
      </w:r>
      <w:r w:rsidR="003A5611" w:rsidRPr="00E72405">
        <w:rPr>
          <w:rFonts w:ascii="Cambria" w:hAnsi="Cambria"/>
          <w:sz w:val="20"/>
          <w:szCs w:val="20"/>
        </w:rPr>
        <w:t xml:space="preserve">Members of the Federal Public Prosecutor’s Office </w:t>
      </w:r>
      <w:r w:rsidRPr="00E72405">
        <w:rPr>
          <w:rFonts w:ascii="Cambria" w:hAnsi="Cambria"/>
          <w:sz w:val="20"/>
          <w:szCs w:val="20"/>
        </w:rPr>
        <w:t>with authority in criminal matters, so that it might determine what the necessary measures would be.</w:t>
      </w:r>
      <w:r w:rsidRPr="00E72405">
        <w:rPr>
          <w:rStyle w:val="FootnoteReference"/>
          <w:rFonts w:ascii="Cambria" w:hAnsi="Cambria"/>
          <w:sz w:val="20"/>
          <w:szCs w:val="20"/>
        </w:rPr>
        <w:footnoteReference w:id="246"/>
      </w:r>
      <w:r w:rsidRPr="00E72405">
        <w:rPr>
          <w:rFonts w:ascii="Cambria" w:hAnsi="Cambria"/>
          <w:sz w:val="20"/>
          <w:szCs w:val="20"/>
        </w:rPr>
        <w:t xml:space="preserve"> The foregoing notwithstanding, they sent a memorandum to the Attorney General to the following effect:</w:t>
      </w:r>
    </w:p>
    <w:p w:rsidR="007F35B9" w:rsidRPr="00E72405" w:rsidRDefault="007F35B9" w:rsidP="007F35B9">
      <w:pPr>
        <w:spacing w:after="0" w:line="240" w:lineRule="auto"/>
        <w:ind w:left="720"/>
        <w:jc w:val="both"/>
        <w:rPr>
          <w:rFonts w:ascii="Cambria" w:hAnsi="Cambria"/>
          <w:b/>
          <w:sz w:val="20"/>
          <w:szCs w:val="20"/>
        </w:rPr>
      </w:pPr>
    </w:p>
    <w:p w:rsidR="007F35B9" w:rsidRPr="00E72405" w:rsidRDefault="007F35B9" w:rsidP="007F35B9">
      <w:pPr>
        <w:spacing w:after="0" w:line="240" w:lineRule="auto"/>
        <w:ind w:left="720" w:right="720"/>
        <w:jc w:val="both"/>
        <w:rPr>
          <w:rFonts w:ascii="Cambria" w:hAnsi="Cambria"/>
          <w:b/>
          <w:sz w:val="16"/>
          <w:szCs w:val="16"/>
        </w:rPr>
      </w:pPr>
      <w:r w:rsidRPr="00E72405">
        <w:rPr>
          <w:rFonts w:ascii="Cambria" w:hAnsi="Cambria"/>
          <w:sz w:val="20"/>
          <w:szCs w:val="20"/>
        </w:rPr>
        <w:t xml:space="preserve"> </w:t>
      </w:r>
      <w:r w:rsidRPr="00E72405">
        <w:rPr>
          <w:rFonts w:ascii="Cambria" w:hAnsi="Cambria"/>
          <w:sz w:val="16"/>
          <w:szCs w:val="16"/>
        </w:rPr>
        <w:t>[…] the crimes of homicide, battery (torture) and kidnapping (forced disappearance) that the repressive organs committed against political dissidents in the 1964-1985 period under Brazil’s military dictatorship may be classified as crimes against humanity, based on the parameters established by the United Nations, the International Court of Justice and the Inter-American Court of Human Rights..</w:t>
      </w:r>
    </w:p>
    <w:p w:rsidR="007F35B9" w:rsidRPr="00E72405" w:rsidRDefault="007F35B9" w:rsidP="007F35B9">
      <w:pPr>
        <w:tabs>
          <w:tab w:val="left" w:pos="8640"/>
        </w:tabs>
        <w:spacing w:after="0" w:line="240" w:lineRule="auto"/>
        <w:ind w:right="720" w:firstLine="720"/>
        <w:jc w:val="both"/>
        <w:rPr>
          <w:rFonts w:ascii="Cambria" w:hAnsi="Cambria"/>
          <w:sz w:val="16"/>
          <w:szCs w:val="16"/>
        </w:rPr>
      </w:pPr>
    </w:p>
    <w:p w:rsidR="007F35B9" w:rsidRPr="00E72405" w:rsidRDefault="007F35B9" w:rsidP="007F35B9">
      <w:pPr>
        <w:spacing w:after="0" w:line="240" w:lineRule="auto"/>
        <w:ind w:left="720" w:right="720"/>
        <w:jc w:val="both"/>
        <w:rPr>
          <w:rFonts w:ascii="Cambria" w:hAnsi="Cambria"/>
          <w:sz w:val="16"/>
          <w:szCs w:val="16"/>
        </w:rPr>
      </w:pPr>
      <w:r w:rsidRPr="00E72405">
        <w:rPr>
          <w:rFonts w:ascii="Cambria" w:hAnsi="Cambria"/>
          <w:sz w:val="16"/>
          <w:szCs w:val="16"/>
        </w:rPr>
        <w:t>Such crimes still need to be investigated and prosecuted by authorities with the Brazilian Public Prosecutor’s Office and presented to the Judicial Branch, since they are no longer subject to the statute of limitations and do not qualify for amnesty.</w:t>
      </w:r>
    </w:p>
    <w:p w:rsidR="007F35B9" w:rsidRPr="00E72405" w:rsidRDefault="007F35B9" w:rsidP="007F35B9">
      <w:pPr>
        <w:tabs>
          <w:tab w:val="left" w:pos="8640"/>
        </w:tabs>
        <w:spacing w:after="0" w:line="240" w:lineRule="auto"/>
        <w:ind w:right="720" w:firstLine="720"/>
        <w:jc w:val="both"/>
        <w:rPr>
          <w:rFonts w:ascii="Cambria" w:hAnsi="Cambria"/>
          <w:sz w:val="16"/>
          <w:szCs w:val="16"/>
        </w:rPr>
      </w:pPr>
    </w:p>
    <w:p w:rsidR="007F35B9" w:rsidRPr="00E72405" w:rsidRDefault="007F35B9" w:rsidP="007F35B9">
      <w:pPr>
        <w:spacing w:after="0" w:line="240" w:lineRule="auto"/>
        <w:ind w:left="720" w:right="720"/>
        <w:jc w:val="both"/>
        <w:rPr>
          <w:rFonts w:ascii="Cambria" w:hAnsi="Cambria"/>
          <w:sz w:val="16"/>
          <w:szCs w:val="16"/>
        </w:rPr>
      </w:pPr>
      <w:r w:rsidRPr="00E72405">
        <w:rPr>
          <w:rFonts w:ascii="Cambria" w:hAnsi="Cambria"/>
          <w:sz w:val="16"/>
          <w:szCs w:val="16"/>
        </w:rPr>
        <w:t xml:space="preserve">Application of the Amnesty Law in the case of the State’s agents of repression and the failure to investigate and prosecute the authors of these crimes is a violation of the obligations Brazil undertook vis-à-vis the international </w:t>
      </w:r>
      <w:r w:rsidRPr="00E72405">
        <w:rPr>
          <w:rFonts w:ascii="Cambria" w:hAnsi="Cambria"/>
          <w:sz w:val="16"/>
          <w:szCs w:val="16"/>
        </w:rPr>
        <w:lastRenderedPageBreak/>
        <w:t>community and will expose the country to a likely finding by the Inter-American Court of Human Rights of responsibility on Brazil’s part.</w:t>
      </w:r>
      <w:r w:rsidRPr="00E72405">
        <w:rPr>
          <w:rStyle w:val="FootnoteReference"/>
          <w:rFonts w:ascii="Cambria" w:hAnsi="Cambria"/>
        </w:rPr>
        <w:footnoteReference w:id="247"/>
      </w:r>
    </w:p>
    <w:p w:rsidR="007F35B9" w:rsidRPr="00E72405" w:rsidRDefault="007F35B9" w:rsidP="007F35B9">
      <w:pPr>
        <w:spacing w:after="0" w:line="240" w:lineRule="auto"/>
        <w:ind w:left="720" w:right="720"/>
        <w:jc w:val="right"/>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They also stated that the “murder of VLADIMIR HERZOG is a case that demands immediate criminal prosecution.”</w:t>
      </w:r>
      <w:r w:rsidRPr="00E72405">
        <w:rPr>
          <w:rStyle w:val="FootnoteReference"/>
          <w:rFonts w:ascii="Cambria" w:hAnsi="Cambria"/>
          <w:sz w:val="20"/>
          <w:szCs w:val="20"/>
        </w:rPr>
        <w:footnoteReference w:id="248"/>
      </w:r>
      <w:r w:rsidRPr="00E72405">
        <w:rPr>
          <w:rFonts w:ascii="Cambria" w:hAnsi="Cambria"/>
          <w:sz w:val="20"/>
          <w:szCs w:val="20"/>
        </w:rPr>
        <w:t xml:space="preserve">  They maintained that the previous decisions taken in the present case “must be regarded as null and void” given the “absolute lack of jurisdiction of the S</w:t>
      </w:r>
      <w:r w:rsidRPr="00E72405">
        <w:rPr>
          <w:rStyle w:val="Emphasis"/>
          <w:rFonts w:ascii="Cambria" w:hAnsi="Cambria" w:cs="Arial"/>
          <w:i w:val="0"/>
          <w:sz w:val="20"/>
          <w:szCs w:val="20"/>
        </w:rPr>
        <w:t>ão Paulo state courts” inasmuch as the journalist’s death occurred on the premises of the DOI/CODI/SP, an organ that is part of the structure of the Brazilian Army</w:t>
      </w:r>
      <w:r w:rsidRPr="00E72405">
        <w:rPr>
          <w:rStyle w:val="Emphasis"/>
          <w:rFonts w:ascii="Cambria" w:hAnsi="Cambria" w:cs="Arial"/>
          <w:sz w:val="20"/>
          <w:szCs w:val="20"/>
        </w:rPr>
        <w:t>.</w:t>
      </w:r>
      <w:r w:rsidRPr="00E72405">
        <w:rPr>
          <w:rStyle w:val="FootnoteReference"/>
          <w:rFonts w:ascii="Cambria" w:hAnsi="Cambria" w:cs="Arial"/>
          <w:bCs/>
          <w:sz w:val="20"/>
          <w:szCs w:val="20"/>
        </w:rPr>
        <w:footnoteReference w:id="249"/>
      </w:r>
      <w:r w:rsidR="003A5611" w:rsidRPr="00E72405">
        <w:rPr>
          <w:rStyle w:val="Emphasis"/>
          <w:rFonts w:ascii="Cambria" w:hAnsi="Cambria" w:cs="Arial"/>
          <w:sz w:val="20"/>
          <w:szCs w:val="20"/>
        </w:rPr>
        <w:t xml:space="preserve"> </w:t>
      </w:r>
      <w:r w:rsidRPr="00E72405">
        <w:rPr>
          <w:rStyle w:val="Emphasis"/>
          <w:rFonts w:ascii="Cambria" w:hAnsi="Cambria" w:cs="Arial"/>
          <w:i w:val="0"/>
          <w:sz w:val="20"/>
          <w:szCs w:val="20"/>
        </w:rPr>
        <w:t>The Prosecutors from the Federal Public Prosecutor’s Office argued that the federal courts –not the state courts- would have jurisdiction to prosecute the respective criminal case.</w:t>
      </w:r>
      <w:r w:rsidRPr="00E72405">
        <w:rPr>
          <w:rStyle w:val="FootnoteReference"/>
          <w:rFonts w:ascii="Cambria" w:hAnsi="Cambria" w:cs="Arial"/>
          <w:bCs/>
          <w:sz w:val="20"/>
          <w:szCs w:val="20"/>
        </w:rPr>
        <w:footnoteReference w:id="250"/>
      </w:r>
      <w:r w:rsidRPr="00E72405">
        <w:rPr>
          <w:rStyle w:val="Emphasis"/>
          <w:rFonts w:ascii="Cambria" w:hAnsi="Cambria" w:cs="Arial"/>
          <w:i w:val="0"/>
          <w:sz w:val="20"/>
          <w:szCs w:val="20"/>
        </w:rPr>
        <w:t xml:space="preserve">  They also reasoned that there would be “evidence that the unlawful detention, torture and murder were committed by</w:t>
      </w:r>
      <w:r w:rsidRPr="00E72405">
        <w:rPr>
          <w:rStyle w:val="Emphasis"/>
          <w:rFonts w:ascii="Cambria" w:hAnsi="Cambria" w:cs="Arial"/>
          <w:sz w:val="20"/>
          <w:szCs w:val="20"/>
        </w:rPr>
        <w:t xml:space="preserve"> </w:t>
      </w:r>
      <w:r w:rsidRPr="00E72405">
        <w:rPr>
          <w:rStyle w:val="Emphasis"/>
          <w:rFonts w:ascii="Cambria" w:hAnsi="Cambria" w:cs="Arial"/>
          <w:i w:val="0"/>
          <w:sz w:val="20"/>
          <w:szCs w:val="20"/>
        </w:rPr>
        <w:t>PEDRO ANTONIO MIRA GRANCIERI</w:t>
      </w:r>
      <w:r w:rsidRPr="00E72405">
        <w:rPr>
          <w:rStyle w:val="Emphasis"/>
          <w:rFonts w:ascii="Cambria" w:hAnsi="Cambria" w:cs="Arial"/>
          <w:sz w:val="20"/>
          <w:szCs w:val="20"/>
        </w:rPr>
        <w:t xml:space="preserve"> </w:t>
      </w:r>
      <w:r w:rsidRPr="00E72405">
        <w:rPr>
          <w:rStyle w:val="Emphasis"/>
          <w:rFonts w:ascii="Cambria" w:hAnsi="Cambria" w:cs="Arial"/>
          <w:i w:val="0"/>
          <w:sz w:val="20"/>
          <w:szCs w:val="20"/>
        </w:rPr>
        <w:t>(</w:t>
      </w:r>
      <w:proofErr w:type="spellStart"/>
      <w:r w:rsidRPr="00E72405">
        <w:rPr>
          <w:rStyle w:val="Emphasis"/>
          <w:rFonts w:ascii="Cambria" w:hAnsi="Cambria" w:cs="Arial"/>
          <w:i w:val="0"/>
          <w:sz w:val="20"/>
          <w:szCs w:val="20"/>
        </w:rPr>
        <w:t>Capitão</w:t>
      </w:r>
      <w:proofErr w:type="spellEnd"/>
      <w:r w:rsidRPr="00E72405">
        <w:rPr>
          <w:rFonts w:ascii="Cambria" w:hAnsi="Cambria"/>
          <w:sz w:val="20"/>
          <w:szCs w:val="20"/>
        </w:rPr>
        <w:t xml:space="preserve"> Ramiro), under orders from Lieutenant Colonel AUDIR SANTOS MACIEL, who commanded the DOI/CODI at that time.”</w:t>
      </w:r>
      <w:r w:rsidRPr="00E72405">
        <w:rPr>
          <w:rStyle w:val="FootnoteReference"/>
          <w:rFonts w:ascii="Cambria" w:hAnsi="Cambria"/>
          <w:sz w:val="20"/>
          <w:szCs w:val="20"/>
        </w:rPr>
        <w:footnoteReference w:id="251"/>
      </w:r>
      <w:r w:rsidRPr="00E72405">
        <w:rPr>
          <w:rFonts w:ascii="Cambria" w:hAnsi="Cambria"/>
          <w:sz w:val="20"/>
          <w:szCs w:val="20"/>
        </w:rPr>
        <w:t>Given the foregoing, they requested that a determination be made as to the measures necessary “to criminally prosecute those responsible for the crimes committed against Vladimir Herzog.”</w:t>
      </w:r>
      <w:r w:rsidRPr="00E72405">
        <w:rPr>
          <w:rStyle w:val="FootnoteReference"/>
          <w:rFonts w:ascii="Cambria" w:hAnsi="Cambria"/>
          <w:sz w:val="20"/>
          <w:szCs w:val="20"/>
        </w:rPr>
        <w:footnoteReference w:id="252"/>
      </w:r>
      <w:r w:rsidRPr="00E72405">
        <w:rPr>
          <w:rFonts w:ascii="Cambria" w:hAnsi="Cambria"/>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90" w:firstLine="720"/>
        <w:jc w:val="both"/>
        <w:rPr>
          <w:rFonts w:ascii="Cambria" w:hAnsi="Cambria"/>
          <w:sz w:val="20"/>
          <w:szCs w:val="20"/>
        </w:rPr>
      </w:pPr>
      <w:r w:rsidRPr="00E72405">
        <w:rPr>
          <w:rFonts w:ascii="Cambria" w:hAnsi="Cambria"/>
          <w:sz w:val="20"/>
          <w:szCs w:val="20"/>
        </w:rPr>
        <w:t xml:space="preserve">On September 12, 2008, the prosecutor of </w:t>
      </w:r>
      <w:r w:rsidR="003A5611" w:rsidRPr="00E72405">
        <w:rPr>
          <w:rFonts w:ascii="Cambria" w:hAnsi="Cambria"/>
          <w:sz w:val="20"/>
          <w:szCs w:val="20"/>
        </w:rPr>
        <w:t xml:space="preserve">Public Prosecutor’s Office </w:t>
      </w:r>
      <w:r w:rsidRPr="00E72405">
        <w:rPr>
          <w:rFonts w:ascii="Cambria" w:hAnsi="Cambria"/>
          <w:sz w:val="20"/>
          <w:szCs w:val="20"/>
        </w:rPr>
        <w:t xml:space="preserve">with criminal authority, Fabio </w:t>
      </w:r>
      <w:proofErr w:type="spellStart"/>
      <w:r w:rsidRPr="00E72405">
        <w:rPr>
          <w:rFonts w:ascii="Cambria" w:hAnsi="Cambria"/>
          <w:sz w:val="20"/>
          <w:szCs w:val="20"/>
        </w:rPr>
        <w:t>Elizeu</w:t>
      </w:r>
      <w:proofErr w:type="spellEnd"/>
      <w:r w:rsidRPr="00E72405">
        <w:rPr>
          <w:rFonts w:ascii="Cambria" w:hAnsi="Cambria"/>
          <w:sz w:val="20"/>
          <w:szCs w:val="20"/>
        </w:rPr>
        <w:t xml:space="preserve"> Gaspar, filed a “motion to close the record”</w:t>
      </w:r>
      <w:r w:rsidRPr="00E72405">
        <w:rPr>
          <w:rStyle w:val="Emphasis"/>
          <w:rFonts w:ascii="Cambria" w:hAnsi="Cambria" w:cs="Arial"/>
          <w:sz w:val="20"/>
          <w:szCs w:val="20"/>
        </w:rPr>
        <w:t xml:space="preserve"> </w:t>
      </w:r>
      <w:r w:rsidRPr="00E72405">
        <w:rPr>
          <w:rStyle w:val="Emphasis"/>
          <w:rFonts w:ascii="Cambria" w:hAnsi="Cambria" w:cs="Arial"/>
          <w:i w:val="0"/>
          <w:sz w:val="20"/>
          <w:szCs w:val="20"/>
        </w:rPr>
        <w:t>[</w:t>
      </w:r>
      <w:r w:rsidRPr="00E72405">
        <w:rPr>
          <w:rStyle w:val="Emphasis"/>
          <w:rFonts w:ascii="Cambria" w:hAnsi="Cambria" w:cs="Arial"/>
          <w:sz w:val="20"/>
          <w:szCs w:val="20"/>
        </w:rPr>
        <w:t>“</w:t>
      </w:r>
      <w:proofErr w:type="spellStart"/>
      <w:r w:rsidRPr="00E72405">
        <w:rPr>
          <w:rStyle w:val="Emphasis"/>
          <w:rFonts w:ascii="Cambria" w:hAnsi="Cambria" w:cs="Arial"/>
          <w:i w:val="0"/>
          <w:sz w:val="20"/>
          <w:szCs w:val="20"/>
        </w:rPr>
        <w:t>promo</w:t>
      </w:r>
      <w:r w:rsidRPr="00E72405">
        <w:rPr>
          <w:rStyle w:val="Emphasis"/>
          <w:rFonts w:ascii="Cambria" w:hAnsi="Cambria"/>
          <w:i w:val="0"/>
          <w:sz w:val="20"/>
          <w:szCs w:val="20"/>
        </w:rPr>
        <w:t>ção</w:t>
      </w:r>
      <w:proofErr w:type="spellEnd"/>
      <w:r w:rsidRPr="00E72405">
        <w:rPr>
          <w:rStyle w:val="Emphasis"/>
          <w:rFonts w:ascii="Cambria" w:hAnsi="Cambria" w:cs="Arial"/>
          <w:i w:val="0"/>
          <w:sz w:val="20"/>
          <w:szCs w:val="20"/>
        </w:rPr>
        <w:t xml:space="preserve"> de </w:t>
      </w:r>
      <w:proofErr w:type="spellStart"/>
      <w:r w:rsidRPr="00E72405">
        <w:rPr>
          <w:rStyle w:val="Emphasis"/>
          <w:rFonts w:ascii="Cambria" w:hAnsi="Cambria" w:cs="Arial"/>
          <w:i w:val="0"/>
          <w:sz w:val="20"/>
          <w:szCs w:val="20"/>
        </w:rPr>
        <w:t>arquivamento</w:t>
      </w:r>
      <w:proofErr w:type="spellEnd"/>
      <w:r w:rsidRPr="00E72405">
        <w:rPr>
          <w:rStyle w:val="Emphasis"/>
          <w:rFonts w:ascii="Cambria" w:hAnsi="Cambria" w:cs="Arial"/>
          <w:sz w:val="20"/>
          <w:szCs w:val="20"/>
        </w:rPr>
        <w:t>”</w:t>
      </w:r>
      <w:r w:rsidRPr="00E72405">
        <w:rPr>
          <w:rStyle w:val="Emphasis"/>
          <w:rFonts w:ascii="Cambria" w:hAnsi="Cambria" w:cs="Arial"/>
          <w:i w:val="0"/>
          <w:sz w:val="20"/>
          <w:szCs w:val="20"/>
        </w:rPr>
        <w:t>]</w:t>
      </w:r>
      <w:r w:rsidRPr="00E72405">
        <w:rPr>
          <w:rStyle w:val="Emphasis"/>
          <w:rFonts w:ascii="Cambria" w:hAnsi="Cambria" w:cs="Arial"/>
          <w:sz w:val="20"/>
          <w:szCs w:val="20"/>
        </w:rPr>
        <w:t xml:space="preserve"> </w:t>
      </w:r>
      <w:r w:rsidRPr="00E72405">
        <w:rPr>
          <w:rStyle w:val="Emphasis"/>
          <w:rFonts w:ascii="Cambria" w:hAnsi="Cambria" w:cs="Arial"/>
          <w:i w:val="0"/>
          <w:sz w:val="20"/>
          <w:szCs w:val="20"/>
        </w:rPr>
        <w:t>with the 1</w:t>
      </w:r>
      <w:r w:rsidRPr="00E72405">
        <w:rPr>
          <w:rStyle w:val="Emphasis"/>
          <w:rFonts w:ascii="Cambria" w:hAnsi="Cambria" w:cs="Arial"/>
          <w:i w:val="0"/>
          <w:sz w:val="20"/>
          <w:szCs w:val="20"/>
          <w:vertAlign w:val="superscript"/>
        </w:rPr>
        <w:t>st</w:t>
      </w:r>
      <w:r w:rsidRPr="00E72405">
        <w:rPr>
          <w:rStyle w:val="Emphasis"/>
          <w:rFonts w:ascii="Cambria" w:hAnsi="Cambria" w:cs="Arial"/>
          <w:i w:val="0"/>
          <w:sz w:val="20"/>
          <w:szCs w:val="20"/>
        </w:rPr>
        <w:t xml:space="preserve"> Federal Criminal Court.</w:t>
      </w:r>
      <w:r w:rsidRPr="00E72405">
        <w:rPr>
          <w:rStyle w:val="FootnoteReference"/>
          <w:rFonts w:ascii="Cambria" w:hAnsi="Cambria" w:cs="Arial"/>
          <w:b/>
          <w:bCs/>
          <w:i/>
          <w:sz w:val="20"/>
          <w:szCs w:val="20"/>
        </w:rPr>
        <w:footnoteReference w:id="253"/>
      </w:r>
      <w:r w:rsidRPr="00E72405">
        <w:rPr>
          <w:rStyle w:val="Emphasis"/>
          <w:rFonts w:ascii="Cambria" w:hAnsi="Cambria" w:cs="Arial"/>
          <w:i w:val="0"/>
          <w:sz w:val="20"/>
          <w:szCs w:val="20"/>
        </w:rPr>
        <w:t xml:space="preserve">  He acknowledged that “[</w:t>
      </w:r>
      <w:proofErr w:type="spellStart"/>
      <w:r w:rsidR="003A5611" w:rsidRPr="00E72405">
        <w:rPr>
          <w:rStyle w:val="Emphasis"/>
          <w:rFonts w:ascii="Cambria" w:hAnsi="Cambria" w:cs="Arial"/>
          <w:i w:val="0"/>
          <w:sz w:val="20"/>
          <w:szCs w:val="20"/>
        </w:rPr>
        <w:t>i</w:t>
      </w:r>
      <w:proofErr w:type="spellEnd"/>
      <w:r w:rsidR="00DC7D76" w:rsidRPr="00E72405">
        <w:rPr>
          <w:rStyle w:val="Emphasis"/>
          <w:rFonts w:ascii="Cambria" w:hAnsi="Cambria" w:cs="Arial"/>
          <w:i w:val="0"/>
          <w:sz w:val="20"/>
          <w:szCs w:val="20"/>
        </w:rPr>
        <w:t>]</w:t>
      </w:r>
      <w:r w:rsidR="003A5611" w:rsidRPr="00E72405">
        <w:rPr>
          <w:rStyle w:val="Emphasis"/>
          <w:rFonts w:ascii="Cambria" w:hAnsi="Cambria" w:cs="Arial"/>
          <w:i w:val="0"/>
          <w:sz w:val="20"/>
          <w:szCs w:val="20"/>
        </w:rPr>
        <w:t>s possible to conclude</w:t>
      </w:r>
      <w:r w:rsidRPr="00E72405">
        <w:rPr>
          <w:rStyle w:val="Emphasis"/>
          <w:rFonts w:ascii="Cambria" w:hAnsi="Cambria" w:cs="Arial"/>
          <w:i w:val="0"/>
          <w:sz w:val="20"/>
          <w:szCs w:val="20"/>
        </w:rPr>
        <w:t xml:space="preserve"> that Vladimir Herzog’s murder has all the markings of a so-called crime against humanity.”</w:t>
      </w:r>
      <w:r w:rsidRPr="00E72405">
        <w:rPr>
          <w:rStyle w:val="FootnoteReference"/>
          <w:rFonts w:ascii="Cambria" w:hAnsi="Cambria" w:cs="Arial"/>
          <w:bCs/>
          <w:sz w:val="20"/>
          <w:szCs w:val="20"/>
        </w:rPr>
        <w:footnoteReference w:id="254"/>
      </w:r>
      <w:r w:rsidR="00AF77BF" w:rsidRPr="00E72405">
        <w:rPr>
          <w:rStyle w:val="Emphasis"/>
          <w:rFonts w:ascii="Cambria" w:hAnsi="Cambria" w:cs="Arial"/>
          <w:i w:val="0"/>
          <w:sz w:val="20"/>
          <w:szCs w:val="20"/>
        </w:rPr>
        <w:t xml:space="preserve"> </w:t>
      </w:r>
      <w:r w:rsidRPr="00E72405">
        <w:rPr>
          <w:rStyle w:val="Emphasis"/>
          <w:rFonts w:ascii="Cambria" w:hAnsi="Cambria" w:cs="Arial"/>
          <w:i w:val="0"/>
          <w:sz w:val="20"/>
          <w:szCs w:val="20"/>
        </w:rPr>
        <w:t xml:space="preserve">He observed, however, that “the amnesty already recognized by the </w:t>
      </w:r>
      <w:r w:rsidRPr="00E72405">
        <w:rPr>
          <w:rStyle w:val="Emphasis"/>
          <w:rFonts w:ascii="Cambria" w:hAnsi="Cambria"/>
          <w:i w:val="0"/>
          <w:sz w:val="20"/>
          <w:szCs w:val="20"/>
        </w:rPr>
        <w:t>São Paulo state courts produces res judicata and cannot be altered.”</w:t>
      </w:r>
      <w:r w:rsidRPr="00E72405">
        <w:rPr>
          <w:rStyle w:val="FootnoteReference"/>
          <w:rFonts w:ascii="Cambria" w:hAnsi="Cambria" w:cs="Arial"/>
          <w:bCs/>
          <w:sz w:val="20"/>
          <w:szCs w:val="20"/>
        </w:rPr>
        <w:footnoteReference w:id="255"/>
      </w:r>
      <w:r w:rsidRPr="00E72405">
        <w:rPr>
          <w:rStyle w:val="Emphasis"/>
          <w:rFonts w:ascii="Cambria" w:hAnsi="Cambria"/>
          <w:i w:val="0"/>
          <w:sz w:val="20"/>
          <w:szCs w:val="20"/>
        </w:rPr>
        <w:t xml:space="preserve"> He argued that regardless of the absolute lack of jurisdiction of the court that issued the ruling, “the decision by the São Paulo state court that granted amnesty with respect to the crime committed against Vladimir Herzog became final and cannot now be modified; hence the request that these informative pieces be filed.”</w:t>
      </w:r>
      <w:r w:rsidRPr="00E72405">
        <w:rPr>
          <w:rStyle w:val="FootnoteReference"/>
          <w:rFonts w:ascii="Cambria" w:hAnsi="Cambria"/>
          <w:sz w:val="20"/>
          <w:szCs w:val="20"/>
        </w:rPr>
        <w:footnoteReference w:id="256"/>
      </w:r>
      <w:r w:rsidR="003A5611" w:rsidRPr="00E72405">
        <w:rPr>
          <w:rStyle w:val="Emphasis"/>
          <w:rFonts w:ascii="Cambria" w:hAnsi="Cambria"/>
          <w:sz w:val="20"/>
          <w:szCs w:val="20"/>
        </w:rPr>
        <w:t xml:space="preserve"> </w:t>
      </w:r>
      <w:r w:rsidRPr="00E72405">
        <w:rPr>
          <w:rStyle w:val="Emphasis"/>
          <w:rFonts w:ascii="Cambria" w:hAnsi="Cambria"/>
          <w:i w:val="0"/>
          <w:sz w:val="20"/>
          <w:szCs w:val="20"/>
        </w:rPr>
        <w:t xml:space="preserve">He also </w:t>
      </w:r>
      <w:r w:rsidRPr="00E72405">
        <w:rPr>
          <w:rStyle w:val="Emphasis"/>
          <w:rFonts w:ascii="Cambria" w:hAnsi="Cambria"/>
          <w:i w:val="0"/>
          <w:sz w:val="20"/>
          <w:szCs w:val="20"/>
        </w:rPr>
        <w:lastRenderedPageBreak/>
        <w:t xml:space="preserve">maintained </w:t>
      </w:r>
      <w:r w:rsidR="00E61DC3" w:rsidRPr="00E72405">
        <w:rPr>
          <w:rStyle w:val="Emphasis"/>
          <w:rFonts w:ascii="Cambria" w:hAnsi="Cambria"/>
          <w:i w:val="0"/>
          <w:sz w:val="20"/>
          <w:szCs w:val="20"/>
        </w:rPr>
        <w:t xml:space="preserve">that the action had prescribed, because </w:t>
      </w:r>
      <w:r w:rsidRPr="00E72405">
        <w:rPr>
          <w:rStyle w:val="Emphasis"/>
          <w:rFonts w:ascii="Cambria" w:hAnsi="Cambria"/>
          <w:i w:val="0"/>
          <w:sz w:val="20"/>
          <w:szCs w:val="20"/>
        </w:rPr>
        <w:t xml:space="preserve">in 1975, when Vladimir Herzog was tortured and murdered, Brazilian law did not recognize the </w:t>
      </w:r>
      <w:r w:rsidR="004958D2" w:rsidRPr="00E72405">
        <w:rPr>
          <w:rStyle w:val="Emphasis"/>
          <w:rFonts w:ascii="Cambria" w:hAnsi="Cambria"/>
          <w:i w:val="0"/>
          <w:sz w:val="20"/>
          <w:szCs w:val="20"/>
        </w:rPr>
        <w:t>criminal imprescriptibly</w:t>
      </w:r>
      <w:r w:rsidR="00E61DC3" w:rsidRPr="00E72405">
        <w:rPr>
          <w:rStyle w:val="Emphasis"/>
          <w:rFonts w:ascii="Cambria" w:hAnsi="Cambria"/>
          <w:i w:val="0"/>
          <w:sz w:val="20"/>
          <w:szCs w:val="20"/>
        </w:rPr>
        <w:t xml:space="preserve">. </w:t>
      </w:r>
      <w:r w:rsidRPr="00E72405">
        <w:rPr>
          <w:rStyle w:val="Emphasis"/>
          <w:rFonts w:ascii="Cambria" w:hAnsi="Cambria"/>
          <w:i w:val="0"/>
          <w:sz w:val="20"/>
          <w:szCs w:val="20"/>
        </w:rPr>
        <w:t>He also argued that “in Brazil custom is not a source of criminal law drawn upon to create rules against the individual being investigated or accused.”</w:t>
      </w:r>
      <w:r w:rsidRPr="00E72405">
        <w:rPr>
          <w:rStyle w:val="FootnoteReference"/>
          <w:rFonts w:ascii="Cambria" w:hAnsi="Cambria"/>
          <w:sz w:val="20"/>
          <w:szCs w:val="20"/>
        </w:rPr>
        <w:footnoteReference w:id="257"/>
      </w:r>
      <w:r w:rsidR="00512648" w:rsidRPr="00E72405">
        <w:rPr>
          <w:rStyle w:val="Emphasis"/>
          <w:rFonts w:ascii="Cambria" w:hAnsi="Cambria"/>
          <w:i w:val="0"/>
          <w:sz w:val="20"/>
          <w:szCs w:val="20"/>
        </w:rPr>
        <w:t xml:space="preserve"> </w:t>
      </w:r>
      <w:r w:rsidRPr="00E72405">
        <w:rPr>
          <w:rStyle w:val="Emphasis"/>
          <w:rFonts w:ascii="Cambria" w:hAnsi="Cambria"/>
          <w:i w:val="0"/>
          <w:sz w:val="20"/>
          <w:szCs w:val="20"/>
        </w:rPr>
        <w:t>He therefore reasoned that “the author of Vladimir Herzog’s murder cannot be punished pursuant to a criminal case conducted by Brazil’s domestic courts</w:t>
      </w:r>
      <w:r w:rsidRPr="00E72405">
        <w:rPr>
          <w:rFonts w:ascii="Cambria" w:hAnsi="Cambria"/>
          <w:i/>
          <w:sz w:val="20"/>
          <w:szCs w:val="20"/>
        </w:rPr>
        <w:t>”</w:t>
      </w:r>
      <w:r w:rsidRPr="00E72405">
        <w:rPr>
          <w:rStyle w:val="FootnoteReference"/>
          <w:rFonts w:ascii="Cambria" w:hAnsi="Cambria"/>
          <w:sz w:val="20"/>
          <w:szCs w:val="20"/>
        </w:rPr>
        <w:footnoteReference w:id="258"/>
      </w:r>
      <w:r w:rsidRPr="00E72405">
        <w:rPr>
          <w:rFonts w:ascii="Cambria" w:hAnsi="Cambria"/>
          <w:sz w:val="20"/>
          <w:szCs w:val="20"/>
        </w:rPr>
        <w:t xml:space="preserve"> and requested that the submissions be shelved.</w:t>
      </w:r>
      <w:r w:rsidRPr="00E72405">
        <w:rPr>
          <w:rStyle w:val="FootnoteReference"/>
          <w:rFonts w:ascii="Cambria" w:hAnsi="Cambria"/>
          <w:sz w:val="20"/>
          <w:szCs w:val="20"/>
        </w:rPr>
        <w:footnoteReference w:id="259"/>
      </w:r>
    </w:p>
    <w:p w:rsidR="007F35B9" w:rsidRPr="00E72405" w:rsidRDefault="007F35B9" w:rsidP="007F35B9">
      <w:pPr>
        <w:spacing w:after="0" w:line="240" w:lineRule="auto"/>
        <w:ind w:left="720" w:firstLine="720"/>
        <w:jc w:val="both"/>
        <w:rPr>
          <w:rStyle w:val="Emphasis"/>
          <w:b/>
          <w:bCs/>
          <w:sz w:val="20"/>
          <w:szCs w:val="20"/>
        </w:rPr>
      </w:pPr>
    </w:p>
    <w:p w:rsidR="007F35B9" w:rsidRPr="00E72405" w:rsidRDefault="007F35B9" w:rsidP="00E658CD">
      <w:pPr>
        <w:numPr>
          <w:ilvl w:val="0"/>
          <w:numId w:val="6"/>
        </w:numPr>
        <w:spacing w:after="0" w:line="240" w:lineRule="auto"/>
        <w:ind w:left="0" w:firstLine="810"/>
        <w:jc w:val="both"/>
        <w:rPr>
          <w:rFonts w:ascii="Cambria" w:hAnsi="Cambria"/>
          <w:i/>
          <w:sz w:val="20"/>
          <w:szCs w:val="20"/>
        </w:rPr>
      </w:pPr>
      <w:r w:rsidRPr="00E72405">
        <w:rPr>
          <w:rStyle w:val="Emphasis"/>
          <w:rFonts w:ascii="Cambria" w:hAnsi="Cambria"/>
          <w:i w:val="0"/>
          <w:sz w:val="20"/>
          <w:szCs w:val="20"/>
        </w:rPr>
        <w:t xml:space="preserve">In its decision of January 9, 2009, the substitute Federal Judge, Paula </w:t>
      </w:r>
      <w:proofErr w:type="spellStart"/>
      <w:r w:rsidRPr="00E72405">
        <w:rPr>
          <w:rStyle w:val="Emphasis"/>
          <w:rFonts w:ascii="Cambria" w:hAnsi="Cambria"/>
          <w:i w:val="0"/>
          <w:sz w:val="20"/>
          <w:szCs w:val="20"/>
        </w:rPr>
        <w:t>Mantovani</w:t>
      </w:r>
      <w:proofErr w:type="spellEnd"/>
      <w:r w:rsidRPr="00E72405">
        <w:rPr>
          <w:rStyle w:val="Emphasis"/>
          <w:rFonts w:ascii="Cambria" w:hAnsi="Cambria"/>
          <w:i w:val="0"/>
          <w:sz w:val="20"/>
          <w:szCs w:val="20"/>
        </w:rPr>
        <w:t xml:space="preserve"> </w:t>
      </w:r>
      <w:proofErr w:type="spellStart"/>
      <w:r w:rsidRPr="00E72405">
        <w:rPr>
          <w:rStyle w:val="Emphasis"/>
          <w:rFonts w:ascii="Cambria" w:hAnsi="Cambria"/>
          <w:i w:val="0"/>
          <w:sz w:val="20"/>
          <w:szCs w:val="20"/>
        </w:rPr>
        <w:t>Avelino</w:t>
      </w:r>
      <w:proofErr w:type="spellEnd"/>
      <w:r w:rsidRPr="00E72405">
        <w:rPr>
          <w:rStyle w:val="Emphasis"/>
          <w:rFonts w:ascii="Cambria" w:hAnsi="Cambria"/>
          <w:i w:val="0"/>
          <w:sz w:val="20"/>
          <w:szCs w:val="20"/>
        </w:rPr>
        <w:t xml:space="preserve"> of the 1</w:t>
      </w:r>
      <w:r w:rsidRPr="00E72405">
        <w:rPr>
          <w:rStyle w:val="Emphasis"/>
          <w:rFonts w:ascii="Cambria" w:hAnsi="Cambria"/>
          <w:i w:val="0"/>
          <w:sz w:val="20"/>
          <w:szCs w:val="20"/>
          <w:vertAlign w:val="superscript"/>
        </w:rPr>
        <w:t>st</w:t>
      </w:r>
      <w:r w:rsidRPr="00E72405">
        <w:rPr>
          <w:rStyle w:val="Emphasis"/>
          <w:rFonts w:ascii="Cambria" w:hAnsi="Cambria"/>
          <w:i w:val="0"/>
          <w:sz w:val="20"/>
          <w:szCs w:val="20"/>
        </w:rPr>
        <w:t xml:space="preserve"> Federal Criminal Court</w:t>
      </w:r>
      <w:r w:rsidRPr="00E72405">
        <w:rPr>
          <w:rStyle w:val="FootnoteReference"/>
          <w:rFonts w:ascii="Cambria" w:hAnsi="Cambria"/>
          <w:b/>
          <w:i/>
          <w:sz w:val="20"/>
          <w:szCs w:val="20"/>
        </w:rPr>
        <w:footnoteReference w:id="260"/>
      </w:r>
      <w:r w:rsidRPr="00E72405">
        <w:rPr>
          <w:rStyle w:val="Emphasis"/>
          <w:rFonts w:ascii="Cambria" w:hAnsi="Cambria"/>
          <w:i w:val="0"/>
          <w:sz w:val="20"/>
          <w:szCs w:val="20"/>
        </w:rPr>
        <w:t xml:space="preserve"> ordered that the case be closed</w:t>
      </w:r>
      <w:r w:rsidR="00257A41" w:rsidRPr="00E72405">
        <w:rPr>
          <w:rStyle w:val="Emphasis"/>
          <w:rFonts w:ascii="Cambria" w:hAnsi="Cambria"/>
          <w:i w:val="0"/>
          <w:sz w:val="20"/>
          <w:szCs w:val="20"/>
        </w:rPr>
        <w:t>, accepting the arguments of the Prosecutor with criminal authority</w:t>
      </w:r>
      <w:r w:rsidR="00DC7D76" w:rsidRPr="00E72405">
        <w:rPr>
          <w:rStyle w:val="FootnoteReference"/>
          <w:rFonts w:ascii="Cambria" w:hAnsi="Cambria"/>
          <w:sz w:val="20"/>
          <w:szCs w:val="20"/>
        </w:rPr>
        <w:footnoteReference w:id="261"/>
      </w:r>
      <w:r w:rsidRPr="00E72405">
        <w:rPr>
          <w:rStyle w:val="Emphasis"/>
          <w:rFonts w:ascii="Cambria" w:hAnsi="Cambria"/>
          <w:sz w:val="20"/>
          <w:szCs w:val="20"/>
        </w:rPr>
        <w:t>.</w:t>
      </w:r>
      <w:r w:rsidR="00DC7D76" w:rsidRPr="00E72405">
        <w:rPr>
          <w:rStyle w:val="Emphasis"/>
          <w:rFonts w:ascii="Cambria" w:hAnsi="Cambria"/>
          <w:i w:val="0"/>
          <w:sz w:val="20"/>
          <w:szCs w:val="20"/>
        </w:rPr>
        <w:t xml:space="preserve"> </w:t>
      </w:r>
      <w:r w:rsidRPr="00E72405">
        <w:rPr>
          <w:rStyle w:val="Emphasis"/>
          <w:rFonts w:ascii="Cambria" w:hAnsi="Cambria"/>
          <w:i w:val="0"/>
          <w:sz w:val="20"/>
          <w:szCs w:val="20"/>
        </w:rPr>
        <w:t>The case was closed on January 12, 2009.</w:t>
      </w:r>
      <w:r w:rsidRPr="00E72405">
        <w:rPr>
          <w:rStyle w:val="FootnoteReference"/>
          <w:rFonts w:ascii="Cambria" w:hAnsi="Cambria"/>
          <w:sz w:val="20"/>
          <w:szCs w:val="20"/>
        </w:rPr>
        <w:footnoteReference w:id="262"/>
      </w:r>
      <w:r w:rsidRPr="00E72405">
        <w:rPr>
          <w:rFonts w:ascii="Cambria" w:hAnsi="Cambria"/>
          <w:i/>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181A2D">
      <w:pPr>
        <w:pStyle w:val="Heading3"/>
      </w:pPr>
      <w:bookmarkStart w:id="22" w:name="_Toc433359808"/>
      <w:r w:rsidRPr="00E72405">
        <w:t>Public Civil Suit brought by the Federal Public Prosecutor’s Office (MPF)</w:t>
      </w:r>
      <w:bookmarkEnd w:id="22"/>
    </w:p>
    <w:p w:rsidR="007F35B9" w:rsidRPr="00E72405" w:rsidRDefault="007F35B9" w:rsidP="007F35B9">
      <w:pPr>
        <w:spacing w:after="0" w:line="240" w:lineRule="auto"/>
        <w:ind w:left="720"/>
        <w:rPr>
          <w:rFonts w:ascii="Cambria" w:hAnsi="Cambria"/>
          <w:b/>
          <w:sz w:val="20"/>
          <w:szCs w:val="20"/>
        </w:rPr>
      </w:pPr>
    </w:p>
    <w:p w:rsidR="007F35B9" w:rsidRPr="00E72405" w:rsidRDefault="007F35B9" w:rsidP="00E658CD">
      <w:pPr>
        <w:numPr>
          <w:ilvl w:val="0"/>
          <w:numId w:val="6"/>
        </w:numPr>
        <w:spacing w:after="0" w:line="240" w:lineRule="auto"/>
        <w:ind w:left="0" w:firstLine="720"/>
        <w:jc w:val="both"/>
        <w:rPr>
          <w:rStyle w:val="Emphasis"/>
          <w:b/>
          <w:bCs/>
          <w:sz w:val="20"/>
          <w:szCs w:val="20"/>
        </w:rPr>
      </w:pPr>
      <w:r w:rsidRPr="00E72405">
        <w:rPr>
          <w:rFonts w:ascii="Cambria" w:hAnsi="Cambria"/>
          <w:sz w:val="20"/>
          <w:szCs w:val="20"/>
        </w:rPr>
        <w:t xml:space="preserve">According to the case file, on May 14, 2008 the Federal Public Prosecutor’s Office (MPF) filed a Public Civil Suit against the Federal Union and against the former commanders of the Second Army’s DOI/CODI in São Paulo, </w:t>
      </w:r>
      <w:proofErr w:type="spellStart"/>
      <w:r w:rsidRPr="00E72405">
        <w:rPr>
          <w:rFonts w:ascii="Cambria" w:hAnsi="Cambria"/>
          <w:sz w:val="20"/>
          <w:szCs w:val="20"/>
        </w:rPr>
        <w:t>Audir</w:t>
      </w:r>
      <w:proofErr w:type="spellEnd"/>
      <w:r w:rsidRPr="00E72405">
        <w:rPr>
          <w:rFonts w:ascii="Cambria" w:hAnsi="Cambria"/>
          <w:sz w:val="20"/>
          <w:szCs w:val="20"/>
        </w:rPr>
        <w:t xml:space="preserve"> Santos </w:t>
      </w:r>
      <w:proofErr w:type="spellStart"/>
      <w:r w:rsidRPr="00E72405">
        <w:rPr>
          <w:rFonts w:ascii="Cambria" w:hAnsi="Cambria"/>
          <w:sz w:val="20"/>
          <w:szCs w:val="20"/>
        </w:rPr>
        <w:t>Maciel</w:t>
      </w:r>
      <w:proofErr w:type="spellEnd"/>
      <w:r w:rsidRPr="00E72405">
        <w:rPr>
          <w:rFonts w:ascii="Cambria" w:hAnsi="Cambria"/>
          <w:sz w:val="20"/>
          <w:szCs w:val="20"/>
        </w:rPr>
        <w:t xml:space="preserve"> and Carlos Alberto </w:t>
      </w:r>
      <w:proofErr w:type="spellStart"/>
      <w:r w:rsidRPr="00E72405">
        <w:rPr>
          <w:rFonts w:ascii="Cambria" w:hAnsi="Cambria"/>
          <w:sz w:val="20"/>
          <w:szCs w:val="20"/>
        </w:rPr>
        <w:t>Brilhante</w:t>
      </w:r>
      <w:proofErr w:type="spellEnd"/>
      <w:r w:rsidRPr="00E72405">
        <w:rPr>
          <w:rFonts w:ascii="Cambria" w:hAnsi="Cambria"/>
          <w:sz w:val="20"/>
          <w:szCs w:val="20"/>
        </w:rPr>
        <w:t xml:space="preserve"> </w:t>
      </w:r>
      <w:proofErr w:type="spellStart"/>
      <w:r w:rsidRPr="00E72405">
        <w:rPr>
          <w:rFonts w:ascii="Cambria" w:hAnsi="Cambria"/>
          <w:sz w:val="20"/>
          <w:szCs w:val="20"/>
        </w:rPr>
        <w:t>Ustra</w:t>
      </w:r>
      <w:proofErr w:type="spellEnd"/>
      <w:r w:rsidRPr="00E72405">
        <w:rPr>
          <w:rFonts w:ascii="Cambria" w:hAnsi="Cambria"/>
          <w:sz w:val="20"/>
          <w:szCs w:val="20"/>
        </w:rPr>
        <w:t>.</w:t>
      </w:r>
      <w:r w:rsidRPr="00E72405">
        <w:rPr>
          <w:rStyle w:val="FootnoteReference"/>
          <w:rFonts w:ascii="Cambria" w:hAnsi="Cambria"/>
          <w:sz w:val="20"/>
          <w:szCs w:val="20"/>
        </w:rPr>
        <w:footnoteReference w:id="263"/>
      </w:r>
      <w:r w:rsidRPr="00E72405">
        <w:rPr>
          <w:rFonts w:ascii="Cambria" w:hAnsi="Cambria"/>
          <w:sz w:val="20"/>
          <w:szCs w:val="20"/>
        </w:rPr>
        <w:t xml:space="preserve">  The suit states that the Second Army’s DOI/CODI/SP “[w]as among the most notorious locations in the country’s history for torture, murder and forced disappearances perpetrated by agents of the State.”</w:t>
      </w:r>
      <w:r w:rsidRPr="00E72405">
        <w:rPr>
          <w:rStyle w:val="FootnoteReference"/>
          <w:rFonts w:ascii="Cambria" w:hAnsi="Cambria"/>
          <w:sz w:val="20"/>
          <w:szCs w:val="20"/>
        </w:rPr>
        <w:t xml:space="preserve"> </w:t>
      </w:r>
      <w:r w:rsidRPr="00E72405">
        <w:rPr>
          <w:rStyle w:val="FootnoteReference"/>
          <w:rFonts w:ascii="Cambria" w:hAnsi="Cambria"/>
          <w:sz w:val="20"/>
          <w:szCs w:val="20"/>
        </w:rPr>
        <w:footnoteReference w:id="264"/>
      </w:r>
      <w:r w:rsidRPr="00E72405">
        <w:rPr>
          <w:rFonts w:ascii="Cambria" w:hAnsi="Cambria"/>
          <w:sz w:val="20"/>
          <w:szCs w:val="20"/>
        </w:rPr>
        <w:t xml:space="preserve"> </w:t>
      </w:r>
    </w:p>
    <w:p w:rsidR="007F35B9" w:rsidRPr="00E72405" w:rsidRDefault="007F35B9" w:rsidP="007F35B9">
      <w:pPr>
        <w:spacing w:after="0" w:line="240" w:lineRule="auto"/>
        <w:ind w:firstLine="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The Public Civil Suit requested, </w:t>
      </w:r>
      <w:r w:rsidRPr="00E72405">
        <w:rPr>
          <w:rFonts w:ascii="Cambria" w:hAnsi="Cambria"/>
          <w:i/>
          <w:sz w:val="20"/>
          <w:szCs w:val="20"/>
        </w:rPr>
        <w:t xml:space="preserve">inter alia, </w:t>
      </w:r>
      <w:r w:rsidR="00802823" w:rsidRPr="00E72405">
        <w:rPr>
          <w:rFonts w:ascii="Cambria" w:hAnsi="Cambria"/>
          <w:sz w:val="20"/>
          <w:szCs w:val="20"/>
        </w:rPr>
        <w:t xml:space="preserve">to determine the responsibility of former commanders Carlos Alberto </w:t>
      </w:r>
      <w:proofErr w:type="spellStart"/>
      <w:r w:rsidR="00802823" w:rsidRPr="00E72405">
        <w:rPr>
          <w:rFonts w:ascii="Cambria" w:hAnsi="Cambria"/>
          <w:sz w:val="20"/>
          <w:szCs w:val="20"/>
        </w:rPr>
        <w:t>Brilhante</w:t>
      </w:r>
      <w:proofErr w:type="spellEnd"/>
      <w:r w:rsidR="00802823" w:rsidRPr="00E72405">
        <w:rPr>
          <w:rFonts w:ascii="Cambria" w:hAnsi="Cambria"/>
          <w:sz w:val="20"/>
          <w:szCs w:val="20"/>
        </w:rPr>
        <w:t xml:space="preserve"> </w:t>
      </w:r>
      <w:proofErr w:type="spellStart"/>
      <w:r w:rsidR="00802823" w:rsidRPr="00E72405">
        <w:rPr>
          <w:rFonts w:ascii="Cambria" w:hAnsi="Cambria"/>
          <w:sz w:val="20"/>
          <w:szCs w:val="20"/>
        </w:rPr>
        <w:t>Ustra</w:t>
      </w:r>
      <w:proofErr w:type="spellEnd"/>
      <w:r w:rsidR="00802823" w:rsidRPr="00E72405">
        <w:rPr>
          <w:rFonts w:ascii="Cambria" w:hAnsi="Cambria"/>
          <w:sz w:val="20"/>
          <w:szCs w:val="20"/>
        </w:rPr>
        <w:t xml:space="preserve"> and </w:t>
      </w:r>
      <w:proofErr w:type="spellStart"/>
      <w:r w:rsidR="00802823" w:rsidRPr="00E72405">
        <w:rPr>
          <w:rFonts w:ascii="Cambria" w:hAnsi="Cambria"/>
          <w:sz w:val="20"/>
          <w:szCs w:val="20"/>
        </w:rPr>
        <w:t>Audir</w:t>
      </w:r>
      <w:proofErr w:type="spellEnd"/>
      <w:r w:rsidR="00802823" w:rsidRPr="00E72405">
        <w:rPr>
          <w:rFonts w:ascii="Cambria" w:hAnsi="Cambria"/>
          <w:sz w:val="20"/>
          <w:szCs w:val="20"/>
        </w:rPr>
        <w:t xml:space="preserve"> Santos </w:t>
      </w:r>
      <w:proofErr w:type="spellStart"/>
      <w:r w:rsidR="00802823" w:rsidRPr="00E72405">
        <w:rPr>
          <w:rFonts w:ascii="Cambria" w:hAnsi="Cambria"/>
          <w:sz w:val="20"/>
          <w:szCs w:val="20"/>
        </w:rPr>
        <w:t>Maciel</w:t>
      </w:r>
      <w:proofErr w:type="spellEnd"/>
      <w:r w:rsidR="00802823" w:rsidRPr="00E72405">
        <w:rPr>
          <w:rFonts w:ascii="Cambria" w:hAnsi="Cambria"/>
          <w:sz w:val="20"/>
          <w:szCs w:val="20"/>
        </w:rPr>
        <w:t xml:space="preserve"> the</w:t>
      </w:r>
      <w:r w:rsidRPr="00E72405">
        <w:rPr>
          <w:rFonts w:ascii="Cambria" w:hAnsi="Cambria"/>
          <w:sz w:val="20"/>
          <w:szCs w:val="20"/>
        </w:rPr>
        <w:t xml:space="preserve"> “payment of the damages” </w:t>
      </w:r>
      <w:r w:rsidR="00802823" w:rsidRPr="00E72405">
        <w:rPr>
          <w:rFonts w:ascii="Cambria" w:hAnsi="Cambria"/>
          <w:sz w:val="20"/>
          <w:szCs w:val="20"/>
        </w:rPr>
        <w:t>“</w:t>
      </w:r>
      <w:r w:rsidRPr="00E72405">
        <w:rPr>
          <w:rFonts w:ascii="Cambria" w:hAnsi="Cambria"/>
          <w:sz w:val="20"/>
          <w:szCs w:val="20"/>
        </w:rPr>
        <w:t>paid out of the National Treasury pursuant to Law  9.140/9[5]”</w:t>
      </w:r>
      <w:r w:rsidRPr="00E72405">
        <w:rPr>
          <w:rStyle w:val="FootnoteReference"/>
          <w:rFonts w:ascii="Cambria" w:hAnsi="Cambria"/>
          <w:sz w:val="20"/>
          <w:szCs w:val="20"/>
        </w:rPr>
        <w:footnoteReference w:id="265"/>
      </w:r>
      <w:r w:rsidRPr="00E72405">
        <w:rPr>
          <w:rFonts w:ascii="Cambria" w:hAnsi="Cambria"/>
          <w:sz w:val="20"/>
          <w:szCs w:val="20"/>
        </w:rPr>
        <w:t xml:space="preserve"> and for reparations for the </w:t>
      </w:r>
      <w:r w:rsidR="00AD1F1A" w:rsidRPr="00E72405">
        <w:rPr>
          <w:rFonts w:ascii="Cambria" w:hAnsi="Cambria"/>
          <w:sz w:val="20"/>
          <w:szCs w:val="20"/>
        </w:rPr>
        <w:t>collective moral damages caused.</w:t>
      </w:r>
      <w:r w:rsidRPr="00E72405">
        <w:rPr>
          <w:rStyle w:val="FootnoteReference"/>
          <w:rFonts w:ascii="Cambria" w:hAnsi="Cambria"/>
          <w:sz w:val="20"/>
          <w:szCs w:val="20"/>
        </w:rPr>
        <w:footnoteReference w:id="266"/>
      </w:r>
      <w:r w:rsidRPr="00E72405">
        <w:rPr>
          <w:rFonts w:ascii="Cambria" w:hAnsi="Cambria"/>
          <w:sz w:val="20"/>
          <w:szCs w:val="20"/>
        </w:rPr>
        <w:t xml:space="preserve"> </w:t>
      </w:r>
    </w:p>
    <w:p w:rsidR="007F35B9" w:rsidRPr="00E72405" w:rsidRDefault="007F35B9" w:rsidP="004C2329">
      <w:pPr>
        <w:spacing w:after="0" w:line="240" w:lineRule="auto"/>
        <w:jc w:val="both"/>
        <w:rPr>
          <w:rFonts w:ascii="Cambria" w:hAnsi="Cambria"/>
          <w:sz w:val="20"/>
          <w:szCs w:val="20"/>
        </w:rPr>
      </w:pPr>
    </w:p>
    <w:p w:rsidR="007F35B9" w:rsidRPr="00E72405" w:rsidRDefault="007F35B9" w:rsidP="00E658CD">
      <w:pPr>
        <w:numPr>
          <w:ilvl w:val="0"/>
          <w:numId w:val="6"/>
        </w:numPr>
        <w:spacing w:after="0" w:line="240" w:lineRule="auto"/>
        <w:ind w:left="0" w:firstLine="360"/>
        <w:jc w:val="both"/>
        <w:rPr>
          <w:rFonts w:ascii="Cambria" w:hAnsi="Cambria"/>
          <w:sz w:val="20"/>
          <w:szCs w:val="20"/>
        </w:rPr>
      </w:pPr>
      <w:r w:rsidRPr="00E72405">
        <w:rPr>
          <w:rFonts w:ascii="Cambria" w:hAnsi="Cambria"/>
          <w:sz w:val="20"/>
          <w:szCs w:val="20"/>
        </w:rPr>
        <w:t>On May 5, 2010, the Judge of the 8</w:t>
      </w:r>
      <w:r w:rsidRPr="00E72405">
        <w:rPr>
          <w:rFonts w:ascii="Cambria" w:hAnsi="Cambria"/>
          <w:sz w:val="20"/>
          <w:szCs w:val="20"/>
          <w:vertAlign w:val="superscript"/>
        </w:rPr>
        <w:t>th</w:t>
      </w:r>
      <w:r w:rsidRPr="00E72405">
        <w:rPr>
          <w:rFonts w:ascii="Cambria" w:hAnsi="Cambria"/>
          <w:sz w:val="20"/>
          <w:szCs w:val="20"/>
        </w:rPr>
        <w:t xml:space="preserve"> Chamber of the </w:t>
      </w:r>
      <w:r w:rsidRPr="00E72405">
        <w:rPr>
          <w:rStyle w:val="Emphasis"/>
          <w:rFonts w:ascii="Cambria" w:hAnsi="Cambria" w:cs="Arial"/>
          <w:sz w:val="20"/>
          <w:szCs w:val="20"/>
        </w:rPr>
        <w:t>São Paulo Federal Court</w:t>
      </w:r>
      <w:r w:rsidRPr="00E72405">
        <w:rPr>
          <w:rFonts w:ascii="Cambria" w:hAnsi="Cambria"/>
          <w:b/>
          <w:sz w:val="20"/>
          <w:szCs w:val="20"/>
        </w:rPr>
        <w:t xml:space="preserve"> </w:t>
      </w:r>
      <w:r w:rsidRPr="00E72405">
        <w:rPr>
          <w:rFonts w:ascii="Cambria" w:hAnsi="Cambria"/>
          <w:sz w:val="20"/>
          <w:szCs w:val="20"/>
        </w:rPr>
        <w:t>[</w:t>
      </w:r>
      <w:r w:rsidRPr="00E72405">
        <w:rPr>
          <w:rFonts w:ascii="Cambria" w:hAnsi="Cambria"/>
          <w:b/>
          <w:sz w:val="20"/>
          <w:szCs w:val="20"/>
        </w:rPr>
        <w:t>“</w:t>
      </w:r>
      <w:r w:rsidRPr="00E72405">
        <w:rPr>
          <w:rStyle w:val="Emphasis"/>
          <w:rFonts w:ascii="Cambria" w:hAnsi="Cambria" w:cs="Arial"/>
          <w:i w:val="0"/>
          <w:sz w:val="20"/>
          <w:szCs w:val="20"/>
        </w:rPr>
        <w:t xml:space="preserve">8ª </w:t>
      </w:r>
      <w:proofErr w:type="spellStart"/>
      <w:r w:rsidRPr="00E72405">
        <w:rPr>
          <w:rStyle w:val="Emphasis"/>
          <w:rFonts w:ascii="Cambria" w:hAnsi="Cambria" w:cs="Arial"/>
          <w:i w:val="0"/>
          <w:sz w:val="20"/>
          <w:szCs w:val="20"/>
        </w:rPr>
        <w:t>Vara</w:t>
      </w:r>
      <w:proofErr w:type="spellEnd"/>
      <w:r w:rsidRPr="00E72405">
        <w:rPr>
          <w:rStyle w:val="Emphasis"/>
          <w:rFonts w:ascii="Cambria" w:hAnsi="Cambria" w:cs="Arial"/>
          <w:i w:val="0"/>
          <w:sz w:val="20"/>
          <w:szCs w:val="20"/>
        </w:rPr>
        <w:t xml:space="preserve"> da </w:t>
      </w:r>
      <w:proofErr w:type="spellStart"/>
      <w:r w:rsidRPr="00E72405">
        <w:rPr>
          <w:rStyle w:val="Emphasis"/>
          <w:rFonts w:ascii="Cambria" w:hAnsi="Cambria" w:cs="Arial"/>
          <w:i w:val="0"/>
          <w:sz w:val="20"/>
          <w:szCs w:val="20"/>
        </w:rPr>
        <w:t>Justiça</w:t>
      </w:r>
      <w:proofErr w:type="spellEnd"/>
      <w:r w:rsidRPr="00E72405">
        <w:rPr>
          <w:rStyle w:val="Emphasis"/>
          <w:rFonts w:ascii="Cambria" w:hAnsi="Cambria" w:cs="Arial"/>
          <w:i w:val="0"/>
          <w:sz w:val="20"/>
          <w:szCs w:val="20"/>
        </w:rPr>
        <w:t xml:space="preserve"> Federal </w:t>
      </w:r>
      <w:proofErr w:type="spellStart"/>
      <w:r w:rsidRPr="00E72405">
        <w:rPr>
          <w:rStyle w:val="st1"/>
          <w:rFonts w:ascii="Cambria" w:hAnsi="Cambria" w:cs="Arial"/>
          <w:i/>
          <w:sz w:val="20"/>
          <w:szCs w:val="20"/>
        </w:rPr>
        <w:t>em</w:t>
      </w:r>
      <w:proofErr w:type="spellEnd"/>
      <w:r w:rsidRPr="00E72405">
        <w:rPr>
          <w:rStyle w:val="st1"/>
          <w:rFonts w:ascii="Cambria" w:hAnsi="Cambria" w:cs="Arial"/>
          <w:b/>
          <w:i/>
          <w:sz w:val="20"/>
          <w:szCs w:val="20"/>
        </w:rPr>
        <w:t xml:space="preserve"> </w:t>
      </w:r>
      <w:r w:rsidRPr="00E72405">
        <w:rPr>
          <w:rStyle w:val="Emphasis"/>
          <w:rFonts w:ascii="Cambria" w:hAnsi="Cambria" w:cs="Arial"/>
          <w:i w:val="0"/>
          <w:sz w:val="20"/>
          <w:szCs w:val="20"/>
        </w:rPr>
        <w:t>São Paulo”] delivered a judgment in which he declared the suit brought against former commanders</w:t>
      </w:r>
      <w:r w:rsidRPr="00E72405">
        <w:rPr>
          <w:rStyle w:val="Emphasis"/>
          <w:rFonts w:ascii="Cambria" w:hAnsi="Cambria" w:cs="Arial"/>
          <w:sz w:val="20"/>
          <w:szCs w:val="20"/>
        </w:rPr>
        <w:t xml:space="preserve"> </w:t>
      </w:r>
      <w:r w:rsidRPr="00E72405">
        <w:rPr>
          <w:rFonts w:ascii="Cambria" w:hAnsi="Cambria"/>
          <w:sz w:val="20"/>
          <w:szCs w:val="20"/>
        </w:rPr>
        <w:t xml:space="preserve">Carlos Alberto </w:t>
      </w:r>
      <w:proofErr w:type="spellStart"/>
      <w:r w:rsidRPr="00E72405">
        <w:rPr>
          <w:rFonts w:ascii="Cambria" w:hAnsi="Cambria"/>
          <w:sz w:val="20"/>
          <w:szCs w:val="20"/>
        </w:rPr>
        <w:t>Brilhante</w:t>
      </w:r>
      <w:proofErr w:type="spellEnd"/>
      <w:r w:rsidRPr="00E72405">
        <w:rPr>
          <w:rFonts w:ascii="Cambria" w:hAnsi="Cambria"/>
          <w:sz w:val="20"/>
          <w:szCs w:val="20"/>
        </w:rPr>
        <w:t xml:space="preserve"> </w:t>
      </w:r>
      <w:proofErr w:type="spellStart"/>
      <w:r w:rsidRPr="00E72405">
        <w:rPr>
          <w:rFonts w:ascii="Cambria" w:hAnsi="Cambria"/>
          <w:sz w:val="20"/>
          <w:szCs w:val="20"/>
        </w:rPr>
        <w:t>Ustra</w:t>
      </w:r>
      <w:proofErr w:type="spellEnd"/>
      <w:r w:rsidRPr="00E72405">
        <w:rPr>
          <w:rFonts w:ascii="Cambria" w:hAnsi="Cambria"/>
          <w:sz w:val="20"/>
          <w:szCs w:val="20"/>
        </w:rPr>
        <w:t xml:space="preserve"> and </w:t>
      </w:r>
      <w:proofErr w:type="spellStart"/>
      <w:r w:rsidRPr="00E72405">
        <w:rPr>
          <w:rFonts w:ascii="Cambria" w:hAnsi="Cambria"/>
          <w:sz w:val="20"/>
          <w:szCs w:val="20"/>
        </w:rPr>
        <w:t>Audir</w:t>
      </w:r>
      <w:proofErr w:type="spellEnd"/>
      <w:r w:rsidRPr="00E72405">
        <w:rPr>
          <w:rFonts w:ascii="Cambria" w:hAnsi="Cambria"/>
          <w:sz w:val="20"/>
          <w:szCs w:val="20"/>
        </w:rPr>
        <w:t xml:space="preserve"> Santos </w:t>
      </w:r>
      <w:proofErr w:type="spellStart"/>
      <w:r w:rsidRPr="00E72405">
        <w:rPr>
          <w:rFonts w:ascii="Cambria" w:hAnsi="Cambria"/>
          <w:sz w:val="20"/>
          <w:szCs w:val="20"/>
        </w:rPr>
        <w:t>Maciel</w:t>
      </w:r>
      <w:proofErr w:type="spellEnd"/>
      <w:r w:rsidRPr="00E72405">
        <w:rPr>
          <w:rFonts w:ascii="Cambria" w:hAnsi="Cambria"/>
          <w:sz w:val="20"/>
          <w:szCs w:val="20"/>
        </w:rPr>
        <w:t xml:space="preserve"> to be inadmissible based on the </w:t>
      </w:r>
      <w:r w:rsidR="00174FF0" w:rsidRPr="00E72405">
        <w:rPr>
          <w:rFonts w:ascii="Cambria" w:hAnsi="Cambria"/>
          <w:sz w:val="20"/>
          <w:szCs w:val="20"/>
        </w:rPr>
        <w:t xml:space="preserve">inadequacy of the appeal and the application of </w:t>
      </w:r>
      <w:r w:rsidRPr="00E72405">
        <w:rPr>
          <w:rFonts w:ascii="Cambria" w:hAnsi="Cambria"/>
          <w:sz w:val="20"/>
          <w:szCs w:val="20"/>
        </w:rPr>
        <w:t>Law 6.683/79, known as the Amnesty Law.</w:t>
      </w:r>
      <w:r w:rsidRPr="00E72405">
        <w:rPr>
          <w:rStyle w:val="FootnoteReference"/>
          <w:rFonts w:ascii="Cambria" w:hAnsi="Cambria"/>
          <w:sz w:val="20"/>
          <w:szCs w:val="20"/>
        </w:rPr>
        <w:footnoteReference w:id="267"/>
      </w:r>
      <w:r w:rsidRPr="00E72405">
        <w:rPr>
          <w:rFonts w:ascii="Cambria" w:hAnsi="Cambria"/>
          <w:sz w:val="20"/>
          <w:szCs w:val="20"/>
        </w:rPr>
        <w:t xml:space="preserve">  The Federal Public Prosecutor’s Office appealed that decision.  The ruling on the appeal is still pending as of the date of the present report.</w:t>
      </w:r>
      <w:r w:rsidRPr="00E72405">
        <w:rPr>
          <w:rStyle w:val="FootnoteReference"/>
          <w:rFonts w:ascii="Cambria" w:hAnsi="Cambria"/>
          <w:sz w:val="20"/>
          <w:szCs w:val="20"/>
        </w:rPr>
        <w:footnoteReference w:id="268"/>
      </w:r>
      <w:r w:rsidRPr="00E72405">
        <w:rPr>
          <w:rFonts w:ascii="Cambria" w:hAnsi="Cambria"/>
          <w:sz w:val="20"/>
          <w:szCs w:val="20"/>
        </w:rPr>
        <w:t xml:space="preserve">. </w:t>
      </w:r>
    </w:p>
    <w:p w:rsidR="007F35B9" w:rsidRPr="00E72405" w:rsidRDefault="007F35B9" w:rsidP="007F35B9">
      <w:pPr>
        <w:widowControl w:val="0"/>
        <w:spacing w:after="0" w:line="240" w:lineRule="auto"/>
        <w:ind w:left="720"/>
        <w:jc w:val="both"/>
        <w:rPr>
          <w:rFonts w:ascii="Cambria" w:hAnsi="Cambria"/>
          <w:b/>
          <w:sz w:val="20"/>
          <w:szCs w:val="20"/>
        </w:rPr>
      </w:pPr>
    </w:p>
    <w:p w:rsidR="007F35B9" w:rsidRPr="00E72405" w:rsidRDefault="00174FF0" w:rsidP="00181A2D">
      <w:pPr>
        <w:pStyle w:val="Heading3"/>
      </w:pPr>
      <w:bookmarkStart w:id="23" w:name="_Toc433359809"/>
      <w:r w:rsidRPr="00E72405">
        <w:lastRenderedPageBreak/>
        <w:t xml:space="preserve">Actions </w:t>
      </w:r>
      <w:r w:rsidR="007F35B9" w:rsidRPr="00E72405">
        <w:t>of the National Truth Commission (CNV) by Law No. 12.528/2011</w:t>
      </w:r>
      <w:bookmarkEnd w:id="23"/>
    </w:p>
    <w:p w:rsidR="00181A2D" w:rsidRPr="00E72405" w:rsidRDefault="00181A2D" w:rsidP="00181A2D">
      <w:pPr>
        <w:keepNext/>
        <w:spacing w:after="0" w:line="240" w:lineRule="auto"/>
      </w:pPr>
    </w:p>
    <w:p w:rsidR="007F35B9" w:rsidRPr="00E72405" w:rsidRDefault="007F35B9" w:rsidP="00E658CD">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Law No. 12.528/2011 was enacted on November 18, 2011, and created the National Truth Commission (hereinafter the “CNV”).</w:t>
      </w:r>
      <w:r w:rsidRPr="00E72405">
        <w:rPr>
          <w:rStyle w:val="FootnoteReference"/>
          <w:rFonts w:ascii="Cambria" w:hAnsi="Cambria"/>
        </w:rPr>
        <w:footnoteReference w:id="269"/>
      </w:r>
      <w:r w:rsidRPr="00E72405">
        <w:rPr>
          <w:rFonts w:ascii="Cambria" w:hAnsi="Cambria"/>
          <w:sz w:val="20"/>
          <w:szCs w:val="20"/>
        </w:rPr>
        <w:t xml:space="preserve">  Under Article 1 of that law, the purpose of the CNV was to “examine and shed light on the serious human rights”</w:t>
      </w:r>
      <w:r w:rsidRPr="00E72405">
        <w:rPr>
          <w:rStyle w:val="FootnoteReference"/>
          <w:rFonts w:ascii="Cambria" w:hAnsi="Cambria"/>
        </w:rPr>
        <w:footnoteReference w:id="270"/>
      </w:r>
      <w:r w:rsidRPr="00E72405">
        <w:rPr>
          <w:rFonts w:ascii="Cambria" w:hAnsi="Cambria"/>
          <w:sz w:val="20"/>
          <w:szCs w:val="20"/>
        </w:rPr>
        <w:t xml:space="preserve"> committed during the military dictatorship, “in order to respect and fulfill the right to memory and to the historic truth and promote national reconciliation.</w:t>
      </w:r>
      <w:r w:rsidRPr="00E72405">
        <w:rPr>
          <w:rFonts w:ascii="Cambria" w:hAnsi="Cambria" w:cs="Arial"/>
          <w:sz w:val="20"/>
          <w:szCs w:val="20"/>
        </w:rPr>
        <w:t>”</w:t>
      </w:r>
      <w:r w:rsidRPr="00E72405">
        <w:rPr>
          <w:rStyle w:val="FootnoteReference"/>
          <w:rFonts w:ascii="Cambria" w:hAnsi="Cambria" w:cs="Arial"/>
        </w:rPr>
        <w:footnoteReference w:id="271"/>
      </w:r>
      <w:r w:rsidRPr="00E72405">
        <w:rPr>
          <w:rFonts w:ascii="Cambria" w:hAnsi="Cambria" w:cs="Arial"/>
          <w:sz w:val="20"/>
          <w:szCs w:val="20"/>
        </w:rPr>
        <w:t xml:space="preserve">  It functioned from May 2012 to December 10, 2014, the date on which its</w:t>
      </w:r>
      <w:r w:rsidR="00174FF0" w:rsidRPr="00E72405">
        <w:rPr>
          <w:rFonts w:ascii="Cambria" w:hAnsi="Cambria" w:cs="Arial"/>
          <w:sz w:val="20"/>
          <w:szCs w:val="20"/>
        </w:rPr>
        <w:t xml:space="preserve"> final</w:t>
      </w:r>
      <w:r w:rsidRPr="00E72405">
        <w:rPr>
          <w:rFonts w:ascii="Cambria" w:hAnsi="Cambria" w:cs="Arial"/>
          <w:sz w:val="20"/>
          <w:szCs w:val="20"/>
        </w:rPr>
        <w:t xml:space="preserve"> report was published with its conclusions and recommendations.</w:t>
      </w:r>
      <w:r w:rsidRPr="00E72405">
        <w:rPr>
          <w:rStyle w:val="FootnoteReference"/>
          <w:rFonts w:ascii="Cambria" w:hAnsi="Cambria" w:cs="Arial"/>
        </w:rPr>
        <w:footnoteReference w:id="272"/>
      </w:r>
      <w:r w:rsidRPr="00E72405">
        <w:rPr>
          <w:rFonts w:ascii="Cambria" w:hAnsi="Cambria" w:cs="Arial"/>
          <w:sz w:val="20"/>
          <w:szCs w:val="20"/>
        </w:rPr>
        <w:t xml:space="preserve"> </w:t>
      </w:r>
    </w:p>
    <w:p w:rsidR="007F35B9" w:rsidRPr="00E72405" w:rsidRDefault="007F35B9" w:rsidP="007F35B9">
      <w:pPr>
        <w:spacing w:after="0" w:line="240" w:lineRule="auto"/>
        <w:ind w:left="720"/>
        <w:jc w:val="both"/>
        <w:rPr>
          <w:rFonts w:ascii="Cambria" w:hAnsi="Cambria"/>
          <w:sz w:val="20"/>
          <w:szCs w:val="20"/>
        </w:rPr>
      </w:pPr>
    </w:p>
    <w:p w:rsidR="007F35B9" w:rsidRPr="00E72405" w:rsidRDefault="007F35B9" w:rsidP="00E658CD">
      <w:pPr>
        <w:numPr>
          <w:ilvl w:val="0"/>
          <w:numId w:val="6"/>
        </w:numPr>
        <w:spacing w:after="0" w:line="240" w:lineRule="auto"/>
        <w:ind w:left="0" w:firstLine="720"/>
        <w:jc w:val="both"/>
        <w:rPr>
          <w:rStyle w:val="hps"/>
          <w:rFonts w:ascii="Cambria" w:hAnsi="Cambria"/>
          <w:sz w:val="20"/>
          <w:szCs w:val="20"/>
        </w:rPr>
      </w:pPr>
      <w:r w:rsidRPr="00E72405">
        <w:rPr>
          <w:rStyle w:val="hps"/>
          <w:rFonts w:ascii="Cambria" w:hAnsi="Cambria" w:cs="Arial"/>
          <w:sz w:val="20"/>
          <w:szCs w:val="20"/>
        </w:rPr>
        <w:t>To enable the CNV to accomplish its objectives, Law No. 12.528 gave it the authority to conduct public hearings; request information, data and documents from government organs and entities, including classified information, regardless of the degree of secrecy; to order that tests and measures be taken to compile or recover information, documents and data; and to request the assistance of government entities and organs in order to achieve its goals, and other activities.</w:t>
      </w:r>
      <w:r w:rsidRPr="00E72405">
        <w:rPr>
          <w:rStyle w:val="FootnoteReference"/>
          <w:rFonts w:ascii="Cambria" w:hAnsi="Cambria" w:cs="Arial"/>
        </w:rPr>
        <w:footnoteReference w:id="273"/>
      </w:r>
    </w:p>
    <w:p w:rsidR="007F35B9" w:rsidRPr="00E72405" w:rsidRDefault="007F35B9" w:rsidP="007F35B9">
      <w:pPr>
        <w:widowControl w:val="0"/>
        <w:spacing w:after="0" w:line="240" w:lineRule="auto"/>
        <w:ind w:left="720"/>
        <w:jc w:val="both"/>
        <w:rPr>
          <w:rFonts w:ascii="Cambria" w:hAnsi="Cambria"/>
          <w:b/>
          <w:sz w:val="20"/>
          <w:szCs w:val="20"/>
        </w:rPr>
      </w:pPr>
    </w:p>
    <w:p w:rsidR="007F35B9" w:rsidRPr="00E72405" w:rsidRDefault="007F35B9" w:rsidP="00E658CD">
      <w:pPr>
        <w:widowControl w:val="0"/>
        <w:numPr>
          <w:ilvl w:val="0"/>
          <w:numId w:val="6"/>
        </w:numPr>
        <w:tabs>
          <w:tab w:val="left" w:pos="0"/>
        </w:tabs>
        <w:spacing w:after="0" w:line="240" w:lineRule="auto"/>
        <w:ind w:left="0" w:firstLine="720"/>
        <w:jc w:val="both"/>
        <w:rPr>
          <w:rFonts w:ascii="Cambria" w:hAnsi="Cambria"/>
          <w:sz w:val="20"/>
          <w:szCs w:val="20"/>
        </w:rPr>
      </w:pPr>
      <w:r w:rsidRPr="00E72405">
        <w:rPr>
          <w:rFonts w:ascii="Cambria" w:hAnsi="Cambria"/>
          <w:sz w:val="20"/>
          <w:szCs w:val="20"/>
        </w:rPr>
        <w:t>Acting within the scope of its authority, on August 30, 2012 the National Truth Commission asked the Judge of the 2</w:t>
      </w:r>
      <w:r w:rsidRPr="00E72405">
        <w:rPr>
          <w:rFonts w:ascii="Cambria" w:hAnsi="Cambria"/>
          <w:sz w:val="20"/>
          <w:szCs w:val="20"/>
          <w:vertAlign w:val="superscript"/>
        </w:rPr>
        <w:t>nd</w:t>
      </w:r>
      <w:r w:rsidRPr="00E72405">
        <w:rPr>
          <w:rFonts w:ascii="Cambria" w:hAnsi="Cambria"/>
          <w:sz w:val="20"/>
          <w:szCs w:val="20"/>
        </w:rPr>
        <w:t xml:space="preserve"> Chamber of Public Records for the São Paulo District [</w:t>
      </w:r>
      <w:r w:rsidRPr="00E72405">
        <w:rPr>
          <w:rFonts w:ascii="Cambria" w:hAnsi="Cambria"/>
          <w:i/>
          <w:sz w:val="20"/>
          <w:szCs w:val="20"/>
        </w:rPr>
        <w:t>2</w:t>
      </w:r>
      <w:r w:rsidRPr="00E72405">
        <w:rPr>
          <w:rStyle w:val="st1"/>
          <w:rFonts w:ascii="Cambria" w:hAnsi="Cambria" w:cs="Arial"/>
          <w:i/>
          <w:color w:val="545454"/>
          <w:sz w:val="20"/>
          <w:szCs w:val="20"/>
        </w:rPr>
        <w:t>ª</w:t>
      </w:r>
      <w:r w:rsidRPr="00E72405">
        <w:rPr>
          <w:rFonts w:ascii="Cambria" w:hAnsi="Cambria"/>
          <w:i/>
          <w:sz w:val="20"/>
          <w:szCs w:val="20"/>
        </w:rPr>
        <w:t xml:space="preserve"> </w:t>
      </w:r>
      <w:proofErr w:type="spellStart"/>
      <w:r w:rsidRPr="00E72405">
        <w:rPr>
          <w:rFonts w:ascii="Cambria" w:hAnsi="Cambria"/>
          <w:i/>
          <w:sz w:val="20"/>
          <w:szCs w:val="20"/>
        </w:rPr>
        <w:t>Vara</w:t>
      </w:r>
      <w:proofErr w:type="spellEnd"/>
      <w:r w:rsidRPr="00E72405">
        <w:rPr>
          <w:rFonts w:ascii="Cambria" w:hAnsi="Cambria"/>
          <w:i/>
          <w:sz w:val="20"/>
          <w:szCs w:val="20"/>
        </w:rPr>
        <w:t xml:space="preserve"> de </w:t>
      </w:r>
      <w:proofErr w:type="spellStart"/>
      <w:r w:rsidRPr="00E72405">
        <w:rPr>
          <w:rFonts w:ascii="Cambria" w:hAnsi="Cambria"/>
          <w:i/>
          <w:sz w:val="20"/>
          <w:szCs w:val="20"/>
        </w:rPr>
        <w:t>Registros</w:t>
      </w:r>
      <w:proofErr w:type="spellEnd"/>
      <w:r w:rsidRPr="00E72405">
        <w:rPr>
          <w:rFonts w:ascii="Cambria" w:hAnsi="Cambria"/>
          <w:i/>
          <w:sz w:val="20"/>
          <w:szCs w:val="20"/>
        </w:rPr>
        <w:t xml:space="preserve"> </w:t>
      </w:r>
      <w:proofErr w:type="spellStart"/>
      <w:r w:rsidRPr="00E72405">
        <w:rPr>
          <w:rFonts w:ascii="Cambria" w:hAnsi="Cambria"/>
          <w:i/>
          <w:sz w:val="20"/>
          <w:szCs w:val="20"/>
        </w:rPr>
        <w:t>Públicos</w:t>
      </w:r>
      <w:proofErr w:type="spellEnd"/>
      <w:r w:rsidRPr="00E72405">
        <w:rPr>
          <w:rFonts w:ascii="Cambria" w:hAnsi="Cambria"/>
          <w:i/>
          <w:sz w:val="20"/>
          <w:szCs w:val="20"/>
        </w:rPr>
        <w:t xml:space="preserve"> da Comarca de São Paulo</w:t>
      </w:r>
      <w:r w:rsidRPr="00E72405">
        <w:rPr>
          <w:rFonts w:ascii="Cambria" w:hAnsi="Cambria"/>
          <w:sz w:val="20"/>
          <w:szCs w:val="20"/>
        </w:rPr>
        <w:t>] to correct the cause of death shown on Vladimir Herzog’s death certificate [</w:t>
      </w:r>
      <w:proofErr w:type="spellStart"/>
      <w:r w:rsidRPr="00E72405">
        <w:rPr>
          <w:rFonts w:ascii="Cambria" w:hAnsi="Cambria"/>
          <w:i/>
          <w:sz w:val="20"/>
          <w:szCs w:val="20"/>
        </w:rPr>
        <w:t>assento</w:t>
      </w:r>
      <w:proofErr w:type="spellEnd"/>
      <w:r w:rsidRPr="00E72405">
        <w:rPr>
          <w:rFonts w:ascii="Cambria" w:hAnsi="Cambria"/>
          <w:i/>
          <w:sz w:val="20"/>
          <w:szCs w:val="20"/>
        </w:rPr>
        <w:t xml:space="preserve"> de </w:t>
      </w:r>
      <w:proofErr w:type="spellStart"/>
      <w:r w:rsidRPr="00E72405">
        <w:rPr>
          <w:rFonts w:ascii="Cambria" w:hAnsi="Cambria"/>
          <w:i/>
          <w:sz w:val="20"/>
          <w:szCs w:val="20"/>
        </w:rPr>
        <w:t>óbito</w:t>
      </w:r>
      <w:proofErr w:type="spellEnd"/>
      <w:r w:rsidRPr="00E72405">
        <w:rPr>
          <w:rFonts w:ascii="Cambria" w:hAnsi="Cambria"/>
          <w:sz w:val="20"/>
          <w:szCs w:val="20"/>
        </w:rPr>
        <w:t>].</w:t>
      </w:r>
      <w:r w:rsidRPr="00E72405">
        <w:rPr>
          <w:rStyle w:val="FootnoteReference"/>
          <w:rFonts w:ascii="Cambria" w:hAnsi="Cambria"/>
        </w:rPr>
        <w:footnoteReference w:id="274"/>
      </w:r>
      <w:r w:rsidRPr="00E72405">
        <w:rPr>
          <w:rFonts w:ascii="Cambria" w:hAnsi="Cambria"/>
          <w:sz w:val="20"/>
          <w:szCs w:val="20"/>
        </w:rPr>
        <w:t xml:space="preserve">  On September 24, 2012, the Judge issued a ruling in which he ordered that the deceased’s death certificated be corrected to show that Vladimir Herzog died from “injuries and mistreatment suffered in the Second Army - SP (DOI-CODI).”</w:t>
      </w:r>
      <w:r w:rsidRPr="00E72405">
        <w:rPr>
          <w:rStyle w:val="FootnoteReference"/>
          <w:rFonts w:ascii="Cambria" w:hAnsi="Cambria"/>
        </w:rPr>
        <w:footnoteReference w:id="275"/>
      </w:r>
    </w:p>
    <w:p w:rsidR="007F35B9" w:rsidRPr="00E72405" w:rsidRDefault="007F35B9" w:rsidP="007F35B9">
      <w:pPr>
        <w:spacing w:after="0" w:line="240" w:lineRule="auto"/>
        <w:ind w:left="720"/>
        <w:jc w:val="both"/>
        <w:rPr>
          <w:rStyle w:val="hps"/>
          <w:rFonts w:ascii="Cambria" w:hAnsi="Cambria"/>
          <w:sz w:val="20"/>
          <w:szCs w:val="20"/>
        </w:rPr>
      </w:pPr>
    </w:p>
    <w:p w:rsidR="007F35B9" w:rsidRPr="00E72405" w:rsidRDefault="00174FF0" w:rsidP="00E658CD">
      <w:pPr>
        <w:numPr>
          <w:ilvl w:val="0"/>
          <w:numId w:val="6"/>
        </w:numPr>
        <w:spacing w:after="0" w:line="240" w:lineRule="auto"/>
        <w:ind w:left="0" w:firstLine="720"/>
        <w:jc w:val="both"/>
        <w:rPr>
          <w:rStyle w:val="hps"/>
          <w:rFonts w:ascii="Cambria" w:hAnsi="Cambria"/>
          <w:sz w:val="20"/>
          <w:szCs w:val="20"/>
        </w:rPr>
      </w:pPr>
      <w:r w:rsidRPr="00E72405">
        <w:rPr>
          <w:rStyle w:val="hps"/>
          <w:rFonts w:ascii="Cambria" w:hAnsi="Cambria" w:cs="Arial"/>
          <w:sz w:val="20"/>
          <w:szCs w:val="20"/>
        </w:rPr>
        <w:t>Also, i</w:t>
      </w:r>
      <w:r w:rsidR="007F35B9" w:rsidRPr="00E72405">
        <w:rPr>
          <w:rStyle w:val="hps"/>
          <w:rFonts w:ascii="Cambria" w:hAnsi="Cambria" w:cs="Arial"/>
          <w:sz w:val="20"/>
          <w:szCs w:val="20"/>
        </w:rPr>
        <w:t>n September 2014, a team of CNV experts issued an “indirect expert report” [“</w:t>
      </w:r>
      <w:proofErr w:type="spellStart"/>
      <w:r w:rsidR="007F35B9" w:rsidRPr="00E72405">
        <w:rPr>
          <w:rStyle w:val="hps"/>
          <w:rFonts w:ascii="Cambria" w:hAnsi="Cambria" w:cs="Arial"/>
          <w:i/>
          <w:sz w:val="20"/>
          <w:szCs w:val="20"/>
        </w:rPr>
        <w:t>laudo</w:t>
      </w:r>
      <w:proofErr w:type="spellEnd"/>
      <w:r w:rsidR="007F35B9" w:rsidRPr="00E72405">
        <w:rPr>
          <w:rStyle w:val="hps"/>
          <w:rFonts w:ascii="Cambria" w:hAnsi="Cambria" w:cs="Arial"/>
          <w:i/>
          <w:sz w:val="20"/>
          <w:szCs w:val="20"/>
        </w:rPr>
        <w:t xml:space="preserve"> </w:t>
      </w:r>
      <w:proofErr w:type="spellStart"/>
      <w:r w:rsidR="007F35B9" w:rsidRPr="00E72405">
        <w:rPr>
          <w:rStyle w:val="hps"/>
          <w:rFonts w:ascii="Cambria" w:hAnsi="Cambria" w:cs="Arial"/>
          <w:i/>
          <w:sz w:val="20"/>
          <w:szCs w:val="20"/>
        </w:rPr>
        <w:t>pericial</w:t>
      </w:r>
      <w:proofErr w:type="spellEnd"/>
      <w:r w:rsidR="007F35B9" w:rsidRPr="00E72405">
        <w:rPr>
          <w:rStyle w:val="hps"/>
          <w:rFonts w:ascii="Cambria" w:hAnsi="Cambria" w:cs="Arial"/>
          <w:i/>
          <w:sz w:val="20"/>
          <w:szCs w:val="20"/>
        </w:rPr>
        <w:t xml:space="preserve"> </w:t>
      </w:r>
      <w:proofErr w:type="spellStart"/>
      <w:r w:rsidR="007F35B9" w:rsidRPr="00E72405">
        <w:rPr>
          <w:rStyle w:val="hps"/>
          <w:rFonts w:ascii="Cambria" w:hAnsi="Cambria" w:cs="Arial"/>
          <w:i/>
          <w:sz w:val="20"/>
          <w:szCs w:val="20"/>
        </w:rPr>
        <w:t>indireto</w:t>
      </w:r>
      <w:proofErr w:type="spellEnd"/>
      <w:r w:rsidR="007F35B9" w:rsidRPr="00E72405">
        <w:rPr>
          <w:rStyle w:val="hps"/>
          <w:rFonts w:ascii="Cambria" w:hAnsi="Cambria" w:cs="Arial"/>
          <w:sz w:val="20"/>
          <w:szCs w:val="20"/>
        </w:rPr>
        <w:t>”] on Herzog’s death.  The experts identified the presence of two injuries on his neck, both caused to the victim while he was still alive.</w:t>
      </w:r>
      <w:r w:rsidR="007F35B9" w:rsidRPr="00E72405">
        <w:rPr>
          <w:rStyle w:val="FootnoteReference"/>
          <w:rFonts w:ascii="Cambria" w:hAnsi="Cambria" w:cs="Arial"/>
        </w:rPr>
        <w:footnoteReference w:id="276"/>
      </w:r>
      <w:r w:rsidR="007F35B9" w:rsidRPr="00E72405">
        <w:rPr>
          <w:rStyle w:val="hps"/>
          <w:rFonts w:ascii="Cambria" w:hAnsi="Cambria" w:cs="Arial"/>
          <w:sz w:val="20"/>
          <w:szCs w:val="20"/>
        </w:rPr>
        <w:t xml:space="preserve">  The expert report concluded that the journalist “was first strangled, probably with the belt mentioned by the criminal expert, whereupon a gallows system was devised where one end [of the belt] was attached to the metal protective grillwork on the window and other end tied around Vladimir Herzog’s neck […].  The body was then placed in partial suspension to simulate an actual hanging.”</w:t>
      </w:r>
      <w:r w:rsidR="007F35B9" w:rsidRPr="00E72405">
        <w:rPr>
          <w:rStyle w:val="FootnoteReference"/>
          <w:rFonts w:ascii="Cambria" w:hAnsi="Cambria" w:cs="Arial"/>
        </w:rPr>
        <w:footnoteReference w:id="277"/>
      </w:r>
      <w:r w:rsidR="007F35B9" w:rsidRPr="00E72405">
        <w:rPr>
          <w:rStyle w:val="hps"/>
          <w:rFonts w:ascii="Cambria" w:hAnsi="Cambria" w:cs="Arial"/>
          <w:sz w:val="20"/>
          <w:szCs w:val="20"/>
        </w:rPr>
        <w:t xml:space="preserve"> </w:t>
      </w:r>
    </w:p>
    <w:p w:rsidR="007F35B9" w:rsidRPr="00E72405" w:rsidRDefault="007F35B9" w:rsidP="007F35B9">
      <w:pPr>
        <w:spacing w:after="0" w:line="240" w:lineRule="auto"/>
        <w:ind w:left="720"/>
        <w:jc w:val="both"/>
        <w:rPr>
          <w:rStyle w:val="hps"/>
          <w:rFonts w:ascii="Cambria" w:hAnsi="Cambria"/>
          <w:sz w:val="20"/>
          <w:szCs w:val="20"/>
        </w:rPr>
      </w:pPr>
    </w:p>
    <w:p w:rsidR="007F35B9" w:rsidRPr="00E72405" w:rsidRDefault="007F35B9" w:rsidP="00E658CD">
      <w:pPr>
        <w:numPr>
          <w:ilvl w:val="0"/>
          <w:numId w:val="6"/>
        </w:numPr>
        <w:spacing w:after="0" w:line="240" w:lineRule="auto"/>
        <w:ind w:left="0" w:firstLine="720"/>
        <w:jc w:val="both"/>
        <w:rPr>
          <w:rStyle w:val="hps"/>
          <w:rFonts w:ascii="Cambria" w:hAnsi="Cambria"/>
          <w:sz w:val="20"/>
          <w:szCs w:val="20"/>
        </w:rPr>
      </w:pPr>
      <w:r w:rsidRPr="00E72405">
        <w:rPr>
          <w:rStyle w:val="hps"/>
          <w:rFonts w:ascii="Cambria" w:hAnsi="Cambria" w:cs="Arial"/>
          <w:sz w:val="20"/>
          <w:szCs w:val="20"/>
        </w:rPr>
        <w:t>In its final report, the CNV stated that “there is no longer any doubt surrounding the circumstances of Vladimir Herzog’s death, who was illegally detained, tortured and murdered by agents of the State on the premises of the Second Army’s DOI-CODI in São</w:t>
      </w:r>
      <w:r w:rsidRPr="00E72405">
        <w:rPr>
          <w:rFonts w:ascii="Cambria" w:hAnsi="Cambria" w:cs="Arial"/>
          <w:sz w:val="20"/>
          <w:szCs w:val="20"/>
        </w:rPr>
        <w:t xml:space="preserve"> </w:t>
      </w:r>
      <w:r w:rsidRPr="00E72405">
        <w:rPr>
          <w:rStyle w:val="hps"/>
          <w:rFonts w:ascii="Cambria" w:hAnsi="Cambria" w:cs="Arial"/>
          <w:sz w:val="20"/>
          <w:szCs w:val="20"/>
        </w:rPr>
        <w:t>Paulo in October 1975.”</w:t>
      </w:r>
      <w:r w:rsidRPr="00E72405">
        <w:rPr>
          <w:rStyle w:val="FootnoteReference"/>
          <w:rFonts w:ascii="Cambria" w:hAnsi="Cambria" w:cs="Arial"/>
        </w:rPr>
        <w:footnoteReference w:id="278"/>
      </w:r>
      <w:r w:rsidRPr="00E72405">
        <w:rPr>
          <w:rStyle w:val="hps"/>
          <w:rFonts w:ascii="Cambria" w:hAnsi="Cambria" w:cs="Arial"/>
          <w:sz w:val="20"/>
          <w:szCs w:val="20"/>
        </w:rPr>
        <w:t xml:space="preserve">  The CNV’s conclusion was as follows: </w:t>
      </w:r>
    </w:p>
    <w:p w:rsidR="007F35B9" w:rsidRPr="00E72405" w:rsidRDefault="007F35B9" w:rsidP="007F35B9">
      <w:pPr>
        <w:spacing w:after="0" w:line="240" w:lineRule="auto"/>
        <w:jc w:val="both"/>
        <w:rPr>
          <w:rStyle w:val="hps"/>
          <w:rFonts w:ascii="Cambria" w:hAnsi="Cambria"/>
          <w:sz w:val="20"/>
          <w:szCs w:val="20"/>
        </w:rPr>
      </w:pPr>
    </w:p>
    <w:p w:rsidR="007F35B9" w:rsidRPr="00E72405" w:rsidRDefault="007F35B9" w:rsidP="00E521FD">
      <w:pPr>
        <w:tabs>
          <w:tab w:val="left" w:pos="1125"/>
        </w:tabs>
        <w:spacing w:line="240" w:lineRule="auto"/>
        <w:ind w:left="720" w:right="720"/>
        <w:jc w:val="both"/>
        <w:rPr>
          <w:rStyle w:val="hps"/>
          <w:rFonts w:ascii="Cambria" w:hAnsi="Cambria"/>
          <w:sz w:val="18"/>
          <w:szCs w:val="18"/>
        </w:rPr>
      </w:pPr>
      <w:r w:rsidRPr="00E72405">
        <w:rPr>
          <w:rStyle w:val="hps"/>
          <w:rFonts w:ascii="Cambria" w:hAnsi="Cambria"/>
          <w:sz w:val="18"/>
          <w:szCs w:val="18"/>
        </w:rPr>
        <w:t xml:space="preserve">The investigations conducted found that Vladimir Herzog died at the hands of agents of the Brazilian State, in a context of systematic human rights violations encouraged by the military dictatorship that took power in the country in April 1964, [disproving] the suicide story made public at the time of the events.  The CNV’s efforts, both to get the family a corrected death certificate and in the findings reached from the experts’ analysis, which exposes the fact that Vladimir Herzog was murdered, were tangible steps in the struggle to solve the serious human rights violations that occurred under the military dictatorship. </w:t>
      </w:r>
    </w:p>
    <w:p w:rsidR="007F35B9" w:rsidRPr="00E72405" w:rsidRDefault="007F35B9" w:rsidP="007F35B9">
      <w:pPr>
        <w:tabs>
          <w:tab w:val="left" w:pos="1125"/>
        </w:tabs>
        <w:spacing w:line="240" w:lineRule="auto"/>
        <w:ind w:left="720"/>
        <w:jc w:val="both"/>
        <w:rPr>
          <w:rStyle w:val="hps"/>
          <w:rFonts w:ascii="Cambria" w:hAnsi="Cambria" w:cs="Arial"/>
          <w:sz w:val="18"/>
          <w:szCs w:val="18"/>
        </w:rPr>
      </w:pPr>
      <w:r w:rsidRPr="00E72405">
        <w:rPr>
          <w:rStyle w:val="hps"/>
          <w:rFonts w:ascii="Cambria" w:hAnsi="Cambria"/>
          <w:sz w:val="18"/>
          <w:szCs w:val="18"/>
        </w:rPr>
        <w:t>The CNV is recommending that the investigations into the circumstances of the case be continued with a view to identifying and bringing to justice the other agents involved.</w:t>
      </w:r>
      <w:r w:rsidRPr="00E72405">
        <w:rPr>
          <w:rStyle w:val="FootnoteReference"/>
          <w:rFonts w:ascii="Cambria" w:hAnsi="Cambria" w:cs="Arial"/>
          <w:sz w:val="18"/>
          <w:szCs w:val="18"/>
        </w:rPr>
        <w:footnoteReference w:id="279"/>
      </w:r>
    </w:p>
    <w:p w:rsidR="007F35B9" w:rsidRPr="00E72405" w:rsidRDefault="007F35B9" w:rsidP="00E658CD">
      <w:pPr>
        <w:numPr>
          <w:ilvl w:val="0"/>
          <w:numId w:val="6"/>
        </w:numPr>
        <w:spacing w:after="0" w:line="240" w:lineRule="auto"/>
        <w:ind w:left="0" w:firstLine="720"/>
        <w:jc w:val="both"/>
        <w:rPr>
          <w:rStyle w:val="hps"/>
          <w:rFonts w:ascii="Cambria" w:hAnsi="Cambria" w:cs="Arial"/>
          <w:sz w:val="20"/>
          <w:szCs w:val="20"/>
        </w:rPr>
      </w:pPr>
      <w:r w:rsidRPr="00E72405">
        <w:rPr>
          <w:rStyle w:val="hps"/>
          <w:rFonts w:ascii="Cambria" w:hAnsi="Cambria" w:cs="Arial"/>
          <w:sz w:val="20"/>
          <w:szCs w:val="20"/>
        </w:rPr>
        <w:t>Likewise, the following is one of the recommendations made in the CNV’s Final Report:</w:t>
      </w:r>
      <w:r w:rsidRPr="00E72405">
        <w:rPr>
          <w:rStyle w:val="FootnoteReference"/>
          <w:rFonts w:ascii="Cambria" w:hAnsi="Cambria" w:cs="Arial"/>
        </w:rPr>
        <w:footnoteReference w:id="280"/>
      </w:r>
    </w:p>
    <w:p w:rsidR="007F35B9" w:rsidRPr="00E72405" w:rsidRDefault="007F35B9" w:rsidP="007F35B9">
      <w:pPr>
        <w:spacing w:after="0" w:line="240" w:lineRule="auto"/>
        <w:ind w:left="720"/>
        <w:jc w:val="both"/>
        <w:rPr>
          <w:rStyle w:val="hps"/>
          <w:rFonts w:ascii="Cambria" w:hAnsi="Cambria" w:cs="Arial"/>
          <w:sz w:val="20"/>
          <w:szCs w:val="20"/>
        </w:rPr>
      </w:pPr>
    </w:p>
    <w:p w:rsidR="007F35B9" w:rsidRPr="00E72405" w:rsidRDefault="007F35B9" w:rsidP="00E521FD">
      <w:pPr>
        <w:spacing w:line="240" w:lineRule="auto"/>
        <w:ind w:left="720" w:right="720"/>
        <w:jc w:val="both"/>
        <w:rPr>
          <w:rStyle w:val="hps"/>
          <w:rFonts w:ascii="Cambria" w:hAnsi="Cambria"/>
          <w:sz w:val="18"/>
          <w:szCs w:val="18"/>
        </w:rPr>
      </w:pPr>
      <w:r w:rsidRPr="00E72405">
        <w:rPr>
          <w:rStyle w:val="hps"/>
          <w:rFonts w:ascii="Cambria" w:hAnsi="Cambria"/>
          <w:sz w:val="18"/>
          <w:szCs w:val="18"/>
        </w:rPr>
        <w:t>The competent organs must establish the legal culpability –criminal, civil and administrative- of the government agents that caused the serious human rights violations that occurred during the period investigated by the CNV, and, in the case of these agents, must reverse the application of the amnesty provisions set forth in Law No. 6683 of August 28, 1979, and other provisions of the Constitution and the law.</w:t>
      </w:r>
      <w:r w:rsidRPr="00E72405">
        <w:rPr>
          <w:rStyle w:val="FootnoteReference"/>
          <w:rFonts w:ascii="Cambria" w:hAnsi="Cambria"/>
          <w:sz w:val="18"/>
          <w:szCs w:val="18"/>
        </w:rPr>
        <w:footnoteReference w:id="281"/>
      </w:r>
    </w:p>
    <w:p w:rsidR="007F35B9" w:rsidRPr="00E72405" w:rsidRDefault="007F35B9" w:rsidP="007F35B9">
      <w:pPr>
        <w:spacing w:after="0" w:line="240" w:lineRule="auto"/>
        <w:jc w:val="both"/>
        <w:rPr>
          <w:rFonts w:ascii="Cambria" w:hAnsi="Cambria"/>
          <w:sz w:val="20"/>
          <w:szCs w:val="20"/>
        </w:rPr>
      </w:pPr>
    </w:p>
    <w:p w:rsidR="00DE0BC3" w:rsidRPr="00E72405" w:rsidRDefault="00DE0BC3" w:rsidP="00181A2D">
      <w:pPr>
        <w:pStyle w:val="Heading1"/>
      </w:pPr>
      <w:bookmarkStart w:id="24" w:name="_Toc433359810"/>
      <w:r w:rsidRPr="00E72405">
        <w:t>VII. ANALYSIS OF THE MERITS</w:t>
      </w:r>
      <w:bookmarkEnd w:id="24"/>
    </w:p>
    <w:p w:rsidR="00181A2D" w:rsidRPr="00E72405" w:rsidRDefault="00181A2D" w:rsidP="00E521FD">
      <w:pPr>
        <w:spacing w:after="0" w:line="240" w:lineRule="auto"/>
        <w:jc w:val="both"/>
        <w:rPr>
          <w:lang w:val="es-ES_tradnl"/>
        </w:rPr>
      </w:pPr>
    </w:p>
    <w:p w:rsidR="00DE0BC3" w:rsidRPr="00E72405" w:rsidRDefault="00DE0BC3" w:rsidP="00E521FD">
      <w:pPr>
        <w:pStyle w:val="Heading2"/>
        <w:numPr>
          <w:ilvl w:val="0"/>
          <w:numId w:val="36"/>
        </w:numPr>
        <w:ind w:hanging="720"/>
        <w:jc w:val="both"/>
      </w:pPr>
      <w:bookmarkStart w:id="25" w:name="_Toc433359811"/>
      <w:r w:rsidRPr="00E72405">
        <w:t>Analysis of the violation of Article I (Right to life, liberty and personal security), and Article XXV (Right of protection from arbitrary arrest) of the American Declaration</w:t>
      </w:r>
      <w:bookmarkEnd w:id="25"/>
    </w:p>
    <w:p w:rsidR="00DE0BC3" w:rsidRPr="00E72405" w:rsidRDefault="00DE0BC3" w:rsidP="00DE0BC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Article I of the American Declaration states that “[e]very human being has the right to life, liberty and the security of his person.”</w:t>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Article XXV of said instrument states that:</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ind w:left="720" w:right="720"/>
        <w:jc w:val="both"/>
        <w:rPr>
          <w:rFonts w:ascii="Cambria" w:hAnsi="Cambria"/>
          <w:sz w:val="18"/>
          <w:szCs w:val="18"/>
        </w:rPr>
      </w:pPr>
      <w:r w:rsidRPr="00E72405">
        <w:rPr>
          <w:rFonts w:ascii="Cambria" w:hAnsi="Cambria"/>
          <w:sz w:val="18"/>
          <w:szCs w:val="18"/>
        </w:rPr>
        <w:t>No person may be deprived of his liberty except in the cases and according to the procedures established by pre-existing laws.</w:t>
      </w:r>
    </w:p>
    <w:p w:rsidR="00DE0BC3" w:rsidRPr="00E72405" w:rsidRDefault="00DE0BC3" w:rsidP="00DE0BC3">
      <w:pPr>
        <w:ind w:left="720" w:right="720"/>
        <w:jc w:val="both"/>
        <w:rPr>
          <w:rFonts w:ascii="Cambria" w:hAnsi="Cambria"/>
          <w:sz w:val="18"/>
          <w:szCs w:val="18"/>
        </w:rPr>
      </w:pPr>
      <w:r w:rsidRPr="00E72405">
        <w:rPr>
          <w:rFonts w:ascii="Cambria" w:hAnsi="Cambria"/>
          <w:sz w:val="18"/>
          <w:szCs w:val="18"/>
        </w:rPr>
        <w:t>[…]Every individual who has been deprived of his liberty has the right to have the legality of his detention ascertained without delay by a court, and the right to be tried without undue delay or, otherwise, to be released.  He also has the right to humane treatment during the time he is in custody.</w:t>
      </w:r>
    </w:p>
    <w:p w:rsidR="00DE0BC3" w:rsidRPr="00E72405" w:rsidRDefault="00DE0BC3" w:rsidP="00DE0BC3">
      <w:pPr>
        <w:ind w:left="720"/>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cs="Arial"/>
          <w:sz w:val="20"/>
          <w:szCs w:val="20"/>
        </w:rPr>
        <w:t xml:space="preserve">The petitioners in this case alleged that the arbitrary detention, torture and execution of journalist Vladimir Herzog constituted a serious human rights violation, within a framework of systematic patterns, resulting in the violation of articles I and XXV of the American Declaration, to the detriment of the journalist. </w:t>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As was ascertained, these events occurred on October 25, 1975, before Brazil had ratified the American Convention and the Inter-American Convention to Prevent and Punish Torture.  Therefore, the source of law applicable to these events is the American Declaration. The analysis of the events that took place as of July 20, 1989 and September 25, 1992, or those events that could be considered a situation involving an ongoing violation of rights that would continue to exist after the ratification dates previously mentioned, will take place under the American Convention and the Inter-American Convention to Prevent and Punish Torture.</w:t>
      </w:r>
      <w:r w:rsidRPr="00E72405">
        <w:rPr>
          <w:rStyle w:val="FootnoteReference"/>
          <w:rFonts w:ascii="Cambria" w:hAnsi="Cambria"/>
          <w:sz w:val="20"/>
          <w:szCs w:val="20"/>
        </w:rPr>
        <w:t xml:space="preserve"> </w:t>
      </w:r>
      <w:r w:rsidRPr="00E72405">
        <w:rPr>
          <w:rStyle w:val="FootnoteReference"/>
          <w:rFonts w:ascii="Cambria" w:hAnsi="Cambria"/>
          <w:sz w:val="20"/>
          <w:szCs w:val="20"/>
        </w:rPr>
        <w:footnoteReference w:id="282"/>
      </w:r>
      <w:r w:rsidRPr="00E72405">
        <w:rPr>
          <w:rFonts w:ascii="Cambria" w:hAnsi="Cambria"/>
          <w:sz w:val="20"/>
          <w:szCs w:val="20"/>
        </w:rPr>
        <w:t xml:space="preserve"> (</w:t>
      </w:r>
      <w:r w:rsidRPr="00E72405">
        <w:rPr>
          <w:rFonts w:ascii="Cambria" w:hAnsi="Cambria"/>
          <w:i/>
          <w:sz w:val="20"/>
          <w:szCs w:val="20"/>
        </w:rPr>
        <w:t>infra</w:t>
      </w:r>
      <w:r w:rsidR="00A33A29" w:rsidRPr="00E72405">
        <w:rPr>
          <w:rFonts w:ascii="Cambria" w:hAnsi="Cambria"/>
          <w:sz w:val="20"/>
          <w:szCs w:val="20"/>
        </w:rPr>
        <w:t xml:space="preserve"> </w:t>
      </w:r>
      <w:proofErr w:type="spellStart"/>
      <w:r w:rsidR="00A33A29" w:rsidRPr="00E72405">
        <w:rPr>
          <w:rFonts w:ascii="Cambria" w:hAnsi="Cambria"/>
          <w:sz w:val="20"/>
          <w:szCs w:val="20"/>
        </w:rPr>
        <w:t>párr</w:t>
      </w:r>
      <w:proofErr w:type="spellEnd"/>
      <w:r w:rsidR="00A33A29" w:rsidRPr="00E72405">
        <w:rPr>
          <w:rFonts w:ascii="Cambria" w:hAnsi="Cambria"/>
          <w:sz w:val="20"/>
          <w:szCs w:val="20"/>
        </w:rPr>
        <w:t>. 83</w:t>
      </w:r>
      <w:r w:rsidRPr="00E72405">
        <w:rPr>
          <w:rFonts w:ascii="Cambria" w:hAnsi="Cambria"/>
          <w:sz w:val="20"/>
          <w:szCs w:val="20"/>
        </w:rPr>
        <w:t>)</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With regard to the American Declaration, it should be noted that the inter-American system has argued that this instrument is a source of international obligations for all Member States of the OAS, including those that have ratified the American Convention.</w:t>
      </w:r>
      <w:r w:rsidRPr="00E72405">
        <w:rPr>
          <w:rStyle w:val="FootnoteReference"/>
          <w:rFonts w:ascii="Cambria" w:hAnsi="Cambria"/>
          <w:sz w:val="20"/>
          <w:szCs w:val="20"/>
        </w:rPr>
        <w:footnoteReference w:id="283"/>
      </w:r>
      <w:r w:rsidRPr="00E72405">
        <w:rPr>
          <w:rFonts w:ascii="Cambria" w:hAnsi="Cambria"/>
          <w:sz w:val="20"/>
          <w:szCs w:val="20"/>
        </w:rPr>
        <w:t xml:space="preserve"> The American Declaration is part of the human rights framework set forth by the Member States of the OAS, which refers to the obligations and responsibilities of the States, and requires them to abstain from supporting, tolerating or participating in actions or omissions that undermine their human rights commitments.  Traditionally, the Commission has interpreted the scope of the obligations under the American Declaration in the broader context of the international and inter-American human rights systems, taking into account the evolution of the field of international human rights law since the instrument was approved, and with due respect to the other rules of international law applicable in the Member States.</w:t>
      </w:r>
      <w:r w:rsidRPr="00E72405">
        <w:rPr>
          <w:rStyle w:val="FootnoteReference"/>
          <w:rFonts w:ascii="Cambria" w:hAnsi="Cambria"/>
          <w:sz w:val="20"/>
          <w:szCs w:val="20"/>
        </w:rPr>
        <w:footnoteReference w:id="284"/>
      </w:r>
      <w:r w:rsidRPr="00E72405">
        <w:rPr>
          <w:rFonts w:ascii="Cambria" w:hAnsi="Cambria"/>
          <w:sz w:val="20"/>
          <w:szCs w:val="20"/>
        </w:rPr>
        <w:t xml:space="preserve">  </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In the instant case, the State recognized “the arbitrary detention, torture and murder of Vladimir Herzog” by State agents while the victim was under custody at an Army facility. The State invoked the sentence of the federal judge in charge of declaratory action No. 136-76, which finds that there is "no mention of the existence of an investigation in which Vladimir Herzog has been charged with a crime, or arrest warrant, or competent authority that issued it, including the communication of the detention to the competent judge"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112</w:t>
      </w:r>
      <w:r w:rsidRPr="00E72405">
        <w:rPr>
          <w:rFonts w:ascii="Cambria" w:hAnsi="Cambria" w:cs="Arial"/>
          <w:sz w:val="20"/>
          <w:szCs w:val="20"/>
        </w:rPr>
        <w:t>)</w:t>
      </w:r>
    </w:p>
    <w:p w:rsidR="00DE0BC3" w:rsidRPr="00E72405" w:rsidRDefault="00DE0BC3" w:rsidP="00DE0BC3">
      <w:pPr>
        <w:pStyle w:val="ListParagraph"/>
        <w:rPr>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Indeed, as has been ascertained, the arrest of journalist Vladimir Herzog on October 25, 1975 was not preceded by an arrest warrant issued within a criminal investigation by a competent judge. Neither did the journalist know the motives and reasons for his arrest when it took place, nor was he immediately brought before the competent court, for the necessary steps for judicial review of the detention to be practiced, as required by articles I and XXV of the American Declaration.  </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Style w:val="hps"/>
          <w:rFonts w:ascii="Cambria" w:hAnsi="Cambria"/>
          <w:sz w:val="20"/>
          <w:szCs w:val="20"/>
        </w:rPr>
      </w:pPr>
      <w:r w:rsidRPr="00E72405">
        <w:rPr>
          <w:rFonts w:ascii="Cambria" w:hAnsi="Cambria"/>
          <w:sz w:val="20"/>
          <w:szCs w:val="20"/>
        </w:rPr>
        <w:t xml:space="preserve">On the contrary, at the request of Lieutenant Colonel </w:t>
      </w:r>
      <w:proofErr w:type="spellStart"/>
      <w:r w:rsidRPr="00E72405">
        <w:rPr>
          <w:rFonts w:ascii="Cambria" w:hAnsi="Cambria"/>
          <w:sz w:val="20"/>
          <w:szCs w:val="20"/>
        </w:rPr>
        <w:t>Audir</w:t>
      </w:r>
      <w:proofErr w:type="spellEnd"/>
      <w:r w:rsidRPr="00E72405">
        <w:rPr>
          <w:rFonts w:ascii="Cambria" w:hAnsi="Cambria"/>
          <w:sz w:val="20"/>
          <w:szCs w:val="20"/>
        </w:rPr>
        <w:t xml:space="preserve"> Santos </w:t>
      </w:r>
      <w:proofErr w:type="spellStart"/>
      <w:r w:rsidRPr="00E72405">
        <w:rPr>
          <w:rFonts w:ascii="Cambria" w:hAnsi="Cambria"/>
          <w:sz w:val="20"/>
          <w:szCs w:val="20"/>
        </w:rPr>
        <w:t>Maciel</w:t>
      </w:r>
      <w:proofErr w:type="spellEnd"/>
      <w:r w:rsidRPr="00E72405">
        <w:rPr>
          <w:rFonts w:ascii="Cambria" w:hAnsi="Cambria"/>
          <w:sz w:val="20"/>
          <w:szCs w:val="20"/>
        </w:rPr>
        <w:t>, Vladimir Herzog showed up on October 25 at 8:00 am at the DOI/CODI/SP to provide statement. In the military unit, he was deprived of his liberty, incommunicado and forced to wear a military uniform with a black cloth hood over his head. That same day, Herzog was taken to an interrogation room where he was tortured to recognize his participation in one of the journalist cells of the Communist Party of Brazil. In the afternoon, 38-year-old Vladimir Herzog was killed by strangulation</w:t>
      </w:r>
      <w:r w:rsidRPr="00E72405">
        <w:rPr>
          <w:rStyle w:val="hps"/>
          <w:rFonts w:ascii="Cambria" w:hAnsi="Cambria" w:cs="Arial"/>
          <w:sz w:val="20"/>
          <w:szCs w:val="20"/>
        </w:rPr>
        <w:t xml:space="preserve">.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79-83</w:t>
      </w:r>
      <w:r w:rsidRPr="00E72405">
        <w:rPr>
          <w:rFonts w:ascii="Cambria" w:hAnsi="Cambria" w:cs="Arial"/>
          <w:sz w:val="20"/>
          <w:szCs w:val="20"/>
        </w:rPr>
        <w:t>)</w:t>
      </w:r>
    </w:p>
    <w:p w:rsidR="00DE0BC3" w:rsidRPr="00E72405" w:rsidRDefault="00DE0BC3" w:rsidP="00DE0BC3">
      <w:pPr>
        <w:spacing w:after="0" w:line="240" w:lineRule="auto"/>
        <w:jc w:val="both"/>
        <w:rPr>
          <w:rStyle w:val="hps"/>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b/>
          <w:sz w:val="20"/>
          <w:szCs w:val="20"/>
        </w:rPr>
      </w:pPr>
      <w:r w:rsidRPr="00E72405">
        <w:rPr>
          <w:rStyle w:val="hps"/>
          <w:rFonts w:ascii="Cambria" w:hAnsi="Cambria" w:cs="Arial"/>
          <w:sz w:val="20"/>
          <w:szCs w:val="20"/>
        </w:rPr>
        <w:t xml:space="preserve">The detention, torture and murder of the victim took place in the context of serious human rights violations that occurred during the dictatorship, and in particular, within a recognized systematic </w:t>
      </w:r>
      <w:r w:rsidRPr="00E72405">
        <w:rPr>
          <w:rStyle w:val="hps"/>
          <w:rFonts w:ascii="Cambria" w:hAnsi="Cambria" w:cs="Arial"/>
          <w:sz w:val="20"/>
          <w:szCs w:val="20"/>
        </w:rPr>
        <w:lastRenderedPageBreak/>
        <w:t>pattern of "repressive actions against the Communist Party of Brazil (PCB)", by which dozens of activists and at least 12 journalists were arrested and tortured for their activism or suspicion of activism in the PCB, which led to “the physical elimination of almost all” of the central committee of the</w:t>
      </w:r>
      <w:r w:rsidRPr="00E72405">
        <w:rPr>
          <w:rStyle w:val="Emphasis"/>
          <w:rFonts w:ascii="Cambria" w:hAnsi="Cambria"/>
          <w:sz w:val="20"/>
          <w:szCs w:val="20"/>
        </w:rPr>
        <w:t xml:space="preserve"> </w:t>
      </w:r>
      <w:r w:rsidRPr="00E72405">
        <w:rPr>
          <w:rStyle w:val="Emphasis"/>
          <w:rFonts w:ascii="Cambria" w:hAnsi="Cambria"/>
          <w:i w:val="0"/>
          <w:sz w:val="20"/>
          <w:szCs w:val="20"/>
        </w:rPr>
        <w:t>PCB.</w:t>
      </w:r>
      <w:r w:rsidRPr="00E72405">
        <w:rPr>
          <w:rStyle w:val="Emphasis"/>
          <w:rFonts w:ascii="Cambria" w:hAnsi="Cambria"/>
          <w:sz w:val="20"/>
          <w:szCs w:val="20"/>
        </w:rPr>
        <w:t xml:space="preserve">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xml:space="preserve">. </w:t>
      </w:r>
      <w:r w:rsidR="00511E01" w:rsidRPr="00E72405">
        <w:rPr>
          <w:rFonts w:ascii="Cambria" w:hAnsi="Cambria" w:cs="Arial"/>
          <w:sz w:val="20"/>
          <w:szCs w:val="20"/>
        </w:rPr>
        <w:t>67 and</w:t>
      </w:r>
      <w:r w:rsidR="00A33A29" w:rsidRPr="00E72405">
        <w:rPr>
          <w:rFonts w:ascii="Cambria" w:hAnsi="Cambria" w:cs="Arial"/>
          <w:sz w:val="20"/>
          <w:szCs w:val="20"/>
        </w:rPr>
        <w:t xml:space="preserve"> 68</w:t>
      </w:r>
      <w:r w:rsidRPr="00E72405">
        <w:rPr>
          <w:rFonts w:ascii="Cambria" w:hAnsi="Cambria" w:cs="Arial"/>
          <w:sz w:val="20"/>
          <w:szCs w:val="20"/>
        </w:rPr>
        <w:t>)</w:t>
      </w:r>
    </w:p>
    <w:p w:rsidR="00DE0BC3" w:rsidRPr="00E72405" w:rsidRDefault="00DE0BC3" w:rsidP="00DE0BC3">
      <w:pPr>
        <w:spacing w:after="0" w:line="240" w:lineRule="auto"/>
        <w:jc w:val="both"/>
        <w:rPr>
          <w:rFonts w:ascii="Cambria" w:hAnsi="Cambria" w:cs="Arial"/>
          <w:b/>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b/>
          <w:sz w:val="20"/>
          <w:szCs w:val="20"/>
        </w:rPr>
      </w:pPr>
      <w:r w:rsidRPr="00E72405">
        <w:rPr>
          <w:rFonts w:ascii="Cambria" w:hAnsi="Cambria"/>
          <w:sz w:val="20"/>
          <w:szCs w:val="20"/>
        </w:rPr>
        <w:t xml:space="preserve">The incompatibility of these actions with the international human rights obligations set forth in the American Declaration are evident. </w:t>
      </w:r>
    </w:p>
    <w:p w:rsidR="00DE0BC3" w:rsidRPr="00E72405" w:rsidRDefault="00DE0BC3" w:rsidP="00DE0BC3">
      <w:pPr>
        <w:spacing w:after="0" w:line="240" w:lineRule="auto"/>
        <w:jc w:val="both"/>
        <w:rPr>
          <w:rFonts w:ascii="Cambria" w:hAnsi="Cambria" w:cs="Arial"/>
          <w:b/>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b/>
          <w:sz w:val="20"/>
          <w:szCs w:val="20"/>
        </w:rPr>
      </w:pPr>
      <w:r w:rsidRPr="00E72405">
        <w:rPr>
          <w:rFonts w:ascii="Cambria" w:hAnsi="Cambria"/>
          <w:color w:val="000000"/>
          <w:sz w:val="20"/>
          <w:szCs w:val="20"/>
        </w:rPr>
        <w:t>First, under Articles I and XXVI of the American Declaration, the protection of individuals against unlawful or arbitrary interference with their freedom by the State requires that “any deprivation of liberty be carried out in accordance with pre-established law, that a detainee be informed of the reasons for the detention and promptly notified of any charges against them, that any person deprived of liberty is entitled to juridical recourse, to obtain, without delay, a determination of the legality of the detention, and that the person be tried within a reasonable time or released pending the continuation of proceedings”.</w:t>
      </w:r>
      <w:r w:rsidRPr="00E72405">
        <w:rPr>
          <w:rStyle w:val="FootnoteReference"/>
          <w:rFonts w:ascii="Cambria" w:hAnsi="Cambria"/>
          <w:color w:val="000000"/>
          <w:sz w:val="20"/>
          <w:szCs w:val="20"/>
        </w:rPr>
        <w:footnoteReference w:id="285"/>
      </w:r>
      <w:r w:rsidRPr="00E72405">
        <w:rPr>
          <w:rFonts w:ascii="Cambria" w:hAnsi="Cambria"/>
          <w:color w:val="000000"/>
          <w:sz w:val="20"/>
          <w:szCs w:val="20"/>
        </w:rPr>
        <w:t xml:space="preserve"> These obligations also include the right not to be subjected to detention or imprisonment for causes or methods that - although qualified as legal - may be considered incompatible with respect for the fundamental rights of the individual because they are, among other things, unreasonable, unforeseeable or out of proportion.</w:t>
      </w:r>
      <w:r w:rsidRPr="00E72405">
        <w:rPr>
          <w:rStyle w:val="FootnoteReference"/>
          <w:rFonts w:ascii="Cambria" w:hAnsi="Cambria"/>
          <w:sz w:val="20"/>
          <w:szCs w:val="20"/>
        </w:rPr>
        <w:footnoteReference w:id="286"/>
      </w:r>
      <w:r w:rsidRPr="00E72405">
        <w:rPr>
          <w:rFonts w:ascii="Cambria" w:hAnsi="Cambria"/>
          <w:sz w:val="20"/>
          <w:szCs w:val="20"/>
        </w:rPr>
        <w:t xml:space="preserve"> For a detention not to be arbitrary, the purpose of the measures that deprive or restrict liberty must be compatible with international human rights law and be suitable to fulfill the aim pursued.</w:t>
      </w:r>
      <w:r w:rsidRPr="00E72405">
        <w:rPr>
          <w:rStyle w:val="FootnoteReference"/>
          <w:rFonts w:ascii="Cambria" w:hAnsi="Cambria"/>
          <w:sz w:val="20"/>
          <w:szCs w:val="20"/>
        </w:rPr>
        <w:footnoteReference w:id="287"/>
      </w:r>
      <w:r w:rsidRPr="00E72405">
        <w:rPr>
          <w:rFonts w:ascii="Cambria" w:hAnsi="Cambria" w:cs="Arial"/>
          <w:sz w:val="20"/>
          <w:szCs w:val="20"/>
        </w:rPr>
        <w:t xml:space="preserve"> </w:t>
      </w:r>
    </w:p>
    <w:p w:rsidR="00DE0BC3" w:rsidRPr="00E72405" w:rsidRDefault="00DE0BC3" w:rsidP="00DE0BC3">
      <w:pPr>
        <w:spacing w:after="0" w:line="240" w:lineRule="auto"/>
        <w:ind w:left="720"/>
        <w:jc w:val="both"/>
        <w:rPr>
          <w:rFonts w:ascii="Cambria" w:hAnsi="Cambria" w:cs="Arial"/>
          <w:b/>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cs="Arial"/>
          <w:sz w:val="20"/>
          <w:szCs w:val="20"/>
        </w:rPr>
        <w:t>In the instant case, it is not only clearly impossible to invoke any legal basis justifying the detention of Vladimir Herzog. The measure aimed to punish the journalist’s alleged activism and political views. In other words, it was based on the exercise of his rights to freedom of thought and expression and freedom of association, which is not a legitimate purpose, in virtue of democratic principles, justifying the deprivation of liberty of a person, and results in an arbitrary detention, thus violating Article XXV of the American Declaration.</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Secondly, the right of persons deprived of their liberty to humane treatment in the custody of the State is a universally accepted norm in international law. The American Declaration contains a number of provisions in this regard. The Commission has interpreted that Article I of the Declaration (Right to life, liberty and personal security) contains a prohibition of the use of torture or other cruel, inhuman or degrading treatment against individuals under any circumstances, similar to that of Article 5 of the American Convention.</w:t>
      </w:r>
      <w:r w:rsidRPr="00E72405">
        <w:rPr>
          <w:rStyle w:val="FootnoteReference"/>
          <w:rFonts w:ascii="Cambria" w:hAnsi="Cambria"/>
          <w:sz w:val="20"/>
          <w:szCs w:val="20"/>
        </w:rPr>
        <w:footnoteReference w:id="288"/>
      </w:r>
      <w:r w:rsidRPr="00E72405">
        <w:rPr>
          <w:rFonts w:ascii="Cambria" w:hAnsi="Cambria"/>
          <w:sz w:val="20"/>
          <w:szCs w:val="20"/>
        </w:rPr>
        <w:t xml:space="preserve"> Additionally, Articles XXV and XXVI of the Declaration concern the right to humane treatment in the context of the rights to protection against arbitrary detention and due process.</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cs="Arial"/>
          <w:sz w:val="20"/>
          <w:szCs w:val="20"/>
        </w:rPr>
        <w:t>Both the Court,</w:t>
      </w:r>
      <w:r w:rsidRPr="00E72405">
        <w:rPr>
          <w:rStyle w:val="FootnoteReference"/>
          <w:rFonts w:ascii="Cambria" w:hAnsi="Cambria"/>
          <w:sz w:val="20"/>
          <w:szCs w:val="20"/>
        </w:rPr>
        <w:footnoteReference w:id="289"/>
      </w:r>
      <w:r w:rsidRPr="00E72405">
        <w:rPr>
          <w:rFonts w:ascii="Cambria" w:hAnsi="Cambria" w:cs="Arial"/>
          <w:sz w:val="20"/>
          <w:szCs w:val="20"/>
        </w:rPr>
        <w:t xml:space="preserve"> and the Commission have consistently stated that an international legal regime has been formed prohibiting all forms of torture, a prohibition that nowadays belongs to the domain of international </w:t>
      </w:r>
      <w:r w:rsidRPr="00E72405">
        <w:rPr>
          <w:rFonts w:ascii="Cambria" w:hAnsi="Cambria" w:cs="Arial"/>
          <w:i/>
          <w:sz w:val="20"/>
          <w:szCs w:val="20"/>
        </w:rPr>
        <w:t xml:space="preserve">jus </w:t>
      </w:r>
      <w:proofErr w:type="spellStart"/>
      <w:r w:rsidRPr="00E72405">
        <w:rPr>
          <w:rFonts w:ascii="Cambria" w:hAnsi="Cambria" w:cs="Arial"/>
          <w:i/>
          <w:sz w:val="20"/>
          <w:szCs w:val="20"/>
        </w:rPr>
        <w:t>cogens</w:t>
      </w:r>
      <w:proofErr w:type="spellEnd"/>
      <w:r w:rsidRPr="00E72405">
        <w:rPr>
          <w:rFonts w:ascii="Cambria" w:hAnsi="Cambria" w:cs="Arial"/>
          <w:i/>
          <w:sz w:val="20"/>
          <w:szCs w:val="20"/>
        </w:rPr>
        <w:t>.</w:t>
      </w:r>
      <w:r w:rsidRPr="00E72405">
        <w:rPr>
          <w:rStyle w:val="FootnoteReference"/>
          <w:rFonts w:ascii="Cambria" w:hAnsi="Cambria" w:cs="Arial"/>
          <w:sz w:val="20"/>
          <w:szCs w:val="20"/>
        </w:rPr>
        <w:footnoteReference w:id="290"/>
      </w:r>
      <w:r w:rsidRPr="00E72405">
        <w:rPr>
          <w:rFonts w:ascii="Cambria" w:hAnsi="Cambria" w:cs="Arial"/>
          <w:sz w:val="20"/>
          <w:szCs w:val="20"/>
        </w:rPr>
        <w:t xml:space="preserve"> The Court has also understood that there is a constitutive act of torture when the mistreatment is: a) intentional; b) causes severe physical or mental suffering, and c) is committed with any purpose or objective,</w:t>
      </w:r>
      <w:r w:rsidRPr="00E72405">
        <w:rPr>
          <w:rStyle w:val="FootnoteReference"/>
          <w:rFonts w:ascii="Cambria" w:hAnsi="Cambria"/>
          <w:sz w:val="20"/>
          <w:szCs w:val="20"/>
        </w:rPr>
        <w:footnoteReference w:id="291"/>
      </w:r>
      <w:r w:rsidRPr="00E72405">
        <w:rPr>
          <w:rFonts w:ascii="Cambria" w:hAnsi="Cambria"/>
          <w:sz w:val="20"/>
          <w:szCs w:val="20"/>
        </w:rPr>
        <w:t xml:space="preserve"> </w:t>
      </w:r>
      <w:r w:rsidRPr="00E72405">
        <w:rPr>
          <w:rFonts w:ascii="Cambria" w:hAnsi="Cambria" w:cs="Arial"/>
          <w:sz w:val="20"/>
          <w:szCs w:val="20"/>
        </w:rPr>
        <w:t>including the investigation of crimes</w:t>
      </w:r>
      <w:r w:rsidRPr="00E72405">
        <w:rPr>
          <w:rFonts w:ascii="Cambria" w:hAnsi="Cambria"/>
          <w:sz w:val="20"/>
          <w:szCs w:val="20"/>
        </w:rPr>
        <w:t xml:space="preserve">. </w:t>
      </w:r>
    </w:p>
    <w:p w:rsidR="00481A9C" w:rsidRPr="00E72405" w:rsidRDefault="00481A9C" w:rsidP="00481A9C">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 xml:space="preserve">It was determined in the domestic realm that torture was used repeatedly against Vladimir Herzog during his detention in the DOI/CODI/SP. Although all of the methods of abuse that were used are </w:t>
      </w:r>
      <w:r w:rsidRPr="00E72405">
        <w:rPr>
          <w:rFonts w:ascii="Cambria" w:hAnsi="Cambria"/>
          <w:sz w:val="20"/>
          <w:szCs w:val="20"/>
        </w:rPr>
        <w:lastRenderedPageBreak/>
        <w:t xml:space="preserve">unknown, on the basis of witness statements and technical work made by the CNV it has been determined that Herzog was hooded, subjected to electric shocks, deafening noises and techniques of drowning and suffocation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8</w:t>
      </w:r>
      <w:r w:rsidR="00511E01" w:rsidRPr="00E72405">
        <w:rPr>
          <w:rFonts w:ascii="Cambria" w:hAnsi="Cambria" w:cs="Arial"/>
          <w:sz w:val="20"/>
          <w:szCs w:val="20"/>
        </w:rPr>
        <w:t>1-83 and</w:t>
      </w:r>
      <w:r w:rsidR="00A33A29" w:rsidRPr="00E72405">
        <w:rPr>
          <w:rFonts w:ascii="Cambria" w:hAnsi="Cambria" w:cs="Arial"/>
          <w:sz w:val="20"/>
          <w:szCs w:val="20"/>
        </w:rPr>
        <w:t xml:space="preserve"> 135</w:t>
      </w:r>
      <w:r w:rsidRPr="00E72405">
        <w:rPr>
          <w:rFonts w:ascii="Cambria" w:hAnsi="Cambria" w:cs="Arial"/>
          <w:sz w:val="20"/>
          <w:szCs w:val="20"/>
        </w:rPr>
        <w:t>)</w:t>
      </w:r>
      <w:r w:rsidRPr="00E72405">
        <w:rPr>
          <w:rFonts w:ascii="Cambria" w:hAnsi="Cambria"/>
          <w:sz w:val="20"/>
          <w:szCs w:val="20"/>
        </w:rPr>
        <w:t xml:space="preserve">. In the instant case, the abuse applied against Vladimir Herzog by State agents was the result of deliberate action taken in order to extract a confession incriminating him about his involvement in a cell of PCB journalists and to punish him for his political views. The severity of the injuries confirmed in this case is obvious. Vladimir Herzog was subjected to physical abuse that not only caused him harsh suffering; he was also executed under intense torture. </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cs="Arial"/>
          <w:sz w:val="20"/>
          <w:szCs w:val="20"/>
        </w:rPr>
        <w:t xml:space="preserve">Eyewitnesses could hear the journalist’s screams and those of his interrogator, police agent Mira </w:t>
      </w:r>
      <w:proofErr w:type="spellStart"/>
      <w:r w:rsidRPr="00E72405">
        <w:rPr>
          <w:rFonts w:ascii="Cambria" w:hAnsi="Cambria" w:cs="Arial"/>
          <w:sz w:val="20"/>
          <w:szCs w:val="20"/>
        </w:rPr>
        <w:t>Granciere</w:t>
      </w:r>
      <w:proofErr w:type="spellEnd"/>
      <w:r w:rsidRPr="00E72405">
        <w:rPr>
          <w:rFonts w:ascii="Cambria" w:hAnsi="Cambria" w:cs="Arial"/>
          <w:sz w:val="20"/>
          <w:szCs w:val="20"/>
        </w:rPr>
        <w:t xml:space="preserve">; "[t]he requirement was that Vladimir Herzog acknowledge his involvement in one of the cells of the Brazilian Communist Party.” They said that "Herzog’s screams while he was being tortured were mixed with [the] sound" of a radio. They also noted that, "at a certain moment, the sound of Vladimir’s voice changed, as if they had put something in his mouth; his voice was muffled, as if they had put a gag.”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xml:space="preserve">. </w:t>
      </w:r>
      <w:r w:rsidR="00511E01" w:rsidRPr="00E72405">
        <w:rPr>
          <w:rFonts w:ascii="Cambria" w:hAnsi="Cambria" w:cs="Arial"/>
          <w:sz w:val="20"/>
          <w:szCs w:val="20"/>
        </w:rPr>
        <w:t>81 and</w:t>
      </w:r>
      <w:r w:rsidR="00A33A29" w:rsidRPr="00E72405">
        <w:rPr>
          <w:rFonts w:ascii="Cambria" w:hAnsi="Cambria" w:cs="Arial"/>
          <w:sz w:val="20"/>
          <w:szCs w:val="20"/>
        </w:rPr>
        <w:t xml:space="preserve"> 82</w:t>
      </w:r>
      <w:r w:rsidRPr="00E72405">
        <w:rPr>
          <w:rFonts w:ascii="Cambria" w:hAnsi="Cambria" w:cs="Arial"/>
          <w:sz w:val="20"/>
          <w:szCs w:val="20"/>
        </w:rPr>
        <w:t>)</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cs="Arial"/>
          <w:sz w:val="20"/>
          <w:szCs w:val="20"/>
        </w:rPr>
        <w:t xml:space="preserve">In his statement on these events Osvaldo Rodolfo </w:t>
      </w:r>
      <w:proofErr w:type="spellStart"/>
      <w:r w:rsidRPr="00E72405">
        <w:rPr>
          <w:rFonts w:ascii="Cambria" w:hAnsi="Cambria" w:cs="Arial"/>
          <w:sz w:val="20"/>
          <w:szCs w:val="20"/>
        </w:rPr>
        <w:t>Konder</w:t>
      </w:r>
      <w:proofErr w:type="spellEnd"/>
      <w:r w:rsidRPr="00E72405">
        <w:rPr>
          <w:rFonts w:ascii="Cambria" w:hAnsi="Cambria" w:cs="Arial"/>
          <w:sz w:val="20"/>
          <w:szCs w:val="20"/>
        </w:rPr>
        <w:t xml:space="preserve">, the last witness that saw Herzog alive, said that the victim was in the interrogation room; and when he went in a second time to see him "he was sitting in the same chair [for electric shocks], with the hood over his head, but now he seemed especially nervous, his hands trembled and his voice was very weak. Then the interrogator asked Vladimir [to] speak [to </w:t>
      </w:r>
      <w:proofErr w:type="spellStart"/>
      <w:r w:rsidRPr="00E72405">
        <w:rPr>
          <w:rFonts w:ascii="Cambria" w:hAnsi="Cambria" w:cs="Arial"/>
          <w:sz w:val="20"/>
          <w:szCs w:val="20"/>
        </w:rPr>
        <w:t>Konder</w:t>
      </w:r>
      <w:proofErr w:type="spellEnd"/>
      <w:r w:rsidRPr="00E72405">
        <w:rPr>
          <w:rFonts w:ascii="Cambria" w:hAnsi="Cambria" w:cs="Arial"/>
          <w:sz w:val="20"/>
          <w:szCs w:val="20"/>
        </w:rPr>
        <w:t xml:space="preserve">]" about the interrogation.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83</w:t>
      </w:r>
      <w:r w:rsidRPr="00E72405">
        <w:rPr>
          <w:rFonts w:ascii="Cambria" w:hAnsi="Cambria" w:cs="Arial"/>
          <w:sz w:val="20"/>
          <w:szCs w:val="20"/>
        </w:rPr>
        <w:t>)</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Style w:val="hps"/>
          <w:rFonts w:ascii="Cambria" w:hAnsi="Cambria" w:cs="Arial"/>
          <w:sz w:val="20"/>
          <w:szCs w:val="20"/>
        </w:rPr>
        <w:t xml:space="preserve">Almost 40 years after the journalist was murdered, the CNV ordered medical inquiries to determine the circumstances of his death. As stated in the proven events, these experts identified the existence of two neck injuries, both caused while the victim was alive. The inquiry found that the journalist was "strangled, probably with [a] belt.”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135</w:t>
      </w:r>
      <w:r w:rsidRPr="00E72405">
        <w:rPr>
          <w:rFonts w:ascii="Cambria" w:hAnsi="Cambria" w:cs="Arial"/>
          <w:sz w:val="20"/>
          <w:szCs w:val="20"/>
        </w:rPr>
        <w:t>)</w:t>
      </w:r>
    </w:p>
    <w:p w:rsidR="00DE0BC3" w:rsidRPr="00E72405" w:rsidRDefault="00DE0BC3" w:rsidP="00DE0BC3">
      <w:pPr>
        <w:pStyle w:val="ListParagraph"/>
        <w:rPr>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The CIDH considers that all of the above constitute a violation of the right to personal integrity and humane treatment enshrined in Articles I and XXV of the American Convention, to the detriment of Vladimir Herzog. Also, the State’s actions constitute a violation of the journalist’s right to life, pursuant to Article I of the Convention. Given the nature of the rights that were infringed and the context in which the events took place, this crime constitutes a serious human rights violation and demonstrates a gross abandonment of the essential principles on which the inter-American human rights system was based at the time of the events.</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481A9C">
      <w:pPr>
        <w:numPr>
          <w:ilvl w:val="0"/>
          <w:numId w:val="6"/>
        </w:numPr>
        <w:spacing w:after="0" w:line="240" w:lineRule="auto"/>
        <w:ind w:left="0" w:firstLine="720"/>
        <w:jc w:val="both"/>
        <w:rPr>
          <w:rStyle w:val="Emphasis"/>
          <w:rFonts w:ascii="Cambria" w:hAnsi="Cambria"/>
          <w:b/>
          <w:bCs/>
          <w:i w:val="0"/>
          <w:sz w:val="20"/>
          <w:szCs w:val="20"/>
        </w:rPr>
      </w:pPr>
      <w:r w:rsidRPr="00E72405">
        <w:rPr>
          <w:rFonts w:ascii="Cambria" w:hAnsi="Cambria"/>
          <w:sz w:val="20"/>
          <w:szCs w:val="20"/>
        </w:rPr>
        <w:t>Based on the foregoing, the Commission considers that the State is responsible for the violation of the rights to life, liberty, and personal integrity and the right to protection against arbitrary detention, recognized in Articles I and XXV of the American Declaration, to the detriment of journalist Vladimir Herzog.</w:t>
      </w:r>
      <w:r w:rsidRPr="00E72405">
        <w:rPr>
          <w:rStyle w:val="Emphasis"/>
          <w:rFonts w:ascii="Cambria" w:hAnsi="Cambria" w:cs="Arial"/>
          <w:i w:val="0"/>
          <w:sz w:val="20"/>
          <w:szCs w:val="20"/>
        </w:rPr>
        <w:t xml:space="preserve"> </w:t>
      </w:r>
    </w:p>
    <w:p w:rsidR="00481A9C" w:rsidRPr="00E72405" w:rsidRDefault="00481A9C" w:rsidP="00481A9C">
      <w:pPr>
        <w:spacing w:after="0" w:line="240" w:lineRule="auto"/>
        <w:jc w:val="both"/>
        <w:rPr>
          <w:rStyle w:val="Emphasis"/>
          <w:rFonts w:ascii="Cambria" w:hAnsi="Cambria"/>
          <w:b/>
          <w:bCs/>
          <w:i w:val="0"/>
          <w:sz w:val="20"/>
          <w:szCs w:val="20"/>
        </w:rPr>
      </w:pPr>
    </w:p>
    <w:p w:rsidR="00DE0BC3" w:rsidRPr="00E72405" w:rsidRDefault="00DE0BC3" w:rsidP="00181A2D">
      <w:pPr>
        <w:pStyle w:val="Heading2"/>
      </w:pPr>
      <w:bookmarkStart w:id="26" w:name="_Toc433359812"/>
      <w:r w:rsidRPr="00E72405">
        <w:t>Analysis of the violation of Article IV (Right to freedom of investigation, opinion, expression and dissemination) and Article XXII (Right of association) of the American Declaration</w:t>
      </w:r>
      <w:bookmarkEnd w:id="26"/>
    </w:p>
    <w:p w:rsidR="00DE0BC3" w:rsidRPr="00E72405" w:rsidRDefault="00DE0BC3" w:rsidP="00DE0BC3">
      <w:pPr>
        <w:pStyle w:val="Sangradetindependiente"/>
        <w:ind w:left="720" w:right="720"/>
        <w:rPr>
          <w:rFonts w:ascii="Cambria" w:hAnsi="Cambria"/>
          <w:b/>
          <w:sz w:val="20"/>
          <w:lang w:val="en-US"/>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In the merits phase, the petitioners alleged that the arbitrary detention, torture and death of journalist Vladimir Herzog also constituted a violation of his rights to freedom of expression, freedom of assembly and freedom of association for political purposes. </w:t>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cs="Arial"/>
          <w:sz w:val="20"/>
          <w:szCs w:val="20"/>
        </w:rPr>
        <w:t>The American Declaration contains provisions that protect the right of every person to freedom of expression, peaceful assembly and association, similar to tho</w:t>
      </w:r>
      <w:r w:rsidR="00481A9C" w:rsidRPr="00E72405">
        <w:rPr>
          <w:rFonts w:ascii="Cambria" w:hAnsi="Cambria" w:cs="Arial"/>
          <w:sz w:val="20"/>
          <w:szCs w:val="20"/>
        </w:rPr>
        <w:t xml:space="preserve">se contained in Articles 13 </w:t>
      </w:r>
      <w:r w:rsidRPr="00E72405">
        <w:rPr>
          <w:rFonts w:ascii="Cambria" w:hAnsi="Cambria" w:cs="Arial"/>
          <w:sz w:val="20"/>
          <w:szCs w:val="20"/>
        </w:rPr>
        <w:t xml:space="preserve">and 16 of the American Convention. </w:t>
      </w:r>
      <w:r w:rsidRPr="00E72405">
        <w:rPr>
          <w:rFonts w:ascii="Cambria" w:hAnsi="Cambria"/>
          <w:sz w:val="20"/>
          <w:szCs w:val="20"/>
        </w:rPr>
        <w:t xml:space="preserve">Article IV of the Declaration provides that "[e]very person has the right to freedom of investigation, of opinion, and of the expression and dissemination of ideas, by any medium whatsoever." Furthermore, Article XXII sets forth that "[e]very person has the right to associate with others to promote, exercise and protect his legitimate interests of a political, economic, religious, social, cultural, professional, labor union or other nature." </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cs="Arial"/>
          <w:sz w:val="20"/>
          <w:szCs w:val="20"/>
        </w:rPr>
        <w:lastRenderedPageBreak/>
        <w:t>The organs of the inter-American system of human rights protection have set forth, in extensive case law and doctrine, that the right to freedom of expression, particularly in matters of public interest, ensure the dissemination of information and ideas, including those resulting unpleasant for the State or any sector of the population.</w:t>
      </w:r>
      <w:r w:rsidRPr="00E72405">
        <w:rPr>
          <w:rStyle w:val="FootnoteReference"/>
          <w:rFonts w:ascii="Cambria" w:hAnsi="Cambria" w:cs="Arial"/>
          <w:sz w:val="20"/>
          <w:szCs w:val="20"/>
        </w:rPr>
        <w:footnoteReference w:id="292"/>
      </w:r>
      <w:r w:rsidRPr="00E72405">
        <w:rPr>
          <w:rFonts w:ascii="Cambria" w:hAnsi="Cambria" w:cs="Arial"/>
          <w:sz w:val="20"/>
          <w:szCs w:val="20"/>
        </w:rPr>
        <w:t xml:space="preserve"> Also, they have recognized that the right to freedom of association guarantees freedom of association for political purposes.</w:t>
      </w:r>
      <w:r w:rsidRPr="00E72405">
        <w:rPr>
          <w:rStyle w:val="FootnoteReference"/>
          <w:rFonts w:ascii="Cambria" w:hAnsi="Cambria" w:cs="Arial"/>
          <w:sz w:val="20"/>
          <w:szCs w:val="20"/>
        </w:rPr>
        <w:footnoteReference w:id="293"/>
      </w:r>
      <w:r w:rsidRPr="00E72405">
        <w:rPr>
          <w:rFonts w:ascii="Cambria" w:hAnsi="Cambria" w:cs="Arial"/>
          <w:sz w:val="20"/>
          <w:szCs w:val="20"/>
        </w:rPr>
        <w:t xml:space="preserve"> In this regard, it has been stated that a violation of the right to life or personal integrity attributable to the State may cause, in turn, a violation of the rights to freedom of expression and association, when that violation was due to the legitimate exercise of such rights.</w:t>
      </w:r>
      <w:r w:rsidRPr="00E72405">
        <w:rPr>
          <w:rStyle w:val="FootnoteReference"/>
          <w:rFonts w:ascii="Cambria" w:hAnsi="Cambria" w:cs="Arial"/>
          <w:sz w:val="20"/>
          <w:szCs w:val="20"/>
        </w:rPr>
        <w:footnoteReference w:id="294"/>
      </w:r>
      <w:r w:rsidRPr="00E72405">
        <w:rPr>
          <w:rFonts w:ascii="Cambria" w:hAnsi="Cambria" w:cs="Arial"/>
          <w:sz w:val="20"/>
          <w:szCs w:val="20"/>
        </w:rPr>
        <w:t xml:space="preserve"> </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Particularly, the IACHR has stated that the murder of journalists and members of the media due to their professional duties is the most extreme form of censorship. As the Inter-American Court has observed, "journalism can only be exercised freely when those who carry out this work are not victims of threats or physical, mental or moral attacks or other acts of harassment." Such actions not only violate in a particularly drastic way the freedom of thought and expression of the person concerned, but also affect the collective dimension of this right. Acts of violence committed against journalists violate their right to express and impart ideas, opinions and information, and also violate the rights of citizens and society in general to seek and receive information and ideas of any kind.</w:t>
      </w:r>
      <w:r w:rsidRPr="00E72405">
        <w:rPr>
          <w:rStyle w:val="FootnoteReference"/>
          <w:rFonts w:ascii="Cambria" w:hAnsi="Cambria"/>
          <w:sz w:val="20"/>
          <w:szCs w:val="20"/>
        </w:rPr>
        <w:footnoteReference w:id="295"/>
      </w:r>
      <w:r w:rsidRPr="00E72405">
        <w:rPr>
          <w:rFonts w:ascii="Cambria" w:hAnsi="Cambria"/>
          <w:sz w:val="20"/>
          <w:szCs w:val="20"/>
        </w:rPr>
        <w:t xml:space="preserve"> In that sense, they are “an attack against the principles of transparency and accountability, as well as the right to hold opinions and to participate in public debates, which are essential for democracy.” </w:t>
      </w:r>
    </w:p>
    <w:p w:rsidR="00DE0BC3" w:rsidRPr="00E72405" w:rsidRDefault="00DE0BC3" w:rsidP="00B64BF5">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Similarly, the Inter-American Court has stressed that</w:t>
      </w:r>
      <w:r w:rsidRPr="00E72405">
        <w:rPr>
          <w:rFonts w:ascii="Cambria" w:hAnsi="Cambria" w:cs="Arial"/>
          <w:sz w:val="20"/>
          <w:szCs w:val="20"/>
        </w:rPr>
        <w:t xml:space="preserve"> “opposition voices are essential in a democratic society; without them it is not possible to reach agreements that satisfy the different visions that prevail in society.”</w:t>
      </w:r>
      <w:r w:rsidRPr="00E72405">
        <w:rPr>
          <w:rStyle w:val="FootnoteReference"/>
          <w:rFonts w:ascii="Cambria" w:hAnsi="Cambria" w:cs="Arial"/>
          <w:sz w:val="20"/>
          <w:szCs w:val="20"/>
        </w:rPr>
        <w:footnoteReference w:id="296"/>
      </w:r>
      <w:r w:rsidRPr="00E72405">
        <w:rPr>
          <w:rFonts w:ascii="Cambria" w:hAnsi="Cambria"/>
          <w:sz w:val="20"/>
          <w:szCs w:val="20"/>
        </w:rPr>
        <w:t xml:space="preserve"> In this sense, it states that the “extrajudicial execution of an opponent for political reasons not only entails the violation of several human rights, but also breaches the principles upon which the rule of law is based, and directly violates the democratic system, inasmuch as it results from a failure to ensure that the different authorities abide by their obligation to protect nationally and internationally recognized human rights, and submit to the domestic organs that guarantee the observance of those rights.”</w:t>
      </w:r>
      <w:r w:rsidRPr="00E72405">
        <w:rPr>
          <w:rStyle w:val="FootnoteReference"/>
          <w:rFonts w:ascii="Cambria" w:hAnsi="Cambria"/>
          <w:sz w:val="20"/>
          <w:szCs w:val="20"/>
        </w:rPr>
        <w:footnoteReference w:id="297"/>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bCs/>
          <w:sz w:val="20"/>
          <w:szCs w:val="20"/>
        </w:rPr>
        <w:t xml:space="preserve">The body of evidence has shown that the arbitrary detention, torture and murder of journalist Vladimir Herzog were motivated by his alleged activism in a cell of PCB journalists, and his work as editor-in-chief at the public television station </w:t>
      </w:r>
      <w:r w:rsidRPr="00E72405">
        <w:rPr>
          <w:rFonts w:ascii="Cambria" w:hAnsi="Cambria"/>
          <w:bCs/>
          <w:i/>
          <w:sz w:val="20"/>
          <w:szCs w:val="20"/>
        </w:rPr>
        <w:t xml:space="preserve">TV </w:t>
      </w:r>
      <w:proofErr w:type="spellStart"/>
      <w:r w:rsidRPr="00E72405">
        <w:rPr>
          <w:rFonts w:ascii="Cambria" w:hAnsi="Cambria"/>
          <w:bCs/>
          <w:i/>
          <w:sz w:val="20"/>
          <w:szCs w:val="20"/>
        </w:rPr>
        <w:t>Cultura</w:t>
      </w:r>
      <w:proofErr w:type="spellEnd"/>
      <w:r w:rsidRPr="00E72405">
        <w:rPr>
          <w:rFonts w:ascii="Cambria" w:hAnsi="Cambria"/>
          <w:bCs/>
          <w:sz w:val="20"/>
          <w:szCs w:val="20"/>
        </w:rPr>
        <w:t xml:space="preserve">, a medium accused of spreading communist propaganda.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xml:space="preserve">. </w:t>
      </w:r>
      <w:r w:rsidR="00511E01" w:rsidRPr="00E72405">
        <w:rPr>
          <w:rFonts w:ascii="Cambria" w:hAnsi="Cambria" w:cs="Arial"/>
          <w:sz w:val="20"/>
          <w:szCs w:val="20"/>
        </w:rPr>
        <w:t>74 and</w:t>
      </w:r>
      <w:r w:rsidR="00A33A29" w:rsidRPr="00E72405">
        <w:rPr>
          <w:rFonts w:ascii="Cambria" w:hAnsi="Cambria" w:cs="Arial"/>
          <w:sz w:val="20"/>
          <w:szCs w:val="20"/>
        </w:rPr>
        <w:t xml:space="preserve"> 75</w:t>
      </w:r>
      <w:r w:rsidRPr="00E72405">
        <w:rPr>
          <w:rFonts w:ascii="Cambria" w:hAnsi="Cambria" w:cs="Arial"/>
          <w:sz w:val="20"/>
          <w:szCs w:val="20"/>
        </w:rPr>
        <w:t>) As such, the actions of the State sought precisely to prevent his political activism and journalism, and were expressed in illegitimate restrictions of his rights to freedom of expression and freedom of association for political purposes. In the words of the Inter-American Court, these actions directly undermine the rule of law and openly contradict fundamental principles of the democratic system.</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The Commission has referred to the chilling effect that crimes against journalists have on other media professionals and citizens in general seeking to expose abuses of power and illicit acts of any </w:t>
      </w:r>
      <w:r w:rsidRPr="00E72405">
        <w:rPr>
          <w:rFonts w:ascii="Cambria" w:hAnsi="Cambria"/>
          <w:sz w:val="20"/>
          <w:szCs w:val="20"/>
        </w:rPr>
        <w:lastRenderedPageBreak/>
        <w:t>nature. This chilling effect can only be avoided, according to the Commission, “by swift action on the part of the State to punish all perpetrators, as is its duty under international and domestic law”.</w:t>
      </w:r>
    </w:p>
    <w:p w:rsidR="00DE0BC3" w:rsidRPr="00E72405" w:rsidRDefault="00DE0BC3" w:rsidP="00DE0BC3">
      <w:pPr>
        <w:pStyle w:val="ListParagraph"/>
        <w:rPr>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It has been ascertained that Vladimir Herzog was a journalist with a renowned domestic and international experience, and a leading professional of prestige among his colleagues. He was the editor-in-chief of a public television channel with an important background of investigative journalism. Undoubtedly, the viciousness of the torture he suffered and his murder were a message to discourage any critical and dissenting voices in journalism and political activism at that time in Brazil.</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To this extent, the IACHR believes that the serious violations of the rights of journalist Vladimir Herzog had an intimidating and chilling effect on other journalists critical of the military regime and coworkers of </w:t>
      </w:r>
      <w:r w:rsidRPr="00E72405">
        <w:rPr>
          <w:rFonts w:ascii="Cambria" w:hAnsi="Cambria"/>
          <w:i/>
          <w:sz w:val="20"/>
          <w:szCs w:val="20"/>
        </w:rPr>
        <w:t xml:space="preserve">TV </w:t>
      </w:r>
      <w:proofErr w:type="spellStart"/>
      <w:r w:rsidRPr="00E72405">
        <w:rPr>
          <w:rFonts w:ascii="Cambria" w:hAnsi="Cambria"/>
          <w:i/>
          <w:sz w:val="20"/>
          <w:szCs w:val="20"/>
        </w:rPr>
        <w:t>Cultura</w:t>
      </w:r>
      <w:proofErr w:type="spellEnd"/>
      <w:r w:rsidRPr="00E72405">
        <w:rPr>
          <w:rFonts w:ascii="Cambria" w:hAnsi="Cambria"/>
          <w:sz w:val="20"/>
          <w:szCs w:val="20"/>
        </w:rPr>
        <w:t xml:space="preserve">, and on the community of people who were active in the Brazilian Communist Party or sympathetic to its ideas.  </w:t>
      </w:r>
    </w:p>
    <w:p w:rsidR="00DE0BC3" w:rsidRPr="00E72405" w:rsidRDefault="00DE0BC3" w:rsidP="00DE0BC3">
      <w:pPr>
        <w:pStyle w:val="ListParagraph"/>
        <w:rPr>
          <w:sz w:val="20"/>
          <w:szCs w:val="20"/>
        </w:rPr>
      </w:pPr>
    </w:p>
    <w:p w:rsidR="00DE0BC3" w:rsidRPr="00E72405" w:rsidRDefault="00DE0BC3" w:rsidP="00DE0BC3">
      <w:pPr>
        <w:numPr>
          <w:ilvl w:val="0"/>
          <w:numId w:val="6"/>
        </w:numPr>
        <w:spacing w:after="0" w:line="240" w:lineRule="auto"/>
        <w:ind w:left="0" w:firstLine="720"/>
        <w:jc w:val="both"/>
        <w:rPr>
          <w:rFonts w:ascii="Cambria" w:hAnsi="Cambria"/>
          <w:b/>
          <w:bCs/>
          <w:iCs/>
          <w:sz w:val="20"/>
          <w:szCs w:val="20"/>
        </w:rPr>
      </w:pPr>
      <w:r w:rsidRPr="00E72405">
        <w:rPr>
          <w:rFonts w:ascii="Cambria" w:hAnsi="Cambria"/>
          <w:sz w:val="20"/>
          <w:szCs w:val="20"/>
        </w:rPr>
        <w:t>Based on these considerations, the Commission concludes that the State is responsible for the violation of the right to freedom of expression, freedom of assembly and freedom of association for political purposes of journalist Vladimir Herzog, recognized in Articles IV and XXII of the American Declaration. The Commission has no information enabling it to determine the need for a separate decision on Article XXI of the American Declaration.</w:t>
      </w:r>
      <w:r w:rsidRPr="00E72405">
        <w:rPr>
          <w:rStyle w:val="FootnoteReference"/>
          <w:rFonts w:ascii="Cambria" w:hAnsi="Cambria"/>
          <w:sz w:val="20"/>
          <w:szCs w:val="20"/>
        </w:rPr>
        <w:footnoteReference w:id="298"/>
      </w:r>
      <w:r w:rsidRPr="00E72405">
        <w:rPr>
          <w:rFonts w:ascii="Cambria" w:hAnsi="Cambria"/>
          <w:sz w:val="20"/>
          <w:szCs w:val="20"/>
        </w:rPr>
        <w:t xml:space="preserve"> </w:t>
      </w:r>
    </w:p>
    <w:p w:rsidR="00DE0BC3" w:rsidRPr="00E72405" w:rsidRDefault="00DE0BC3" w:rsidP="00DE0BC3">
      <w:pPr>
        <w:spacing w:after="0" w:line="240" w:lineRule="auto"/>
        <w:jc w:val="both"/>
        <w:rPr>
          <w:rFonts w:ascii="Cambria" w:hAnsi="Cambria"/>
          <w:b/>
          <w:bCs/>
          <w:iCs/>
          <w:sz w:val="20"/>
          <w:szCs w:val="20"/>
        </w:rPr>
      </w:pPr>
    </w:p>
    <w:p w:rsidR="00DE0BC3" w:rsidRPr="00E72405" w:rsidRDefault="00DE0BC3" w:rsidP="00E521FD">
      <w:pPr>
        <w:pStyle w:val="Heading2"/>
        <w:jc w:val="both"/>
      </w:pPr>
      <w:bookmarkStart w:id="27" w:name="_Toc433359813"/>
      <w:r w:rsidRPr="00E72405">
        <w:t>Analysis of the violation of Article XVIII (Right to a fair trial) of the American Declaration, Article 8 (Fair Trial) and Article 25 (Judicial Protection) of the Convention, in relation to Article 1.1 (Obligation to Respect Rights) and Article 2 (Domestic Legal Effects) of said instrument, and Articles 1, 6 and 8 of the Inter-American Convention to Prevent and Punish Torture</w:t>
      </w:r>
      <w:bookmarkEnd w:id="27"/>
    </w:p>
    <w:p w:rsidR="00DE0BC3" w:rsidRPr="00E72405" w:rsidRDefault="00DE0BC3" w:rsidP="00DE0BC3">
      <w:pPr>
        <w:pStyle w:val="ListParagraph"/>
        <w:jc w:val="both"/>
        <w:rPr>
          <w:b/>
          <w:bCs/>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In this chapter, the IACHR will analyze the international responsibility of the State for actions relating to the investigation of the torture and execution of journalist Vladimir Herzog and the access of his family to justice. As mentioned, this study refers to events that happened before Brazil ratified the American Convention and the Inter-American Convention to Prevent and Punish Torture. Therefore, the source of law applicable to any of these events is the American Declaration. As of July 20, 1989 and September 25, 1992, and as appropriate, the analysis will be carried out under the American Convention and the Inter-American Convention to Prevent and Punish Torture.</w:t>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In this regard, the Commission will examine the alleged human rights violations related to the following actions at the domestic level: </w:t>
      </w:r>
      <w:proofErr w:type="spellStart"/>
      <w:r w:rsidRPr="00E72405">
        <w:rPr>
          <w:rFonts w:ascii="Cambria" w:hAnsi="Cambria"/>
          <w:sz w:val="20"/>
          <w:szCs w:val="20"/>
        </w:rPr>
        <w:t>i</w:t>
      </w:r>
      <w:proofErr w:type="spellEnd"/>
      <w:r w:rsidRPr="00E72405">
        <w:rPr>
          <w:rFonts w:ascii="Cambria" w:hAnsi="Cambria"/>
          <w:sz w:val="20"/>
          <w:szCs w:val="20"/>
        </w:rPr>
        <w:t>) the Military Police investigation into the death of Vladimir Herzog; ii) the procedure for the declaration of a civil action before the Federal Court of São Paulo; and iii) the criminal investigation in the ordinary court for the arbitrary detention, torture and death of the journalist</w:t>
      </w:r>
      <w:r w:rsidRPr="00E72405">
        <w:rPr>
          <w:rFonts w:ascii="Cambria" w:hAnsi="Cambria"/>
          <w:bCs/>
          <w:sz w:val="20"/>
          <w:szCs w:val="20"/>
        </w:rPr>
        <w:t>.</w:t>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181A2D">
      <w:pPr>
        <w:pStyle w:val="Heading3"/>
        <w:numPr>
          <w:ilvl w:val="0"/>
          <w:numId w:val="37"/>
        </w:numPr>
      </w:pPr>
      <w:r w:rsidRPr="00E72405">
        <w:t xml:space="preserve"> </w:t>
      </w:r>
      <w:bookmarkStart w:id="28" w:name="_Toc433359814"/>
      <w:r w:rsidRPr="00E72405">
        <w:t>Military Police Investigation into the death of Vladimir Herzog</w:t>
      </w:r>
      <w:bookmarkEnd w:id="28"/>
      <w:r w:rsidRPr="00E72405">
        <w:t xml:space="preserve"> </w:t>
      </w:r>
    </w:p>
    <w:p w:rsidR="00B64BF5" w:rsidRPr="00E72405" w:rsidRDefault="00B64BF5" w:rsidP="00B64BF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
        <w:contextualSpacing/>
        <w:jc w:val="both"/>
        <w:rPr>
          <w:b/>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cs="Arial"/>
          <w:sz w:val="20"/>
          <w:szCs w:val="20"/>
        </w:rPr>
        <w:t xml:space="preserve">The IACHR has noted that the State is not only responsible for respecting and guaranteeing the exercise of the rights of a person deprived of liberty. In its capacity as guarantor, it is also required to provide accurate information, and all evidence related to what happens to the detainee while in custody. This duty stems from the general obligation, of the States themselves, to guarantee the free and full exercise of the rights recognized in the American Declaration, as well as the right of victims of human rights violations or their relatives to have substantial possibilities of being heard and to act in the respective proceedings, both in order to clarify the facts and punish those responsible, and to have access to effective judicial remedies to this end, substantiated in accordance with the rules of due process. </w:t>
      </w:r>
    </w:p>
    <w:p w:rsidR="00DE0BC3" w:rsidRPr="00E72405" w:rsidRDefault="00DE0BC3" w:rsidP="00DE0BC3">
      <w:pPr>
        <w:spacing w:after="0" w:line="240" w:lineRule="auto"/>
        <w:ind w:left="720"/>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lastRenderedPageBreak/>
        <w:t>The fulfillment of this obligation is particularly strict when there is evidence of torture</w:t>
      </w:r>
      <w:r w:rsidRPr="00E72405">
        <w:rPr>
          <w:rStyle w:val="FootnoteReference"/>
          <w:rFonts w:ascii="Cambria" w:hAnsi="Cambria"/>
          <w:sz w:val="20"/>
          <w:szCs w:val="20"/>
        </w:rPr>
        <w:footnoteReference w:id="299"/>
      </w:r>
      <w:r w:rsidRPr="00E72405">
        <w:rPr>
          <w:rFonts w:ascii="Cambria" w:hAnsi="Cambria"/>
          <w:sz w:val="20"/>
          <w:szCs w:val="20"/>
        </w:rPr>
        <w:t xml:space="preserve"> and in any case where the death of the detainee occurs.</w:t>
      </w:r>
      <w:r w:rsidRPr="00E72405">
        <w:rPr>
          <w:rStyle w:val="FootnoteReference"/>
          <w:rFonts w:ascii="Cambria" w:hAnsi="Cambria"/>
          <w:sz w:val="20"/>
          <w:szCs w:val="20"/>
        </w:rPr>
        <w:footnoteReference w:id="300"/>
      </w:r>
      <w:r w:rsidRPr="00E72405">
        <w:rPr>
          <w:rFonts w:ascii="Cambria" w:hAnsi="Cambria"/>
          <w:sz w:val="20"/>
          <w:szCs w:val="20"/>
        </w:rPr>
        <w:t xml:space="preserve"> Indeed, the State, as guarantor of the right to life and personal integrity of detainees, has the duty to prevent all situations that might lead, either by action or omission, to the suppression of these rights. In this sense, if a person was detained in good health and later died, it lies with the State to provide a satisfactory and convincing explanation of what happened and to disprove accusations regarding its responsibility, through valid evidence, considering that there is a presumption of State responsibility for what happens to a person while in custody of the State.</w:t>
      </w:r>
      <w:r w:rsidRPr="00E72405">
        <w:rPr>
          <w:rStyle w:val="FootnoteReference"/>
          <w:rFonts w:ascii="Cambria" w:hAnsi="Cambria"/>
          <w:sz w:val="20"/>
          <w:szCs w:val="20"/>
        </w:rPr>
        <w:footnoteReference w:id="301"/>
      </w:r>
      <w:r w:rsidRPr="00E72405">
        <w:rPr>
          <w:rFonts w:ascii="Cambria" w:hAnsi="Cambria"/>
          <w:sz w:val="20"/>
          <w:szCs w:val="20"/>
        </w:rPr>
        <w:t xml:space="preserve"> </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 xml:space="preserve">In these cases, the State must initiate </w:t>
      </w:r>
      <w:r w:rsidRPr="00E72405">
        <w:rPr>
          <w:rFonts w:ascii="Cambria" w:hAnsi="Cambria"/>
          <w:i/>
          <w:sz w:val="20"/>
          <w:szCs w:val="20"/>
        </w:rPr>
        <w:t>ex officio</w:t>
      </w:r>
      <w:r w:rsidRPr="00E72405">
        <w:rPr>
          <w:rFonts w:ascii="Cambria" w:hAnsi="Cambria"/>
          <w:sz w:val="20"/>
          <w:szCs w:val="20"/>
        </w:rPr>
        <w:t xml:space="preserve"> and with due diligence an investigation in order to determine the nature and causes of the injuries, and ensure the identification and prosecution of those responsible, if applicable. Conducting an effective investigation is a key and conditioning element for the protection of the substantive rights that are affected or annulled by these situations.</w:t>
      </w:r>
      <w:r w:rsidRPr="00E72405">
        <w:rPr>
          <w:rStyle w:val="FootnoteReference"/>
          <w:rFonts w:ascii="Cambria" w:hAnsi="Cambria"/>
          <w:sz w:val="20"/>
          <w:szCs w:val="20"/>
        </w:rPr>
        <w:footnoteReference w:id="302"/>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To be effective, the investigation must be carried out by independent authorities, who should have no hierarchical or institutional connection with those implicated.</w:t>
      </w:r>
      <w:r w:rsidRPr="00E72405">
        <w:rPr>
          <w:rStyle w:val="FootnoteReference"/>
          <w:rFonts w:ascii="Cambria" w:hAnsi="Cambria"/>
          <w:sz w:val="20"/>
          <w:szCs w:val="20"/>
        </w:rPr>
        <w:footnoteReference w:id="303"/>
      </w:r>
      <w:r w:rsidRPr="00E72405">
        <w:rPr>
          <w:rFonts w:ascii="Cambria" w:hAnsi="Cambria"/>
          <w:sz w:val="20"/>
          <w:szCs w:val="20"/>
        </w:rPr>
        <w:t xml:space="preserve"> The IACHR has stated that when it comes to a violent death in which the involvement of State officials is under investigation, States must ensure that the responsibility to investigate and prosecute human rights violations is assigned to the authorities who are in the best position to effectively carry it out with autonomy and independence. </w:t>
      </w:r>
      <w:r w:rsidRPr="00E72405">
        <w:rPr>
          <w:rFonts w:ascii="Cambria" w:hAnsi="Cambria"/>
          <w:bCs/>
          <w:sz w:val="20"/>
          <w:szCs w:val="20"/>
        </w:rPr>
        <w:t>In this regard, States should establish safeguards for the competent authorities to be able to operate without being subjected to the sphere of influence of public officials allegedly involved in the crime, and also, to ensure that witnesses and relatives of victims take part in the proceedings without fear of reprisals.</w:t>
      </w:r>
      <w:r w:rsidRPr="00E72405">
        <w:rPr>
          <w:rStyle w:val="FootnoteReference"/>
          <w:rFonts w:ascii="Cambria" w:hAnsi="Cambria"/>
          <w:bCs/>
          <w:sz w:val="20"/>
          <w:szCs w:val="20"/>
        </w:rPr>
        <w:footnoteReference w:id="304"/>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In this regard, the IACHR reiterates that, in accordance with the doctrine and constant jurisprudence of the inter-American system of human rights protection, in addition to posing serious problems for an impartial and independent administration of justice</w:t>
      </w:r>
      <w:r w:rsidRPr="00E72405">
        <w:rPr>
          <w:rStyle w:val="FootnoteReference"/>
          <w:szCs w:val="20"/>
        </w:rPr>
        <w:footnoteReference w:id="305"/>
      </w:r>
      <w:r w:rsidRPr="00E72405">
        <w:rPr>
          <w:rFonts w:ascii="Cambria" w:hAnsi="Cambria"/>
          <w:sz w:val="20"/>
          <w:szCs w:val="20"/>
        </w:rPr>
        <w:t>, military criminal courts are not the competent jurisdiction to investigate and, where appropriate, prosecute and punish the perpetrators of human rights violations.</w:t>
      </w:r>
      <w:r w:rsidRPr="00E72405">
        <w:rPr>
          <w:rStyle w:val="FootnoteReference"/>
          <w:rFonts w:ascii="Cambria" w:hAnsi="Cambria"/>
          <w:sz w:val="20"/>
          <w:szCs w:val="20"/>
        </w:rPr>
        <w:footnoteReference w:id="306"/>
      </w:r>
      <w:r w:rsidRPr="00E72405">
        <w:rPr>
          <w:rFonts w:ascii="Cambria" w:hAnsi="Cambria" w:cs="Arial"/>
          <w:sz w:val="20"/>
          <w:szCs w:val="20"/>
        </w:rPr>
        <w:t xml:space="preserve"> Indeed, the IACHR has stressed that military jurisdiction should be applied only when military criminal legal rights are affected, during the particular functions of State defense and security, and never to investigate human rights violations.</w:t>
      </w:r>
      <w:r w:rsidRPr="00E72405">
        <w:rPr>
          <w:rStyle w:val="FootnoteReference"/>
          <w:rFonts w:ascii="Cambria" w:hAnsi="Cambria" w:cs="Arial"/>
          <w:sz w:val="20"/>
          <w:szCs w:val="20"/>
        </w:rPr>
        <w:footnoteReference w:id="307"/>
      </w:r>
      <w:r w:rsidRPr="00E72405">
        <w:rPr>
          <w:rFonts w:ascii="Cambria" w:hAnsi="Cambria" w:cs="Arial"/>
          <w:sz w:val="20"/>
          <w:szCs w:val="20"/>
        </w:rPr>
        <w:t xml:space="preserve"> </w:t>
      </w:r>
    </w:p>
    <w:p w:rsidR="00DE0BC3" w:rsidRPr="00E72405" w:rsidRDefault="00DE0BC3" w:rsidP="00DE0BC3">
      <w:pPr>
        <w:pStyle w:val="ListParagraph"/>
        <w:rPr>
          <w:rFonts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cs="Arial"/>
          <w:sz w:val="20"/>
          <w:szCs w:val="20"/>
        </w:rPr>
        <w:t xml:space="preserve">In its judgment in the case </w:t>
      </w:r>
      <w:r w:rsidRPr="00E72405">
        <w:rPr>
          <w:rFonts w:ascii="Cambria" w:hAnsi="Cambria" w:cs="Arial"/>
          <w:i/>
          <w:sz w:val="20"/>
          <w:szCs w:val="20"/>
        </w:rPr>
        <w:t>Gomes Lund et al (“</w:t>
      </w:r>
      <w:proofErr w:type="spellStart"/>
      <w:r w:rsidRPr="00E72405">
        <w:rPr>
          <w:rFonts w:ascii="Cambria" w:hAnsi="Cambria" w:cs="Arial"/>
          <w:i/>
          <w:sz w:val="20"/>
          <w:szCs w:val="20"/>
        </w:rPr>
        <w:t>Guerrilha</w:t>
      </w:r>
      <w:proofErr w:type="spellEnd"/>
      <w:r w:rsidRPr="00E72405">
        <w:rPr>
          <w:rFonts w:ascii="Cambria" w:hAnsi="Cambria" w:cs="Arial"/>
          <w:i/>
          <w:sz w:val="20"/>
          <w:szCs w:val="20"/>
        </w:rPr>
        <w:t xml:space="preserve"> do Araguaia”) v Brazil</w:t>
      </w:r>
      <w:r w:rsidRPr="00E72405">
        <w:rPr>
          <w:rFonts w:ascii="Cambria" w:hAnsi="Cambria" w:cs="Arial"/>
          <w:sz w:val="20"/>
          <w:szCs w:val="20"/>
        </w:rPr>
        <w:t>, the Inter-American Court ordered the State to ensure that criminal proceedings initiated by the events of that case -</w:t>
      </w:r>
      <w:r w:rsidRPr="00E72405">
        <w:rPr>
          <w:rFonts w:ascii="Cambria" w:hAnsi="Cambria" w:cs="Arial"/>
          <w:sz w:val="20"/>
          <w:szCs w:val="20"/>
        </w:rPr>
        <w:lastRenderedPageBreak/>
        <w:t>which occurred during the military regime, just like the instant case- against suspects who are or have been military officers, must be conducted before the ordinary courts and not in military courts.</w:t>
      </w:r>
      <w:r w:rsidRPr="00E72405">
        <w:rPr>
          <w:rStyle w:val="FootnoteReference"/>
          <w:rFonts w:ascii="Cambria" w:hAnsi="Cambria" w:cs="Arial"/>
          <w:sz w:val="20"/>
          <w:szCs w:val="20"/>
        </w:rPr>
        <w:footnoteReference w:id="308"/>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cs="Arial"/>
          <w:sz w:val="20"/>
          <w:szCs w:val="20"/>
        </w:rPr>
        <w:t>In that sense, the Commission has constantly stated that: “[t]he military criminal justice system has certain peculiar characteristics that impede access to an effective and impartial remedy in this jurisdiction.  One of these is that the military jurisdiction cannot be considered a real judicial system, as it is not part of the judicial branch, but is organized instead under the Executive.  Another aspect is that the judges in the military judicial system are generally active-duty members of the Army, which means that they are in the position of sitting in judgment of their comrades-in-arms, rendering illusory the requirement of impartiality, since the members of the Army often feel compelled to protect those who fight alongside them in a difficult and dangerous context”.</w:t>
      </w:r>
      <w:r w:rsidRPr="00E72405">
        <w:rPr>
          <w:rStyle w:val="FootnoteReference"/>
          <w:rFonts w:ascii="Cambria" w:hAnsi="Cambria" w:cs="Arial"/>
          <w:sz w:val="20"/>
          <w:szCs w:val="20"/>
        </w:rPr>
        <w:footnoteReference w:id="309"/>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This investigation must be carried out through all legal means available to determine the truth and the investigation, prosecution and punishment of all those responsible for the events. While it is an obligation of means, and not of results, the duty to investigate must be borne by the State as its own legal duty.</w:t>
      </w:r>
      <w:r w:rsidRPr="00E72405">
        <w:rPr>
          <w:rStyle w:val="FootnoteReference"/>
          <w:rFonts w:ascii="Cambria" w:hAnsi="Cambria"/>
          <w:sz w:val="20"/>
          <w:szCs w:val="20"/>
        </w:rPr>
        <w:footnoteReference w:id="310"/>
      </w:r>
      <w:r w:rsidRPr="00E72405">
        <w:rPr>
          <w:rFonts w:ascii="Cambria" w:hAnsi="Cambria"/>
          <w:sz w:val="20"/>
          <w:szCs w:val="20"/>
        </w:rPr>
        <w:t xml:space="preserve"> In this regard, the State must ensure the collection of evidence, including, among others, witness statements, forensic evidence and, where appropriate, an autopsy providing a complete and accurate record of injury and an objective medical analysis of the findings, including the cause of death.</w:t>
      </w:r>
      <w:r w:rsidRPr="00E72405">
        <w:rPr>
          <w:rStyle w:val="FootnoteReference"/>
          <w:rFonts w:ascii="Cambria" w:hAnsi="Cambria"/>
          <w:sz w:val="20"/>
          <w:szCs w:val="20"/>
        </w:rPr>
        <w:footnoteReference w:id="311"/>
      </w:r>
      <w:r w:rsidRPr="00E72405">
        <w:rPr>
          <w:rFonts w:ascii="Cambria" w:hAnsi="Cambria"/>
          <w:sz w:val="20"/>
          <w:szCs w:val="20"/>
        </w:rPr>
        <w:t xml:space="preserve"> </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The State must also ensure the independence of medical and health staff in charge so they can freely practice the necessary medical evaluations, respecting the standards in the practice of their profession.</w:t>
      </w:r>
      <w:r w:rsidRPr="00E72405">
        <w:rPr>
          <w:rStyle w:val="FootnoteReference"/>
          <w:rFonts w:ascii="Cambria" w:hAnsi="Cambria"/>
          <w:sz w:val="20"/>
          <w:szCs w:val="20"/>
        </w:rPr>
        <w:footnoteReference w:id="312"/>
      </w:r>
      <w:r w:rsidRPr="00E72405">
        <w:rPr>
          <w:rFonts w:ascii="Cambria" w:hAnsi="Cambria"/>
          <w:sz w:val="20"/>
          <w:szCs w:val="20"/>
        </w:rPr>
        <w:t xml:space="preserve"> In this regard, the Commission notes that encouraging investigation effectiveness also depends on the provision of adequate protection for witnesses against threats, pressure or reprisals</w:t>
      </w:r>
      <w:r w:rsidRPr="00E72405">
        <w:rPr>
          <w:rStyle w:val="FootnoteReference"/>
          <w:rFonts w:ascii="Cambria" w:hAnsi="Cambria"/>
          <w:bCs/>
          <w:sz w:val="20"/>
          <w:szCs w:val="20"/>
        </w:rPr>
        <w:footnoteReference w:id="313"/>
      </w:r>
      <w:r w:rsidRPr="00E72405">
        <w:rPr>
          <w:rFonts w:ascii="Cambria" w:hAnsi="Cambria"/>
          <w:bCs/>
          <w:sz w:val="20"/>
          <w:szCs w:val="20"/>
        </w:rPr>
        <w:t xml:space="preserve"> – </w:t>
      </w:r>
      <w:r w:rsidRPr="00E72405">
        <w:rPr>
          <w:rFonts w:ascii="Cambria" w:hAnsi="Cambria"/>
          <w:sz w:val="20"/>
          <w:szCs w:val="20"/>
        </w:rPr>
        <w:t>particularly if these individuals are also detained. Finally, this type of investigation and its results must be subjected to public scrutiny.</w:t>
      </w:r>
      <w:r w:rsidRPr="00E72405">
        <w:rPr>
          <w:rStyle w:val="FootnoteReference"/>
          <w:rFonts w:ascii="Cambria" w:hAnsi="Cambria"/>
          <w:sz w:val="20"/>
          <w:szCs w:val="20"/>
        </w:rPr>
        <w:footnoteReference w:id="314"/>
      </w:r>
    </w:p>
    <w:p w:rsidR="00DE0BC3" w:rsidRPr="00E72405" w:rsidRDefault="00DE0BC3" w:rsidP="00DE0BC3">
      <w:pPr>
        <w:pStyle w:val="ListParagraph"/>
        <w:rPr>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In the instant case, the IACHR notes that State authorities did not act in accordance with these provisions. Instead, as was proven, the military regime forged a fake version of the death of Vladimir Herzog and initiated a preliminary investigation by a military criminal court, whose final sentence decided to </w:t>
      </w:r>
      <w:r w:rsidRPr="00E72405">
        <w:rPr>
          <w:rFonts w:ascii="Cambria" w:hAnsi="Cambria"/>
          <w:sz w:val="20"/>
          <w:szCs w:val="20"/>
        </w:rPr>
        <w:lastRenderedPageBreak/>
        <w:t xml:space="preserve">close the investigation, after reproducing the version of the victim's suicide sustained by the Second Army DOI/CODI/SP authorities, ensuring impunity for what happened.    </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Indeed, on the same day of his murder, the Second Army issued an official note stating that "around 16:00 </w:t>
      </w:r>
      <w:proofErr w:type="spellStart"/>
      <w:r w:rsidRPr="00E72405">
        <w:rPr>
          <w:rFonts w:ascii="Cambria" w:hAnsi="Cambria"/>
          <w:sz w:val="20"/>
          <w:szCs w:val="20"/>
        </w:rPr>
        <w:t>hs</w:t>
      </w:r>
      <w:proofErr w:type="spellEnd"/>
      <w:r w:rsidRPr="00E72405">
        <w:rPr>
          <w:rFonts w:ascii="Cambria" w:hAnsi="Cambria"/>
          <w:sz w:val="20"/>
          <w:szCs w:val="20"/>
        </w:rPr>
        <w:t>, looking for [Vladimir Herzog] in the room where he was left, unattended, he was found dead, hanged, for which he had used a strip of cloth."</w:t>
      </w:r>
      <w:r w:rsidRPr="00E72405">
        <w:t xml:space="preserve"> </w:t>
      </w:r>
      <w:r w:rsidRPr="00E72405">
        <w:rPr>
          <w:rFonts w:ascii="Cambria" w:hAnsi="Cambria"/>
          <w:sz w:val="20"/>
          <w:szCs w:val="20"/>
        </w:rPr>
        <w:t>Also, according to the official note, in proceedings undertaken in the Second Army which revealed "[t]he structure and activities of the 'State Committee of the Communist Party,'" Vladimir Herzog was listed by “his peers” as an "[a]</w:t>
      </w:r>
      <w:proofErr w:type="spellStart"/>
      <w:r w:rsidRPr="00E72405">
        <w:rPr>
          <w:rFonts w:ascii="Cambria" w:hAnsi="Cambria"/>
          <w:sz w:val="20"/>
          <w:szCs w:val="20"/>
        </w:rPr>
        <w:t>ctivist</w:t>
      </w:r>
      <w:proofErr w:type="spellEnd"/>
      <w:r w:rsidRPr="00E72405">
        <w:rPr>
          <w:rFonts w:ascii="Cambria" w:hAnsi="Cambria"/>
          <w:sz w:val="20"/>
          <w:szCs w:val="20"/>
        </w:rPr>
        <w:t xml:space="preserve"> and member of a journalist cell of said 'Party'".</w:t>
      </w:r>
      <w:r w:rsidRPr="00E72405">
        <w:t xml:space="preserve"> </w:t>
      </w:r>
      <w:r w:rsidRPr="00E72405">
        <w:rPr>
          <w:rFonts w:ascii="Cambria" w:hAnsi="Cambria"/>
          <w:sz w:val="20"/>
          <w:szCs w:val="20"/>
        </w:rPr>
        <w:t>Because of this, he was "invited to provide explanatory statements," for which he appeared accompanied by a "[c]</w:t>
      </w:r>
      <w:proofErr w:type="spellStart"/>
      <w:r w:rsidRPr="00E72405">
        <w:rPr>
          <w:rFonts w:ascii="Cambria" w:hAnsi="Cambria"/>
          <w:sz w:val="20"/>
          <w:szCs w:val="20"/>
        </w:rPr>
        <w:t>olleague</w:t>
      </w:r>
      <w:proofErr w:type="spellEnd"/>
      <w:r w:rsidRPr="00E72405">
        <w:rPr>
          <w:rFonts w:ascii="Cambria" w:hAnsi="Cambria"/>
          <w:sz w:val="20"/>
          <w:szCs w:val="20"/>
        </w:rPr>
        <w:t xml:space="preserve"> by profession, at 8:00 </w:t>
      </w:r>
      <w:proofErr w:type="spellStart"/>
      <w:r w:rsidRPr="00E72405">
        <w:rPr>
          <w:rFonts w:ascii="Cambria" w:hAnsi="Cambria"/>
          <w:sz w:val="20"/>
          <w:szCs w:val="20"/>
        </w:rPr>
        <w:t>hs</w:t>
      </w:r>
      <w:proofErr w:type="spellEnd"/>
      <w:r w:rsidRPr="00E72405">
        <w:rPr>
          <w:rFonts w:ascii="Cambria" w:hAnsi="Cambria"/>
          <w:sz w:val="20"/>
          <w:szCs w:val="20"/>
        </w:rPr>
        <w:t xml:space="preserve"> the 25th of this month." The note indicated that, despite having "resisted" ["</w:t>
      </w:r>
      <w:proofErr w:type="spellStart"/>
      <w:r w:rsidRPr="00E72405">
        <w:rPr>
          <w:rFonts w:ascii="Cambria" w:hAnsi="Cambria"/>
          <w:i/>
          <w:sz w:val="20"/>
          <w:szCs w:val="20"/>
        </w:rPr>
        <w:t>relutado</w:t>
      </w:r>
      <w:proofErr w:type="spellEnd"/>
      <w:r w:rsidRPr="00E72405">
        <w:rPr>
          <w:rFonts w:ascii="Cambria" w:hAnsi="Cambria"/>
          <w:sz w:val="20"/>
          <w:szCs w:val="20"/>
        </w:rPr>
        <w:t>"] initially to admit "[h]is criminal links and activities," Vladimir Herzog admitted his participation in the PCB."</w:t>
      </w:r>
      <w:r w:rsidRPr="00E72405">
        <w:t xml:space="preserve"> </w:t>
      </w:r>
      <w:r w:rsidRPr="00E72405">
        <w:rPr>
          <w:rFonts w:ascii="Cambria" w:hAnsi="Cambria"/>
          <w:sz w:val="20"/>
          <w:szCs w:val="20"/>
        </w:rPr>
        <w:t xml:space="preserve">The note also states that he was allowed to write "[h]is statement with his own hand" and that the paper was later found "in pieces" next to his body. Finally, the note stated that "the necessary technical/inquiry was requested to the Secretariat of Security, having Messrs. Experts confirmed the </w:t>
      </w:r>
      <w:proofErr w:type="spellStart"/>
      <w:r w:rsidRPr="00E72405">
        <w:rPr>
          <w:rFonts w:ascii="Cambria" w:hAnsi="Cambria"/>
          <w:sz w:val="20"/>
          <w:szCs w:val="20"/>
        </w:rPr>
        <w:t>ocurrence</w:t>
      </w:r>
      <w:proofErr w:type="spellEnd"/>
      <w:r w:rsidRPr="00E72405">
        <w:rPr>
          <w:rFonts w:ascii="Cambria" w:hAnsi="Cambria"/>
          <w:sz w:val="20"/>
          <w:szCs w:val="20"/>
        </w:rPr>
        <w:t xml:space="preserve"> of the suicide.”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85 and 86</w:t>
      </w:r>
      <w:r w:rsidRPr="00E72405">
        <w:rPr>
          <w:rFonts w:ascii="Cambria" w:hAnsi="Cambria" w:cs="Arial"/>
          <w:sz w:val="20"/>
          <w:szCs w:val="20"/>
        </w:rPr>
        <w:t>)</w:t>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On October 25 a forensic report was prepared by officer </w:t>
      </w:r>
      <w:proofErr w:type="spellStart"/>
      <w:r w:rsidRPr="00E72405">
        <w:rPr>
          <w:rFonts w:ascii="Cambria" w:hAnsi="Cambria"/>
          <w:sz w:val="20"/>
          <w:szCs w:val="20"/>
        </w:rPr>
        <w:t>Motoho</w:t>
      </w:r>
      <w:proofErr w:type="spellEnd"/>
      <w:r w:rsidRPr="00E72405">
        <w:rPr>
          <w:rFonts w:ascii="Cambria" w:hAnsi="Cambria"/>
          <w:sz w:val="20"/>
          <w:szCs w:val="20"/>
        </w:rPr>
        <w:t xml:space="preserve"> </w:t>
      </w:r>
      <w:proofErr w:type="spellStart"/>
      <w:r w:rsidRPr="00E72405">
        <w:rPr>
          <w:rFonts w:ascii="Cambria" w:hAnsi="Cambria"/>
          <w:sz w:val="20"/>
          <w:szCs w:val="20"/>
        </w:rPr>
        <w:t>Chiota</w:t>
      </w:r>
      <w:proofErr w:type="spellEnd"/>
      <w:r w:rsidRPr="00E72405">
        <w:rPr>
          <w:rFonts w:ascii="Cambria" w:hAnsi="Cambria"/>
          <w:sz w:val="20"/>
          <w:szCs w:val="20"/>
        </w:rPr>
        <w:t xml:space="preserve">, which stated that "the scenario in which the body was found was a typical case of suicide by hanging." Also, an autopsy certificate was signed by </w:t>
      </w:r>
      <w:proofErr w:type="spellStart"/>
      <w:r w:rsidRPr="00E72405">
        <w:rPr>
          <w:rFonts w:ascii="Cambria" w:hAnsi="Cambria"/>
          <w:sz w:val="20"/>
          <w:szCs w:val="20"/>
        </w:rPr>
        <w:t>Arildo</w:t>
      </w:r>
      <w:proofErr w:type="spellEnd"/>
      <w:r w:rsidRPr="00E72405">
        <w:rPr>
          <w:rFonts w:ascii="Cambria" w:hAnsi="Cambria"/>
          <w:sz w:val="20"/>
          <w:szCs w:val="20"/>
        </w:rPr>
        <w:t xml:space="preserve"> </w:t>
      </w:r>
      <w:proofErr w:type="spellStart"/>
      <w:r w:rsidRPr="00E72405">
        <w:rPr>
          <w:rFonts w:ascii="Cambria" w:hAnsi="Cambria"/>
          <w:sz w:val="20"/>
          <w:szCs w:val="20"/>
        </w:rPr>
        <w:t>Viana</w:t>
      </w:r>
      <w:proofErr w:type="spellEnd"/>
      <w:r w:rsidRPr="00E72405">
        <w:rPr>
          <w:rFonts w:ascii="Cambria" w:hAnsi="Cambria"/>
          <w:sz w:val="20"/>
          <w:szCs w:val="20"/>
        </w:rPr>
        <w:t xml:space="preserve"> and Harry Shibata, supporting the suicide version. The latter expert later declared he had never examined the victim's body. A famous and controversial photo in which Vladimir Herzog appears "hanging by a piece of cloth to the window of the cell he was in and with his legs bent", was also annexed to the forensic exam as evidence of suicide. </w:t>
      </w:r>
      <w:r w:rsidR="00A33A29" w:rsidRPr="00E72405">
        <w:rPr>
          <w:rFonts w:ascii="Cambria" w:hAnsi="Cambria" w:cs="Arial"/>
          <w:sz w:val="20"/>
          <w:szCs w:val="20"/>
        </w:rPr>
        <w:t xml:space="preserve">(supra </w:t>
      </w:r>
      <w:proofErr w:type="spellStart"/>
      <w:r w:rsidR="00A33A29" w:rsidRPr="00E72405">
        <w:rPr>
          <w:rFonts w:ascii="Cambria" w:hAnsi="Cambria" w:cs="Arial"/>
          <w:sz w:val="20"/>
          <w:szCs w:val="20"/>
        </w:rPr>
        <w:t>párr</w:t>
      </w:r>
      <w:proofErr w:type="spellEnd"/>
      <w:r w:rsidR="00A33A29" w:rsidRPr="00E72405">
        <w:rPr>
          <w:rFonts w:ascii="Cambria" w:hAnsi="Cambria" w:cs="Arial"/>
          <w:sz w:val="20"/>
          <w:szCs w:val="20"/>
        </w:rPr>
        <w:t>. 86 and 105</w:t>
      </w:r>
      <w:r w:rsidRPr="00E72405">
        <w:rPr>
          <w:rFonts w:ascii="Cambria" w:hAnsi="Cambria" w:cs="Arial"/>
          <w:sz w:val="20"/>
          <w:szCs w:val="20"/>
        </w:rPr>
        <w:t>)</w:t>
      </w:r>
    </w:p>
    <w:p w:rsidR="00DE0BC3" w:rsidRPr="00E72405" w:rsidRDefault="00DE0BC3" w:rsidP="00DE0BC3">
      <w:pPr>
        <w:spacing w:after="0" w:line="240" w:lineRule="auto"/>
        <w:jc w:val="both"/>
        <w:rPr>
          <w:rStyle w:val="Emphasis"/>
          <w:rFonts w:ascii="Cambria" w:hAnsi="Cambria"/>
          <w:i w:val="0"/>
          <w:iCs w:val="0"/>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Style w:val="Emphasis"/>
          <w:rFonts w:ascii="Cambria" w:hAnsi="Cambria"/>
          <w:i w:val="0"/>
          <w:sz w:val="20"/>
          <w:szCs w:val="20"/>
        </w:rPr>
        <w:t>Furthermore, as is clear from the file of the military police investigation, procedures were carried out "in order to preclude any criticism of the hoax". In particular, an additional forensic examination was ordered, which found "[n]o evidence of the presence of fatal injuries of any kind that would enable to consider the death as violent or naturally pathological", and witnesses were coerced to provide false statement or their statements were manipulated</w:t>
      </w:r>
      <w:r w:rsidRPr="00E72405">
        <w:rPr>
          <w:rStyle w:val="Emphasis"/>
          <w:rFonts w:ascii="Cambria" w:hAnsi="Cambria"/>
          <w:sz w:val="20"/>
          <w:szCs w:val="20"/>
        </w:rPr>
        <w:t xml:space="preserve">. </w:t>
      </w:r>
      <w:r w:rsidR="00343DD3" w:rsidRPr="00E72405">
        <w:rPr>
          <w:rFonts w:ascii="Cambria" w:hAnsi="Cambria" w:cs="Arial"/>
          <w:sz w:val="20"/>
          <w:szCs w:val="20"/>
        </w:rPr>
        <w:t xml:space="preserve">(supra </w:t>
      </w:r>
      <w:proofErr w:type="spellStart"/>
      <w:r w:rsidR="00343DD3" w:rsidRPr="00E72405">
        <w:rPr>
          <w:rFonts w:ascii="Cambria" w:hAnsi="Cambria" w:cs="Arial"/>
          <w:sz w:val="20"/>
          <w:szCs w:val="20"/>
        </w:rPr>
        <w:t>párr</w:t>
      </w:r>
      <w:proofErr w:type="spellEnd"/>
      <w:r w:rsidR="00343DD3" w:rsidRPr="00E72405">
        <w:rPr>
          <w:rFonts w:ascii="Cambria" w:hAnsi="Cambria" w:cs="Arial"/>
          <w:sz w:val="20"/>
          <w:szCs w:val="20"/>
        </w:rPr>
        <w:t>. 94 and 96</w:t>
      </w:r>
      <w:r w:rsidRPr="00E72405">
        <w:rPr>
          <w:rFonts w:ascii="Cambria" w:hAnsi="Cambria" w:cs="Arial"/>
          <w:sz w:val="20"/>
          <w:szCs w:val="20"/>
        </w:rPr>
        <w:t>)</w:t>
      </w:r>
    </w:p>
    <w:p w:rsidR="00DE0BC3" w:rsidRPr="00E72405" w:rsidRDefault="00DE0BC3" w:rsidP="00DE0BC3">
      <w:pPr>
        <w:pStyle w:val="ListParagraph"/>
        <w:rPr>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As stated in the proven events, several journalists confirmed that during the Military Police investigation their testimony was provided under strong pressures and their statements were manipulated. Also, Clarice Herzog stated, among other things, that she knew Herzog was tortured, but refused "to say the names of the people who reported these events to her, fearing those people could lose their lives." Meanwhile, Zora Herzog, the journalist's mother, said that her statements in the investigation had been manipulated. </w:t>
      </w:r>
      <w:r w:rsidR="00343DD3" w:rsidRPr="00E72405">
        <w:rPr>
          <w:rFonts w:ascii="Cambria" w:hAnsi="Cambria" w:cs="Arial"/>
          <w:sz w:val="20"/>
          <w:szCs w:val="20"/>
        </w:rPr>
        <w:t xml:space="preserve">(supra </w:t>
      </w:r>
      <w:proofErr w:type="spellStart"/>
      <w:r w:rsidR="00343DD3" w:rsidRPr="00E72405">
        <w:rPr>
          <w:rFonts w:ascii="Cambria" w:hAnsi="Cambria" w:cs="Arial"/>
          <w:sz w:val="20"/>
          <w:szCs w:val="20"/>
        </w:rPr>
        <w:t>párr</w:t>
      </w:r>
      <w:proofErr w:type="spellEnd"/>
      <w:r w:rsidR="00343DD3" w:rsidRPr="00E72405">
        <w:rPr>
          <w:rFonts w:ascii="Cambria" w:hAnsi="Cambria" w:cs="Arial"/>
          <w:sz w:val="20"/>
          <w:szCs w:val="20"/>
        </w:rPr>
        <w:t>. 96</w:t>
      </w:r>
      <w:r w:rsidRPr="00E72405">
        <w:rPr>
          <w:rFonts w:ascii="Cambria" w:hAnsi="Cambria" w:cs="Arial"/>
          <w:sz w:val="20"/>
          <w:szCs w:val="20"/>
        </w:rPr>
        <w:t>)</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In view of the above, it is clear to the IACHR that the State is in breach of its duty to investigate with due diligence the events that caused the violation of Vladimir Herzog's human rights. The investigation into the death of Vladimir Herzog carried out by military courts in 1975 prevented the clarification of the facts and infringed the right of the victim's family to get to know the truth of what had happened. In the instant case, it was imperative that the State provided reliable information about what happened to the journalist and lead an investigation that would have allowed for the prosecution and punishment of State agents responsible for the events, and due reparation. On the contrary, the investigation was initiated with purposes of institutional cover-up and in order to conceal the serious actions taken at that time by the army against Vladimir Herzog and other PCB activists or sympathizers.</w:t>
      </w:r>
    </w:p>
    <w:p w:rsidR="00DE0BC3" w:rsidRPr="00E72405" w:rsidRDefault="00DE0BC3" w:rsidP="00DE0BC3">
      <w:pPr>
        <w:pStyle w:val="ListParagraph"/>
        <w:rPr>
          <w:rStyle w:val="Emphasis"/>
          <w:b/>
          <w:bCs/>
          <w:i w:val="0"/>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Style w:val="Emphasis"/>
          <w:rFonts w:ascii="Cambria" w:hAnsi="Cambria"/>
          <w:bCs/>
          <w:i w:val="0"/>
          <w:sz w:val="20"/>
          <w:szCs w:val="20"/>
        </w:rPr>
        <w:t xml:space="preserve">Concealment of the truth through the simulation of suicides and accidents was a systematic practice under President Geisel [1974-1979], so as not to leave evidence of the contradiction between the discourse of openness and the serious human rights violations that were being committed. As a result, according to what was found by the CEMDP as of 1974, "officially there were no deaths in prisons", the dead </w:t>
      </w:r>
      <w:r w:rsidRPr="00E72405">
        <w:rPr>
          <w:rStyle w:val="Emphasis"/>
          <w:rFonts w:ascii="Cambria" w:hAnsi="Cambria"/>
          <w:bCs/>
          <w:i w:val="0"/>
          <w:sz w:val="20"/>
          <w:szCs w:val="20"/>
        </w:rPr>
        <w:lastRenderedPageBreak/>
        <w:t>political prisoners disappeared or committed suicide, and the "regime did not assume the murder of opponents", ensuring impunity of the crimes committed</w:t>
      </w:r>
      <w:r w:rsidR="00343DD3" w:rsidRPr="00E72405">
        <w:rPr>
          <w:rStyle w:val="FootnoteReference"/>
          <w:rFonts w:ascii="Cambria" w:hAnsi="Cambria"/>
          <w:bCs/>
          <w:iCs/>
          <w:sz w:val="20"/>
          <w:szCs w:val="20"/>
        </w:rPr>
        <w:footnoteReference w:id="315"/>
      </w:r>
      <w:r w:rsidRPr="00E72405">
        <w:rPr>
          <w:rStyle w:val="Emphasis"/>
          <w:rFonts w:ascii="Cambria" w:hAnsi="Cambria"/>
          <w:bCs/>
          <w:i w:val="0"/>
          <w:sz w:val="20"/>
          <w:szCs w:val="20"/>
        </w:rPr>
        <w:t xml:space="preserve">. </w:t>
      </w:r>
    </w:p>
    <w:p w:rsidR="00343DD3" w:rsidRPr="00E72405" w:rsidRDefault="00343DD3" w:rsidP="00343DD3">
      <w:pPr>
        <w:spacing w:after="0" w:line="240" w:lineRule="auto"/>
        <w:jc w:val="both"/>
        <w:rPr>
          <w:rStyle w:val="Emphasis"/>
          <w:rFonts w:ascii="Cambria" w:hAnsi="Cambria"/>
          <w:i w:val="0"/>
          <w:iCs w:val="0"/>
          <w:sz w:val="20"/>
          <w:szCs w:val="20"/>
        </w:rPr>
      </w:pPr>
    </w:p>
    <w:p w:rsidR="00DE0BC3" w:rsidRPr="00E72405" w:rsidRDefault="00DE0BC3" w:rsidP="00DE0BC3">
      <w:pPr>
        <w:numPr>
          <w:ilvl w:val="0"/>
          <w:numId w:val="6"/>
        </w:numPr>
        <w:spacing w:after="0" w:line="240" w:lineRule="auto"/>
        <w:ind w:left="0" w:firstLine="720"/>
        <w:jc w:val="both"/>
        <w:rPr>
          <w:rStyle w:val="Emphasis"/>
          <w:rFonts w:ascii="Cambria" w:hAnsi="Cambria"/>
          <w:b/>
          <w:bCs/>
          <w:i w:val="0"/>
          <w:sz w:val="20"/>
          <w:szCs w:val="20"/>
        </w:rPr>
      </w:pPr>
      <w:r w:rsidRPr="00E72405">
        <w:rPr>
          <w:rStyle w:val="Emphasis"/>
          <w:rFonts w:ascii="Cambria" w:hAnsi="Cambria"/>
          <w:i w:val="0"/>
          <w:sz w:val="20"/>
          <w:szCs w:val="20"/>
        </w:rPr>
        <w:t xml:space="preserve">It should be </w:t>
      </w:r>
      <w:proofErr w:type="gramStart"/>
      <w:r w:rsidRPr="00E72405">
        <w:rPr>
          <w:rStyle w:val="Emphasis"/>
          <w:rFonts w:ascii="Cambria" w:hAnsi="Cambria"/>
          <w:i w:val="0"/>
          <w:sz w:val="20"/>
          <w:szCs w:val="20"/>
        </w:rPr>
        <w:t>reiterate</w:t>
      </w:r>
      <w:proofErr w:type="gramEnd"/>
      <w:r w:rsidRPr="00E72405">
        <w:rPr>
          <w:rStyle w:val="Emphasis"/>
          <w:rFonts w:ascii="Cambria" w:hAnsi="Cambria"/>
          <w:i w:val="0"/>
          <w:sz w:val="20"/>
          <w:szCs w:val="20"/>
        </w:rPr>
        <w:t xml:space="preserve"> that impunity for these types of crimes encourages self-censorship and thereby weakens democratic debate.</w:t>
      </w:r>
      <w:r w:rsidRPr="00E72405">
        <w:rPr>
          <w:rFonts w:ascii="Cambria" w:hAnsi="Cambria"/>
          <w:bCs/>
          <w:sz w:val="20"/>
          <w:szCs w:val="20"/>
          <w:vertAlign w:val="superscript"/>
        </w:rPr>
        <w:footnoteReference w:id="316"/>
      </w:r>
      <w:r w:rsidRPr="00E72405">
        <w:rPr>
          <w:rStyle w:val="Emphasis"/>
          <w:rFonts w:ascii="Cambria" w:hAnsi="Cambria"/>
          <w:sz w:val="20"/>
          <w:szCs w:val="20"/>
        </w:rPr>
        <w:t xml:space="preserve"> </w:t>
      </w:r>
      <w:r w:rsidRPr="00E72405">
        <w:rPr>
          <w:rStyle w:val="Emphasis"/>
          <w:rFonts w:ascii="Cambria" w:hAnsi="Cambria"/>
          <w:i w:val="0"/>
          <w:sz w:val="20"/>
          <w:szCs w:val="20"/>
        </w:rPr>
        <w:t xml:space="preserve">In this regard, the Inter-American Court in its judgment in the </w:t>
      </w:r>
      <w:proofErr w:type="spellStart"/>
      <w:r w:rsidRPr="00E72405">
        <w:rPr>
          <w:rStyle w:val="Emphasis"/>
          <w:rFonts w:ascii="Cambria" w:hAnsi="Cambria"/>
          <w:sz w:val="20"/>
          <w:szCs w:val="20"/>
        </w:rPr>
        <w:t>Vélez</w:t>
      </w:r>
      <w:proofErr w:type="spellEnd"/>
      <w:r w:rsidRPr="00E72405">
        <w:rPr>
          <w:rStyle w:val="Emphasis"/>
          <w:rFonts w:ascii="Cambria" w:hAnsi="Cambria"/>
          <w:sz w:val="20"/>
          <w:szCs w:val="20"/>
        </w:rPr>
        <w:t xml:space="preserve"> </w:t>
      </w:r>
      <w:proofErr w:type="spellStart"/>
      <w:r w:rsidRPr="00E72405">
        <w:rPr>
          <w:rStyle w:val="Emphasis"/>
          <w:rFonts w:ascii="Cambria" w:hAnsi="Cambria"/>
          <w:sz w:val="20"/>
          <w:szCs w:val="20"/>
        </w:rPr>
        <w:t>Restrepo</w:t>
      </w:r>
      <w:proofErr w:type="spellEnd"/>
      <w:r w:rsidRPr="00E72405">
        <w:rPr>
          <w:rStyle w:val="Emphasis"/>
          <w:rFonts w:ascii="Cambria" w:hAnsi="Cambria"/>
          <w:sz w:val="20"/>
          <w:szCs w:val="20"/>
        </w:rPr>
        <w:t xml:space="preserve"> v. Colombia</w:t>
      </w:r>
      <w:r w:rsidRPr="00E72405">
        <w:rPr>
          <w:rStyle w:val="Emphasis"/>
          <w:rFonts w:ascii="Cambria" w:hAnsi="Cambria"/>
          <w:i w:val="0"/>
          <w:sz w:val="20"/>
          <w:szCs w:val="20"/>
        </w:rPr>
        <w:t xml:space="preserve"> case stated that impunity in these cases causes “</w:t>
      </w:r>
      <w:r w:rsidRPr="00E72405">
        <w:rPr>
          <w:rFonts w:ascii="Cambria" w:hAnsi="Cambria"/>
          <w:iCs/>
          <w:sz w:val="20"/>
          <w:szCs w:val="20"/>
        </w:rPr>
        <w:t>reasonable fear that this type of human rights violation might be repeated, and this could lead to self-censorship of their work; for example, as regards the type of news covered, the way the information is obtained, and the decision to disseminate it</w:t>
      </w:r>
      <w:r w:rsidRPr="00E72405">
        <w:rPr>
          <w:rStyle w:val="Emphasis"/>
          <w:rFonts w:ascii="Cambria" w:hAnsi="Cambria"/>
          <w:i w:val="0"/>
          <w:sz w:val="20"/>
          <w:szCs w:val="20"/>
        </w:rPr>
        <w:t>”.</w:t>
      </w:r>
      <w:r w:rsidRPr="00E72405">
        <w:rPr>
          <w:rStyle w:val="FootnoteReference"/>
          <w:rFonts w:ascii="Cambria" w:hAnsi="Cambria"/>
          <w:iCs/>
          <w:sz w:val="20"/>
          <w:szCs w:val="20"/>
        </w:rPr>
        <w:footnoteReference w:id="317"/>
      </w:r>
    </w:p>
    <w:p w:rsidR="00DE0BC3" w:rsidRPr="00E72405" w:rsidRDefault="00DE0BC3" w:rsidP="00DE0BC3">
      <w:pPr>
        <w:spacing w:after="0" w:line="240" w:lineRule="auto"/>
        <w:jc w:val="both"/>
        <w:rPr>
          <w:rStyle w:val="Emphasis"/>
          <w:rFonts w:ascii="Cambria" w:hAnsi="Cambria"/>
          <w:b/>
          <w:bCs/>
          <w:i w:val="0"/>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Style w:val="Emphasis"/>
          <w:rFonts w:ascii="Cambria" w:hAnsi="Cambria"/>
          <w:i w:val="0"/>
          <w:sz w:val="20"/>
          <w:szCs w:val="20"/>
        </w:rPr>
        <w:t>Based on the foregoing, the Inter-American Commission concludes that the State failed to comply with State obligations to guarantee the rights of journalist Vladimir Herzog through an effective and independent investigation in an ordinary jurisdiction, and infringed the rights to justice and truth of Zora, Clarice, André and Ivo Herzog, enshrined in Article XVIII of the American Declaration</w:t>
      </w:r>
      <w:r w:rsidRPr="00E72405">
        <w:rPr>
          <w:rFonts w:ascii="Cambria" w:hAnsi="Cambria"/>
          <w:sz w:val="20"/>
          <w:szCs w:val="20"/>
        </w:rPr>
        <w:t>.</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181A2D">
      <w:pPr>
        <w:pStyle w:val="Heading3"/>
      </w:pPr>
      <w:bookmarkStart w:id="29" w:name="_Toc433359815"/>
      <w:r w:rsidRPr="00E72405">
        <w:t>Civil declaratory action before the Federal Court of São Paulo</w:t>
      </w:r>
      <w:bookmarkEnd w:id="29"/>
    </w:p>
    <w:p w:rsidR="00DE0BC3" w:rsidRPr="00E72405" w:rsidRDefault="00DE0BC3" w:rsidP="00DE0BC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
        <w:contextualSpacing/>
        <w:jc w:val="both"/>
        <w:rPr>
          <w:b/>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As is apparent from the file, on April 19, 1976, Clarice Herzog and her two younger sons, Ivo and André Herzog, filed a declaratory civil action before the Federal Court of São Paulo, to declare the responsibility of the Federal Union over the arbitrary detention of Vladimir Herzog, the torture he was subjected to and his death. While the declaratory action was decided in first instance in favor of the plaintiffs by judgment of October 27, 1978, the analysis of the appeal filed by the Union extended the process for another 16 years. </w:t>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cs="Verdana"/>
          <w:sz w:val="20"/>
          <w:szCs w:val="20"/>
        </w:rPr>
      </w:pPr>
      <w:r w:rsidRPr="00E72405">
        <w:rPr>
          <w:rFonts w:ascii="Cambria" w:hAnsi="Cambria"/>
          <w:sz w:val="20"/>
          <w:szCs w:val="20"/>
        </w:rPr>
        <w:t>Indeed, the appeal filed by the Federal Union on November 17, 1978 was settled five years later, in 1983, by the Federal Court of Appeal, which upheld the first instance ruling. Likewise, the appeal for a court review [</w:t>
      </w:r>
      <w:r w:rsidRPr="00E72405">
        <w:rPr>
          <w:rFonts w:ascii="Cambria" w:hAnsi="Cambria"/>
          <w:i/>
          <w:sz w:val="20"/>
          <w:szCs w:val="20"/>
        </w:rPr>
        <w:t xml:space="preserve">Embargos </w:t>
      </w:r>
      <w:proofErr w:type="spellStart"/>
      <w:r w:rsidRPr="00E72405">
        <w:rPr>
          <w:rFonts w:ascii="Cambria" w:hAnsi="Cambria"/>
          <w:i/>
          <w:sz w:val="20"/>
          <w:szCs w:val="20"/>
        </w:rPr>
        <w:t>Infringentes</w:t>
      </w:r>
      <w:proofErr w:type="spellEnd"/>
      <w:r w:rsidRPr="00E72405">
        <w:rPr>
          <w:rFonts w:ascii="Cambria" w:hAnsi="Cambria"/>
          <w:sz w:val="20"/>
          <w:szCs w:val="20"/>
        </w:rPr>
        <w:t>] filed by the Federal Union in 1984 was rejected by the Federal Regional Court of the 3rd Region, with a final judgment [</w:t>
      </w:r>
      <w:proofErr w:type="spellStart"/>
      <w:r w:rsidRPr="00E72405">
        <w:rPr>
          <w:rFonts w:ascii="Cambria" w:hAnsi="Cambria"/>
          <w:i/>
          <w:sz w:val="20"/>
          <w:szCs w:val="20"/>
        </w:rPr>
        <w:t>trânsito</w:t>
      </w:r>
      <w:proofErr w:type="spellEnd"/>
      <w:r w:rsidRPr="00E72405">
        <w:rPr>
          <w:rFonts w:ascii="Cambria" w:hAnsi="Cambria"/>
          <w:i/>
          <w:sz w:val="20"/>
          <w:szCs w:val="20"/>
        </w:rPr>
        <w:t xml:space="preserve"> </w:t>
      </w:r>
      <w:proofErr w:type="spellStart"/>
      <w:r w:rsidRPr="00E72405">
        <w:rPr>
          <w:rFonts w:ascii="Cambria" w:hAnsi="Cambria"/>
          <w:i/>
          <w:sz w:val="20"/>
          <w:szCs w:val="20"/>
        </w:rPr>
        <w:t>em</w:t>
      </w:r>
      <w:proofErr w:type="spellEnd"/>
      <w:r w:rsidRPr="00E72405">
        <w:rPr>
          <w:rFonts w:ascii="Cambria" w:hAnsi="Cambria"/>
          <w:i/>
          <w:sz w:val="20"/>
          <w:szCs w:val="20"/>
        </w:rPr>
        <w:t xml:space="preserve"> </w:t>
      </w:r>
      <w:proofErr w:type="spellStart"/>
      <w:r w:rsidRPr="00E72405">
        <w:rPr>
          <w:rFonts w:ascii="Cambria" w:hAnsi="Cambria"/>
          <w:i/>
          <w:sz w:val="20"/>
          <w:szCs w:val="20"/>
        </w:rPr>
        <w:t>julgado</w:t>
      </w:r>
      <w:proofErr w:type="spellEnd"/>
      <w:r w:rsidRPr="00E72405">
        <w:rPr>
          <w:rFonts w:ascii="Cambria" w:hAnsi="Cambria"/>
          <w:sz w:val="20"/>
          <w:szCs w:val="20"/>
        </w:rPr>
        <w:t>] on May 18, 1994.</w:t>
      </w:r>
      <w:r w:rsidRPr="00E72405">
        <w:rPr>
          <w:rStyle w:val="FootnoteReference"/>
          <w:rFonts w:ascii="Cambria" w:hAnsi="Cambria" w:cs="Arial"/>
          <w:sz w:val="20"/>
          <w:szCs w:val="20"/>
        </w:rPr>
        <w:footnoteReference w:id="318"/>
      </w:r>
      <w:r w:rsidRPr="00E72405">
        <w:rPr>
          <w:rFonts w:ascii="Cambria" w:hAnsi="Cambria"/>
          <w:sz w:val="20"/>
          <w:szCs w:val="20"/>
        </w:rPr>
        <w:t xml:space="preserve"> </w:t>
      </w:r>
    </w:p>
    <w:p w:rsidR="00DE0BC3" w:rsidRPr="00E72405" w:rsidRDefault="00DE0BC3" w:rsidP="00DE0BC3">
      <w:pPr>
        <w:spacing w:after="0" w:line="240" w:lineRule="auto"/>
        <w:jc w:val="both"/>
        <w:rPr>
          <w:rFonts w:ascii="Cambria" w:hAnsi="Cambria" w:cs="Verdana"/>
          <w:sz w:val="20"/>
          <w:szCs w:val="20"/>
        </w:rPr>
      </w:pPr>
    </w:p>
    <w:p w:rsidR="00DE0BC3" w:rsidRPr="00E72405" w:rsidRDefault="00DE0BC3" w:rsidP="00DE0BC3">
      <w:pPr>
        <w:numPr>
          <w:ilvl w:val="0"/>
          <w:numId w:val="6"/>
        </w:numPr>
        <w:spacing w:after="0" w:line="240" w:lineRule="auto"/>
        <w:ind w:left="0" w:firstLine="720"/>
        <w:jc w:val="both"/>
        <w:rPr>
          <w:rFonts w:ascii="Cambria" w:hAnsi="Cambria" w:cs="Arial"/>
          <w:sz w:val="20"/>
          <w:szCs w:val="20"/>
        </w:rPr>
      </w:pPr>
      <w:r w:rsidRPr="00E72405">
        <w:rPr>
          <w:rFonts w:ascii="Cambria" w:hAnsi="Cambria"/>
          <w:sz w:val="20"/>
          <w:szCs w:val="20"/>
        </w:rPr>
        <w:t xml:space="preserve">The petitioners alleged that the 17-year duration of the declaratory action proceedings constituted a violation of the right of access of the family of Vladimir Herzog to an effective judicial remedy, based on the rules of due legal process, according to Article XVIII of the American Declaration, and Article 8.1 of the American Convention, once entered into force for the State in September 1992. </w:t>
      </w:r>
    </w:p>
    <w:p w:rsidR="00DE0BC3" w:rsidRPr="00E72405" w:rsidRDefault="00DE0BC3" w:rsidP="00DE0BC3">
      <w:pPr>
        <w:spacing w:after="0" w:line="240" w:lineRule="auto"/>
        <w:jc w:val="both"/>
        <w:rPr>
          <w:rFonts w:ascii="Cambria" w:hAnsi="Cambria"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Article XVIII of the American Declaration states that every person has the right of access to legal remedies when they have been victims of human rights violations</w:t>
      </w:r>
      <w:r w:rsidRPr="00E72405">
        <w:rPr>
          <w:rStyle w:val="FootnoteReference"/>
          <w:rFonts w:ascii="Cambria" w:hAnsi="Cambria"/>
          <w:sz w:val="20"/>
          <w:szCs w:val="20"/>
        </w:rPr>
        <w:footnoteReference w:id="319"/>
      </w:r>
      <w:r w:rsidRPr="00E72405">
        <w:rPr>
          <w:rFonts w:ascii="Cambria" w:hAnsi="Cambria"/>
          <w:sz w:val="20"/>
          <w:szCs w:val="20"/>
        </w:rPr>
        <w:t xml:space="preserve">, “[e]very person may resort to the courts to ensure respect for his legal rights.  There should likewise be available to him a simple, brief procedure whereby the courts will protect him from acts of authority that, to his prejudice, violate any fundamental constitutional rights.” </w:t>
      </w:r>
    </w:p>
    <w:p w:rsidR="00DE0BC3" w:rsidRPr="00E72405" w:rsidRDefault="00DE0BC3" w:rsidP="00DE0BC3">
      <w:pPr>
        <w:spacing w:after="0" w:line="240" w:lineRule="auto"/>
        <w:jc w:val="both"/>
        <w:rPr>
          <w:rFonts w:ascii="Cambria" w:hAnsi="Cambria"/>
          <w:sz w:val="20"/>
          <w:szCs w:val="20"/>
        </w:rPr>
      </w:pPr>
    </w:p>
    <w:p w:rsidR="00E521FD" w:rsidRPr="00E72405" w:rsidRDefault="00DE0BC3" w:rsidP="002B3271">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 The IACHR has indicated that this right is similar in scope to the right to judicial protection and guarantees contained in Article 25 of the American Convention,</w:t>
      </w:r>
      <w:r w:rsidRPr="00E72405">
        <w:rPr>
          <w:rStyle w:val="FootnoteReference"/>
          <w:rFonts w:ascii="Cambria" w:hAnsi="Cambria"/>
          <w:sz w:val="20"/>
          <w:szCs w:val="20"/>
        </w:rPr>
        <w:footnoteReference w:id="320"/>
      </w:r>
      <w:r w:rsidRPr="00E72405">
        <w:rPr>
          <w:rFonts w:ascii="Cambria" w:hAnsi="Cambria"/>
          <w:sz w:val="20"/>
          <w:szCs w:val="20"/>
        </w:rPr>
        <w:t xml:space="preserve"> which includes the right of every </w:t>
      </w:r>
      <w:r w:rsidRPr="00E72405">
        <w:rPr>
          <w:rFonts w:ascii="Cambria" w:hAnsi="Cambria"/>
          <w:sz w:val="20"/>
          <w:szCs w:val="20"/>
        </w:rPr>
        <w:lastRenderedPageBreak/>
        <w:t>person to appear before a court when one of his rights has been violated, to obtain an investigation conducted by a competent, independent and impartial tribunal that will determine whether there has been such a violation, and the corresponding right to reparation for the damage suffered.</w:t>
      </w:r>
      <w:r w:rsidRPr="00E72405">
        <w:rPr>
          <w:rStyle w:val="FootnoteReference"/>
          <w:rFonts w:ascii="Cambria" w:hAnsi="Cambria" w:cs="Arial"/>
          <w:sz w:val="20"/>
          <w:szCs w:val="20"/>
        </w:rPr>
        <w:footnoteReference w:id="321"/>
      </w:r>
      <w:r w:rsidRPr="00E72405">
        <w:rPr>
          <w:rFonts w:ascii="Cambria" w:hAnsi="Cambria" w:cs="Arial"/>
          <w:spacing w:val="-3"/>
          <w:sz w:val="20"/>
          <w:szCs w:val="20"/>
        </w:rPr>
        <w:t xml:space="preserve">   </w:t>
      </w:r>
    </w:p>
    <w:p w:rsidR="00E521FD" w:rsidRPr="00E72405" w:rsidRDefault="00E521FD" w:rsidP="00DE0BC3">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Also, Article 8.1 of the Convention sets forth that: </w:t>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DE0BC3">
      <w:pPr>
        <w:ind w:left="720" w:right="720"/>
        <w:jc w:val="both"/>
        <w:rPr>
          <w:rFonts w:ascii="Cambria" w:hAnsi="Cambria"/>
          <w:sz w:val="18"/>
          <w:szCs w:val="18"/>
        </w:rPr>
      </w:pPr>
      <w:r w:rsidRPr="00E72405">
        <w:rPr>
          <w:rFonts w:ascii="Cambria" w:hAnsi="Cambria"/>
          <w:sz w:val="18"/>
          <w:szCs w:val="18"/>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cs="Univers"/>
          <w:color w:val="000000"/>
          <w:sz w:val="20"/>
          <w:szCs w:val="20"/>
        </w:rPr>
        <w:t>In this regard, the Commission reiterates that the formal existence of domestic remedies is not enough to consider that the State has complied with the obligation to guarantee the full exercise of rights under the Convention, and that they must be effective.</w:t>
      </w:r>
      <w:r w:rsidRPr="00E72405">
        <w:rPr>
          <w:rStyle w:val="FootnoteReference"/>
          <w:rFonts w:ascii="Cambria" w:hAnsi="Cambria" w:cs="Univers"/>
          <w:color w:val="000000"/>
          <w:sz w:val="20"/>
          <w:szCs w:val="20"/>
        </w:rPr>
        <w:footnoteReference w:id="322"/>
      </w:r>
      <w:r w:rsidRPr="00E72405">
        <w:rPr>
          <w:rFonts w:ascii="Cambria" w:hAnsi="Cambria" w:cs="Univers"/>
          <w:color w:val="000000"/>
          <w:sz w:val="20"/>
          <w:szCs w:val="20"/>
        </w:rPr>
        <w:t xml:space="preserve"> In addition, the Commission notes, as the Court has done, that such resources should ensure a decision within a reasonable time period.</w:t>
      </w:r>
      <w:r w:rsidRPr="00E72405">
        <w:rPr>
          <w:rStyle w:val="FootnoteReference"/>
          <w:rFonts w:ascii="Cambria" w:hAnsi="Cambria" w:cs="Univers"/>
          <w:color w:val="000000"/>
          <w:sz w:val="20"/>
          <w:szCs w:val="20"/>
        </w:rPr>
        <w:footnoteReference w:id="323"/>
      </w:r>
      <w:r w:rsidRPr="00E72405">
        <w:rPr>
          <w:rFonts w:ascii="Cambria" w:hAnsi="Cambria" w:cs="Univers"/>
          <w:color w:val="000000"/>
          <w:sz w:val="20"/>
          <w:szCs w:val="20"/>
        </w:rPr>
        <w:t xml:space="preserve"> </w:t>
      </w:r>
      <w:r w:rsidRPr="00E72405">
        <w:rPr>
          <w:rFonts w:ascii="Cambria" w:hAnsi="Cambria"/>
          <w:sz w:val="20"/>
          <w:szCs w:val="20"/>
        </w:rPr>
        <w:t>Likewise, the State must explain and prove the reasons for the delay in issuing final judgment in a particular case.</w:t>
      </w:r>
      <w:r w:rsidRPr="00E72405">
        <w:rPr>
          <w:rStyle w:val="FootnoteReference"/>
          <w:rFonts w:ascii="Cambria" w:hAnsi="Cambria" w:cs="Univers"/>
          <w:color w:val="000000"/>
          <w:sz w:val="20"/>
          <w:szCs w:val="20"/>
        </w:rPr>
        <w:footnoteReference w:id="324"/>
      </w:r>
      <w:r w:rsidRPr="00E72405">
        <w:rPr>
          <w:rFonts w:ascii="Cambria" w:hAnsi="Cambria"/>
          <w:sz w:val="20"/>
          <w:szCs w:val="20"/>
        </w:rPr>
        <w:t xml:space="preserve">  </w:t>
      </w:r>
    </w:p>
    <w:p w:rsidR="00DE0BC3" w:rsidRPr="00E72405" w:rsidRDefault="00DE0BC3" w:rsidP="00DE0BC3">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The Inter-American Court has stated on several occasions that: </w:t>
      </w:r>
    </w:p>
    <w:p w:rsidR="00DE0BC3" w:rsidRPr="00E72405" w:rsidRDefault="00DE0BC3" w:rsidP="00DE0BC3">
      <w:pPr>
        <w:spacing w:after="0" w:line="240" w:lineRule="auto"/>
        <w:jc w:val="both"/>
        <w:rPr>
          <w:rFonts w:ascii="Cambria" w:hAnsi="Cambria"/>
          <w:sz w:val="18"/>
          <w:szCs w:val="18"/>
        </w:rPr>
      </w:pPr>
    </w:p>
    <w:p w:rsidR="00DE0BC3" w:rsidRPr="00E72405" w:rsidRDefault="00DE0BC3" w:rsidP="00DE0BC3">
      <w:pPr>
        <w:tabs>
          <w:tab w:val="left" w:pos="9270"/>
        </w:tabs>
        <w:autoSpaceDE w:val="0"/>
        <w:autoSpaceDN w:val="0"/>
        <w:adjustRightInd w:val="0"/>
        <w:spacing w:line="240" w:lineRule="auto"/>
        <w:ind w:left="720" w:right="540"/>
        <w:jc w:val="both"/>
        <w:rPr>
          <w:rFonts w:ascii="Cambria" w:hAnsi="Cambria" w:cs="Verdana"/>
          <w:sz w:val="18"/>
          <w:szCs w:val="18"/>
        </w:rPr>
      </w:pPr>
      <w:r w:rsidRPr="00E72405">
        <w:rPr>
          <w:rFonts w:ascii="Cambria" w:hAnsi="Cambria"/>
          <w:sz w:val="18"/>
          <w:szCs w:val="18"/>
        </w:rPr>
        <w:t>[</w:t>
      </w:r>
      <w:r w:rsidRPr="00E72405">
        <w:rPr>
          <w:rFonts w:ascii="Cambria" w:hAnsi="Cambria" w:cs="Verdana"/>
          <w:sz w:val="18"/>
          <w:szCs w:val="18"/>
        </w:rPr>
        <w:t>t]he right to justice shall</w:t>
      </w:r>
      <w:r w:rsidRPr="00E72405">
        <w:rPr>
          <w:sz w:val="18"/>
          <w:szCs w:val="18"/>
        </w:rPr>
        <w:t xml:space="preserve"> </w:t>
      </w:r>
      <w:r w:rsidRPr="00E72405">
        <w:rPr>
          <w:rFonts w:ascii="Cambria" w:hAnsi="Cambria" w:cs="Verdana"/>
          <w:sz w:val="18"/>
          <w:szCs w:val="18"/>
        </w:rPr>
        <w:t>also ensure, within a reasonable time, the right of the victim or his or her next of kin to learn the truth about what happened and for those responsible to be punished.</w:t>
      </w:r>
      <w:r w:rsidRPr="00E72405">
        <w:rPr>
          <w:rStyle w:val="FootnoteReference"/>
          <w:rFonts w:ascii="Cambria" w:hAnsi="Cambria" w:cs="Verdana"/>
          <w:sz w:val="18"/>
          <w:szCs w:val="18"/>
        </w:rPr>
        <w:footnoteReference w:id="325"/>
      </w:r>
      <w:r w:rsidRPr="00E72405">
        <w:rPr>
          <w:rFonts w:ascii="Cambria" w:hAnsi="Cambria" w:cs="Verdana"/>
          <w:sz w:val="18"/>
          <w:szCs w:val="18"/>
        </w:rPr>
        <w:t xml:space="preserve"> The lack of reasonableness in the duration of judicial proceedings constitutes in principle, in itself, a violation of judicial guarantees.</w:t>
      </w:r>
      <w:r w:rsidRPr="00E72405">
        <w:rPr>
          <w:rStyle w:val="FootnoteReference"/>
          <w:rFonts w:ascii="Cambria" w:hAnsi="Cambria" w:cs="Verdana"/>
          <w:sz w:val="18"/>
          <w:szCs w:val="18"/>
        </w:rPr>
        <w:footnoteReference w:id="326"/>
      </w:r>
      <w:r w:rsidRPr="00E72405">
        <w:rPr>
          <w:rFonts w:ascii="Cambria" w:hAnsi="Cambria" w:cs="Verdana"/>
          <w:sz w:val="18"/>
          <w:szCs w:val="18"/>
        </w:rPr>
        <w:t xml:space="preserve"> In this regard, the Court has taken into account four elements to determine whether the time is reasonable: a) the complexity of the matter; b) the procedural activity of the interested party; c) the conduct of the judicial authorities;</w:t>
      </w:r>
      <w:r w:rsidRPr="00E72405">
        <w:rPr>
          <w:rStyle w:val="FootnoteReference"/>
          <w:rFonts w:ascii="Cambria" w:hAnsi="Cambria" w:cs="Verdana"/>
          <w:sz w:val="18"/>
          <w:szCs w:val="18"/>
        </w:rPr>
        <w:footnoteReference w:id="327"/>
      </w:r>
      <w:r w:rsidRPr="00E72405">
        <w:rPr>
          <w:rFonts w:ascii="Cambria" w:hAnsi="Cambria" w:cs="Verdana"/>
          <w:sz w:val="18"/>
          <w:szCs w:val="18"/>
        </w:rPr>
        <w:t xml:space="preserve"> and d) the adverse effect on the judicial situation of the person involved in the proceedings.</w:t>
      </w:r>
      <w:r w:rsidRPr="00E72405">
        <w:rPr>
          <w:rStyle w:val="FootnoteReference"/>
          <w:rFonts w:ascii="Cambria" w:hAnsi="Cambria" w:cs="Verdana"/>
          <w:sz w:val="18"/>
          <w:szCs w:val="18"/>
        </w:rPr>
        <w:footnoteReference w:id="328"/>
      </w:r>
    </w:p>
    <w:p w:rsidR="00DE0BC3" w:rsidRPr="00E72405" w:rsidRDefault="00DE0BC3" w:rsidP="00DE0BC3">
      <w:pPr>
        <w:pStyle w:val="Default"/>
        <w:tabs>
          <w:tab w:val="left" w:pos="0"/>
        </w:tabs>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cs="Verdana"/>
          <w:sz w:val="20"/>
          <w:szCs w:val="20"/>
        </w:rPr>
      </w:pPr>
      <w:r w:rsidRPr="00E72405">
        <w:rPr>
          <w:rFonts w:ascii="Cambria" w:hAnsi="Cambria"/>
          <w:sz w:val="20"/>
          <w:szCs w:val="20"/>
        </w:rPr>
        <w:t xml:space="preserve">In the case under review, the Commission notes that the delay in the proceedings and final judgment </w:t>
      </w:r>
      <w:r w:rsidR="00E521FD" w:rsidRPr="00E72405">
        <w:rPr>
          <w:rFonts w:ascii="Cambria" w:hAnsi="Cambria"/>
          <w:sz w:val="20"/>
          <w:szCs w:val="20"/>
        </w:rPr>
        <w:t>cannot</w:t>
      </w:r>
      <w:r w:rsidRPr="00E72405">
        <w:rPr>
          <w:rFonts w:ascii="Cambria" w:hAnsi="Cambria"/>
          <w:sz w:val="20"/>
          <w:szCs w:val="20"/>
        </w:rPr>
        <w:t xml:space="preserve"> be justified due to the complexity of the case. Indeed, the purpose of the action was to declare the responsibility of the Federal Union for the arbitrary detention of Vladimir Herzog, the torture he was subjected to and his death. The investigation of said Declaratory action was essentially based on testimonial and documentary evidence.</w:t>
      </w:r>
      <w:r w:rsidRPr="00E72405">
        <w:rPr>
          <w:rFonts w:ascii="Cambria" w:hAnsi="Cambria" w:cs="Verdana"/>
          <w:sz w:val="20"/>
          <w:szCs w:val="20"/>
        </w:rPr>
        <w:t xml:space="preserve"> All of the witnesses and experts, and documentary evidence, were presented and processed during the proceedings before the first instance federal magistrate, who settled on October 27, 1978 in favor of the petitioners, declaring the State responsible for the death of journalist Vladimir Herzog.</w:t>
      </w:r>
      <w:r w:rsidRPr="00E72405">
        <w:rPr>
          <w:rFonts w:ascii="Cambria" w:hAnsi="Cambria"/>
          <w:sz w:val="20"/>
          <w:szCs w:val="20"/>
        </w:rPr>
        <w:t xml:space="preserve"> </w:t>
      </w:r>
      <w:r w:rsidRPr="00E72405">
        <w:rPr>
          <w:rFonts w:ascii="Cambria" w:hAnsi="Cambria" w:cs="Verdana"/>
          <w:sz w:val="20"/>
          <w:szCs w:val="20"/>
        </w:rPr>
        <w:t>It has not been shown that the appeals filed later on were so complex as to justify such a delay in the response in the instant case.</w:t>
      </w:r>
    </w:p>
    <w:p w:rsidR="00DE0BC3" w:rsidRPr="00E72405" w:rsidRDefault="00DE0BC3" w:rsidP="00DE0BC3">
      <w:pPr>
        <w:spacing w:after="0" w:line="240" w:lineRule="auto"/>
        <w:ind w:left="720"/>
        <w:jc w:val="both"/>
        <w:rPr>
          <w:rFonts w:ascii="Cambria" w:hAnsi="Cambria" w:cs="Verdana"/>
          <w:sz w:val="20"/>
          <w:szCs w:val="20"/>
        </w:rPr>
      </w:pPr>
    </w:p>
    <w:p w:rsidR="00DE0BC3" w:rsidRPr="00E72405" w:rsidRDefault="00DE0BC3" w:rsidP="00DE0BC3">
      <w:pPr>
        <w:numPr>
          <w:ilvl w:val="0"/>
          <w:numId w:val="6"/>
        </w:numPr>
        <w:spacing w:after="0" w:line="240" w:lineRule="auto"/>
        <w:ind w:left="0" w:firstLine="720"/>
        <w:jc w:val="both"/>
        <w:rPr>
          <w:rFonts w:ascii="Cambria" w:hAnsi="Cambria" w:cs="Verdana"/>
          <w:sz w:val="20"/>
          <w:szCs w:val="20"/>
        </w:rPr>
      </w:pPr>
      <w:r w:rsidRPr="00E72405">
        <w:rPr>
          <w:rFonts w:ascii="Cambria" w:hAnsi="Cambria"/>
          <w:sz w:val="20"/>
          <w:szCs w:val="20"/>
        </w:rPr>
        <w:t>As to the second element under consideration, the procedural activity of the next of kin, it was not ascertained that they filed appeals or other incidents that might have justified the delay, or attempted to obstruct the judicial proceedings or delay any decision related to it. On the contrary, it was established that the petitioners were involved in different stages of the proceedings in order to substantiate their arguments and advance the resolution of the civil action that was filed.</w:t>
      </w:r>
      <w:r w:rsidRPr="00E72405">
        <w:rPr>
          <w:rStyle w:val="FootnoteReference"/>
          <w:rFonts w:ascii="Cambria" w:hAnsi="Cambria"/>
          <w:sz w:val="20"/>
          <w:szCs w:val="20"/>
        </w:rPr>
        <w:footnoteReference w:id="329"/>
      </w:r>
      <w:r w:rsidRPr="00E72405">
        <w:rPr>
          <w:rFonts w:ascii="Cambria" w:hAnsi="Cambria"/>
          <w:sz w:val="20"/>
          <w:szCs w:val="20"/>
        </w:rPr>
        <w:t xml:space="preserve"> </w:t>
      </w:r>
    </w:p>
    <w:p w:rsidR="00DE0BC3" w:rsidRPr="00E72405" w:rsidRDefault="00DE0BC3" w:rsidP="00DE0BC3">
      <w:pPr>
        <w:spacing w:after="0" w:line="240" w:lineRule="auto"/>
        <w:jc w:val="both"/>
        <w:rPr>
          <w:rFonts w:ascii="Cambria" w:hAnsi="Cambria" w:cs="Verdana"/>
          <w:sz w:val="20"/>
          <w:szCs w:val="20"/>
        </w:rPr>
      </w:pPr>
    </w:p>
    <w:p w:rsidR="00DE0BC3" w:rsidRPr="00E72405" w:rsidRDefault="00DE0BC3" w:rsidP="00DE0BC3">
      <w:pPr>
        <w:numPr>
          <w:ilvl w:val="0"/>
          <w:numId w:val="6"/>
        </w:numPr>
        <w:spacing w:after="0" w:line="240" w:lineRule="auto"/>
        <w:ind w:left="0" w:firstLine="720"/>
        <w:jc w:val="both"/>
        <w:rPr>
          <w:rFonts w:ascii="Cambria" w:hAnsi="Cambria" w:cs="Verdana"/>
          <w:sz w:val="20"/>
          <w:szCs w:val="20"/>
        </w:rPr>
      </w:pPr>
      <w:r w:rsidRPr="00E72405">
        <w:rPr>
          <w:rFonts w:ascii="Cambria" w:hAnsi="Cambria"/>
          <w:sz w:val="20"/>
          <w:szCs w:val="20"/>
        </w:rPr>
        <w:t>In this regard, the analysis of the procedural record shows an attempt by the Federal Union to delay the proceedings by filing different resources to prolong a final decision.</w:t>
      </w:r>
      <w:r w:rsidRPr="00E72405">
        <w:rPr>
          <w:rStyle w:val="FootnoteReference"/>
          <w:rFonts w:ascii="Cambria" w:hAnsi="Cambria"/>
          <w:sz w:val="20"/>
          <w:szCs w:val="20"/>
        </w:rPr>
        <w:footnoteReference w:id="330"/>
      </w:r>
      <w:r w:rsidRPr="00E72405">
        <w:rPr>
          <w:rFonts w:ascii="Cambria" w:hAnsi="Cambria"/>
          <w:sz w:val="20"/>
          <w:szCs w:val="20"/>
        </w:rPr>
        <w:t xml:space="preserve"> </w:t>
      </w:r>
    </w:p>
    <w:p w:rsidR="00DE0BC3" w:rsidRPr="00E72405" w:rsidRDefault="00DE0BC3" w:rsidP="00DE0BC3">
      <w:pPr>
        <w:spacing w:after="0" w:line="240" w:lineRule="auto"/>
        <w:jc w:val="both"/>
        <w:rPr>
          <w:rFonts w:ascii="Cambria" w:hAnsi="Cambria" w:cs="Verdana"/>
          <w:sz w:val="20"/>
          <w:szCs w:val="20"/>
        </w:rPr>
      </w:pPr>
      <w:r w:rsidRPr="00E72405">
        <w:rPr>
          <w:rFonts w:ascii="Cambria" w:hAnsi="Cambria" w:cs="Verdana"/>
          <w:sz w:val="20"/>
          <w:szCs w:val="20"/>
        </w:rPr>
        <w:tab/>
      </w: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cs="Verdana"/>
          <w:sz w:val="20"/>
          <w:szCs w:val="20"/>
        </w:rPr>
        <w:t>As to the conduct of the authorities in the judicial proceedings, it appears that the process shows long periods of inactivity attributable to the judicial authorities. This delay in the proceedings evidently affected the legal status of the persons involved. The State presented no element whatsoever leading to a different conclusion.</w:t>
      </w:r>
      <w:r w:rsidRPr="00E72405">
        <w:rPr>
          <w:rFonts w:ascii="Cambria" w:hAnsi="Cambria"/>
          <w:bCs/>
          <w:sz w:val="20"/>
          <w:szCs w:val="20"/>
        </w:rPr>
        <w:t xml:space="preserve"> </w:t>
      </w:r>
      <w:r w:rsidRPr="00E72405">
        <w:rPr>
          <w:rFonts w:ascii="Cambria" w:hAnsi="Cambria" w:cs="Univers"/>
          <w:color w:val="000000"/>
          <w:sz w:val="20"/>
          <w:szCs w:val="20"/>
        </w:rPr>
        <w:t>In the instant case, the State did not present any arguments to demonstrate the reasonableness of the approximately 17-year period between the filing of a civil action by relatives of Vladimir Herzog in 1976, and the issuance of a final judgment in the process in 1994</w:t>
      </w:r>
      <w:r w:rsidRPr="00E72405">
        <w:rPr>
          <w:rFonts w:ascii="Cambria" w:hAnsi="Cambria"/>
          <w:sz w:val="20"/>
          <w:szCs w:val="20"/>
        </w:rPr>
        <w:t>.</w:t>
      </w:r>
    </w:p>
    <w:p w:rsidR="00DE0BC3" w:rsidRPr="00E72405" w:rsidRDefault="00DE0BC3" w:rsidP="00DE0BC3">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cs="Verdana"/>
          <w:sz w:val="20"/>
          <w:szCs w:val="20"/>
        </w:rPr>
      </w:pPr>
      <w:r w:rsidRPr="00E72405">
        <w:rPr>
          <w:rFonts w:ascii="Cambria" w:hAnsi="Cambria"/>
          <w:bCs/>
          <w:sz w:val="20"/>
          <w:szCs w:val="20"/>
        </w:rPr>
        <w:t xml:space="preserve"> For all of the above, the CIDH concludes that the duration of the proceedings of the civil declaratory action was not reasonable, nor was it an effective recourse to ensure the rights of the victim and his family, thereby the State incurred in a violation of Article XVIII of the American Declaration and of articles 8.1 and 25 of the Convention, in relation with Article 1.1 thereof, to the detriment of Clarice, André and Ivo Herzog.</w:t>
      </w:r>
      <w:r w:rsidRPr="00E72405">
        <w:rPr>
          <w:rFonts w:ascii="Cambria" w:hAnsi="Cambria"/>
          <w:sz w:val="20"/>
          <w:szCs w:val="20"/>
        </w:rPr>
        <w:t xml:space="preserve"> </w:t>
      </w:r>
    </w:p>
    <w:p w:rsidR="00DE0BC3" w:rsidRPr="00E72405" w:rsidRDefault="00DE0BC3" w:rsidP="00DE0BC3">
      <w:pPr>
        <w:pStyle w:val="ListParagraph"/>
        <w:rPr>
          <w:rFonts w:cs="Verdana"/>
          <w:sz w:val="20"/>
          <w:szCs w:val="20"/>
        </w:rPr>
      </w:pPr>
    </w:p>
    <w:p w:rsidR="00DE0BC3" w:rsidRPr="00E72405" w:rsidRDefault="00DE0BC3" w:rsidP="00E521FD">
      <w:pPr>
        <w:pStyle w:val="Heading3"/>
        <w:ind w:hanging="439"/>
      </w:pPr>
      <w:bookmarkStart w:id="30" w:name="_Toc433359816"/>
      <w:r w:rsidRPr="00E72405">
        <w:t>The criminal investigation within the ordinary jurisdiction</w:t>
      </w:r>
      <w:bookmarkEnd w:id="30"/>
    </w:p>
    <w:p w:rsidR="00DE0BC3" w:rsidRPr="00E72405" w:rsidRDefault="00DE0BC3" w:rsidP="00DE0BC3">
      <w:pPr>
        <w:pStyle w:val="Default"/>
        <w:ind w:left="720"/>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As has been noted, in cases such as this one, with serious human rights violations, the American Convention requires the adoption of positive measures to ensure the investigation, prosecution and, if applicable, punishment of those responsible, and thus avoid impunity and the harmful effects it causes</w:t>
      </w:r>
      <w:r w:rsidRPr="00E72405">
        <w:rPr>
          <w:rFonts w:ascii="Cambria" w:hAnsi="Cambria"/>
          <w:bCs/>
          <w:sz w:val="20"/>
          <w:szCs w:val="20"/>
        </w:rPr>
        <w:t>.</w:t>
      </w:r>
      <w:r w:rsidR="00B64BF5" w:rsidRPr="00E72405">
        <w:rPr>
          <w:rFonts w:ascii="Cambria" w:hAnsi="Cambria"/>
          <w:sz w:val="20"/>
          <w:szCs w:val="20"/>
        </w:rPr>
        <w:br/>
      </w: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Inter-American Court has indicated that Article 8.1 of the American Convention sets forth that the victims of human rights violations, or their next of kin, should have substantial possibilities of being heard and of acting in the respective proceedings, in order to clarify the facts and punish those responsible, and to search for proper reparation. The Court has also considered that the States have the obligation to provide effective judicial remedies to all those claiming to be victims of human rights violations (Article 25), remedies that must be substantiated in accordance with the rules of due legal process (Article 8.1), all within the general obligation, by such States, to guarantee the free and full exercise of the rights recognized by the Convention to all persons subject to their jurisdiction (Article 1.1).</w:t>
      </w:r>
      <w:r w:rsidRPr="00E72405">
        <w:rPr>
          <w:rFonts w:ascii="Cambria" w:eastAsia="Times New Roman" w:hAnsi="Cambria"/>
          <w:sz w:val="20"/>
          <w:szCs w:val="20"/>
          <w:vertAlign w:val="superscript"/>
        </w:rPr>
        <w:footnoteReference w:id="331"/>
      </w:r>
      <w:r w:rsidRPr="00E72405">
        <w:rPr>
          <w:rFonts w:ascii="Cambria" w:hAnsi="Cambria"/>
          <w:sz w:val="20"/>
          <w:szCs w:val="20"/>
        </w:rPr>
        <w:t xml:space="preserve"> </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In cases such as this, the obligation to investigate is reinforced by the provisions of Articles 1, 6 and 8 of the IACPPT, of which Brazil is a party since July 20, 1989, requiring the State to “take effective measures to prevent and punish torture within [its] jurisdiction”, as well as to “prevent and punish […] any other cruel, inhuman, or degrading treatment or punishment”.  Indeed, according to jurisprudence of the Court and the Inter-American Commission, the obligation to investigate and identify and punish those responsible for serious human rights violations, such as torture, extrajudicial, summary or arbitrary executions and forced disappearances, has an inalienable nature.</w:t>
      </w:r>
      <w:r w:rsidRPr="00E72405">
        <w:rPr>
          <w:rStyle w:val="FootnoteReference"/>
          <w:rFonts w:ascii="Cambria" w:hAnsi="Cambria"/>
          <w:sz w:val="20"/>
          <w:szCs w:val="20"/>
        </w:rPr>
        <w:footnoteReference w:id="332"/>
      </w:r>
      <w:r w:rsidRPr="00E72405">
        <w:rPr>
          <w:rFonts w:ascii="Cambria" w:hAnsi="Cambria"/>
          <w:sz w:val="20"/>
          <w:szCs w:val="20"/>
        </w:rPr>
        <w:t xml:space="preserve"> Furthermore, in accordance with Article 8 of this Convention, State Parties shall ensure: […] any person making an accusation of having been subjected </w:t>
      </w:r>
      <w:r w:rsidRPr="00E72405">
        <w:rPr>
          <w:rFonts w:ascii="Cambria" w:hAnsi="Cambria"/>
          <w:sz w:val="20"/>
          <w:szCs w:val="20"/>
        </w:rPr>
        <w:lastRenderedPageBreak/>
        <w:t>to torture within their jurisdiction shall have the right to an impartial examination of his case [, and] [</w:t>
      </w:r>
      <w:proofErr w:type="spellStart"/>
      <w:r w:rsidRPr="00E72405">
        <w:rPr>
          <w:rFonts w:ascii="Cambria" w:hAnsi="Cambria"/>
          <w:sz w:val="20"/>
          <w:szCs w:val="20"/>
        </w:rPr>
        <w:t>i</w:t>
      </w:r>
      <w:proofErr w:type="spellEnd"/>
      <w:r w:rsidRPr="00E72405">
        <w:rPr>
          <w:rFonts w:ascii="Cambria" w:hAnsi="Cambria"/>
          <w:sz w:val="20"/>
          <w:szCs w:val="20"/>
        </w:rPr>
        <w:t>]f there is an accusation or well-grounded reason to believe that an act of torture has been committed within their jurisdiction […] their respective authorities will proceed properly and immediately to conduct an investigation into the case and to initiate, whenever appropriate, the corresponding criminal process.</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Likewise, the Inter-American Court has stated that “the obligation to investigate and the corresponding right of the presumed victims or their next of kin are derived not only from treaty-based provisions under international law, which are binding for States Parties, but also from domestic laws concerning the obligation to investigate </w:t>
      </w:r>
      <w:r w:rsidRPr="00E72405">
        <w:rPr>
          <w:rFonts w:ascii="Cambria" w:hAnsi="Cambria"/>
          <w:i/>
          <w:sz w:val="20"/>
          <w:szCs w:val="20"/>
        </w:rPr>
        <w:t>ex officio</w:t>
      </w:r>
      <w:r w:rsidRPr="00E72405">
        <w:rPr>
          <w:rFonts w:ascii="Cambria" w:hAnsi="Cambria"/>
          <w:sz w:val="20"/>
          <w:szCs w:val="20"/>
        </w:rPr>
        <w:t xml:space="preserve"> certain illegal conducts and the norms that allow the victims or their next of kin to file complaints or lawsuits, evidence, petitions, or any other measure, in order to play a procedural role in the criminal investigation intended to establish the truth of the facts.”</w:t>
      </w:r>
      <w:r w:rsidRPr="00E72405">
        <w:rPr>
          <w:rStyle w:val="FootnoteReference"/>
          <w:rFonts w:ascii="Cambria" w:hAnsi="Cambria"/>
          <w:sz w:val="20"/>
          <w:szCs w:val="20"/>
        </w:rPr>
        <w:footnoteReference w:id="333"/>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Commission recognizes that, following the restoration of democracy and at the request of Vladimir Herzog's family, the Brazilian State has taken actions that contribute to clarify the historical truth of the illegal detention, torture and killing of the journalist. In this regard, it notes the judgment of October 27, 1978 which declared the State's responsibility in this case;</w:t>
      </w:r>
      <w:r w:rsidRPr="00E72405">
        <w:rPr>
          <w:rStyle w:val="FootnoteReference"/>
          <w:rFonts w:ascii="Cambria" w:hAnsi="Cambria"/>
          <w:sz w:val="20"/>
          <w:szCs w:val="20"/>
        </w:rPr>
        <w:footnoteReference w:id="334"/>
      </w:r>
      <w:r w:rsidRPr="00E72405">
        <w:rPr>
          <w:rFonts w:ascii="Cambria" w:hAnsi="Cambria"/>
          <w:sz w:val="20"/>
          <w:szCs w:val="20"/>
        </w:rPr>
        <w:t xml:space="preserve"> the acknowledgment of responsibility under Law 9.140/95, as well as the establishment of the Special Commission on Political Deaths and Disappearances;</w:t>
      </w:r>
      <w:r w:rsidRPr="00E72405">
        <w:rPr>
          <w:rStyle w:val="FootnoteReference"/>
          <w:rFonts w:ascii="Cambria" w:hAnsi="Cambria"/>
          <w:sz w:val="20"/>
          <w:szCs w:val="20"/>
        </w:rPr>
        <w:footnoteReference w:id="335"/>
      </w:r>
      <w:r w:rsidRPr="00E72405">
        <w:rPr>
          <w:rFonts w:ascii="Cambria" w:hAnsi="Cambria"/>
          <w:sz w:val="20"/>
          <w:szCs w:val="20"/>
        </w:rPr>
        <w:t xml:space="preserve"> and the payment of pecuniary compensation to Clarice Herzog, the victim’s widow.</w:t>
      </w:r>
      <w:r w:rsidRPr="00E72405">
        <w:rPr>
          <w:rStyle w:val="FootnoteReference"/>
          <w:rFonts w:ascii="Cambria" w:hAnsi="Cambria"/>
          <w:sz w:val="20"/>
          <w:szCs w:val="20"/>
        </w:rPr>
        <w:footnoteReference w:id="336"/>
      </w:r>
      <w:r w:rsidRPr="00E72405">
        <w:rPr>
          <w:rFonts w:ascii="Cambria" w:hAnsi="Cambria"/>
          <w:sz w:val="20"/>
          <w:szCs w:val="20"/>
        </w:rPr>
        <w:t xml:space="preserve"> In addition, the Commission notes the publication in 2007 of the report "Right to Memory and the Truth", by the Special Secretariat on Human Rights of the Office of the President of the Republic, which records the victim's </w:t>
      </w:r>
      <w:proofErr w:type="spellStart"/>
      <w:r w:rsidRPr="00E72405">
        <w:rPr>
          <w:rFonts w:ascii="Cambria" w:hAnsi="Cambria"/>
          <w:sz w:val="20"/>
          <w:szCs w:val="20"/>
        </w:rPr>
        <w:t>pofessional</w:t>
      </w:r>
      <w:proofErr w:type="spellEnd"/>
      <w:r w:rsidRPr="00E72405">
        <w:rPr>
          <w:rFonts w:ascii="Cambria" w:hAnsi="Cambria"/>
          <w:sz w:val="20"/>
          <w:szCs w:val="20"/>
        </w:rPr>
        <w:t xml:space="preserve"> significance as a journalist, and the circumstances of his death.</w:t>
      </w:r>
      <w:r w:rsidRPr="00E72405">
        <w:rPr>
          <w:rStyle w:val="FootnoteReference"/>
          <w:rFonts w:ascii="Cambria" w:hAnsi="Cambria"/>
          <w:sz w:val="20"/>
          <w:szCs w:val="20"/>
        </w:rPr>
        <w:footnoteReference w:id="337"/>
      </w:r>
      <w:r w:rsidRPr="00E72405">
        <w:rPr>
          <w:rFonts w:ascii="Cambria" w:hAnsi="Cambria"/>
          <w:sz w:val="20"/>
          <w:szCs w:val="20"/>
        </w:rPr>
        <w:t xml:space="preserve"> It also recognizes the decision of the 2nd Chamber of Public Records for the São Paulo District [</w:t>
      </w:r>
      <w:r w:rsidRPr="00E72405">
        <w:rPr>
          <w:rFonts w:ascii="Cambria" w:hAnsi="Cambria"/>
          <w:i/>
          <w:sz w:val="20"/>
          <w:szCs w:val="20"/>
        </w:rPr>
        <w:t>2</w:t>
      </w:r>
      <w:r w:rsidRPr="00E72405">
        <w:rPr>
          <w:rStyle w:val="st1"/>
          <w:rFonts w:ascii="Cambria" w:hAnsi="Cambria" w:cs="Arial"/>
          <w:i/>
          <w:color w:val="545454"/>
          <w:sz w:val="20"/>
          <w:szCs w:val="20"/>
        </w:rPr>
        <w:t>ª</w:t>
      </w:r>
      <w:r w:rsidRPr="00E72405">
        <w:rPr>
          <w:rFonts w:ascii="Cambria" w:hAnsi="Cambria"/>
          <w:i/>
          <w:sz w:val="20"/>
          <w:szCs w:val="20"/>
        </w:rPr>
        <w:t xml:space="preserve"> </w:t>
      </w:r>
      <w:proofErr w:type="spellStart"/>
      <w:r w:rsidRPr="00E72405">
        <w:rPr>
          <w:rFonts w:ascii="Cambria" w:hAnsi="Cambria"/>
          <w:i/>
          <w:sz w:val="20"/>
          <w:szCs w:val="20"/>
        </w:rPr>
        <w:t>Vara</w:t>
      </w:r>
      <w:proofErr w:type="spellEnd"/>
      <w:r w:rsidRPr="00E72405">
        <w:rPr>
          <w:rFonts w:ascii="Cambria" w:hAnsi="Cambria"/>
          <w:i/>
          <w:sz w:val="20"/>
          <w:szCs w:val="20"/>
        </w:rPr>
        <w:t xml:space="preserve"> de </w:t>
      </w:r>
      <w:proofErr w:type="spellStart"/>
      <w:r w:rsidRPr="00E72405">
        <w:rPr>
          <w:rFonts w:ascii="Cambria" w:hAnsi="Cambria"/>
          <w:i/>
          <w:sz w:val="20"/>
          <w:szCs w:val="20"/>
        </w:rPr>
        <w:t>Registros</w:t>
      </w:r>
      <w:proofErr w:type="spellEnd"/>
      <w:r w:rsidRPr="00E72405">
        <w:rPr>
          <w:rFonts w:ascii="Cambria" w:hAnsi="Cambria"/>
          <w:i/>
          <w:sz w:val="20"/>
          <w:szCs w:val="20"/>
        </w:rPr>
        <w:t xml:space="preserve"> </w:t>
      </w:r>
      <w:proofErr w:type="spellStart"/>
      <w:r w:rsidRPr="00E72405">
        <w:rPr>
          <w:rFonts w:ascii="Cambria" w:hAnsi="Cambria"/>
          <w:i/>
          <w:sz w:val="20"/>
          <w:szCs w:val="20"/>
        </w:rPr>
        <w:t>Públicos</w:t>
      </w:r>
      <w:proofErr w:type="spellEnd"/>
      <w:r w:rsidRPr="00E72405">
        <w:rPr>
          <w:rFonts w:ascii="Cambria" w:hAnsi="Cambria"/>
          <w:i/>
          <w:sz w:val="20"/>
          <w:szCs w:val="20"/>
        </w:rPr>
        <w:t xml:space="preserve"> da Comarca de São Paulo</w:t>
      </w:r>
      <w:r w:rsidRPr="00E72405">
        <w:rPr>
          <w:rFonts w:ascii="Cambria" w:hAnsi="Cambria"/>
          <w:sz w:val="20"/>
          <w:szCs w:val="20"/>
        </w:rPr>
        <w:t>], on September 24, 2012, to correct the death certificate and register the death of Vladimir Herzog as a result "[o]f injuries and mistreatment suffered in units of the Second Army - SP (DOI-CODI)”.</w:t>
      </w:r>
      <w:r w:rsidRPr="00E72405">
        <w:rPr>
          <w:rStyle w:val="FootnoteReference"/>
          <w:rFonts w:ascii="Cambria" w:hAnsi="Cambria"/>
          <w:sz w:val="20"/>
          <w:szCs w:val="20"/>
        </w:rPr>
        <w:footnoteReference w:id="338"/>
      </w:r>
      <w:r w:rsidRPr="00E72405">
        <w:rPr>
          <w:rFonts w:ascii="Cambria" w:hAnsi="Cambria"/>
          <w:sz w:val="20"/>
          <w:szCs w:val="20"/>
        </w:rPr>
        <w:t xml:space="preserve"> </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 The Commission also recognizes the fundamental importance of the work performed by the National Truth Commission, which after a broad and participatory effort to identify victims and construct the truth, in its final report published in December 2014, </w:t>
      </w:r>
      <w:r w:rsidRPr="00E72405">
        <w:rPr>
          <w:rFonts w:ascii="Cambria" w:hAnsi="Cambria"/>
          <w:i/>
          <w:sz w:val="20"/>
          <w:szCs w:val="20"/>
        </w:rPr>
        <w:t>addressed cases such as Vladimir Herzog's</w:t>
      </w:r>
      <w:r w:rsidRPr="00E72405">
        <w:rPr>
          <w:rFonts w:ascii="Cambria" w:hAnsi="Cambria"/>
          <w:sz w:val="20"/>
          <w:szCs w:val="20"/>
        </w:rPr>
        <w:t>.</w:t>
      </w:r>
      <w:r w:rsidRPr="00E72405">
        <w:rPr>
          <w:rStyle w:val="FootnoteReference"/>
          <w:rFonts w:ascii="Cambria" w:hAnsi="Cambria" w:cs="Arial"/>
          <w:bCs/>
          <w:sz w:val="20"/>
          <w:szCs w:val="20"/>
        </w:rPr>
        <w:footnoteReference w:id="339"/>
      </w:r>
      <w:r w:rsidRPr="00E72405">
        <w:rPr>
          <w:rStyle w:val="Emphasis"/>
          <w:rFonts w:ascii="Cambria" w:hAnsi="Cambria" w:cs="Arial"/>
          <w:sz w:val="20"/>
          <w:szCs w:val="20"/>
        </w:rPr>
        <w:t xml:space="preserve"> </w:t>
      </w:r>
    </w:p>
    <w:p w:rsidR="00DE0BC3" w:rsidRPr="00E72405" w:rsidRDefault="00DE0BC3" w:rsidP="00DE0BC3">
      <w:pPr>
        <w:pStyle w:val="ListParagraph"/>
        <w:rPr>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Despite of the importance of the above actions, the Commission has argued that the "historical truth" contained in the reports produced by the truth commissions does not complete nor replace the State's obligation to establish the truth and ensure the judicial determination of individual or State responsibilities through the relevant proceedings, therefore it is the State's obligation to initiate and pursue criminal investigations to determine responsibilities, in accordance with Articles 1.1, 8 and 25 of the Convention.</w:t>
      </w:r>
      <w:r w:rsidRPr="00E72405">
        <w:rPr>
          <w:rStyle w:val="FootnoteReference"/>
          <w:rFonts w:ascii="Cambria" w:hAnsi="Cambria"/>
          <w:sz w:val="20"/>
          <w:szCs w:val="20"/>
        </w:rPr>
        <w:footnoteReference w:id="340"/>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The CNV of Brazil was established by the democratic Government in order to investigate serious human rights violations that occurred between September 18, 1946 and October 5, 1988. While the Final Report of the CNV identified those who it believed were responsible for the arbitrary detention, torture and murder of Vladimir Herzog, by the nature of its mandate, the Commission was not authorized to impose any punishment. Hence, despite its importance, it </w:t>
      </w:r>
      <w:proofErr w:type="spellStart"/>
      <w:r w:rsidRPr="00E72405">
        <w:rPr>
          <w:rFonts w:ascii="Cambria" w:hAnsi="Cambria"/>
          <w:sz w:val="20"/>
          <w:szCs w:val="20"/>
        </w:rPr>
        <w:t>can not</w:t>
      </w:r>
      <w:proofErr w:type="spellEnd"/>
      <w:r w:rsidRPr="00E72405">
        <w:rPr>
          <w:rFonts w:ascii="Cambria" w:hAnsi="Cambria"/>
          <w:sz w:val="20"/>
          <w:szCs w:val="20"/>
        </w:rPr>
        <w:t xml:space="preserve"> be regarded as an adequate substitute for judicial proceedings. In fact, the CNV's own Final Report recommends that the State “[c]</w:t>
      </w:r>
      <w:proofErr w:type="spellStart"/>
      <w:r w:rsidRPr="00E72405">
        <w:rPr>
          <w:rFonts w:ascii="Cambria" w:hAnsi="Cambria"/>
          <w:sz w:val="20"/>
          <w:szCs w:val="20"/>
        </w:rPr>
        <w:t>ontinue</w:t>
      </w:r>
      <w:proofErr w:type="spellEnd"/>
      <w:r w:rsidRPr="00E72405">
        <w:rPr>
          <w:rFonts w:ascii="Cambria" w:hAnsi="Cambria"/>
          <w:sz w:val="20"/>
          <w:szCs w:val="20"/>
        </w:rPr>
        <w:t xml:space="preserve"> investigations on the </w:t>
      </w:r>
      <w:r w:rsidRPr="00E72405">
        <w:rPr>
          <w:rFonts w:ascii="Cambria" w:hAnsi="Cambria"/>
          <w:sz w:val="20"/>
          <w:szCs w:val="20"/>
        </w:rPr>
        <w:lastRenderedPageBreak/>
        <w:t>circumstances of the case in order to identify and find other agents responsible involved [in Herzog’s homicide]”.</w:t>
      </w:r>
      <w:r w:rsidRPr="00E72405">
        <w:rPr>
          <w:rStyle w:val="FootnoteReference"/>
          <w:rFonts w:ascii="Cambria" w:hAnsi="Cambria"/>
          <w:sz w:val="20"/>
          <w:szCs w:val="20"/>
        </w:rPr>
        <w:footnoteReference w:id="341"/>
      </w:r>
      <w:r w:rsidRPr="00E72405">
        <w:rPr>
          <w:rFonts w:ascii="Cambria" w:hAnsi="Cambria"/>
          <w:sz w:val="20"/>
          <w:szCs w:val="20"/>
        </w:rPr>
        <w:t xml:space="preserve"> </w:t>
      </w: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As is apparent from the record, in June 1992, at the request of the Office of the Attorney General of the state of São Paulo, the authorities of the state ordinary jurisdiction opened a police investigation, under No. 487/92, in order to clarify the facts in this case. The Court of the state of São Paulo decided to close the police investigation on October 13, 1992 due to the implementation of the Amnesty Law (Law No. 6.683/79) regarding the facts under investigation. On August 18, 1993, the Supreme Court of Justice confirmed that decision.  </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It was not until March 2008 that members of the Federal Office of the Attorney General requested the federal courts open a criminal investigation, claiming a lack of jurisdiction of the state courts, and the inapplicability of Law No. 6.683/79 (Amnesty Law). However, the request was rejected by the Federal Court decision of January 9, 2009.</w:t>
      </w:r>
      <w:r w:rsidRPr="00E72405">
        <w:rPr>
          <w:rStyle w:val="FootnoteReference"/>
          <w:rFonts w:ascii="Cambria" w:hAnsi="Cambria"/>
          <w:sz w:val="20"/>
          <w:szCs w:val="20"/>
        </w:rPr>
        <w:footnoteReference w:id="342"/>
      </w:r>
      <w:r w:rsidRPr="00E72405">
        <w:rPr>
          <w:rFonts w:ascii="Cambria" w:hAnsi="Cambria"/>
          <w:sz w:val="20"/>
          <w:szCs w:val="20"/>
        </w:rPr>
        <w:t xml:space="preserve"> This decision determined the existence of </w:t>
      </w:r>
      <w:r w:rsidRPr="00E72405">
        <w:rPr>
          <w:rFonts w:ascii="Cambria" w:hAnsi="Cambria"/>
          <w:i/>
          <w:sz w:val="20"/>
          <w:szCs w:val="20"/>
        </w:rPr>
        <w:t>res judicata</w:t>
      </w:r>
      <w:r w:rsidRPr="00E72405">
        <w:rPr>
          <w:rFonts w:ascii="Cambria" w:hAnsi="Cambria"/>
          <w:sz w:val="20"/>
          <w:szCs w:val="20"/>
        </w:rPr>
        <w:t xml:space="preserve"> after the state decided to shelve the case in 1992, based on Law No. 6.683/79 (Amnesty Law) and the statute of limitations of the criminal action.</w:t>
      </w:r>
      <w:r w:rsidRPr="00E72405">
        <w:rPr>
          <w:rStyle w:val="FootnoteReference"/>
          <w:rFonts w:ascii="Cambria" w:hAnsi="Cambria"/>
          <w:sz w:val="20"/>
          <w:szCs w:val="20"/>
        </w:rPr>
        <w:footnoteReference w:id="343"/>
      </w:r>
      <w:r w:rsidRPr="00E72405">
        <w:rPr>
          <w:rFonts w:ascii="Cambria" w:hAnsi="Cambria"/>
          <w:sz w:val="20"/>
          <w:szCs w:val="20"/>
        </w:rPr>
        <w:t xml:space="preserve"> </w:t>
      </w:r>
    </w:p>
    <w:p w:rsidR="00DE0BC3" w:rsidRPr="00E72405" w:rsidRDefault="00DE0BC3" w:rsidP="00DE0BC3">
      <w:pPr>
        <w:pStyle w:val="ListParagraph"/>
        <w:rPr>
          <w:sz w:val="20"/>
          <w:szCs w:val="20"/>
        </w:rPr>
      </w:pPr>
    </w:p>
    <w:p w:rsidR="00DE0BC3" w:rsidRPr="00E72405" w:rsidRDefault="00DE0BC3" w:rsidP="00B64BF5">
      <w:pPr>
        <w:numPr>
          <w:ilvl w:val="0"/>
          <w:numId w:val="6"/>
        </w:numPr>
        <w:spacing w:after="0" w:line="240" w:lineRule="auto"/>
        <w:ind w:left="0" w:firstLine="720"/>
        <w:jc w:val="both"/>
        <w:rPr>
          <w:rStyle w:val="Emphasis"/>
          <w:rFonts w:ascii="Cambria" w:hAnsi="Cambria" w:cs="Verdana"/>
          <w:i w:val="0"/>
          <w:iCs w:val="0"/>
          <w:sz w:val="20"/>
          <w:szCs w:val="20"/>
        </w:rPr>
      </w:pPr>
      <w:r w:rsidRPr="00E72405">
        <w:rPr>
          <w:rFonts w:ascii="Cambria" w:hAnsi="Cambria"/>
          <w:sz w:val="20"/>
          <w:szCs w:val="20"/>
        </w:rPr>
        <w:t>Subsequently, on April 29, 2010, the Federal Supreme Court declared inadmissible an Action claiming Non-compliance of a Fundamental Precept [ADPF 153] filed by the Brazilian Bar Association [“</w:t>
      </w:r>
      <w:proofErr w:type="spellStart"/>
      <w:r w:rsidRPr="00E72405">
        <w:rPr>
          <w:rFonts w:ascii="Cambria" w:hAnsi="Cambria"/>
          <w:i/>
          <w:sz w:val="20"/>
          <w:szCs w:val="20"/>
        </w:rPr>
        <w:t>Ordem</w:t>
      </w:r>
      <w:proofErr w:type="spellEnd"/>
      <w:r w:rsidRPr="00E72405">
        <w:rPr>
          <w:rFonts w:ascii="Cambria" w:hAnsi="Cambria"/>
          <w:i/>
          <w:sz w:val="20"/>
          <w:szCs w:val="20"/>
        </w:rPr>
        <w:t xml:space="preserve"> dos </w:t>
      </w:r>
      <w:proofErr w:type="spellStart"/>
      <w:r w:rsidRPr="00E72405">
        <w:rPr>
          <w:rFonts w:ascii="Cambria" w:hAnsi="Cambria"/>
          <w:i/>
          <w:sz w:val="20"/>
          <w:szCs w:val="20"/>
        </w:rPr>
        <w:t>Advogados</w:t>
      </w:r>
      <w:proofErr w:type="spellEnd"/>
      <w:r w:rsidRPr="00E72405">
        <w:rPr>
          <w:rFonts w:ascii="Cambria" w:hAnsi="Cambria"/>
          <w:i/>
          <w:sz w:val="20"/>
          <w:szCs w:val="20"/>
        </w:rPr>
        <w:t xml:space="preserve"> do </w:t>
      </w:r>
      <w:proofErr w:type="spellStart"/>
      <w:r w:rsidRPr="00E72405">
        <w:rPr>
          <w:rFonts w:ascii="Cambria" w:hAnsi="Cambria"/>
          <w:i/>
          <w:sz w:val="20"/>
          <w:szCs w:val="20"/>
        </w:rPr>
        <w:t>Brasil</w:t>
      </w:r>
      <w:proofErr w:type="spellEnd"/>
      <w:r w:rsidRPr="00E72405">
        <w:rPr>
          <w:rFonts w:ascii="Cambria" w:hAnsi="Cambria"/>
          <w:sz w:val="20"/>
          <w:szCs w:val="20"/>
        </w:rPr>
        <w:t>”] and affirmed the validity of the Amnesty Law (Law No. 6.683/79) and the constitutionality of the interpretation of the first paragraph of its Article 1.</w:t>
      </w:r>
      <w:r w:rsidRPr="00E72405">
        <w:rPr>
          <w:rStyle w:val="FootnoteReference"/>
          <w:rFonts w:ascii="Cambria" w:hAnsi="Cambria" w:cs="Verdana"/>
          <w:sz w:val="20"/>
          <w:szCs w:val="20"/>
        </w:rPr>
        <w:footnoteReference w:id="344"/>
      </w:r>
      <w:r w:rsidRPr="00E72405">
        <w:rPr>
          <w:rFonts w:ascii="Cambria" w:hAnsi="Cambria" w:cs="Verdana"/>
          <w:sz w:val="20"/>
          <w:szCs w:val="20"/>
        </w:rPr>
        <w:t xml:space="preserve"> The Brazilian Bar Association filed a motion for clarification ["embargos de </w:t>
      </w:r>
      <w:proofErr w:type="spellStart"/>
      <w:r w:rsidRPr="00E72405">
        <w:rPr>
          <w:rFonts w:ascii="Cambria" w:hAnsi="Cambria" w:cs="Verdana"/>
          <w:sz w:val="20"/>
          <w:szCs w:val="20"/>
        </w:rPr>
        <w:t>declaração</w:t>
      </w:r>
      <w:proofErr w:type="spellEnd"/>
      <w:r w:rsidRPr="00E72405">
        <w:rPr>
          <w:rFonts w:ascii="Cambria" w:hAnsi="Cambria" w:cs="Verdana"/>
          <w:sz w:val="20"/>
          <w:szCs w:val="20"/>
        </w:rPr>
        <w:t>"], which is pending at the date of issue of the instant report.</w:t>
      </w:r>
      <w:r w:rsidRPr="00E72405">
        <w:rPr>
          <w:rStyle w:val="Emphasis"/>
          <w:rFonts w:ascii="Cambria" w:hAnsi="Cambria"/>
          <w:i w:val="0"/>
          <w:sz w:val="20"/>
          <w:szCs w:val="20"/>
        </w:rPr>
        <w:t xml:space="preserve"> </w:t>
      </w:r>
    </w:p>
    <w:p w:rsidR="00B64BF5" w:rsidRPr="00E72405" w:rsidRDefault="00B64BF5" w:rsidP="00B64BF5">
      <w:pPr>
        <w:spacing w:after="0" w:line="240" w:lineRule="auto"/>
        <w:jc w:val="both"/>
        <w:rPr>
          <w:rFonts w:ascii="Cambria" w:hAnsi="Cambria" w:cs="Verdan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eastAsia="Times New Roman" w:hAnsi="Cambria"/>
          <w:sz w:val="20"/>
          <w:szCs w:val="20"/>
        </w:rPr>
        <w:t>In sum, the decisions to close or shelve the investigation that became final validated an interpretation of Law No. 6.683/79 (Amnesty Law), in the sense that it prevents the investigation and prosecution of the arbitrary detention, torture and execution of Vladimir Herzog. Based on these decisions of the state and federal courts, the Brazilian State has not continued a criminal investigation in ordinary jurisdiction regarding the facts of the instant case</w:t>
      </w:r>
      <w:r w:rsidRPr="00E72405">
        <w:rPr>
          <w:rFonts w:ascii="Cambria" w:hAnsi="Cambria"/>
          <w:sz w:val="20"/>
          <w:szCs w:val="20"/>
        </w:rPr>
        <w:t xml:space="preserve">.  </w:t>
      </w:r>
    </w:p>
    <w:p w:rsidR="00DE0BC3" w:rsidRPr="00E72405" w:rsidRDefault="00DE0BC3" w:rsidP="00DE0BC3">
      <w:pPr>
        <w:pStyle w:val="ListParagraph"/>
        <w:rPr>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The Commission shall examine whether, once the State became internationally bound after ratifying the American Convention, the following concepts of criminal law: (a) the Amnesty Law (Law No. 6.683/79); (b) </w:t>
      </w:r>
      <w:r w:rsidRPr="00E72405">
        <w:rPr>
          <w:rFonts w:ascii="Cambria" w:hAnsi="Cambria"/>
          <w:i/>
          <w:sz w:val="20"/>
          <w:szCs w:val="20"/>
        </w:rPr>
        <w:t>res judicata</w:t>
      </w:r>
      <w:r w:rsidRPr="00E72405">
        <w:rPr>
          <w:rFonts w:ascii="Cambria" w:hAnsi="Cambria"/>
          <w:sz w:val="20"/>
          <w:szCs w:val="20"/>
        </w:rPr>
        <w:t>, and (c) statute of limitation of the criminal action, apply and are compatible in the instant case with its international obligations in this matter</w:t>
      </w:r>
      <w:r w:rsidRPr="00E72405">
        <w:rPr>
          <w:rFonts w:ascii="Cambria" w:hAnsi="Cambria" w:cs="Verdana"/>
          <w:sz w:val="20"/>
          <w:szCs w:val="20"/>
        </w:rPr>
        <w:t xml:space="preserve">. </w:t>
      </w:r>
    </w:p>
    <w:p w:rsidR="00DE0BC3" w:rsidRPr="00E72405" w:rsidRDefault="00DE0BC3" w:rsidP="00DE0BC3">
      <w:pPr>
        <w:pStyle w:val="ListParagraph"/>
        <w:rPr>
          <w:rFonts w:cs="Verdana"/>
          <w:sz w:val="20"/>
          <w:szCs w:val="20"/>
        </w:rPr>
      </w:pPr>
    </w:p>
    <w:p w:rsidR="00DE0BC3" w:rsidRPr="00E72405" w:rsidRDefault="00DE0BC3" w:rsidP="00DE0BC3">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Verdana"/>
          <w:b/>
          <w:sz w:val="20"/>
          <w:szCs w:val="20"/>
        </w:rPr>
      </w:pPr>
      <w:r w:rsidRPr="00E72405">
        <w:rPr>
          <w:b/>
          <w:bCs/>
          <w:sz w:val="20"/>
          <w:szCs w:val="20"/>
        </w:rPr>
        <w:t>Amnesty Law</w:t>
      </w:r>
      <w:r w:rsidRPr="00E72405">
        <w:rPr>
          <w:rFonts w:cs="Verdana"/>
          <w:b/>
          <w:sz w:val="20"/>
          <w:szCs w:val="20"/>
        </w:rPr>
        <w:t xml:space="preserve"> (Law No. 6.683/79)</w:t>
      </w:r>
    </w:p>
    <w:p w:rsidR="00DE0BC3" w:rsidRPr="00E72405" w:rsidRDefault="00DE0BC3" w:rsidP="00DE0BC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340"/>
        <w:contextualSpacing/>
        <w:rPr>
          <w:rFonts w:cs="Verdana"/>
          <w:b/>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Commission has commented in a number of cases on the application of amnesty laws, stating that such laws violate several provisions of both the American Declaration and the Convention. In these decisions, consistent with the criteria of other international human rights bodies, the Commission has uniformly stated that both the amnesty laws as well as comparable legislative measures that prevent or terminate an investigation and prosecution of State agents who may be responsible for serious violations of the Convention or the American Declaration, violate multiple provisions of these instruments.</w:t>
      </w:r>
      <w:r w:rsidRPr="00E72405">
        <w:rPr>
          <w:rStyle w:val="FootnoteReference"/>
          <w:rFonts w:ascii="Cambria" w:hAnsi="Cambria" w:cs="Verdana"/>
          <w:sz w:val="20"/>
          <w:szCs w:val="20"/>
        </w:rPr>
        <w:footnoteReference w:id="345"/>
      </w:r>
      <w:r w:rsidRPr="00E72405">
        <w:rPr>
          <w:rFonts w:ascii="Cambria" w:hAnsi="Cambria"/>
          <w:sz w:val="20"/>
          <w:szCs w:val="20"/>
        </w:rPr>
        <w:t xml:space="preserve"> </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In similar terms, the Court has repeatedly held that “[a]</w:t>
      </w:r>
      <w:proofErr w:type="spellStart"/>
      <w:r w:rsidRPr="00E72405">
        <w:rPr>
          <w:rFonts w:ascii="Cambria" w:hAnsi="Cambria"/>
          <w:sz w:val="20"/>
          <w:szCs w:val="20"/>
        </w:rPr>
        <w:t>ll</w:t>
      </w:r>
      <w:proofErr w:type="spellEnd"/>
      <w:r w:rsidRPr="00E72405">
        <w:rPr>
          <w:rFonts w:ascii="Cambria" w:hAnsi="Cambria"/>
          <w:sz w:val="20"/>
          <w:szCs w:val="20"/>
        </w:rPr>
        <w:t xml:space="preserve"> amnesty provisions […] are inadmissible, because they are intended to prevent the investigation and punishment of those responsible for </w:t>
      </w:r>
      <w:r w:rsidRPr="00E72405">
        <w:rPr>
          <w:rFonts w:ascii="Cambria" w:hAnsi="Cambria"/>
          <w:sz w:val="20"/>
          <w:szCs w:val="20"/>
        </w:rPr>
        <w:lastRenderedPageBreak/>
        <w:t>serious human rights violations such as torture, extrajudicial, summary or arbitrary execution and forced disappearance, all of them prohibited because they violate non-</w:t>
      </w:r>
      <w:proofErr w:type="spellStart"/>
      <w:r w:rsidRPr="00E72405">
        <w:rPr>
          <w:rFonts w:ascii="Cambria" w:hAnsi="Cambria"/>
          <w:sz w:val="20"/>
          <w:szCs w:val="20"/>
        </w:rPr>
        <w:t>derogable</w:t>
      </w:r>
      <w:proofErr w:type="spellEnd"/>
      <w:r w:rsidRPr="00E72405">
        <w:rPr>
          <w:rFonts w:ascii="Cambria" w:hAnsi="Cambria"/>
          <w:sz w:val="20"/>
          <w:szCs w:val="20"/>
        </w:rPr>
        <w:t xml:space="preserve"> rights recognized by international human rights law”.</w:t>
      </w:r>
      <w:r w:rsidRPr="00E72405">
        <w:rPr>
          <w:rStyle w:val="FootnoteReference"/>
          <w:rFonts w:ascii="Cambria" w:hAnsi="Cambria"/>
          <w:sz w:val="20"/>
          <w:szCs w:val="20"/>
        </w:rPr>
        <w:footnoteReference w:id="346"/>
      </w:r>
    </w:p>
    <w:p w:rsidR="00481A9C" w:rsidRPr="00E72405" w:rsidRDefault="00481A9C" w:rsidP="00481A9C">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More recently, this Court observed that:</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B64BF5">
      <w:pPr>
        <w:autoSpaceDE w:val="0"/>
        <w:autoSpaceDN w:val="0"/>
        <w:adjustRightInd w:val="0"/>
        <w:ind w:left="720" w:right="720"/>
        <w:jc w:val="both"/>
        <w:rPr>
          <w:rFonts w:ascii="Cambria" w:hAnsi="Cambria" w:cs="Verdana"/>
          <w:sz w:val="18"/>
          <w:szCs w:val="18"/>
        </w:rPr>
      </w:pPr>
      <w:r w:rsidRPr="00E72405">
        <w:rPr>
          <w:rFonts w:ascii="Cambria" w:hAnsi="Cambria" w:cs="Verdana"/>
          <w:sz w:val="18"/>
          <w:szCs w:val="18"/>
        </w:rPr>
        <w:t>all of the international organs for the protection of human rights and several high courts of the region that have had the opportunity to rule on the scope of amnesty laws regarding serious human rights violations and their compatibility with international obligations of States that issue them, have noted that these amnesty laws impact the international obligation of the State to investigate and punish said violations.</w:t>
      </w:r>
      <w:r w:rsidRPr="00E72405">
        <w:rPr>
          <w:rStyle w:val="FootnoteReference"/>
          <w:rFonts w:ascii="Cambria" w:hAnsi="Cambria" w:cs="Verdana"/>
          <w:sz w:val="18"/>
          <w:szCs w:val="18"/>
        </w:rPr>
        <w:footnoteReference w:id="347"/>
      </w:r>
    </w:p>
    <w:p w:rsidR="00DE0BC3" w:rsidRPr="00E72405" w:rsidRDefault="00DE0BC3" w:rsidP="00B64BF5">
      <w:pPr>
        <w:numPr>
          <w:ilvl w:val="0"/>
          <w:numId w:val="6"/>
        </w:numPr>
        <w:spacing w:after="0" w:line="240" w:lineRule="auto"/>
        <w:ind w:left="0" w:firstLine="720"/>
        <w:jc w:val="both"/>
        <w:rPr>
          <w:rFonts w:ascii="Cambria" w:hAnsi="Cambria" w:cs="Verdana"/>
          <w:sz w:val="20"/>
          <w:szCs w:val="20"/>
        </w:rPr>
      </w:pPr>
      <w:r w:rsidRPr="00E72405">
        <w:rPr>
          <w:rFonts w:ascii="Cambria" w:hAnsi="Cambria" w:cs="Verdana"/>
          <w:sz w:val="20"/>
          <w:szCs w:val="20"/>
        </w:rPr>
        <w:t xml:space="preserve">In the case of </w:t>
      </w:r>
      <w:r w:rsidRPr="00E72405">
        <w:rPr>
          <w:rFonts w:ascii="Cambria" w:hAnsi="Cambria"/>
          <w:i/>
          <w:sz w:val="20"/>
          <w:szCs w:val="20"/>
        </w:rPr>
        <w:t xml:space="preserve">Julia Gomes Lund et al. (Guerrilla de Araguaia) v. </w:t>
      </w:r>
      <w:proofErr w:type="spellStart"/>
      <w:r w:rsidRPr="00E72405">
        <w:rPr>
          <w:rFonts w:ascii="Cambria" w:hAnsi="Cambria"/>
          <w:i/>
          <w:sz w:val="20"/>
          <w:szCs w:val="20"/>
        </w:rPr>
        <w:t>Brasil</w:t>
      </w:r>
      <w:proofErr w:type="spellEnd"/>
      <w:r w:rsidRPr="00E72405">
        <w:rPr>
          <w:rFonts w:ascii="Cambria" w:hAnsi="Cambria" w:cs="Verdana"/>
          <w:sz w:val="20"/>
          <w:szCs w:val="20"/>
        </w:rPr>
        <w:t>, the Commission had the opportunity to comment on Law No. 6.683/79, adopted in Brazil on August 28, 1979. The Commission considered that this legislation constitutes an amnesty law by declaring the extinction of criminal liability of all individuals that had committed “political crimes or derived crimes to these” within the period of the military dictatorship, between September 2, 1961 and August 15, 1979.</w:t>
      </w:r>
      <w:r w:rsidRPr="00E72405">
        <w:rPr>
          <w:rStyle w:val="FootnoteReference"/>
          <w:rFonts w:ascii="Cambria" w:hAnsi="Cambria" w:cs="Verdana"/>
          <w:sz w:val="20"/>
          <w:szCs w:val="20"/>
        </w:rPr>
        <w:footnoteReference w:id="348"/>
      </w:r>
      <w:r w:rsidRPr="00E72405">
        <w:rPr>
          <w:rFonts w:ascii="Cambria" w:hAnsi="Cambria" w:cs="Verdana"/>
          <w:sz w:val="20"/>
          <w:szCs w:val="20"/>
        </w:rPr>
        <w:t xml:space="preserve"> The Commission added that Brazilian courts have interpreted the amnesty law in the sense that it prevents the criminal investigation, prosecution and punishment of those responsible for serious violations of human rights which constitute crimes against humanity, including torture, extrajudicial executions and forced disappearances.</w:t>
      </w:r>
      <w:r w:rsidRPr="00E72405">
        <w:rPr>
          <w:rStyle w:val="FootnoteReference"/>
          <w:rFonts w:ascii="Cambria" w:hAnsi="Cambria" w:cs="Verdana"/>
          <w:sz w:val="20"/>
          <w:szCs w:val="20"/>
        </w:rPr>
        <w:footnoteReference w:id="349"/>
      </w:r>
      <w:r w:rsidRPr="00E72405">
        <w:rPr>
          <w:rFonts w:ascii="Cambria" w:hAnsi="Cambria" w:cs="Verdana"/>
          <w:sz w:val="20"/>
          <w:szCs w:val="20"/>
        </w:rPr>
        <w:t xml:space="preserve"> In this regard, the Commission considers that Law No. 6.683/79 is contrary to the American Convention, “to the extent that it is interpreted as an impediment to the criminal prosecution of serious human rights violations”</w:t>
      </w:r>
      <w:r w:rsidRPr="00E72405">
        <w:rPr>
          <w:rStyle w:val="FootnoteReference"/>
          <w:rFonts w:ascii="Cambria" w:hAnsi="Cambria" w:cs="Verdana"/>
          <w:sz w:val="20"/>
          <w:szCs w:val="20"/>
        </w:rPr>
        <w:footnoteReference w:id="350"/>
      </w:r>
      <w:r w:rsidRPr="00E72405">
        <w:rPr>
          <w:rFonts w:ascii="Cambria" w:hAnsi="Cambria" w:cs="Verdana"/>
          <w:sz w:val="20"/>
          <w:szCs w:val="20"/>
        </w:rPr>
        <w:t>.</w:t>
      </w:r>
    </w:p>
    <w:p w:rsidR="00B64BF5" w:rsidRPr="00E72405" w:rsidRDefault="00B64BF5" w:rsidP="00B64BF5">
      <w:pPr>
        <w:spacing w:after="0" w:line="240" w:lineRule="auto"/>
        <w:ind w:left="720"/>
        <w:jc w:val="both"/>
        <w:rPr>
          <w:rFonts w:ascii="Cambria" w:hAnsi="Cambria" w:cs="Verdana"/>
          <w:sz w:val="20"/>
          <w:szCs w:val="20"/>
        </w:rPr>
      </w:pPr>
    </w:p>
    <w:p w:rsidR="00DE0BC3" w:rsidRPr="00E72405" w:rsidRDefault="00DE0BC3" w:rsidP="00B64BF5">
      <w:pPr>
        <w:numPr>
          <w:ilvl w:val="0"/>
          <w:numId w:val="6"/>
        </w:numPr>
        <w:spacing w:after="0" w:line="240" w:lineRule="auto"/>
        <w:ind w:left="0" w:firstLine="720"/>
        <w:jc w:val="both"/>
        <w:rPr>
          <w:rFonts w:ascii="Cambria" w:hAnsi="Cambria" w:cs="Verdana"/>
          <w:sz w:val="20"/>
          <w:szCs w:val="20"/>
        </w:rPr>
      </w:pPr>
      <w:r w:rsidRPr="00E72405">
        <w:rPr>
          <w:rFonts w:ascii="Cambria" w:hAnsi="Cambria" w:cs="Verdana"/>
          <w:sz w:val="20"/>
          <w:szCs w:val="20"/>
        </w:rPr>
        <w:t xml:space="preserve">In its decision on this case, the Court stated if “finds no legal grounds for departing from its settled case-law, according to which ‘amnesty provisions which seek to prevent the investigation and punishment of those responsible for serious human rights violations are inadmissible’”. Adding: </w:t>
      </w:r>
    </w:p>
    <w:p w:rsidR="00B64BF5" w:rsidRPr="00E72405" w:rsidRDefault="00B64BF5" w:rsidP="00B64BF5">
      <w:pPr>
        <w:spacing w:after="0" w:line="240" w:lineRule="auto"/>
        <w:jc w:val="both"/>
        <w:rPr>
          <w:rFonts w:ascii="Cambria" w:hAnsi="Cambria" w:cs="Verdana"/>
          <w:sz w:val="20"/>
          <w:szCs w:val="20"/>
        </w:rPr>
      </w:pPr>
    </w:p>
    <w:p w:rsidR="00DE0BC3" w:rsidRPr="00E72405" w:rsidRDefault="00DE0BC3" w:rsidP="00481A9C">
      <w:pPr>
        <w:spacing w:line="240" w:lineRule="auto"/>
        <w:ind w:left="720" w:right="720"/>
        <w:jc w:val="both"/>
        <w:rPr>
          <w:rFonts w:ascii="Cambria" w:hAnsi="Cambria" w:cs="Verdana"/>
          <w:sz w:val="18"/>
          <w:szCs w:val="18"/>
        </w:rPr>
      </w:pPr>
      <w:r w:rsidRPr="00E72405">
        <w:rPr>
          <w:rFonts w:ascii="Cambria" w:hAnsi="Cambria" w:cs="Verdana"/>
          <w:sz w:val="18"/>
          <w:szCs w:val="18"/>
        </w:rPr>
        <w:t>172.</w:t>
      </w:r>
      <w:r w:rsidRPr="00E72405">
        <w:rPr>
          <w:sz w:val="18"/>
          <w:szCs w:val="18"/>
        </w:rPr>
        <w:t xml:space="preserve"> </w:t>
      </w:r>
      <w:r w:rsidRPr="00E72405">
        <w:rPr>
          <w:rFonts w:ascii="Cambria" w:hAnsi="Cambria" w:cs="Verdana"/>
          <w:sz w:val="18"/>
          <w:szCs w:val="18"/>
        </w:rPr>
        <w:t>The Inter-American Court considers that the manner in which the Amnesty Law has been interpreted and applied by Brazil […] has affected the international obligation of the State in regard to the investigation and punishment of serious human rights violations because it prevented the next of kin in the present case from being heard before a judge, pursuant to that indicated in Article 8(1) of the American Convention and violated the right to judicial protection enshrined in Article 25 of the Convention given the failure to investigate, persecute, capture, prosecute, and punish those responsible for the facts, failing to comply with Article 1(1) of the Convention. In addition, in applying the provisions of the Amnesty Law preventing the investigation of the facts and the identification, prosecution, and possible punishment of those responsible of continued and permanent violations such as enforced disappearances, the State failed to comply with its obligation to adapt its domestic law enshrined in Article 2 of the American Convention.</w:t>
      </w:r>
    </w:p>
    <w:p w:rsidR="00DE0BC3" w:rsidRPr="00E72405" w:rsidRDefault="00DE0BC3" w:rsidP="00B64BF5">
      <w:pPr>
        <w:spacing w:line="240" w:lineRule="auto"/>
        <w:ind w:left="720" w:right="720"/>
        <w:jc w:val="both"/>
        <w:rPr>
          <w:rFonts w:ascii="Cambria" w:hAnsi="Cambria" w:cs="Verdana"/>
          <w:sz w:val="18"/>
          <w:szCs w:val="18"/>
        </w:rPr>
      </w:pPr>
      <w:r w:rsidRPr="00E72405">
        <w:rPr>
          <w:rFonts w:ascii="Cambria" w:hAnsi="Cambria" w:cs="Verdana"/>
          <w:sz w:val="18"/>
          <w:szCs w:val="18"/>
        </w:rPr>
        <w:t xml:space="preserve">173. The Court deems it necessary to emphasize that, under the general obligations enshrined in Article 1(1) and 2 of the American Convention, the States Parties have the obligation to take measures of all kinds to assure that no one is taken from the judicial protection and from the exercise of their right to a simple and effective remedy, in the terms of Articles 8 and 25 of the Convention. In a case such as the present, once the American Convention has been ratified, it corresponds to the State to adopt all the measures to revoke the legal provisions that may contradict said treaty as established in Article 2, such as those that prevent the investigation of serious human rights violations given that it </w:t>
      </w:r>
      <w:r w:rsidRPr="00E72405">
        <w:rPr>
          <w:rFonts w:ascii="Cambria" w:hAnsi="Cambria" w:cs="Verdana"/>
          <w:sz w:val="18"/>
          <w:szCs w:val="18"/>
        </w:rPr>
        <w:lastRenderedPageBreak/>
        <w:t>leads to the defenselessness of victims and the perpetuation of impunity and prevent the next of kin from knowing the truth.</w:t>
      </w:r>
      <w:r w:rsidRPr="00E72405">
        <w:rPr>
          <w:rStyle w:val="FootnoteReference"/>
          <w:rFonts w:ascii="Cambria" w:hAnsi="Cambria" w:cs="Verdana"/>
          <w:sz w:val="18"/>
          <w:szCs w:val="18"/>
        </w:rPr>
        <w:footnoteReference w:id="351"/>
      </w:r>
    </w:p>
    <w:p w:rsidR="00DE0BC3" w:rsidRPr="00E72405" w:rsidRDefault="00DE0BC3" w:rsidP="00B64BF5">
      <w:pPr>
        <w:numPr>
          <w:ilvl w:val="0"/>
          <w:numId w:val="6"/>
        </w:numPr>
        <w:spacing w:after="0" w:line="240" w:lineRule="auto"/>
        <w:ind w:left="0" w:firstLine="720"/>
        <w:jc w:val="both"/>
        <w:rPr>
          <w:rFonts w:ascii="Cambria" w:hAnsi="Cambria" w:cs="Verdana"/>
          <w:sz w:val="20"/>
          <w:szCs w:val="20"/>
        </w:rPr>
      </w:pPr>
      <w:r w:rsidRPr="00E72405">
        <w:rPr>
          <w:rFonts w:ascii="Cambria" w:hAnsi="Cambria" w:cs="Verdana"/>
          <w:sz w:val="20"/>
          <w:szCs w:val="20"/>
        </w:rPr>
        <w:t>On this basis, the Court found that “given its express non-compatibility with the American Convention, the provisions of the Brazilian Amnesty Law that impedes the investigation and punishment of serious human rights violations lack legal effect. As a consequence, they cannot continue to represent an obstacle in the investigation of the facts in the present case, nor for the identification and punishment of those responsible, nor can they have equal or similar impact regarding other cases of serious human rights violations enshrined in the American Convention that occurred in Brazil”.</w:t>
      </w:r>
      <w:r w:rsidRPr="00E72405">
        <w:rPr>
          <w:rStyle w:val="FootnoteReference"/>
          <w:rFonts w:ascii="Cambria" w:hAnsi="Cambria" w:cs="Verdana"/>
          <w:sz w:val="20"/>
          <w:szCs w:val="20"/>
        </w:rPr>
        <w:footnoteReference w:id="352"/>
      </w:r>
    </w:p>
    <w:p w:rsidR="00B64BF5" w:rsidRPr="00E72405" w:rsidRDefault="00B64BF5" w:rsidP="00B64BF5">
      <w:pPr>
        <w:spacing w:after="0" w:line="240" w:lineRule="auto"/>
        <w:ind w:left="720"/>
        <w:jc w:val="both"/>
        <w:rPr>
          <w:rFonts w:ascii="Cambria" w:hAnsi="Cambria" w:cs="Verdana"/>
          <w:sz w:val="20"/>
          <w:szCs w:val="20"/>
        </w:rPr>
      </w:pPr>
    </w:p>
    <w:p w:rsidR="00DE0BC3" w:rsidRPr="00E72405" w:rsidRDefault="00DE0BC3" w:rsidP="00B64BF5">
      <w:pPr>
        <w:numPr>
          <w:ilvl w:val="0"/>
          <w:numId w:val="6"/>
        </w:numPr>
        <w:spacing w:after="0" w:line="240" w:lineRule="auto"/>
        <w:ind w:left="0" w:firstLine="720"/>
        <w:jc w:val="both"/>
        <w:rPr>
          <w:rStyle w:val="hps"/>
          <w:rFonts w:ascii="Cambria" w:hAnsi="Cambria" w:cs="Verdana"/>
          <w:sz w:val="20"/>
          <w:szCs w:val="20"/>
        </w:rPr>
      </w:pPr>
      <w:r w:rsidRPr="00E72405">
        <w:rPr>
          <w:rFonts w:ascii="Cambria" w:hAnsi="Cambria" w:cs="Verdana"/>
          <w:sz w:val="20"/>
          <w:szCs w:val="20"/>
        </w:rPr>
        <w:t xml:space="preserve">The IACHR notes that, in its final report, the National Truth Commission (CNV) of Brazil resumed inter-American jurisprudence and noted that </w:t>
      </w:r>
      <w:r w:rsidRPr="00E72405">
        <w:rPr>
          <w:rStyle w:val="hps"/>
          <w:rFonts w:ascii="Cambria" w:hAnsi="Cambria" w:cs="Arial"/>
          <w:sz w:val="20"/>
          <w:szCs w:val="20"/>
        </w:rPr>
        <w:t>“the characterization of a human rights violation as serious imposes, on the State, a series of obligations”,</w:t>
      </w:r>
      <w:r w:rsidRPr="00E72405">
        <w:rPr>
          <w:rStyle w:val="FootnoteReference"/>
          <w:rFonts w:ascii="Cambria" w:hAnsi="Cambria" w:cs="Arial"/>
          <w:sz w:val="20"/>
          <w:szCs w:val="20"/>
        </w:rPr>
        <w:footnoteReference w:id="353"/>
      </w:r>
      <w:r w:rsidRPr="00E72405">
        <w:rPr>
          <w:rStyle w:val="hps"/>
          <w:rFonts w:ascii="Cambria" w:hAnsi="Cambria" w:cs="Arial"/>
          <w:sz w:val="20"/>
          <w:szCs w:val="20"/>
        </w:rPr>
        <w:t xml:space="preserve"> indicating that “Amnesty and statute of limitations provisions, and the establishment of liability waivers in order to obstruct the investigation and punishment of those responsible for serious violations of human rights are inadmissible”.</w:t>
      </w:r>
      <w:r w:rsidRPr="00E72405">
        <w:rPr>
          <w:rStyle w:val="FootnoteReference"/>
          <w:rFonts w:ascii="Cambria" w:hAnsi="Cambria" w:cs="Arial"/>
          <w:sz w:val="20"/>
          <w:szCs w:val="20"/>
        </w:rPr>
        <w:footnoteReference w:id="354"/>
      </w:r>
      <w:r w:rsidRPr="00E72405">
        <w:rPr>
          <w:rStyle w:val="hps"/>
          <w:rFonts w:ascii="Cambria" w:hAnsi="Cambria" w:cs="Arial"/>
          <w:sz w:val="20"/>
          <w:szCs w:val="20"/>
        </w:rPr>
        <w:t xml:space="preserve"> </w:t>
      </w:r>
    </w:p>
    <w:p w:rsidR="00B64BF5" w:rsidRPr="00E72405" w:rsidRDefault="00B64BF5" w:rsidP="00B64BF5">
      <w:pPr>
        <w:spacing w:after="0" w:line="240" w:lineRule="auto"/>
        <w:jc w:val="both"/>
        <w:rPr>
          <w:rStyle w:val="hps"/>
          <w:rFonts w:ascii="Cambria" w:hAnsi="Cambria" w:cs="Verdana"/>
          <w:sz w:val="20"/>
          <w:szCs w:val="20"/>
        </w:rPr>
      </w:pPr>
    </w:p>
    <w:p w:rsidR="00DE0BC3" w:rsidRPr="00E72405" w:rsidRDefault="00DE0BC3" w:rsidP="00B64BF5">
      <w:pPr>
        <w:numPr>
          <w:ilvl w:val="0"/>
          <w:numId w:val="6"/>
        </w:numPr>
        <w:spacing w:after="0" w:line="240" w:lineRule="auto"/>
        <w:ind w:left="0" w:firstLine="720"/>
        <w:jc w:val="both"/>
        <w:rPr>
          <w:rStyle w:val="hps"/>
          <w:rFonts w:ascii="Cambria" w:hAnsi="Cambria" w:cs="Verdana"/>
          <w:sz w:val="20"/>
          <w:szCs w:val="20"/>
        </w:rPr>
      </w:pPr>
      <w:r w:rsidRPr="00E72405">
        <w:rPr>
          <w:rStyle w:val="hps"/>
          <w:rFonts w:ascii="Cambria" w:hAnsi="Cambria" w:cs="Arial"/>
          <w:sz w:val="20"/>
          <w:szCs w:val="20"/>
        </w:rPr>
        <w:t>Both the Court</w:t>
      </w:r>
      <w:r w:rsidRPr="00E72405">
        <w:rPr>
          <w:rStyle w:val="FootnoteReference"/>
          <w:rFonts w:ascii="Cambria" w:hAnsi="Cambria" w:cs="Arial"/>
          <w:sz w:val="20"/>
          <w:szCs w:val="20"/>
        </w:rPr>
        <w:footnoteReference w:id="355"/>
      </w:r>
      <w:r w:rsidRPr="00E72405">
        <w:rPr>
          <w:rStyle w:val="hps"/>
          <w:rFonts w:ascii="Cambria" w:hAnsi="Cambria" w:cs="Arial"/>
          <w:sz w:val="20"/>
          <w:szCs w:val="20"/>
        </w:rPr>
        <w:t xml:space="preserve"> and the IACHR have emphasized that in their capacity as guarantors, the courts of each State are obliged to exercise "control of conventionality", which means that they must, at all times, arrange or guide their judgments in accordance with treaty-based norms on human rights. In its judgment in the case of </w:t>
      </w:r>
      <w:r w:rsidRPr="00E72405">
        <w:rPr>
          <w:rStyle w:val="hps"/>
          <w:rFonts w:ascii="Cambria" w:hAnsi="Cambria" w:cs="Arial"/>
          <w:i/>
          <w:sz w:val="20"/>
          <w:szCs w:val="20"/>
        </w:rPr>
        <w:t>Gomes Lund et al ("Araguaia Guerrillas") v Brazil</w:t>
      </w:r>
      <w:r w:rsidRPr="00E72405">
        <w:rPr>
          <w:rStyle w:val="hps"/>
          <w:rFonts w:ascii="Cambria" w:hAnsi="Cambria" w:cs="Arial"/>
          <w:sz w:val="20"/>
          <w:szCs w:val="20"/>
        </w:rPr>
        <w:t>, the Court reaffirmed this obligation and indicated that if a State is party to an international treaty such as the American Convention, the judiciary “</w:t>
      </w:r>
      <w:r w:rsidRPr="00E72405">
        <w:rPr>
          <w:rFonts w:ascii="Cambria" w:hAnsi="Cambria" w:cs="Arial"/>
          <w:sz w:val="20"/>
          <w:szCs w:val="20"/>
        </w:rPr>
        <w:t xml:space="preserve">is internationally obligated to exercise “control of conventionality” </w:t>
      </w:r>
      <w:r w:rsidRPr="00E72405">
        <w:rPr>
          <w:rFonts w:ascii="Cambria" w:hAnsi="Cambria" w:cs="Arial"/>
          <w:i/>
          <w:sz w:val="20"/>
          <w:szCs w:val="20"/>
        </w:rPr>
        <w:t>ex officio</w:t>
      </w:r>
      <w:r w:rsidRPr="00E72405">
        <w:rPr>
          <w:rFonts w:ascii="Cambria" w:hAnsi="Cambria" w:cs="Arial"/>
          <w:sz w:val="20"/>
          <w:szCs w:val="20"/>
        </w:rPr>
        <w:t xml:space="preserve"> between the domestic norms and the American Convention</w:t>
      </w:r>
      <w:r w:rsidRPr="00E72405">
        <w:rPr>
          <w:rStyle w:val="hps"/>
          <w:rFonts w:ascii="Cambria" w:hAnsi="Cambria" w:cs="Arial"/>
          <w:sz w:val="20"/>
          <w:szCs w:val="20"/>
        </w:rPr>
        <w:t>”.</w:t>
      </w:r>
      <w:r w:rsidRPr="00E72405">
        <w:rPr>
          <w:rStyle w:val="FootnoteReference"/>
          <w:rFonts w:ascii="Cambria" w:hAnsi="Cambria" w:cs="Arial"/>
          <w:sz w:val="20"/>
          <w:szCs w:val="20"/>
        </w:rPr>
        <w:footnoteReference w:id="356"/>
      </w:r>
      <w:r w:rsidRPr="00E72405">
        <w:rPr>
          <w:rFonts w:ascii="Cambria" w:hAnsi="Cambria"/>
          <w:sz w:val="20"/>
          <w:szCs w:val="20"/>
        </w:rPr>
        <w:t xml:space="preserve"> </w:t>
      </w:r>
      <w:r w:rsidRPr="00E72405">
        <w:rPr>
          <w:rStyle w:val="hps"/>
          <w:rFonts w:ascii="Cambria" w:hAnsi="Cambria" w:cs="Arial"/>
          <w:sz w:val="20"/>
          <w:szCs w:val="20"/>
        </w:rPr>
        <w:t>The Court recalled that “</w:t>
      </w:r>
      <w:r w:rsidRPr="00E72405">
        <w:rPr>
          <w:rFonts w:ascii="Cambria" w:hAnsi="Cambria" w:cs="Arial"/>
          <w:sz w:val="20"/>
          <w:szCs w:val="20"/>
        </w:rPr>
        <w:t>the obligation of a State to comply with international obligations voluntarily contracted corresponds to a basic principle of law of international responsibility of States, backed by international and national jurisprudence, according to which States must comply with their conventional international obligations in good faith (</w:t>
      </w:r>
      <w:proofErr w:type="spellStart"/>
      <w:r w:rsidRPr="00E72405">
        <w:rPr>
          <w:rFonts w:ascii="Cambria" w:hAnsi="Cambria" w:cs="Arial"/>
          <w:i/>
          <w:sz w:val="20"/>
          <w:szCs w:val="20"/>
        </w:rPr>
        <w:t>pacta</w:t>
      </w:r>
      <w:proofErr w:type="spellEnd"/>
      <w:r w:rsidRPr="00E72405">
        <w:rPr>
          <w:rFonts w:ascii="Cambria" w:hAnsi="Cambria" w:cs="Arial"/>
          <w:i/>
          <w:sz w:val="20"/>
          <w:szCs w:val="20"/>
        </w:rPr>
        <w:t xml:space="preserve"> </w:t>
      </w:r>
      <w:proofErr w:type="spellStart"/>
      <w:r w:rsidRPr="00E72405">
        <w:rPr>
          <w:rFonts w:ascii="Cambria" w:hAnsi="Cambria" w:cs="Arial"/>
          <w:i/>
          <w:sz w:val="20"/>
          <w:szCs w:val="20"/>
        </w:rPr>
        <w:t>sunt</w:t>
      </w:r>
      <w:proofErr w:type="spellEnd"/>
      <w:r w:rsidRPr="00E72405">
        <w:rPr>
          <w:rFonts w:ascii="Cambria" w:hAnsi="Cambria" w:cs="Arial"/>
          <w:i/>
          <w:sz w:val="20"/>
          <w:szCs w:val="20"/>
        </w:rPr>
        <w:t xml:space="preserve"> </w:t>
      </w:r>
      <w:proofErr w:type="spellStart"/>
      <w:r w:rsidRPr="00E72405">
        <w:rPr>
          <w:rFonts w:ascii="Cambria" w:hAnsi="Cambria" w:cs="Arial"/>
          <w:i/>
          <w:sz w:val="20"/>
          <w:szCs w:val="20"/>
        </w:rPr>
        <w:t>servanda</w:t>
      </w:r>
      <w:proofErr w:type="spellEnd"/>
      <w:r w:rsidRPr="00E72405">
        <w:rPr>
          <w:rFonts w:ascii="Cambria" w:hAnsi="Cambria" w:cs="Arial"/>
          <w:sz w:val="20"/>
          <w:szCs w:val="20"/>
        </w:rPr>
        <w:t>). According to that previously held by this Court and established in Article 27 of the Vienna Convention on the Law of Treatises of 1969, States cannot, due to domestic order reasons, not to assume their already established international obligations. The conventional obligations of States Parties bind all the powers and organs of the State, those of which must guarantee compliance with conventional obligations and its effects (</w:t>
      </w:r>
      <w:proofErr w:type="spellStart"/>
      <w:r w:rsidRPr="00E72405">
        <w:rPr>
          <w:rFonts w:ascii="Cambria" w:hAnsi="Cambria" w:cs="Arial"/>
          <w:i/>
          <w:sz w:val="20"/>
          <w:szCs w:val="20"/>
        </w:rPr>
        <w:t>effet</w:t>
      </w:r>
      <w:proofErr w:type="spellEnd"/>
      <w:r w:rsidRPr="00E72405">
        <w:rPr>
          <w:rFonts w:ascii="Cambria" w:hAnsi="Cambria" w:cs="Arial"/>
          <w:i/>
          <w:sz w:val="20"/>
          <w:szCs w:val="20"/>
        </w:rPr>
        <w:t xml:space="preserve"> utile</w:t>
      </w:r>
      <w:r w:rsidRPr="00E72405">
        <w:rPr>
          <w:rFonts w:ascii="Cambria" w:hAnsi="Cambria" w:cs="Arial"/>
          <w:sz w:val="20"/>
          <w:szCs w:val="20"/>
        </w:rPr>
        <w:t>) in the design of its domestic law</w:t>
      </w:r>
      <w:r w:rsidRPr="00E72405">
        <w:rPr>
          <w:rStyle w:val="hps"/>
          <w:rFonts w:ascii="Cambria" w:hAnsi="Cambria" w:cs="Arial"/>
          <w:sz w:val="20"/>
          <w:szCs w:val="20"/>
        </w:rPr>
        <w:t>”.</w:t>
      </w:r>
    </w:p>
    <w:p w:rsidR="00B64BF5" w:rsidRPr="00E72405" w:rsidRDefault="00B64BF5" w:rsidP="00B64BF5">
      <w:pPr>
        <w:spacing w:after="0" w:line="240" w:lineRule="auto"/>
        <w:ind w:left="720"/>
        <w:jc w:val="both"/>
        <w:rPr>
          <w:rStyle w:val="hps"/>
          <w:rFonts w:ascii="Cambria" w:hAnsi="Cambria" w:cs="Verdana"/>
          <w:sz w:val="20"/>
          <w:szCs w:val="20"/>
        </w:rPr>
      </w:pPr>
    </w:p>
    <w:p w:rsidR="00DE0BC3" w:rsidRPr="00E72405" w:rsidRDefault="00DE0BC3" w:rsidP="00B64BF5">
      <w:pPr>
        <w:numPr>
          <w:ilvl w:val="0"/>
          <w:numId w:val="6"/>
        </w:numPr>
        <w:spacing w:after="0" w:line="240" w:lineRule="auto"/>
        <w:ind w:left="0" w:firstLine="720"/>
        <w:jc w:val="both"/>
        <w:rPr>
          <w:rStyle w:val="hps"/>
          <w:rFonts w:ascii="Cambria" w:hAnsi="Cambria" w:cs="Verdana"/>
          <w:sz w:val="20"/>
          <w:szCs w:val="20"/>
        </w:rPr>
      </w:pPr>
      <w:r w:rsidRPr="00E72405">
        <w:rPr>
          <w:rStyle w:val="hps"/>
          <w:rFonts w:ascii="Cambria" w:hAnsi="Cambria" w:cs="Verdana"/>
          <w:sz w:val="20"/>
          <w:szCs w:val="20"/>
        </w:rPr>
        <w:t xml:space="preserve">In the proceedings of this case, </w:t>
      </w:r>
      <w:r w:rsidRPr="00E72405">
        <w:rPr>
          <w:rFonts w:ascii="Cambria" w:hAnsi="Cambria" w:cs="Verdana"/>
          <w:bCs/>
          <w:iCs/>
          <w:sz w:val="20"/>
          <w:szCs w:val="20"/>
        </w:rPr>
        <w:t>the State reported that through bills known as PL 573/2011 and PL 7.357/2014, the Legislative Branch was working toward an “authentic interpretation” of the provision contained in Article 1, paragraph 1 of the Amnesty Law, to ensure that the concept of “derived crimes” “[d]</w:t>
      </w:r>
      <w:proofErr w:type="spellStart"/>
      <w:r w:rsidRPr="00E72405">
        <w:rPr>
          <w:rFonts w:ascii="Cambria" w:hAnsi="Cambria" w:cs="Verdana"/>
          <w:bCs/>
          <w:iCs/>
          <w:sz w:val="20"/>
          <w:szCs w:val="20"/>
        </w:rPr>
        <w:t>oes</w:t>
      </w:r>
      <w:proofErr w:type="spellEnd"/>
      <w:r w:rsidRPr="00E72405">
        <w:rPr>
          <w:rFonts w:ascii="Cambria" w:hAnsi="Cambria" w:cs="Verdana"/>
          <w:bCs/>
          <w:iCs/>
          <w:sz w:val="20"/>
          <w:szCs w:val="20"/>
        </w:rPr>
        <w:t xml:space="preserve"> not include crimes committed by public officials, be they military or civilian, against persons who committed or are suspected of having committed political crimes</w:t>
      </w:r>
      <w:r w:rsidRPr="00E72405">
        <w:rPr>
          <w:rStyle w:val="hps"/>
          <w:rFonts w:ascii="Cambria" w:hAnsi="Cambria" w:cs="Verdana"/>
          <w:sz w:val="20"/>
          <w:szCs w:val="20"/>
        </w:rPr>
        <w:t>”. Bill PL 7.357/2014 seeks to exclude from the Amnesty Law "[p]</w:t>
      </w:r>
      <w:proofErr w:type="spellStart"/>
      <w:r w:rsidRPr="00E72405">
        <w:rPr>
          <w:rStyle w:val="hps"/>
          <w:rFonts w:ascii="Cambria" w:hAnsi="Cambria" w:cs="Verdana"/>
          <w:sz w:val="20"/>
          <w:szCs w:val="20"/>
        </w:rPr>
        <w:t>ublic</w:t>
      </w:r>
      <w:proofErr w:type="spellEnd"/>
      <w:r w:rsidRPr="00E72405">
        <w:rPr>
          <w:rStyle w:val="hps"/>
          <w:rFonts w:ascii="Cambria" w:hAnsi="Cambria" w:cs="Verdana"/>
          <w:sz w:val="20"/>
          <w:szCs w:val="20"/>
        </w:rPr>
        <w:t xml:space="preserve"> officials, be they military or civilian, who have committed crimes of torture, kidnapping, private detention, summary execution, hiding of corpses or attacks.” It also reported that, on April 9, 2014, its annexation was decided to PL 573/2011. </w:t>
      </w:r>
      <w:r w:rsidRPr="00E72405">
        <w:rPr>
          <w:rFonts w:ascii="Cambria" w:hAnsi="Cambria" w:cs="Verdana"/>
          <w:bCs/>
          <w:iCs/>
          <w:sz w:val="20"/>
          <w:szCs w:val="20"/>
        </w:rPr>
        <w:t xml:space="preserve">Reference was also made to the bill known as PL 237/2013 which defines the expression “derived crimes” contained in Article 1, paragraph 1 of the Amnesty Law in the manner described above, and establishes that the statutory limitation or other bases for extinction of the </w:t>
      </w:r>
      <w:r w:rsidRPr="00E72405">
        <w:rPr>
          <w:rFonts w:ascii="Cambria" w:hAnsi="Cambria" w:cs="Verdana"/>
          <w:bCs/>
          <w:iCs/>
          <w:sz w:val="20"/>
          <w:szCs w:val="20"/>
        </w:rPr>
        <w:lastRenderedPageBreak/>
        <w:t>ability of the State to enforce punishment, shall not apply to crimes not included in the legally granted amnesty</w:t>
      </w:r>
      <w:r w:rsidR="00343DD3" w:rsidRPr="00E72405">
        <w:rPr>
          <w:rStyle w:val="hps"/>
          <w:rFonts w:ascii="Cambria" w:hAnsi="Cambria" w:cs="Verdana"/>
          <w:sz w:val="20"/>
          <w:szCs w:val="20"/>
        </w:rPr>
        <w:t xml:space="preserve">. (supra </w:t>
      </w:r>
      <w:proofErr w:type="spellStart"/>
      <w:r w:rsidR="00343DD3" w:rsidRPr="00E72405">
        <w:rPr>
          <w:rStyle w:val="hps"/>
          <w:rFonts w:ascii="Cambria" w:hAnsi="Cambria" w:cs="Verdana"/>
          <w:sz w:val="20"/>
          <w:szCs w:val="20"/>
        </w:rPr>
        <w:t>párr</w:t>
      </w:r>
      <w:proofErr w:type="spellEnd"/>
      <w:r w:rsidR="00343DD3" w:rsidRPr="00E72405">
        <w:rPr>
          <w:rStyle w:val="hps"/>
          <w:rFonts w:ascii="Cambria" w:hAnsi="Cambria" w:cs="Verdana"/>
          <w:sz w:val="20"/>
          <w:szCs w:val="20"/>
        </w:rPr>
        <w:t>. 33</w:t>
      </w:r>
      <w:r w:rsidRPr="00E72405">
        <w:rPr>
          <w:rStyle w:val="hps"/>
          <w:rFonts w:ascii="Cambria" w:hAnsi="Cambria" w:cs="Verdana"/>
          <w:sz w:val="20"/>
          <w:szCs w:val="20"/>
        </w:rPr>
        <w:t>)</w:t>
      </w:r>
    </w:p>
    <w:p w:rsidR="00B64BF5" w:rsidRPr="00E72405" w:rsidRDefault="00B64BF5" w:rsidP="00B64BF5">
      <w:pPr>
        <w:spacing w:after="0" w:line="240" w:lineRule="auto"/>
        <w:ind w:left="720"/>
        <w:jc w:val="both"/>
        <w:rPr>
          <w:rStyle w:val="hps"/>
          <w:rFonts w:ascii="Cambria" w:hAnsi="Cambria" w:cs="Verdana"/>
          <w:sz w:val="20"/>
          <w:szCs w:val="20"/>
        </w:rPr>
      </w:pPr>
    </w:p>
    <w:p w:rsidR="00DE0BC3" w:rsidRPr="00E72405" w:rsidRDefault="00DE0BC3" w:rsidP="00B64BF5">
      <w:pPr>
        <w:numPr>
          <w:ilvl w:val="0"/>
          <w:numId w:val="6"/>
        </w:numPr>
        <w:spacing w:after="0" w:line="240" w:lineRule="auto"/>
        <w:ind w:left="0" w:firstLine="720"/>
        <w:jc w:val="both"/>
        <w:rPr>
          <w:rStyle w:val="hps"/>
          <w:rFonts w:ascii="Cambria" w:hAnsi="Cambria" w:cs="Verdana"/>
          <w:sz w:val="20"/>
          <w:szCs w:val="20"/>
        </w:rPr>
      </w:pPr>
      <w:r w:rsidRPr="00E72405">
        <w:rPr>
          <w:rStyle w:val="hps"/>
          <w:rFonts w:ascii="Cambria" w:hAnsi="Cambria" w:cs="Verdana"/>
          <w:sz w:val="20"/>
          <w:szCs w:val="20"/>
        </w:rPr>
        <w:t xml:space="preserve">Also, </w:t>
      </w:r>
      <w:r w:rsidRPr="00E72405">
        <w:rPr>
          <w:rFonts w:ascii="Cambria" w:hAnsi="Cambria" w:cs="Verdana"/>
          <w:bCs/>
          <w:iCs/>
          <w:sz w:val="20"/>
          <w:szCs w:val="20"/>
        </w:rPr>
        <w:t xml:space="preserve">the State emphasized that there are two cases currently </w:t>
      </w:r>
      <w:r w:rsidRPr="00E72405">
        <w:rPr>
          <w:rFonts w:ascii="Cambria" w:hAnsi="Cambria" w:cs="Verdana"/>
          <w:sz w:val="20"/>
          <w:szCs w:val="20"/>
        </w:rPr>
        <w:t>before the Supreme Court (STF) claiming non-compliance with a fundamental precept (ADPF)</w:t>
      </w:r>
      <w:r w:rsidRPr="00E72405">
        <w:rPr>
          <w:rStyle w:val="hps"/>
          <w:rFonts w:ascii="Cambria" w:hAnsi="Cambria" w:cs="Verdana"/>
          <w:sz w:val="20"/>
          <w:szCs w:val="20"/>
        </w:rPr>
        <w:t xml:space="preserve"> [“</w:t>
      </w:r>
      <w:proofErr w:type="spellStart"/>
      <w:r w:rsidRPr="00E72405">
        <w:rPr>
          <w:rStyle w:val="hps"/>
          <w:rFonts w:ascii="Cambria" w:hAnsi="Cambria" w:cs="Verdana"/>
          <w:i/>
          <w:sz w:val="20"/>
          <w:szCs w:val="20"/>
        </w:rPr>
        <w:t>Arguição</w:t>
      </w:r>
      <w:proofErr w:type="spellEnd"/>
      <w:r w:rsidRPr="00E72405">
        <w:rPr>
          <w:rStyle w:val="hps"/>
          <w:rFonts w:ascii="Cambria" w:hAnsi="Cambria" w:cs="Verdana"/>
          <w:i/>
          <w:sz w:val="20"/>
          <w:szCs w:val="20"/>
        </w:rPr>
        <w:t xml:space="preserve"> de </w:t>
      </w:r>
      <w:proofErr w:type="spellStart"/>
      <w:r w:rsidRPr="00E72405">
        <w:rPr>
          <w:rStyle w:val="hps"/>
          <w:rFonts w:ascii="Cambria" w:hAnsi="Cambria" w:cs="Verdana"/>
          <w:i/>
          <w:sz w:val="20"/>
          <w:szCs w:val="20"/>
        </w:rPr>
        <w:t>Descumprimiento</w:t>
      </w:r>
      <w:proofErr w:type="spellEnd"/>
      <w:r w:rsidRPr="00E72405">
        <w:rPr>
          <w:rStyle w:val="hps"/>
          <w:rFonts w:ascii="Cambria" w:hAnsi="Cambria" w:cs="Verdana"/>
          <w:i/>
          <w:sz w:val="20"/>
          <w:szCs w:val="20"/>
        </w:rPr>
        <w:t xml:space="preserve"> </w:t>
      </w:r>
      <w:proofErr w:type="spellStart"/>
      <w:r w:rsidRPr="00E72405">
        <w:rPr>
          <w:rStyle w:val="hps"/>
          <w:rFonts w:ascii="Cambria" w:hAnsi="Cambria" w:cs="Verdana"/>
          <w:i/>
          <w:sz w:val="20"/>
          <w:szCs w:val="20"/>
        </w:rPr>
        <w:t>Preceito</w:t>
      </w:r>
      <w:proofErr w:type="spellEnd"/>
      <w:r w:rsidRPr="00E72405">
        <w:rPr>
          <w:rStyle w:val="hps"/>
          <w:rFonts w:ascii="Cambria" w:hAnsi="Cambria" w:cs="Verdana"/>
          <w:i/>
          <w:sz w:val="20"/>
          <w:szCs w:val="20"/>
        </w:rPr>
        <w:t xml:space="preserve"> Fundamental</w:t>
      </w:r>
      <w:r w:rsidRPr="00E72405">
        <w:rPr>
          <w:rStyle w:val="hps"/>
          <w:rFonts w:ascii="Cambria" w:hAnsi="Cambria" w:cs="Verdana"/>
          <w:sz w:val="20"/>
          <w:szCs w:val="20"/>
        </w:rPr>
        <w:t>”] on this matter and that one of them seeks a finding from the STF declaring that the Amnesty Law,</w:t>
      </w:r>
      <w:r w:rsidRPr="00E72405">
        <w:rPr>
          <w:rFonts w:ascii="Cambria" w:hAnsi="Cambria" w:cs="Verdana"/>
          <w:bCs/>
          <w:iCs/>
          <w:sz w:val="20"/>
          <w:szCs w:val="20"/>
        </w:rPr>
        <w:t xml:space="preserve"> “in general, does not apply to crimes involving serious human rights violations committed by public officials, be they military or civilian, against persons who committed or are suspected of having committed political crimes; and, in particular, that the Law does not apply to the authors of continuing or permanent crimes, since the effects of this provision expired on August 15, 1979 (Article 1).”</w:t>
      </w:r>
      <w:r w:rsidRPr="00E72405">
        <w:rPr>
          <w:rStyle w:val="hps"/>
          <w:rFonts w:ascii="Cambria" w:hAnsi="Cambria" w:cs="Verdana"/>
          <w:sz w:val="20"/>
          <w:szCs w:val="20"/>
        </w:rPr>
        <w:t xml:space="preserve"> Likewise, the action </w:t>
      </w:r>
      <w:r w:rsidRPr="00E72405">
        <w:rPr>
          <w:rFonts w:ascii="Cambria" w:hAnsi="Cambria" w:cs="Verdana"/>
          <w:bCs/>
          <w:iCs/>
          <w:sz w:val="20"/>
          <w:szCs w:val="20"/>
        </w:rPr>
        <w:t xml:space="preserve">also requested that the Brazilian State comply “fully” with the twelve operative paragraphs of the Inter-American Court’s judgment in the </w:t>
      </w:r>
      <w:r w:rsidRPr="00E72405">
        <w:rPr>
          <w:rFonts w:ascii="Cambria" w:hAnsi="Cambria" w:cs="Verdana"/>
          <w:bCs/>
          <w:i/>
          <w:iCs/>
          <w:sz w:val="20"/>
          <w:szCs w:val="20"/>
        </w:rPr>
        <w:t>Case of Gomes Lund et al.</w:t>
      </w:r>
      <w:r w:rsidRPr="00E72405">
        <w:rPr>
          <w:rFonts w:ascii="Cambria" w:hAnsi="Cambria" w:cs="Verdana"/>
          <w:i/>
          <w:sz w:val="20"/>
          <w:szCs w:val="20"/>
        </w:rPr>
        <w:t xml:space="preserve"> </w:t>
      </w:r>
      <w:r w:rsidRPr="00E72405">
        <w:rPr>
          <w:rStyle w:val="hps"/>
          <w:rFonts w:ascii="Cambria" w:hAnsi="Cambria" w:cs="Verdana"/>
          <w:sz w:val="20"/>
          <w:szCs w:val="20"/>
        </w:rPr>
        <w:t>and other Court judgments</w:t>
      </w:r>
      <w:r w:rsidR="00343DD3" w:rsidRPr="00E72405">
        <w:rPr>
          <w:rStyle w:val="hps"/>
          <w:rFonts w:ascii="Cambria" w:hAnsi="Cambria" w:cs="Verdana"/>
          <w:sz w:val="20"/>
          <w:szCs w:val="20"/>
        </w:rPr>
        <w:t xml:space="preserve">. (supra </w:t>
      </w:r>
      <w:proofErr w:type="spellStart"/>
      <w:r w:rsidR="00343DD3" w:rsidRPr="00E72405">
        <w:rPr>
          <w:rStyle w:val="hps"/>
          <w:rFonts w:ascii="Cambria" w:hAnsi="Cambria" w:cs="Verdana"/>
          <w:sz w:val="20"/>
          <w:szCs w:val="20"/>
        </w:rPr>
        <w:t>párr</w:t>
      </w:r>
      <w:proofErr w:type="spellEnd"/>
      <w:r w:rsidR="00343DD3" w:rsidRPr="00E72405">
        <w:rPr>
          <w:rStyle w:val="hps"/>
          <w:rFonts w:ascii="Cambria" w:hAnsi="Cambria" w:cs="Verdana"/>
          <w:sz w:val="20"/>
          <w:szCs w:val="20"/>
        </w:rPr>
        <w:t>. 34 and 36</w:t>
      </w:r>
      <w:r w:rsidRPr="00E72405">
        <w:rPr>
          <w:rStyle w:val="hps"/>
          <w:rFonts w:ascii="Cambria" w:hAnsi="Cambria" w:cs="Verdana"/>
          <w:sz w:val="20"/>
          <w:szCs w:val="20"/>
        </w:rPr>
        <w:t>)</w:t>
      </w:r>
    </w:p>
    <w:p w:rsidR="00B64BF5" w:rsidRPr="00E72405" w:rsidRDefault="00B64BF5" w:rsidP="00B64BF5">
      <w:pPr>
        <w:spacing w:after="0" w:line="240" w:lineRule="auto"/>
        <w:jc w:val="both"/>
        <w:rPr>
          <w:rStyle w:val="hps"/>
          <w:rFonts w:ascii="Cambria" w:hAnsi="Cambria" w:cs="Verdana"/>
          <w:sz w:val="20"/>
          <w:szCs w:val="20"/>
        </w:rPr>
      </w:pPr>
    </w:p>
    <w:p w:rsidR="00DE0BC3" w:rsidRPr="00E72405" w:rsidRDefault="00DE0BC3" w:rsidP="00B64BF5">
      <w:pPr>
        <w:numPr>
          <w:ilvl w:val="0"/>
          <w:numId w:val="6"/>
        </w:numPr>
        <w:spacing w:after="0" w:line="240" w:lineRule="auto"/>
        <w:ind w:left="0" w:firstLine="720"/>
        <w:jc w:val="both"/>
        <w:rPr>
          <w:rStyle w:val="hps"/>
          <w:rFonts w:ascii="Cambria" w:hAnsi="Cambria" w:cs="Verdana"/>
          <w:sz w:val="20"/>
          <w:szCs w:val="20"/>
        </w:rPr>
      </w:pPr>
      <w:r w:rsidRPr="00E72405">
        <w:rPr>
          <w:rStyle w:val="hps"/>
          <w:rFonts w:ascii="Cambria" w:hAnsi="Cambria" w:cs="Arial"/>
          <w:sz w:val="20"/>
          <w:szCs w:val="20"/>
        </w:rPr>
        <w:t xml:space="preserve">The Commission appreciates the initiatives mentioned by the State. However, in terms similar to those expressed in the case of </w:t>
      </w:r>
      <w:r w:rsidRPr="00E72405">
        <w:rPr>
          <w:rStyle w:val="hps"/>
          <w:rFonts w:ascii="Cambria" w:hAnsi="Cambria" w:cs="Arial"/>
          <w:i/>
          <w:sz w:val="20"/>
          <w:szCs w:val="20"/>
        </w:rPr>
        <w:t>Gomes Lund et al ("</w:t>
      </w:r>
      <w:proofErr w:type="spellStart"/>
      <w:r w:rsidRPr="00E72405">
        <w:rPr>
          <w:rStyle w:val="hps"/>
          <w:rFonts w:ascii="Cambria" w:hAnsi="Cambria" w:cs="Arial"/>
          <w:i/>
          <w:sz w:val="20"/>
          <w:szCs w:val="20"/>
        </w:rPr>
        <w:t>Guerrilha</w:t>
      </w:r>
      <w:proofErr w:type="spellEnd"/>
      <w:r w:rsidRPr="00E72405">
        <w:rPr>
          <w:rStyle w:val="hps"/>
          <w:rFonts w:ascii="Cambria" w:hAnsi="Cambria" w:cs="Arial"/>
          <w:i/>
          <w:sz w:val="20"/>
          <w:szCs w:val="20"/>
        </w:rPr>
        <w:t xml:space="preserve"> do Araguaia") v Brazil</w:t>
      </w:r>
      <w:r w:rsidRPr="00E72405">
        <w:rPr>
          <w:rStyle w:val="hps"/>
          <w:rFonts w:ascii="Cambria" w:hAnsi="Cambria" w:cs="Arial"/>
          <w:sz w:val="20"/>
          <w:szCs w:val="20"/>
        </w:rPr>
        <w:t xml:space="preserve">, the Commission concludes that, in this case, the judges validated the interpretation of Law No. 6.683/79 (Amnesty Law), which has no legal effect for serious human rights violations in the above terms. To that extent, the judicial authorities who have known about the investigation of the arbitrary detention, torture and murder of Vladimir Herzog have prevented the identification, trial and punishment of those responsible, and have not exercised proper control of conventionality to which they were obliged, once the American Convention was ratified, in accordance with the international obligations of Brazil under international law. </w:t>
      </w:r>
    </w:p>
    <w:p w:rsidR="00B64BF5" w:rsidRPr="00E72405" w:rsidRDefault="00B64BF5" w:rsidP="00B64BF5">
      <w:pPr>
        <w:spacing w:after="0" w:line="240" w:lineRule="auto"/>
        <w:jc w:val="both"/>
        <w:rPr>
          <w:rFonts w:ascii="Cambria" w:hAnsi="Cambria" w:cs="Verdana"/>
          <w:sz w:val="20"/>
          <w:szCs w:val="20"/>
        </w:rPr>
      </w:pPr>
    </w:p>
    <w:p w:rsidR="00DE0BC3" w:rsidRPr="00E72405" w:rsidRDefault="00DE0BC3" w:rsidP="00DE0BC3">
      <w:pPr>
        <w:pStyle w:val="ListParagraph"/>
        <w:rPr>
          <w:rFonts w:cs="Arial"/>
          <w:b/>
          <w:sz w:val="20"/>
          <w:szCs w:val="20"/>
        </w:rPr>
      </w:pPr>
      <w:r w:rsidRPr="00E72405">
        <w:rPr>
          <w:rFonts w:cs="Verdana"/>
          <w:b/>
          <w:sz w:val="20"/>
          <w:szCs w:val="20"/>
        </w:rPr>
        <w:t xml:space="preserve">(b) </w:t>
      </w:r>
      <w:r w:rsidRPr="00E72405">
        <w:rPr>
          <w:rFonts w:cs="Verdana"/>
          <w:b/>
          <w:i/>
          <w:sz w:val="20"/>
          <w:szCs w:val="20"/>
        </w:rPr>
        <w:t>Res judicata</w:t>
      </w:r>
    </w:p>
    <w:p w:rsidR="00DE0BC3" w:rsidRPr="00E72405" w:rsidRDefault="00DE0BC3" w:rsidP="00DE0BC3">
      <w:pPr>
        <w:pStyle w:val="ListParagraph"/>
        <w:rPr>
          <w:rFonts w:cs="Arial"/>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With regard to the </w:t>
      </w:r>
      <w:r w:rsidRPr="00E72405">
        <w:rPr>
          <w:rFonts w:ascii="Cambria" w:hAnsi="Cambria"/>
          <w:i/>
          <w:sz w:val="20"/>
          <w:szCs w:val="20"/>
        </w:rPr>
        <w:t xml:space="preserve">ne </w:t>
      </w:r>
      <w:proofErr w:type="spellStart"/>
      <w:r w:rsidRPr="00E72405">
        <w:rPr>
          <w:rFonts w:ascii="Cambria" w:hAnsi="Cambria"/>
          <w:i/>
          <w:sz w:val="20"/>
          <w:szCs w:val="20"/>
        </w:rPr>
        <w:t>bis</w:t>
      </w:r>
      <w:proofErr w:type="spellEnd"/>
      <w:r w:rsidRPr="00E72405">
        <w:rPr>
          <w:rFonts w:ascii="Cambria" w:hAnsi="Cambria"/>
          <w:i/>
          <w:sz w:val="20"/>
          <w:szCs w:val="20"/>
        </w:rPr>
        <w:t xml:space="preserve"> in idem</w:t>
      </w:r>
      <w:r w:rsidRPr="00E72405">
        <w:rPr>
          <w:rFonts w:ascii="Cambria" w:hAnsi="Cambria"/>
          <w:sz w:val="20"/>
          <w:szCs w:val="20"/>
        </w:rPr>
        <w:t xml:space="preserve"> principle, the Court has indicated that:</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481A9C">
      <w:pPr>
        <w:spacing w:line="240" w:lineRule="auto"/>
        <w:ind w:left="720" w:right="720"/>
        <w:jc w:val="both"/>
        <w:rPr>
          <w:rFonts w:ascii="Cambria" w:hAnsi="Cambria"/>
          <w:sz w:val="18"/>
          <w:szCs w:val="18"/>
        </w:rPr>
      </w:pPr>
      <w:r w:rsidRPr="00E72405">
        <w:rPr>
          <w:rFonts w:ascii="Cambria" w:hAnsi="Cambria"/>
          <w:sz w:val="18"/>
          <w:szCs w:val="18"/>
        </w:rPr>
        <w:t xml:space="preserve">although it is acknowledged as a human right in Article 8(4) of the American Convention, it is not an absolute right, and therefore, is not applicable where: </w:t>
      </w:r>
      <w:proofErr w:type="spellStart"/>
      <w:r w:rsidRPr="00E72405">
        <w:rPr>
          <w:rFonts w:ascii="Cambria" w:hAnsi="Cambria"/>
          <w:sz w:val="18"/>
          <w:szCs w:val="18"/>
        </w:rPr>
        <w:t>i</w:t>
      </w:r>
      <w:proofErr w:type="spellEnd"/>
      <w:r w:rsidRPr="00E72405">
        <w:rPr>
          <w:rFonts w:ascii="Cambria" w:hAnsi="Cambria"/>
          <w:sz w:val="18"/>
          <w:szCs w:val="18"/>
        </w:rPr>
        <w:t>) the intervention of the court that heard the case and decided to dismiss it or to acquit a person responsible for violating human rights or international law, was intended to shield the accused party from criminal responsibility; ii) the proceedings were not conducted independently or impartially in accordance with due procedural guarantees, or iii) there was no real intent to bring those responsible to justice.</w:t>
      </w:r>
      <w:r w:rsidRPr="00E72405">
        <w:rPr>
          <w:rStyle w:val="FootnoteReference"/>
          <w:rFonts w:ascii="Cambria" w:hAnsi="Cambria"/>
          <w:sz w:val="18"/>
          <w:szCs w:val="18"/>
        </w:rPr>
        <w:footnoteReference w:id="357"/>
      </w:r>
      <w:r w:rsidRPr="00E72405">
        <w:rPr>
          <w:rFonts w:ascii="Cambria" w:hAnsi="Cambria"/>
          <w:sz w:val="18"/>
          <w:szCs w:val="18"/>
        </w:rPr>
        <w:t xml:space="preserve"> </w:t>
      </w: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It appears from the Court’s jurisprudence that a judgment rendered in the foregoing circumstances produces an “apparent” or “fraudulent” </w:t>
      </w:r>
      <w:r w:rsidRPr="00E72405">
        <w:rPr>
          <w:rFonts w:ascii="Cambria" w:hAnsi="Cambria"/>
          <w:i/>
          <w:sz w:val="20"/>
          <w:szCs w:val="20"/>
        </w:rPr>
        <w:t>res judicata</w:t>
      </w:r>
      <w:r w:rsidRPr="00E72405">
        <w:rPr>
          <w:rFonts w:ascii="Cambria" w:hAnsi="Cambria"/>
          <w:sz w:val="20"/>
          <w:szCs w:val="20"/>
        </w:rPr>
        <w:t xml:space="preserve"> case.</w:t>
      </w:r>
      <w:r w:rsidRPr="00E72405">
        <w:rPr>
          <w:rStyle w:val="FootnoteReference"/>
          <w:rFonts w:ascii="Cambria" w:hAnsi="Cambria"/>
          <w:sz w:val="20"/>
          <w:szCs w:val="20"/>
        </w:rPr>
        <w:footnoteReference w:id="358"/>
      </w:r>
      <w:r w:rsidRPr="00E72405">
        <w:rPr>
          <w:rFonts w:ascii="Cambria" w:hAnsi="Cambria"/>
          <w:sz w:val="20"/>
          <w:szCs w:val="20"/>
        </w:rPr>
        <w:t xml:space="preserve"> </w:t>
      </w:r>
      <w:r w:rsidRPr="00E72405">
        <w:rPr>
          <w:rFonts w:ascii="Cambria" w:hAnsi="Cambria"/>
        </w:rPr>
        <w:t xml:space="preserve">The </w:t>
      </w:r>
      <w:r w:rsidRPr="00E72405">
        <w:rPr>
          <w:rFonts w:ascii="Cambria" w:hAnsi="Cambria"/>
          <w:sz w:val="20"/>
          <w:szCs w:val="20"/>
        </w:rPr>
        <w:t xml:space="preserve">Court believes that if there appear new facts or evidence that make it possible to ascertain the identity of those responsible for human rights violations or for crimes against humanity, investigations can be reopened, even if the case ended in an acquittal with the authority of a final judgment, since the dictates of justice, the rights of the victims, and the spirit and the wording of the American Convention supersedes the protection of the </w:t>
      </w:r>
      <w:r w:rsidRPr="00E72405">
        <w:rPr>
          <w:rFonts w:ascii="Cambria" w:hAnsi="Cambria"/>
          <w:i/>
          <w:sz w:val="20"/>
          <w:szCs w:val="20"/>
        </w:rPr>
        <w:t xml:space="preserve">ne </w:t>
      </w:r>
      <w:proofErr w:type="spellStart"/>
      <w:r w:rsidRPr="00E72405">
        <w:rPr>
          <w:rFonts w:ascii="Cambria" w:hAnsi="Cambria"/>
          <w:i/>
          <w:sz w:val="20"/>
          <w:szCs w:val="20"/>
        </w:rPr>
        <w:t>bis</w:t>
      </w:r>
      <w:proofErr w:type="spellEnd"/>
      <w:r w:rsidRPr="00E72405">
        <w:rPr>
          <w:rFonts w:ascii="Cambria" w:hAnsi="Cambria"/>
          <w:i/>
          <w:sz w:val="20"/>
          <w:szCs w:val="20"/>
        </w:rPr>
        <w:t xml:space="preserve"> in idem</w:t>
      </w:r>
      <w:r w:rsidRPr="00E72405">
        <w:rPr>
          <w:rFonts w:ascii="Cambria" w:hAnsi="Cambria"/>
          <w:sz w:val="20"/>
          <w:szCs w:val="20"/>
        </w:rPr>
        <w:t xml:space="preserve"> principle.</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The instant case falls under one of the mentioned assumptions of "apparent" or "fraudulent" </w:t>
      </w:r>
      <w:r w:rsidRPr="00E72405">
        <w:rPr>
          <w:rFonts w:ascii="Cambria" w:hAnsi="Cambria"/>
          <w:i/>
          <w:sz w:val="20"/>
          <w:szCs w:val="20"/>
        </w:rPr>
        <w:t>res judicata</w:t>
      </w:r>
      <w:r w:rsidRPr="00E72405">
        <w:rPr>
          <w:rFonts w:ascii="Cambria" w:hAnsi="Cambria"/>
          <w:sz w:val="20"/>
          <w:szCs w:val="20"/>
        </w:rPr>
        <w:t xml:space="preserve">. In 2009, the 1st Federal Criminal Court decided to file the investigation into the facts of this case, considering that the closure of the investigation, previously ordered by state courts in 1993 in application of Law No. 6.683/79 (Amnesty Law), had become </w:t>
      </w:r>
      <w:r w:rsidRPr="00E72405">
        <w:rPr>
          <w:rFonts w:ascii="Cambria" w:hAnsi="Cambria"/>
          <w:i/>
          <w:sz w:val="20"/>
          <w:szCs w:val="20"/>
        </w:rPr>
        <w:t>res judicata</w:t>
      </w:r>
      <w:r w:rsidRPr="00E72405">
        <w:rPr>
          <w:rFonts w:ascii="Cambria" w:hAnsi="Cambria"/>
          <w:sz w:val="20"/>
          <w:szCs w:val="20"/>
        </w:rPr>
        <w:t xml:space="preserve">. </w:t>
      </w:r>
      <w:r w:rsidR="00343DD3" w:rsidRPr="00E72405">
        <w:rPr>
          <w:rFonts w:ascii="Cambria" w:hAnsi="Cambria"/>
          <w:sz w:val="20"/>
          <w:szCs w:val="20"/>
        </w:rPr>
        <w:t>(</w:t>
      </w:r>
      <w:proofErr w:type="gramStart"/>
      <w:r w:rsidR="00343DD3" w:rsidRPr="00E72405">
        <w:rPr>
          <w:rFonts w:ascii="Cambria" w:hAnsi="Cambria"/>
          <w:sz w:val="20"/>
          <w:szCs w:val="20"/>
        </w:rPr>
        <w:t>supra</w:t>
      </w:r>
      <w:proofErr w:type="gramEnd"/>
      <w:r w:rsidR="00343DD3" w:rsidRPr="00E72405">
        <w:rPr>
          <w:rFonts w:ascii="Cambria" w:hAnsi="Cambria"/>
          <w:sz w:val="20"/>
          <w:szCs w:val="20"/>
        </w:rPr>
        <w:t xml:space="preserve"> </w:t>
      </w:r>
      <w:proofErr w:type="spellStart"/>
      <w:r w:rsidR="00343DD3" w:rsidRPr="00E72405">
        <w:rPr>
          <w:rFonts w:ascii="Cambria" w:hAnsi="Cambria"/>
          <w:sz w:val="20"/>
          <w:szCs w:val="20"/>
        </w:rPr>
        <w:t>párr</w:t>
      </w:r>
      <w:proofErr w:type="spellEnd"/>
      <w:r w:rsidR="00343DD3" w:rsidRPr="00E72405">
        <w:rPr>
          <w:rFonts w:ascii="Cambria" w:hAnsi="Cambria"/>
          <w:sz w:val="20"/>
          <w:szCs w:val="20"/>
        </w:rPr>
        <w:t>. 127 - 128</w:t>
      </w:r>
      <w:r w:rsidRPr="00E72405">
        <w:rPr>
          <w:rFonts w:ascii="Cambria" w:hAnsi="Cambria"/>
          <w:sz w:val="20"/>
          <w:szCs w:val="20"/>
        </w:rPr>
        <w:t xml:space="preserve">). </w:t>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According to the IACHR, given its manifest incompatibility with the American Convention, the interpretation and application of Law No. 6.683/79 (Amnesty Law) in this case was intended to exclude the alleged perpetrators from judicial action, and leave the crime committed against journalist Vladimir Herzog unpunished. Under this assumption, the State </w:t>
      </w:r>
      <w:r w:rsidR="00B64BF5" w:rsidRPr="00E72405">
        <w:rPr>
          <w:rFonts w:ascii="Cambria" w:hAnsi="Cambria"/>
          <w:sz w:val="20"/>
          <w:szCs w:val="20"/>
        </w:rPr>
        <w:t>cannot</w:t>
      </w:r>
      <w:r w:rsidRPr="00E72405">
        <w:rPr>
          <w:rFonts w:ascii="Cambria" w:hAnsi="Cambria"/>
          <w:sz w:val="20"/>
          <w:szCs w:val="20"/>
        </w:rPr>
        <w:t xml:space="preserve"> resort to the principle of </w:t>
      </w:r>
      <w:r w:rsidRPr="00E72405">
        <w:rPr>
          <w:rFonts w:ascii="Cambria" w:hAnsi="Cambria"/>
          <w:i/>
          <w:sz w:val="20"/>
          <w:szCs w:val="20"/>
        </w:rPr>
        <w:t xml:space="preserve">ne </w:t>
      </w:r>
      <w:proofErr w:type="spellStart"/>
      <w:r w:rsidRPr="00E72405">
        <w:rPr>
          <w:rFonts w:ascii="Cambria" w:hAnsi="Cambria"/>
          <w:i/>
          <w:sz w:val="20"/>
          <w:szCs w:val="20"/>
        </w:rPr>
        <w:t>bis</w:t>
      </w:r>
      <w:proofErr w:type="spellEnd"/>
      <w:r w:rsidRPr="00E72405">
        <w:rPr>
          <w:rFonts w:ascii="Cambria" w:hAnsi="Cambria"/>
          <w:i/>
          <w:sz w:val="20"/>
          <w:szCs w:val="20"/>
        </w:rPr>
        <w:t xml:space="preserve"> in idem</w:t>
      </w:r>
      <w:r w:rsidRPr="00E72405">
        <w:rPr>
          <w:rFonts w:ascii="Cambria" w:hAnsi="Cambria"/>
          <w:sz w:val="20"/>
          <w:szCs w:val="20"/>
        </w:rPr>
        <w:t>, in order to not comply with its international obligations.</w:t>
      </w:r>
    </w:p>
    <w:p w:rsidR="00B64BF5" w:rsidRPr="00E72405" w:rsidRDefault="00B64BF5" w:rsidP="00B64BF5">
      <w:pPr>
        <w:spacing w:after="0" w:line="240" w:lineRule="auto"/>
        <w:jc w:val="both"/>
        <w:rPr>
          <w:rFonts w:ascii="Cambria" w:hAnsi="Cambria"/>
          <w:sz w:val="20"/>
          <w:szCs w:val="20"/>
        </w:rPr>
      </w:pPr>
    </w:p>
    <w:p w:rsidR="00E521FD" w:rsidRPr="00E72405" w:rsidRDefault="00DE0BC3" w:rsidP="00DE0BC3">
      <w:pPr>
        <w:numPr>
          <w:ilvl w:val="0"/>
          <w:numId w:val="6"/>
        </w:numPr>
        <w:spacing w:after="0" w:line="240" w:lineRule="auto"/>
        <w:ind w:left="0" w:firstLine="720"/>
        <w:jc w:val="both"/>
        <w:rPr>
          <w:rStyle w:val="hps"/>
          <w:rFonts w:ascii="Cambria" w:hAnsi="Cambria"/>
          <w:sz w:val="20"/>
          <w:szCs w:val="20"/>
        </w:rPr>
      </w:pPr>
      <w:r w:rsidRPr="00E72405">
        <w:rPr>
          <w:rStyle w:val="hps"/>
          <w:rFonts w:ascii="Cambria" w:hAnsi="Cambria" w:cs="Arial"/>
          <w:sz w:val="20"/>
          <w:szCs w:val="20"/>
        </w:rPr>
        <w:lastRenderedPageBreak/>
        <w:t xml:space="preserve">The Commission reiterates that in cases of serious violations of human rights, such as the commission of murder, forced disappearances, rape, torture, inhumane acts intended to cause death or serious harm to physical and mental integrity, States have a </w:t>
      </w:r>
      <w:r w:rsidRPr="00E72405">
        <w:rPr>
          <w:rStyle w:val="hps"/>
          <w:rFonts w:ascii="Cambria" w:hAnsi="Cambria" w:cs="Arial"/>
          <w:i/>
          <w:sz w:val="20"/>
          <w:szCs w:val="20"/>
        </w:rPr>
        <w:t>reinforced</w:t>
      </w:r>
      <w:r w:rsidRPr="00E72405">
        <w:rPr>
          <w:rStyle w:val="hps"/>
          <w:rFonts w:ascii="Cambria" w:hAnsi="Cambria" w:cs="Arial"/>
          <w:sz w:val="20"/>
          <w:szCs w:val="20"/>
        </w:rPr>
        <w:t xml:space="preserve"> duty to investigate and clarify the facts.</w:t>
      </w:r>
      <w:r w:rsidRPr="00E72405">
        <w:rPr>
          <w:rStyle w:val="FootnoteReference"/>
          <w:rFonts w:ascii="Cambria" w:hAnsi="Cambria"/>
          <w:sz w:val="20"/>
          <w:szCs w:val="20"/>
        </w:rPr>
        <w:footnoteReference w:id="359"/>
      </w:r>
    </w:p>
    <w:p w:rsidR="00DE0BC3" w:rsidRPr="00E72405" w:rsidRDefault="00DE0BC3" w:rsidP="001F21D0">
      <w:pPr>
        <w:spacing w:after="0" w:line="240" w:lineRule="auto"/>
        <w:jc w:val="both"/>
        <w:rPr>
          <w:rFonts w:ascii="Cambria" w:hAnsi="Cambria"/>
          <w:sz w:val="20"/>
          <w:szCs w:val="20"/>
        </w:rPr>
      </w:pPr>
    </w:p>
    <w:p w:rsidR="00DE0BC3" w:rsidRPr="00E72405" w:rsidRDefault="00DE0BC3" w:rsidP="00DE0BC3">
      <w:pPr>
        <w:pStyle w:val="ListParagraph"/>
        <w:rPr>
          <w:rFonts w:cs="Arial"/>
          <w:sz w:val="20"/>
          <w:szCs w:val="20"/>
        </w:rPr>
      </w:pPr>
      <w:r w:rsidRPr="00E72405">
        <w:rPr>
          <w:rFonts w:cs="Arial"/>
          <w:b/>
          <w:sz w:val="20"/>
          <w:szCs w:val="20"/>
        </w:rPr>
        <w:t>(c) Statutes of limitation for criminal action</w:t>
      </w:r>
    </w:p>
    <w:p w:rsidR="00DE0BC3" w:rsidRPr="00E72405" w:rsidRDefault="00DE0BC3" w:rsidP="00DE0BC3">
      <w:pPr>
        <w:pStyle w:val="ListParagraph"/>
        <w:rPr>
          <w:rFonts w:cs="Arial"/>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Both the Court</w:t>
      </w:r>
      <w:r w:rsidRPr="00E72405">
        <w:rPr>
          <w:rStyle w:val="FootnoteReference"/>
          <w:rFonts w:ascii="Cambria" w:hAnsi="Cambria"/>
          <w:sz w:val="20"/>
          <w:szCs w:val="20"/>
        </w:rPr>
        <w:footnoteReference w:id="360"/>
      </w:r>
      <w:r w:rsidRPr="00E72405">
        <w:rPr>
          <w:rFonts w:ascii="Cambria" w:hAnsi="Cambria"/>
          <w:sz w:val="20"/>
          <w:szCs w:val="20"/>
        </w:rPr>
        <w:t xml:space="preserve"> and the Commission</w:t>
      </w:r>
      <w:r w:rsidRPr="00E72405">
        <w:rPr>
          <w:rStyle w:val="FootnoteReference"/>
          <w:rFonts w:ascii="Cambria" w:hAnsi="Cambria"/>
          <w:sz w:val="20"/>
          <w:szCs w:val="20"/>
        </w:rPr>
        <w:footnoteReference w:id="361"/>
      </w:r>
      <w:r w:rsidRPr="00E72405">
        <w:rPr>
          <w:rFonts w:ascii="Cambria" w:hAnsi="Cambria"/>
          <w:sz w:val="20"/>
          <w:szCs w:val="20"/>
        </w:rPr>
        <w:t xml:space="preserve"> have ascertained that the application of the statute of limitations for criminal actions violates the American Convention in cases of serious human rights violations, such as forced disappearances, the extrajudicial killing of persons and torture, </w:t>
      </w:r>
      <w:r w:rsidRPr="00E72405">
        <w:rPr>
          <w:rFonts w:ascii="Cambria" w:hAnsi="Cambria" w:cs="Verdana"/>
          <w:bCs/>
          <w:sz w:val="20"/>
          <w:szCs w:val="20"/>
          <w:lang w:eastAsia="es-MX"/>
        </w:rPr>
        <w:t>which does not necessarily imply they took place in a context of massive and systematic violations.</w:t>
      </w:r>
      <w:r w:rsidRPr="00E72405">
        <w:rPr>
          <w:rStyle w:val="FootnoteReference"/>
          <w:rFonts w:ascii="Cambria" w:hAnsi="Cambria" w:cs="Verdana"/>
          <w:bCs/>
          <w:sz w:val="20"/>
          <w:szCs w:val="20"/>
          <w:lang w:eastAsia="es-MX"/>
        </w:rPr>
        <w:footnoteReference w:id="362"/>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cs="Verdana"/>
          <w:sz w:val="20"/>
          <w:szCs w:val="20"/>
          <w:lang w:eastAsia="es-MX"/>
        </w:rPr>
        <w:t xml:space="preserve">In the case of </w:t>
      </w:r>
      <w:r w:rsidRPr="00E72405">
        <w:rPr>
          <w:rFonts w:ascii="Cambria" w:hAnsi="Cambria" w:cs="Verdana"/>
          <w:i/>
          <w:sz w:val="20"/>
          <w:szCs w:val="20"/>
          <w:lang w:eastAsia="es-MX"/>
        </w:rPr>
        <w:t>Ibsen Cárdenas and Ibsen Peña</w:t>
      </w:r>
      <w:r w:rsidRPr="00E72405">
        <w:rPr>
          <w:rFonts w:ascii="Cambria" w:hAnsi="Cambria" w:cs="Verdana"/>
          <w:sz w:val="20"/>
          <w:szCs w:val="20"/>
          <w:lang w:eastAsia="es-MX"/>
        </w:rPr>
        <w:t xml:space="preserve"> v. </w:t>
      </w:r>
      <w:r w:rsidRPr="00E72405">
        <w:rPr>
          <w:rFonts w:ascii="Cambria" w:hAnsi="Cambria" w:cs="Verdana"/>
          <w:i/>
          <w:sz w:val="20"/>
          <w:szCs w:val="20"/>
          <w:lang w:eastAsia="es-MX"/>
        </w:rPr>
        <w:t>Bolivia</w:t>
      </w:r>
      <w:r w:rsidRPr="00E72405">
        <w:rPr>
          <w:rFonts w:ascii="Cambria" w:hAnsi="Cambria" w:cs="Verdana"/>
          <w:sz w:val="20"/>
          <w:szCs w:val="20"/>
          <w:lang w:eastAsia="es-MX"/>
        </w:rPr>
        <w:t xml:space="preserve"> this principle was reiterated when it was established that “in certain circumstances, international law considers statutes of limitations to be inadmissible and inapplicable [,] along with amnesty laws and exemptions from liability, so as to maintain the State’s punitive power in effect for actions which, because of their seriousness, must be stopped and also to avoid their repetition”.</w:t>
      </w:r>
      <w:r w:rsidRPr="00E72405">
        <w:rPr>
          <w:rStyle w:val="FootnoteReference"/>
          <w:rFonts w:ascii="Cambria" w:hAnsi="Cambria" w:cs="Verdana"/>
          <w:sz w:val="20"/>
          <w:szCs w:val="20"/>
          <w:lang w:eastAsia="es-MX"/>
        </w:rPr>
        <w:footnoteReference w:id="363"/>
      </w:r>
      <w:r w:rsidRPr="00E72405">
        <w:rPr>
          <w:rFonts w:ascii="Cambria" w:hAnsi="Cambria" w:cs="Verdana"/>
          <w:sz w:val="20"/>
          <w:szCs w:val="20"/>
          <w:lang w:eastAsia="es-MX"/>
        </w:rPr>
        <w:t xml:space="preserve"> </w:t>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cs="Verdana"/>
          <w:sz w:val="20"/>
          <w:szCs w:val="20"/>
          <w:lang w:eastAsia="es-MX"/>
        </w:rPr>
        <w:t xml:space="preserve">Later on, in the cases of </w:t>
      </w:r>
      <w:r w:rsidRPr="00E72405">
        <w:rPr>
          <w:rFonts w:ascii="Cambria" w:hAnsi="Cambria" w:cs="Verdana"/>
          <w:bCs/>
          <w:i/>
          <w:sz w:val="20"/>
          <w:szCs w:val="20"/>
          <w:lang w:eastAsia="es-MX"/>
        </w:rPr>
        <w:t>Gomes Lund et al. (</w:t>
      </w:r>
      <w:proofErr w:type="spellStart"/>
      <w:r w:rsidRPr="00E72405">
        <w:rPr>
          <w:rFonts w:ascii="Cambria" w:hAnsi="Cambria" w:cs="Verdana"/>
          <w:bCs/>
          <w:i/>
          <w:sz w:val="20"/>
          <w:szCs w:val="20"/>
          <w:lang w:eastAsia="es-MX"/>
        </w:rPr>
        <w:t>Guerrilha</w:t>
      </w:r>
      <w:proofErr w:type="spellEnd"/>
      <w:r w:rsidRPr="00E72405">
        <w:rPr>
          <w:rFonts w:ascii="Cambria" w:hAnsi="Cambria" w:cs="Verdana"/>
          <w:bCs/>
          <w:i/>
          <w:sz w:val="20"/>
          <w:szCs w:val="20"/>
          <w:lang w:eastAsia="es-MX"/>
        </w:rPr>
        <w:t xml:space="preserve"> do Araguaia)</w:t>
      </w:r>
      <w:r w:rsidRPr="00E72405">
        <w:rPr>
          <w:rFonts w:ascii="Cambria" w:hAnsi="Cambria" w:cs="Verdana"/>
          <w:bCs/>
          <w:sz w:val="20"/>
          <w:szCs w:val="20"/>
          <w:lang w:eastAsia="es-MX"/>
        </w:rPr>
        <w:t xml:space="preserve"> </w:t>
      </w:r>
      <w:r w:rsidRPr="00E72405">
        <w:rPr>
          <w:rFonts w:ascii="Cambria" w:hAnsi="Cambria" w:cs="Verdana"/>
          <w:bCs/>
          <w:i/>
          <w:sz w:val="20"/>
          <w:szCs w:val="20"/>
          <w:lang w:eastAsia="es-MX"/>
        </w:rPr>
        <w:t>v</w:t>
      </w:r>
      <w:r w:rsidRPr="00E72405">
        <w:rPr>
          <w:rFonts w:ascii="Cambria" w:hAnsi="Cambria" w:cs="Verdana"/>
          <w:bCs/>
          <w:sz w:val="20"/>
          <w:szCs w:val="20"/>
          <w:lang w:eastAsia="es-MX"/>
        </w:rPr>
        <w:t xml:space="preserve">. </w:t>
      </w:r>
      <w:proofErr w:type="spellStart"/>
      <w:r w:rsidRPr="00E72405">
        <w:rPr>
          <w:rFonts w:ascii="Cambria" w:hAnsi="Cambria" w:cs="Verdana"/>
          <w:bCs/>
          <w:i/>
          <w:sz w:val="20"/>
          <w:szCs w:val="20"/>
          <w:lang w:eastAsia="es-MX"/>
        </w:rPr>
        <w:t>Brasil</w:t>
      </w:r>
      <w:proofErr w:type="spellEnd"/>
      <w:r w:rsidRPr="00E72405">
        <w:rPr>
          <w:rFonts w:ascii="Cambria" w:hAnsi="Cambria" w:cs="Verdana"/>
          <w:bCs/>
          <w:sz w:val="20"/>
          <w:szCs w:val="20"/>
          <w:lang w:eastAsia="es-MX"/>
        </w:rPr>
        <w:t xml:space="preserve"> and </w:t>
      </w:r>
      <w:proofErr w:type="spellStart"/>
      <w:r w:rsidRPr="00E72405">
        <w:rPr>
          <w:rFonts w:ascii="Cambria" w:hAnsi="Cambria" w:cs="Verdana"/>
          <w:bCs/>
          <w:i/>
          <w:sz w:val="20"/>
          <w:szCs w:val="20"/>
          <w:lang w:eastAsia="es-MX"/>
        </w:rPr>
        <w:t>Gelman</w:t>
      </w:r>
      <w:proofErr w:type="spellEnd"/>
      <w:r w:rsidRPr="00E72405">
        <w:rPr>
          <w:rFonts w:ascii="Cambria" w:hAnsi="Cambria" w:cs="Verdana"/>
          <w:bCs/>
          <w:i/>
          <w:sz w:val="20"/>
          <w:szCs w:val="20"/>
          <w:lang w:eastAsia="es-MX"/>
        </w:rPr>
        <w:t xml:space="preserve"> v. Uruguay, </w:t>
      </w:r>
      <w:r w:rsidRPr="00E72405">
        <w:rPr>
          <w:rFonts w:ascii="Cambria" w:hAnsi="Cambria" w:cs="Verdana"/>
          <w:bCs/>
          <w:sz w:val="20"/>
          <w:szCs w:val="20"/>
          <w:lang w:eastAsia="es-MX"/>
        </w:rPr>
        <w:t>involving serious human rights violations committed during military dictatorships, the Court reiterated its jurisprudence in the sense that “statute of limitation provisions […] that are intended to prevent the investigation and punishment of those responsible for serious violations to human rights such as torture, summary, extrajudicial, or arbitrary executions, and enforced disappearance are not admissible, all of which are prohibited for contravening irrevocable rights recognized by International Law of Human Rights.”</w:t>
      </w:r>
      <w:r w:rsidRPr="00E72405">
        <w:rPr>
          <w:rStyle w:val="FootnoteReference"/>
          <w:rFonts w:ascii="Cambria" w:hAnsi="Cambria" w:cs="Verdana"/>
          <w:bCs/>
          <w:sz w:val="20"/>
          <w:szCs w:val="20"/>
          <w:lang w:eastAsia="es-MX"/>
        </w:rPr>
        <w:footnoteReference w:id="364"/>
      </w:r>
      <w:r w:rsidRPr="00E72405">
        <w:rPr>
          <w:rFonts w:ascii="Cambria" w:hAnsi="Cambria" w:cs="Verdana"/>
          <w:bCs/>
          <w:sz w:val="20"/>
          <w:szCs w:val="20"/>
          <w:lang w:eastAsia="es-MX"/>
        </w:rPr>
        <w:t xml:space="preserve"> This formulation on the prohibition of the statutes of limitations in cases of serious human rights violations has also been upheld by the Court in cases where such violations occurred in the context of domestic armed conflicts.</w:t>
      </w:r>
      <w:r w:rsidRPr="00E72405">
        <w:rPr>
          <w:rStyle w:val="FootnoteReference"/>
          <w:rFonts w:ascii="Cambria" w:hAnsi="Cambria" w:cs="Verdana"/>
          <w:bCs/>
          <w:sz w:val="20"/>
          <w:szCs w:val="20"/>
          <w:lang w:eastAsia="es-MX"/>
        </w:rPr>
        <w:footnoteReference w:id="365"/>
      </w:r>
      <w:r w:rsidRPr="00E72405">
        <w:rPr>
          <w:rFonts w:ascii="Cambria" w:hAnsi="Cambria" w:cs="Verdana"/>
          <w:bCs/>
          <w:sz w:val="20"/>
          <w:szCs w:val="20"/>
          <w:lang w:eastAsia="es-MX"/>
        </w:rPr>
        <w:t xml:space="preserve"> </w:t>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Style w:val="Emphasis"/>
          <w:rFonts w:ascii="Cambria" w:hAnsi="Cambria"/>
          <w:i w:val="0"/>
          <w:sz w:val="20"/>
          <w:szCs w:val="20"/>
        </w:rPr>
        <w:t>In the instant case, the 1st Federal Criminal Court that decided the closing of the investigation into the arbitrary detention, torture and murder of Vladimir Herzog, also based its decision on the statutes of limitation of criminal actions. It stated that</w:t>
      </w:r>
      <w:r w:rsidRPr="00E72405">
        <w:rPr>
          <w:rFonts w:ascii="Cambria" w:hAnsi="Cambria"/>
          <w:sz w:val="20"/>
          <w:szCs w:val="20"/>
        </w:rPr>
        <w:t xml:space="preserve"> “murder, genocide, or even </w:t>
      </w:r>
      <w:proofErr w:type="gramStart"/>
      <w:r w:rsidRPr="00E72405">
        <w:rPr>
          <w:rFonts w:ascii="Cambria" w:hAnsi="Cambria"/>
          <w:sz w:val="20"/>
          <w:szCs w:val="20"/>
        </w:rPr>
        <w:t xml:space="preserve">torture </w:t>
      </w:r>
      <w:r w:rsidR="00343DD3" w:rsidRPr="00E72405">
        <w:rPr>
          <w:rFonts w:ascii="Cambria" w:hAnsi="Cambria"/>
          <w:sz w:val="20"/>
          <w:szCs w:val="20"/>
        </w:rPr>
        <w:t xml:space="preserve"> (</w:t>
      </w:r>
      <w:proofErr w:type="gramEnd"/>
      <w:r w:rsidR="00343DD3" w:rsidRPr="00E72405">
        <w:rPr>
          <w:rFonts w:ascii="Cambria" w:hAnsi="Cambria"/>
          <w:sz w:val="20"/>
          <w:szCs w:val="20"/>
        </w:rPr>
        <w:t xml:space="preserve">…), </w:t>
      </w:r>
      <w:r w:rsidRPr="00E72405">
        <w:rPr>
          <w:rFonts w:ascii="Cambria" w:hAnsi="Cambria"/>
          <w:sz w:val="20"/>
          <w:szCs w:val="20"/>
        </w:rPr>
        <w:t>are crimes not subject to statutes of limitations under the Constitution or other norms in current legislation.”</w:t>
      </w:r>
      <w:r w:rsidR="00343DD3" w:rsidRPr="00E72405">
        <w:rPr>
          <w:rStyle w:val="FootnoteReference"/>
          <w:rFonts w:ascii="Cambria" w:hAnsi="Cambria"/>
          <w:sz w:val="20"/>
          <w:szCs w:val="20"/>
        </w:rPr>
        <w:footnoteReference w:id="366"/>
      </w:r>
      <w:r w:rsidRPr="00E72405">
        <w:rPr>
          <w:rFonts w:ascii="Cambria" w:hAnsi="Cambria"/>
          <w:sz w:val="20"/>
          <w:szCs w:val="20"/>
        </w:rPr>
        <w:t xml:space="preserve"> It also maintained that, when the facts took place, the Brazilian State had not ratified the Convention on war crimes and crimes against humanity. </w:t>
      </w:r>
      <w:r w:rsidR="00343DD3" w:rsidRPr="00E72405">
        <w:rPr>
          <w:rFonts w:ascii="Cambria" w:hAnsi="Cambria"/>
          <w:sz w:val="20"/>
          <w:szCs w:val="20"/>
        </w:rPr>
        <w:t>(</w:t>
      </w:r>
      <w:proofErr w:type="gramStart"/>
      <w:r w:rsidR="00343DD3" w:rsidRPr="00E72405">
        <w:rPr>
          <w:rFonts w:ascii="Cambria" w:hAnsi="Cambria"/>
          <w:sz w:val="20"/>
          <w:szCs w:val="20"/>
        </w:rPr>
        <w:t>supra</w:t>
      </w:r>
      <w:proofErr w:type="gramEnd"/>
      <w:r w:rsidR="00343DD3" w:rsidRPr="00E72405">
        <w:rPr>
          <w:rFonts w:ascii="Cambria" w:hAnsi="Cambria"/>
          <w:sz w:val="20"/>
          <w:szCs w:val="20"/>
        </w:rPr>
        <w:t xml:space="preserve"> </w:t>
      </w:r>
      <w:proofErr w:type="spellStart"/>
      <w:r w:rsidR="00343DD3" w:rsidRPr="00E72405">
        <w:rPr>
          <w:rFonts w:ascii="Cambria" w:hAnsi="Cambria"/>
          <w:sz w:val="20"/>
          <w:szCs w:val="20"/>
        </w:rPr>
        <w:t>párr</w:t>
      </w:r>
      <w:proofErr w:type="spellEnd"/>
      <w:r w:rsidR="00343DD3" w:rsidRPr="00E72405">
        <w:rPr>
          <w:rFonts w:ascii="Cambria" w:hAnsi="Cambria"/>
          <w:sz w:val="20"/>
          <w:szCs w:val="20"/>
        </w:rPr>
        <w:t>. 127-128</w:t>
      </w:r>
      <w:r w:rsidRPr="00E72405">
        <w:rPr>
          <w:rFonts w:ascii="Cambria" w:hAnsi="Cambria"/>
          <w:sz w:val="20"/>
          <w:szCs w:val="20"/>
        </w:rPr>
        <w:t>).</w:t>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In the case </w:t>
      </w:r>
      <w:proofErr w:type="spellStart"/>
      <w:r w:rsidRPr="00E72405">
        <w:rPr>
          <w:rFonts w:ascii="Cambria" w:hAnsi="Cambria"/>
          <w:i/>
          <w:sz w:val="20"/>
          <w:szCs w:val="20"/>
        </w:rPr>
        <w:t>Almonacid</w:t>
      </w:r>
      <w:proofErr w:type="spellEnd"/>
      <w:r w:rsidRPr="00E72405">
        <w:rPr>
          <w:rFonts w:ascii="Cambria" w:hAnsi="Cambria"/>
          <w:i/>
          <w:sz w:val="20"/>
          <w:szCs w:val="20"/>
        </w:rPr>
        <w:t xml:space="preserve"> Arellano v. Chile</w:t>
      </w:r>
      <w:r w:rsidRPr="00E72405">
        <w:rPr>
          <w:rFonts w:ascii="Cambria" w:hAnsi="Cambria"/>
          <w:sz w:val="20"/>
          <w:szCs w:val="20"/>
        </w:rPr>
        <w:t xml:space="preserve"> the Court stated that, “even though the Chilean State has not ratified said Convention [on the non-applicability of statutory limitations to war crimes and crimes against humanity], the Court believes that the non-applicability of statutes of limitations to crimes against humanity is a norm of General International Law (</w:t>
      </w:r>
      <w:proofErr w:type="spellStart"/>
      <w:r w:rsidRPr="00E72405">
        <w:rPr>
          <w:rFonts w:ascii="Cambria" w:hAnsi="Cambria"/>
          <w:i/>
          <w:sz w:val="20"/>
          <w:szCs w:val="20"/>
        </w:rPr>
        <w:t>ius</w:t>
      </w:r>
      <w:proofErr w:type="spellEnd"/>
      <w:r w:rsidRPr="00E72405">
        <w:rPr>
          <w:rFonts w:ascii="Cambria" w:hAnsi="Cambria"/>
          <w:i/>
          <w:sz w:val="20"/>
          <w:szCs w:val="20"/>
        </w:rPr>
        <w:t xml:space="preserve"> </w:t>
      </w:r>
      <w:proofErr w:type="spellStart"/>
      <w:r w:rsidRPr="00E72405">
        <w:rPr>
          <w:rFonts w:ascii="Cambria" w:hAnsi="Cambria"/>
          <w:i/>
          <w:sz w:val="20"/>
          <w:szCs w:val="20"/>
        </w:rPr>
        <w:t>cogens</w:t>
      </w:r>
      <w:proofErr w:type="spellEnd"/>
      <w:r w:rsidRPr="00E72405">
        <w:rPr>
          <w:rFonts w:ascii="Cambria" w:hAnsi="Cambria"/>
          <w:sz w:val="20"/>
          <w:szCs w:val="20"/>
        </w:rPr>
        <w:t>), which is not created by said Convention, but it is acknowledged by it. Hence, the Chilean State must comply with this imperative rule.”</w:t>
      </w:r>
      <w:r w:rsidRPr="00E72405">
        <w:rPr>
          <w:rStyle w:val="FootnoteReference"/>
          <w:rFonts w:ascii="Cambria" w:hAnsi="Cambria"/>
          <w:sz w:val="20"/>
          <w:szCs w:val="20"/>
        </w:rPr>
        <w:footnoteReference w:id="367"/>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lastRenderedPageBreak/>
        <w:t xml:space="preserve">In similar terms, the Inter-American Commission held in its report on the case of </w:t>
      </w:r>
      <w:r w:rsidRPr="00E72405">
        <w:rPr>
          <w:rFonts w:ascii="Cambria" w:hAnsi="Cambria"/>
          <w:i/>
          <w:sz w:val="20"/>
          <w:szCs w:val="20"/>
        </w:rPr>
        <w:t>Julia Gomes Lund et al. (“</w:t>
      </w:r>
      <w:proofErr w:type="spellStart"/>
      <w:r w:rsidRPr="00E72405">
        <w:rPr>
          <w:rFonts w:ascii="Cambria" w:hAnsi="Cambria"/>
          <w:i/>
          <w:sz w:val="20"/>
          <w:szCs w:val="20"/>
        </w:rPr>
        <w:t>Guerrilha</w:t>
      </w:r>
      <w:proofErr w:type="spellEnd"/>
      <w:r w:rsidRPr="00E72405">
        <w:rPr>
          <w:rFonts w:ascii="Cambria" w:hAnsi="Cambria"/>
          <w:i/>
          <w:sz w:val="20"/>
          <w:szCs w:val="20"/>
        </w:rPr>
        <w:t xml:space="preserve"> do Araguaia”</w:t>
      </w:r>
      <w:r w:rsidRPr="00E72405">
        <w:rPr>
          <w:rFonts w:ascii="Cambria" w:hAnsi="Cambria"/>
          <w:sz w:val="20"/>
          <w:szCs w:val="20"/>
        </w:rPr>
        <w:t xml:space="preserve">) that although the Brazilian State had not ratified the Convention on the non-applicability of statutory limitations to war crimes and crimes against humanity, the obligation to investigate and prosecute crimes against humanity is a norm of </w:t>
      </w:r>
      <w:proofErr w:type="spellStart"/>
      <w:r w:rsidRPr="00E72405">
        <w:rPr>
          <w:rFonts w:ascii="Cambria" w:hAnsi="Cambria"/>
          <w:i/>
          <w:sz w:val="20"/>
          <w:szCs w:val="20"/>
        </w:rPr>
        <w:t>ius</w:t>
      </w:r>
      <w:proofErr w:type="spellEnd"/>
      <w:r w:rsidRPr="00E72405">
        <w:rPr>
          <w:rFonts w:ascii="Cambria" w:hAnsi="Cambria"/>
          <w:i/>
          <w:sz w:val="20"/>
          <w:szCs w:val="20"/>
        </w:rPr>
        <w:t xml:space="preserve"> </w:t>
      </w:r>
      <w:proofErr w:type="spellStart"/>
      <w:r w:rsidRPr="00E72405">
        <w:rPr>
          <w:rFonts w:ascii="Cambria" w:hAnsi="Cambria"/>
          <w:i/>
          <w:sz w:val="20"/>
          <w:szCs w:val="20"/>
        </w:rPr>
        <w:t>cogens</w:t>
      </w:r>
      <w:proofErr w:type="spellEnd"/>
      <w:r w:rsidRPr="00E72405">
        <w:rPr>
          <w:rFonts w:ascii="Cambria" w:hAnsi="Cambria"/>
          <w:sz w:val="20"/>
          <w:szCs w:val="20"/>
        </w:rPr>
        <w:t>, so applying the prescription in these cases is a violation of that mandatory rule by the State.</w:t>
      </w:r>
      <w:r w:rsidRPr="00E72405">
        <w:rPr>
          <w:rStyle w:val="FootnoteReference"/>
          <w:rFonts w:ascii="Cambria" w:hAnsi="Cambria"/>
          <w:sz w:val="20"/>
          <w:szCs w:val="20"/>
        </w:rPr>
        <w:footnoteReference w:id="368"/>
      </w:r>
      <w:r w:rsidRPr="00E72405">
        <w:rPr>
          <w:rFonts w:ascii="Cambria" w:hAnsi="Cambria"/>
          <w:sz w:val="20"/>
          <w:szCs w:val="20"/>
        </w:rPr>
        <w:t xml:space="preserve"> </w:t>
      </w:r>
    </w:p>
    <w:p w:rsidR="00DE0BC3" w:rsidRPr="00E72405" w:rsidRDefault="00DE0BC3" w:rsidP="00DE0BC3">
      <w:pPr>
        <w:ind w:right="-7"/>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Commission finds no reason to depart from this criterion. In this case, which entails serious human rights violations, the application of the statute of limitations has hindered the investigation and punishment of crimes committed against Vladimir Herzog and constituted an obstacle to effective access to justice and truth for the victim's next of kin, in clear non-compliance by the State of a mandatory international obligation.</w:t>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cs="Verdana"/>
          <w:sz w:val="20"/>
          <w:szCs w:val="20"/>
        </w:rPr>
      </w:pPr>
      <w:r w:rsidRPr="00E72405">
        <w:rPr>
          <w:rFonts w:ascii="Cambria" w:hAnsi="Cambria"/>
          <w:sz w:val="20"/>
          <w:szCs w:val="20"/>
        </w:rPr>
        <w:t xml:space="preserve">Based on the foregoing, the IACHR concludes that the failure to investigate serious human rights violations committed in this case, in a context of systematic patterns, reveal a non-compliance of international obligations by the State. Because of its interpretation and application of Law No. 6.683/79 (Amnesty Law), Brazil has failed to fulfill the obligation to adapt its domestic law to the Convention, contained in Article 2 thereof, related to articles 8.1, 25 and 1.1 of the same treaty. Likewise, the Commission considers that the failure to investigate the facts, and  to prosecute and punish those responsible, derived both from the interpretation and application of Law No. 6.683/79 (Amnesty Law), and the application of the concepts of </w:t>
      </w:r>
      <w:r w:rsidRPr="00E72405">
        <w:rPr>
          <w:rFonts w:ascii="Cambria" w:hAnsi="Cambria"/>
          <w:i/>
          <w:sz w:val="20"/>
          <w:szCs w:val="20"/>
        </w:rPr>
        <w:t>res judicata</w:t>
      </w:r>
      <w:r w:rsidRPr="00E72405">
        <w:rPr>
          <w:rFonts w:ascii="Cambria" w:hAnsi="Cambria"/>
          <w:sz w:val="20"/>
          <w:szCs w:val="20"/>
        </w:rPr>
        <w:t xml:space="preserve"> and statutory limitation of criminal action violate the rights to a fair trial and judicial protection under Articles 8.1 and 25.1 of the American Convention, related to Articles 1.1 and 2 thereof, and provisions 1, 6 and 8 the Inter-American Convention to Prevent and Punish Torture, to the detriment of Clarice (wife), André and Ivo (sons), Zora (mother deceased on November 18, 2006), all surnamed Herzog.</w:t>
      </w:r>
    </w:p>
    <w:p w:rsidR="00B64BF5" w:rsidRPr="00E72405" w:rsidRDefault="00B64BF5" w:rsidP="00B64BF5">
      <w:pPr>
        <w:spacing w:after="0" w:line="240" w:lineRule="auto"/>
        <w:ind w:left="720"/>
        <w:jc w:val="both"/>
        <w:rPr>
          <w:rFonts w:ascii="Cambria" w:hAnsi="Cambria" w:cs="Verdan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cs="Verdana"/>
          <w:sz w:val="20"/>
          <w:szCs w:val="20"/>
        </w:rPr>
        <w:t xml:space="preserve">On the merits stage, the petitioners alleged that after </w:t>
      </w:r>
      <w:r w:rsidR="003C36A0" w:rsidRPr="00E72405">
        <w:rPr>
          <w:rFonts w:ascii="Cambria" w:hAnsi="Cambria" w:cs="Verdana"/>
          <w:sz w:val="20"/>
          <w:szCs w:val="20"/>
        </w:rPr>
        <w:t>Brazil</w:t>
      </w:r>
      <w:r w:rsidRPr="00E72405">
        <w:rPr>
          <w:rFonts w:ascii="Cambria" w:hAnsi="Cambria" w:cs="Verdana"/>
          <w:sz w:val="20"/>
          <w:szCs w:val="20"/>
        </w:rPr>
        <w:t xml:space="preserve"> ratified the American Convention on July 20, 1989, the failure to investigate the facts and to prosecute and punish those responsible for the arbitrary detention, torture and murder of Vladimir Herzog, have also caused the non-compliance of the obligation to guarantee the rights recognized in Articles 4, 5, 7 and 13 of the American Convention, in relation to Article 1.1 of that treaty.</w:t>
      </w:r>
      <w:r w:rsidRPr="00E72405">
        <w:rPr>
          <w:rFonts w:ascii="Cambria" w:hAnsi="Cambria"/>
          <w:sz w:val="20"/>
          <w:szCs w:val="20"/>
        </w:rPr>
        <w:t xml:space="preserve"> </w:t>
      </w:r>
    </w:p>
    <w:p w:rsidR="00B64BF5" w:rsidRPr="00E72405" w:rsidRDefault="00B64BF5" w:rsidP="00B64BF5">
      <w:pPr>
        <w:spacing w:after="0" w:line="240" w:lineRule="auto"/>
        <w:jc w:val="both"/>
        <w:rPr>
          <w:rFonts w:ascii="Cambria" w:hAnsi="Cambria"/>
          <w:sz w:val="20"/>
          <w:szCs w:val="20"/>
        </w:rPr>
      </w:pPr>
    </w:p>
    <w:p w:rsidR="00A33A29" w:rsidRPr="00E72405" w:rsidRDefault="00DE0BC3" w:rsidP="00A33A29">
      <w:pPr>
        <w:numPr>
          <w:ilvl w:val="0"/>
          <w:numId w:val="6"/>
        </w:numPr>
        <w:spacing w:after="0" w:line="240" w:lineRule="auto"/>
        <w:ind w:left="0" w:firstLine="720"/>
        <w:jc w:val="both"/>
        <w:rPr>
          <w:rFonts w:ascii="Cambria" w:hAnsi="Cambria" w:cs="Verdana"/>
          <w:sz w:val="20"/>
          <w:szCs w:val="20"/>
        </w:rPr>
      </w:pPr>
      <w:r w:rsidRPr="00E72405">
        <w:rPr>
          <w:rFonts w:ascii="Cambria" w:hAnsi="Cambria"/>
          <w:sz w:val="20"/>
          <w:szCs w:val="20"/>
        </w:rPr>
        <w:t>In this regard, the IACHR reiterates that the lack of due diligence in the investigation, prosecution, and punishment of those responsible for the torture and violent death of a person is a component of the establishment of the State's international responsibility.</w:t>
      </w:r>
      <w:r w:rsidRPr="00E72405">
        <w:rPr>
          <w:rFonts w:ascii="Cambria" w:hAnsi="Cambria"/>
          <w:sz w:val="20"/>
          <w:szCs w:val="20"/>
          <w:vertAlign w:val="superscript"/>
        </w:rPr>
        <w:footnoteReference w:id="369"/>
      </w:r>
      <w:r w:rsidRPr="00E72405">
        <w:rPr>
          <w:rFonts w:ascii="Cambria" w:hAnsi="Cambria"/>
          <w:bCs/>
          <w:sz w:val="20"/>
          <w:szCs w:val="20"/>
        </w:rPr>
        <w:t xml:space="preserve"> Indeed, part of the general obligation to guarantee the rights recognized in the Convention is the specific duty to investigate cases where human rights violations are alleged; that is, that duty is set forth by Article 1.1 of the Convention regarding the right that must be protected or guaranteed. Under the inter-American system, non-compliance of this duty constitutes a breach of the general obligation to guarantee the rights established in Article 1.1 of the American Convention, regarding the rights to life and/or personal integrity, depending on the consequences of the act of violence, and the right of access to justice recognized in Articles 8 and 25 of the treaty.</w:t>
      </w:r>
      <w:r w:rsidRPr="00E72405">
        <w:rPr>
          <w:rStyle w:val="FootnoteReference"/>
          <w:rFonts w:ascii="Cambria" w:hAnsi="Cambria"/>
          <w:sz w:val="20"/>
          <w:szCs w:val="20"/>
        </w:rPr>
        <w:footnoteReference w:id="370"/>
      </w:r>
      <w:r w:rsidRPr="00E72405">
        <w:rPr>
          <w:rFonts w:ascii="Cambria" w:hAnsi="Cambria"/>
          <w:sz w:val="20"/>
          <w:szCs w:val="20"/>
        </w:rPr>
        <w:t xml:space="preserve"> </w:t>
      </w:r>
    </w:p>
    <w:p w:rsidR="00A33A29" w:rsidRPr="00E72405" w:rsidRDefault="00A33A29" w:rsidP="00A33A29">
      <w:pPr>
        <w:pStyle w:val="ListParagraph"/>
        <w:rPr>
          <w:rFonts w:cs="Verdana"/>
          <w:sz w:val="20"/>
          <w:szCs w:val="20"/>
        </w:rPr>
      </w:pPr>
    </w:p>
    <w:p w:rsidR="00DE0BC3" w:rsidRPr="00E72405" w:rsidRDefault="003C36A0" w:rsidP="00A33A29">
      <w:pPr>
        <w:numPr>
          <w:ilvl w:val="0"/>
          <w:numId w:val="6"/>
        </w:numPr>
        <w:spacing w:after="0" w:line="240" w:lineRule="auto"/>
        <w:ind w:left="0" w:firstLine="720"/>
        <w:jc w:val="both"/>
        <w:rPr>
          <w:rFonts w:ascii="Cambria" w:hAnsi="Cambria" w:cs="Verdana"/>
          <w:sz w:val="20"/>
          <w:szCs w:val="20"/>
        </w:rPr>
      </w:pPr>
      <w:r w:rsidRPr="00E72405">
        <w:rPr>
          <w:rFonts w:ascii="Cambria" w:hAnsi="Cambria" w:cs="Verdana"/>
          <w:sz w:val="20"/>
          <w:szCs w:val="20"/>
        </w:rPr>
        <w:t>In this regard</w:t>
      </w:r>
      <w:r w:rsidR="00DE0BC3" w:rsidRPr="00E72405">
        <w:rPr>
          <w:rFonts w:ascii="Cambria" w:hAnsi="Cambria" w:cs="Verdana"/>
          <w:sz w:val="20"/>
          <w:szCs w:val="20"/>
        </w:rPr>
        <w:t xml:space="preserve">, it is sufficient to reiterate that, once the American Convention was ratified, the </w:t>
      </w:r>
      <w:r w:rsidRPr="00E72405">
        <w:rPr>
          <w:rFonts w:ascii="Cambria" w:hAnsi="Cambria" w:cs="Verdana"/>
          <w:sz w:val="20"/>
          <w:szCs w:val="20"/>
        </w:rPr>
        <w:t xml:space="preserve">actions initiated by the State </w:t>
      </w:r>
      <w:r w:rsidR="00851158" w:rsidRPr="00E72405">
        <w:rPr>
          <w:rFonts w:ascii="Cambria" w:hAnsi="Cambria" w:cs="Verdana"/>
          <w:sz w:val="20"/>
          <w:szCs w:val="20"/>
        </w:rPr>
        <w:t xml:space="preserve">on justice have not been effective to comply with </w:t>
      </w:r>
      <w:r w:rsidR="00DE0BC3" w:rsidRPr="00E72405">
        <w:rPr>
          <w:rFonts w:ascii="Cambria" w:hAnsi="Cambria" w:cs="Verdana"/>
          <w:sz w:val="20"/>
          <w:szCs w:val="20"/>
        </w:rPr>
        <w:t>its duty to investigate with due dilige</w:t>
      </w:r>
      <w:r w:rsidR="00851158" w:rsidRPr="00E72405">
        <w:rPr>
          <w:rFonts w:ascii="Cambria" w:hAnsi="Cambria" w:cs="Verdana"/>
          <w:sz w:val="20"/>
          <w:szCs w:val="20"/>
        </w:rPr>
        <w:t>nce the facts of this case, prosecute and punish</w:t>
      </w:r>
      <w:r w:rsidR="00DE0BC3" w:rsidRPr="00E72405">
        <w:rPr>
          <w:rFonts w:ascii="Cambria" w:hAnsi="Cambria" w:cs="Verdana"/>
          <w:sz w:val="20"/>
          <w:szCs w:val="20"/>
        </w:rPr>
        <w:t xml:space="preserve"> those responsible</w:t>
      </w:r>
      <w:r w:rsidR="00851158" w:rsidRPr="00E72405">
        <w:rPr>
          <w:rFonts w:ascii="Cambria" w:hAnsi="Cambria" w:cs="Verdana"/>
          <w:sz w:val="20"/>
          <w:szCs w:val="20"/>
        </w:rPr>
        <w:t xml:space="preserve"> </w:t>
      </w:r>
      <w:r w:rsidR="00851158" w:rsidRPr="00E72405">
        <w:rPr>
          <w:rFonts w:ascii="Cambria" w:hAnsi="Cambria" w:cs="Arial"/>
          <w:color w:val="222222"/>
          <w:sz w:val="20"/>
          <w:szCs w:val="20"/>
          <w:lang w:val="en"/>
        </w:rPr>
        <w:t>to the detriment of the rights to truth and access to justice of Vladimir Herzog’s family, under articles 8.1 and 25 of the American Convention.</w:t>
      </w:r>
      <w:r w:rsidRPr="00E72405">
        <w:rPr>
          <w:rFonts w:ascii="Cambria" w:hAnsi="Cambria" w:cs="Verdana"/>
          <w:sz w:val="20"/>
          <w:szCs w:val="20"/>
        </w:rPr>
        <w:t xml:space="preserve"> </w:t>
      </w:r>
      <w:r w:rsidR="00851158" w:rsidRPr="00E72405">
        <w:rPr>
          <w:rFonts w:ascii="Cambria" w:hAnsi="Cambria" w:cs="Verdana"/>
          <w:sz w:val="20"/>
          <w:szCs w:val="20"/>
        </w:rPr>
        <w:t xml:space="preserve">Thus, for the purpose of this case, the Commission does not consider it necessary to make a </w:t>
      </w:r>
      <w:r w:rsidR="00DE0BC3" w:rsidRPr="00E72405">
        <w:rPr>
          <w:rFonts w:ascii="Cambria" w:hAnsi="Cambria" w:cs="Verdana"/>
          <w:sz w:val="20"/>
          <w:szCs w:val="20"/>
        </w:rPr>
        <w:t xml:space="preserve">separate determination of the alleged </w:t>
      </w:r>
      <w:r w:rsidR="00A33A29" w:rsidRPr="00E72405">
        <w:rPr>
          <w:rFonts w:ascii="Cambria" w:hAnsi="Cambria" w:cs="Verdana"/>
          <w:sz w:val="20"/>
          <w:szCs w:val="20"/>
        </w:rPr>
        <w:t xml:space="preserve">“continued” </w:t>
      </w:r>
      <w:r w:rsidR="00DE0BC3" w:rsidRPr="00E72405">
        <w:rPr>
          <w:rFonts w:ascii="Cambria" w:hAnsi="Cambria" w:cs="Verdana"/>
          <w:sz w:val="20"/>
          <w:szCs w:val="20"/>
        </w:rPr>
        <w:t>violations of Articles 4, 5, 7 and 13 of the American Convention in this case</w:t>
      </w:r>
      <w:r w:rsidR="00DE0BC3" w:rsidRPr="00E72405">
        <w:rPr>
          <w:rFonts w:ascii="Cambria" w:hAnsi="Cambria" w:cs="Verdana"/>
          <w:b/>
          <w:sz w:val="20"/>
          <w:szCs w:val="20"/>
        </w:rPr>
        <w:t>.</w:t>
      </w:r>
    </w:p>
    <w:p w:rsidR="00A33A29" w:rsidRPr="00E72405" w:rsidRDefault="00A33A29" w:rsidP="00A33A29">
      <w:pPr>
        <w:spacing w:after="0" w:line="240" w:lineRule="auto"/>
        <w:jc w:val="both"/>
        <w:rPr>
          <w:rFonts w:ascii="Cambria" w:hAnsi="Cambria" w:cs="Verdana"/>
          <w:sz w:val="20"/>
          <w:szCs w:val="20"/>
        </w:rPr>
      </w:pPr>
    </w:p>
    <w:p w:rsidR="00DE0BC3" w:rsidRPr="00E72405" w:rsidRDefault="00DE0BC3" w:rsidP="00E521FD">
      <w:pPr>
        <w:pStyle w:val="Heading2"/>
        <w:jc w:val="both"/>
      </w:pPr>
      <w:bookmarkStart w:id="31" w:name="_Toc423613764"/>
      <w:bookmarkStart w:id="32" w:name="_Toc433359817"/>
      <w:r w:rsidRPr="00E72405">
        <w:lastRenderedPageBreak/>
        <w:t>Analysis of the right to life, liberty and personal security (Article I) and the right to protection for mothers and children (Article VII) of the American Declaration, and the right to personal integrity (Article 5.1) of the American Convention</w:t>
      </w:r>
      <w:bookmarkEnd w:id="31"/>
      <w:bookmarkEnd w:id="32"/>
      <w:r w:rsidRPr="00E72405">
        <w:t xml:space="preserve"> </w:t>
      </w:r>
    </w:p>
    <w:p w:rsidR="00B64BF5" w:rsidRPr="00E72405" w:rsidRDefault="00B64BF5" w:rsidP="00B64BF5">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bCs/>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Article I of the Declaration recognizes the right of every person to personal integrity. Article 5.1 of the American Convention states that “[e]very person has the right to have his physical, mental, and moral integrity respected.” Regarding the next of kin of the victims of certain human rights violations, the Court has indicated that they may be considered, in turn, victims themselves.</w:t>
      </w:r>
      <w:r w:rsidRPr="00E72405">
        <w:rPr>
          <w:rStyle w:val="FootnoteReference"/>
          <w:rFonts w:ascii="Cambria" w:hAnsi="Cambria"/>
          <w:sz w:val="20"/>
          <w:szCs w:val="20"/>
        </w:rPr>
        <w:footnoteReference w:id="371"/>
      </w:r>
      <w:r w:rsidRPr="00E72405">
        <w:rPr>
          <w:rFonts w:ascii="Cambria" w:hAnsi="Cambria"/>
          <w:sz w:val="20"/>
          <w:szCs w:val="20"/>
        </w:rPr>
        <w:t xml:space="preserve">  Article VII of the same instrument states that “[…] all children have the right to special protection, care and aid.” </w:t>
      </w:r>
    </w:p>
    <w:p w:rsidR="00DE0BC3" w:rsidRPr="00E72405" w:rsidRDefault="00DE0BC3" w:rsidP="00DE0BC3">
      <w:pPr>
        <w:pStyle w:val="ListParagraph"/>
        <w:rPr>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Court has repeatedly stated that the next of kin of the victims of certain human rights violations can be, in turn, victims themselves.</w:t>
      </w:r>
      <w:r w:rsidRPr="00E72405">
        <w:rPr>
          <w:rFonts w:ascii="Cambria" w:hAnsi="Cambria"/>
          <w:sz w:val="20"/>
          <w:szCs w:val="20"/>
          <w:vertAlign w:val="superscript"/>
        </w:rPr>
        <w:footnoteReference w:id="372"/>
      </w:r>
      <w:r w:rsidRPr="00E72405">
        <w:rPr>
          <w:rFonts w:ascii="Cambria" w:hAnsi="Cambria"/>
          <w:sz w:val="20"/>
          <w:szCs w:val="20"/>
        </w:rPr>
        <w:t xml:space="preserve"> Specifically, the Court has considered that the mental and moral integrity of the next of kin of victims can be affected as a result of the particular circumstances of the violations perpetrated against their loved ones and owing to the subsequent acts or omissions of the domestic authorities in relation to these facts.</w:t>
      </w:r>
      <w:r w:rsidRPr="00E72405">
        <w:rPr>
          <w:rFonts w:ascii="Cambria" w:hAnsi="Cambria"/>
          <w:sz w:val="20"/>
          <w:szCs w:val="20"/>
          <w:vertAlign w:val="superscript"/>
        </w:rPr>
        <w:footnoteReference w:id="373"/>
      </w:r>
      <w:r w:rsidRPr="00E72405">
        <w:rPr>
          <w:rFonts w:ascii="Cambria" w:hAnsi="Cambria"/>
          <w:sz w:val="20"/>
          <w:szCs w:val="20"/>
        </w:rPr>
        <w:t xml:space="preserve"> Also, the Court has stated that “[t]he obligation to investigate human rights violations is among the positive measures that the State must adopt to guarantee the rights established in the Convention. Additionally, the State must, if possible, try to reestablish a right that has been violated and, if applicable, repair the damage produced by human rights violations”.</w:t>
      </w:r>
      <w:r w:rsidRPr="00E72405">
        <w:rPr>
          <w:rFonts w:ascii="Cambria" w:hAnsi="Cambria"/>
          <w:sz w:val="20"/>
          <w:szCs w:val="20"/>
          <w:vertAlign w:val="superscript"/>
        </w:rPr>
        <w:footnoteReference w:id="374"/>
      </w:r>
      <w:r w:rsidRPr="00E72405">
        <w:rPr>
          <w:rFonts w:ascii="Cambria" w:hAnsi="Cambria"/>
          <w:sz w:val="20"/>
          <w:szCs w:val="20"/>
        </w:rPr>
        <w:t xml:space="preserve"> In this regard, the Court has stated that a lack of effective remedies is a source of additional suffering and anguish for the relatives of the victims.</w:t>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consequences of violence and impunity may have a particularly detrimental effect on the relatives of the victims who are minors. In this regard, the Court observed in the case of the</w:t>
      </w:r>
      <w:r w:rsidRPr="00E72405">
        <w:rPr>
          <w:rFonts w:ascii="Cambria" w:hAnsi="Cambria"/>
          <w:i/>
          <w:sz w:val="20"/>
          <w:szCs w:val="20"/>
        </w:rPr>
        <w:t xml:space="preserve"> Las Dos </w:t>
      </w:r>
      <w:proofErr w:type="spellStart"/>
      <w:r w:rsidRPr="00E72405">
        <w:rPr>
          <w:rFonts w:ascii="Cambria" w:hAnsi="Cambria"/>
          <w:i/>
          <w:sz w:val="20"/>
          <w:szCs w:val="20"/>
        </w:rPr>
        <w:t>Erres</w:t>
      </w:r>
      <w:proofErr w:type="spellEnd"/>
      <w:r w:rsidRPr="00E72405">
        <w:rPr>
          <w:rFonts w:ascii="Cambria" w:hAnsi="Cambria"/>
          <w:i/>
          <w:sz w:val="20"/>
          <w:szCs w:val="20"/>
        </w:rPr>
        <w:t xml:space="preserve"> Massacre</w:t>
      </w:r>
      <w:r w:rsidRPr="00E72405">
        <w:rPr>
          <w:rFonts w:ascii="Cambria" w:hAnsi="Cambria"/>
          <w:sz w:val="20"/>
          <w:szCs w:val="20"/>
        </w:rPr>
        <w:t xml:space="preserve"> that the children relatives of the victims, “[</w:t>
      </w:r>
      <w:r w:rsidRPr="00E72405">
        <w:rPr>
          <w:rFonts w:ascii="Cambria" w:hAnsi="Cambria" w:cs="Verdana"/>
          <w:sz w:val="20"/>
          <w:szCs w:val="20"/>
        </w:rPr>
        <w:t>h]</w:t>
      </w:r>
      <w:proofErr w:type="spellStart"/>
      <w:r w:rsidRPr="00E72405">
        <w:rPr>
          <w:rFonts w:ascii="Cambria" w:hAnsi="Cambria" w:cs="Verdana"/>
          <w:sz w:val="20"/>
          <w:szCs w:val="20"/>
        </w:rPr>
        <w:t>ave</w:t>
      </w:r>
      <w:proofErr w:type="spellEnd"/>
      <w:r w:rsidRPr="00E72405">
        <w:rPr>
          <w:rFonts w:ascii="Cambria" w:hAnsi="Cambria" w:cs="Verdana"/>
          <w:sz w:val="20"/>
          <w:szCs w:val="20"/>
        </w:rPr>
        <w:t xml:space="preserve"> suffered infringements to their physical and psychological health, particularly from the prolonged lack of justice and impunity in the instant case, and that said experiences have affected their social […] relations, altered their family dynamics”.</w:t>
      </w:r>
      <w:r w:rsidRPr="00E72405">
        <w:rPr>
          <w:rStyle w:val="FootnoteReference"/>
          <w:rFonts w:ascii="Cambria" w:hAnsi="Cambria" w:cs="Verdana"/>
          <w:sz w:val="20"/>
          <w:szCs w:val="20"/>
        </w:rPr>
        <w:footnoteReference w:id="375"/>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Also, the Court has determined that it can presume a harm to the right to mental and moral integrity of direct family members of victims of certain violations of human rights by applying a presumption </w:t>
      </w:r>
      <w:proofErr w:type="spellStart"/>
      <w:r w:rsidRPr="00E72405">
        <w:rPr>
          <w:rFonts w:ascii="Cambria" w:hAnsi="Cambria"/>
          <w:i/>
          <w:sz w:val="20"/>
          <w:szCs w:val="20"/>
        </w:rPr>
        <w:t>iuris</w:t>
      </w:r>
      <w:proofErr w:type="spellEnd"/>
      <w:r w:rsidRPr="00E72405">
        <w:rPr>
          <w:rFonts w:ascii="Cambria" w:hAnsi="Cambria"/>
          <w:i/>
          <w:sz w:val="20"/>
          <w:szCs w:val="20"/>
        </w:rPr>
        <w:t xml:space="preserve"> </w:t>
      </w:r>
      <w:proofErr w:type="spellStart"/>
      <w:r w:rsidRPr="00E72405">
        <w:rPr>
          <w:rFonts w:ascii="Cambria" w:hAnsi="Cambria"/>
          <w:i/>
          <w:sz w:val="20"/>
          <w:szCs w:val="20"/>
        </w:rPr>
        <w:t>tantum</w:t>
      </w:r>
      <w:proofErr w:type="spellEnd"/>
      <w:r w:rsidRPr="00E72405">
        <w:rPr>
          <w:rFonts w:ascii="Cambria" w:hAnsi="Cambria"/>
          <w:sz w:val="20"/>
          <w:szCs w:val="20"/>
        </w:rPr>
        <w:t xml:space="preserve"> regarding mothers and fathers, daughters and sons, husbands and wives, and permanent companions, when and if they correspond to the specific circumstances of the case. In the case of said direct family members, it corresponds to the State to disprove said presumption.</w:t>
      </w:r>
      <w:r w:rsidRPr="00E72405">
        <w:rPr>
          <w:rStyle w:val="FootnoteReference"/>
          <w:rFonts w:ascii="Cambria" w:hAnsi="Cambria"/>
          <w:sz w:val="20"/>
          <w:szCs w:val="20"/>
        </w:rPr>
        <w:footnoteReference w:id="376"/>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481A9C">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The Commission notes that, as has been discussed, the State is responsible for the arbitrary detention, torture and murder of the journalist, for the dissemination of false information about the circumstances of his death and for failing to investigate with due diligence this crime, set in systematic patterns of human rights violations. These facts have seriously affected the mental and moral integrity of the relatives identified of the instant case.</w:t>
      </w:r>
      <w:r w:rsidRPr="00E72405">
        <w:rPr>
          <w:rFonts w:ascii="Cambria" w:hAnsi="Cambria"/>
          <w:bCs/>
          <w:sz w:val="20"/>
          <w:szCs w:val="20"/>
        </w:rPr>
        <w:t xml:space="preserve"> </w:t>
      </w:r>
    </w:p>
    <w:p w:rsidR="00481A9C" w:rsidRPr="00E72405" w:rsidRDefault="00481A9C" w:rsidP="00481A9C">
      <w:pPr>
        <w:spacing w:after="0" w:line="240" w:lineRule="auto"/>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Style w:val="Emphasis"/>
          <w:rFonts w:ascii="Cambria" w:hAnsi="Cambria"/>
          <w:b/>
          <w:bCs/>
          <w:i w:val="0"/>
          <w:sz w:val="20"/>
          <w:szCs w:val="20"/>
        </w:rPr>
      </w:pPr>
      <w:r w:rsidRPr="00E72405">
        <w:rPr>
          <w:rFonts w:ascii="Cambria" w:hAnsi="Cambria"/>
          <w:sz w:val="20"/>
          <w:szCs w:val="20"/>
        </w:rPr>
        <w:lastRenderedPageBreak/>
        <w:t>Indeed, in accordance with the allegations of the petitioners, and not contested by the State, Clarice Herzog "experienced severe feelings of anguish, fear and apprehension", from the time her husband, Vladimir Herzog, was informed that he would be arrested to this date. According to Clarice Herzog's statement in the Military Police investigation of 1975, when she received the news of his death, "in a nervous breakdown, and shouting" she said "her husband had been murdered."</w:t>
      </w:r>
      <w:r w:rsidRPr="00E72405">
        <w:rPr>
          <w:rStyle w:val="FootnoteReference"/>
          <w:rFonts w:ascii="Cambria" w:hAnsi="Cambria"/>
          <w:i/>
          <w:sz w:val="20"/>
          <w:szCs w:val="20"/>
        </w:rPr>
        <w:footnoteReference w:id="377"/>
      </w:r>
      <w:r w:rsidRPr="00E72405">
        <w:rPr>
          <w:rStyle w:val="Emphasis"/>
          <w:rFonts w:ascii="Cambria" w:hAnsi="Cambria"/>
          <w:i w:val="0"/>
          <w:sz w:val="20"/>
          <w:szCs w:val="20"/>
        </w:rPr>
        <w:t xml:space="preserve"> Also, Clarice declared that:</w:t>
      </w:r>
    </w:p>
    <w:p w:rsidR="00DE0BC3" w:rsidRPr="00E72405" w:rsidRDefault="00DE0BC3" w:rsidP="00DE0BC3">
      <w:pPr>
        <w:pStyle w:val="ListParagraph"/>
        <w:rPr>
          <w:rStyle w:val="Emphasis"/>
          <w:b/>
          <w:bCs/>
          <w:sz w:val="20"/>
          <w:szCs w:val="20"/>
        </w:rPr>
      </w:pPr>
    </w:p>
    <w:p w:rsidR="00DE0BC3" w:rsidRPr="00E72405" w:rsidRDefault="00DE0BC3" w:rsidP="00B64BF5">
      <w:pPr>
        <w:ind w:left="720" w:right="720"/>
        <w:jc w:val="both"/>
        <w:rPr>
          <w:rFonts w:ascii="Cambria" w:hAnsi="Cambria"/>
          <w:b/>
          <w:bCs/>
          <w:i/>
          <w:iCs/>
          <w:sz w:val="18"/>
          <w:szCs w:val="18"/>
        </w:rPr>
      </w:pPr>
      <w:r w:rsidRPr="00E72405">
        <w:rPr>
          <w:rStyle w:val="Emphasis"/>
          <w:rFonts w:ascii="Cambria" w:hAnsi="Cambria"/>
          <w:i w:val="0"/>
          <w:sz w:val="18"/>
          <w:szCs w:val="18"/>
        </w:rPr>
        <w:t>[Of] course all that happened was a nightmare, as the death of [Vladimir] reflected in all aspects of life, especially the emotional and family, because at the time (...) their children were only nine and seven, apart from the financial aspect; from one moment to the other the respondent and her children were deprived of the economic protection [Vladimir] provided.</w:t>
      </w:r>
      <w:r w:rsidRPr="00E72405">
        <w:rPr>
          <w:rStyle w:val="FootnoteReference"/>
          <w:rFonts w:ascii="Cambria" w:hAnsi="Cambria"/>
          <w:sz w:val="18"/>
          <w:szCs w:val="18"/>
        </w:rPr>
        <w:footnoteReference w:id="378"/>
      </w:r>
    </w:p>
    <w:p w:rsidR="00DE0BC3" w:rsidRPr="00E72405" w:rsidRDefault="00DE0BC3" w:rsidP="00B64BF5">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Particularly serious is the impact on the mental and moral integrity of the journalist's relatives, following the dissemination of the false account of his death and the pressure and surveillance by the military authorities during the burial rituals. Serious impairment of this right is evident in the cases of Ivo and André Herzog, the journalist’s sons,</w:t>
      </w:r>
      <w:r w:rsidR="00343DD3" w:rsidRPr="00E72405">
        <w:rPr>
          <w:rFonts w:ascii="Cambria" w:hAnsi="Cambria"/>
          <w:sz w:val="20"/>
          <w:szCs w:val="20"/>
        </w:rPr>
        <w:t xml:space="preserve"> who at the material time were 9 and 7</w:t>
      </w:r>
      <w:r w:rsidRPr="00E72405">
        <w:rPr>
          <w:rFonts w:ascii="Cambria" w:hAnsi="Cambria"/>
          <w:sz w:val="20"/>
          <w:szCs w:val="20"/>
        </w:rPr>
        <w:t xml:space="preserve"> years old, respectively. Also, the relatives of Vladimir Herzog played a significant role in the search for justice and truth, so it is evident that the continuing impunity 40 years after the events occurred causes them profound suffering and anguish.</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DE0BC3">
      <w:pPr>
        <w:numPr>
          <w:ilvl w:val="0"/>
          <w:numId w:val="6"/>
        </w:numPr>
        <w:spacing w:after="0" w:line="240" w:lineRule="auto"/>
        <w:ind w:left="0" w:firstLine="720"/>
        <w:jc w:val="both"/>
        <w:rPr>
          <w:rFonts w:ascii="Cambria" w:hAnsi="Cambria"/>
          <w:sz w:val="20"/>
          <w:szCs w:val="20"/>
        </w:rPr>
      </w:pPr>
      <w:r w:rsidRPr="00E72405">
        <w:rPr>
          <w:rFonts w:ascii="Cambria" w:hAnsi="Cambria"/>
          <w:sz w:val="20"/>
          <w:szCs w:val="20"/>
        </w:rPr>
        <w:t xml:space="preserve">Consequently, while it appreciates the initiatives undertaken by the State to compensate Vladimir Herzog's next of kin and to clarify the truth about what happened, the Court concludes that the State violated the right to mental and moral integrity enshrined in Article I of the American Declaration and Article 5.1 of the American Convention in relation to the obligations under Article 1.1 of the same, to the detriment of Zora Herzog (who died on November 18, 2006); Clarice, André and Ivo Herzog; and Article VII of the American Declaration, to the detriment of Ivo and André Herzog. </w:t>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563B60">
      <w:pPr>
        <w:pStyle w:val="Heading1"/>
        <w:rPr>
          <w:rFonts w:cs="Arial"/>
          <w:bCs/>
          <w:bdr w:val="none" w:sz="0" w:space="0" w:color="auto" w:frame="1"/>
        </w:rPr>
      </w:pPr>
      <w:bookmarkStart w:id="33" w:name="_Toc431566933"/>
      <w:bookmarkStart w:id="34" w:name="_Toc431474327"/>
      <w:bookmarkStart w:id="35" w:name="_Toc423514429"/>
      <w:bookmarkStart w:id="36" w:name="_Toc374694266"/>
      <w:bookmarkStart w:id="37" w:name="_Toc370830584"/>
      <w:bookmarkStart w:id="38" w:name="_Toc433359818"/>
      <w:r w:rsidRPr="00E72405">
        <w:rPr>
          <w:bdr w:val="none" w:sz="0" w:space="0" w:color="auto" w:frame="1"/>
        </w:rPr>
        <w:t>CONCLUSIONS</w:t>
      </w:r>
      <w:bookmarkEnd w:id="33"/>
      <w:bookmarkEnd w:id="34"/>
      <w:bookmarkEnd w:id="35"/>
      <w:bookmarkEnd w:id="36"/>
      <w:bookmarkEnd w:id="37"/>
      <w:bookmarkEnd w:id="38"/>
    </w:p>
    <w:p w:rsidR="00B64BF5" w:rsidRPr="00E72405" w:rsidRDefault="00B64BF5" w:rsidP="00B64BF5">
      <w:pPr>
        <w:keepNext/>
        <w:spacing w:after="0" w:line="240" w:lineRule="auto"/>
        <w:ind w:left="1440"/>
        <w:outlineLvl w:val="0"/>
        <w:rPr>
          <w:rFonts w:ascii="Cambria" w:eastAsia="Times New Roman" w:hAnsi="Cambria" w:cs="Arial"/>
          <w:bCs/>
          <w:sz w:val="20"/>
          <w:szCs w:val="20"/>
          <w:bdr w:val="none" w:sz="0" w:space="0" w:color="auto" w:frame="1"/>
        </w:rPr>
      </w:pPr>
    </w:p>
    <w:p w:rsidR="00DE0BC3" w:rsidRPr="00E72405" w:rsidRDefault="00DE0BC3" w:rsidP="00B64BF5">
      <w:pPr>
        <w:numPr>
          <w:ilvl w:val="0"/>
          <w:numId w:val="6"/>
        </w:numPr>
        <w:spacing w:after="0" w:line="240" w:lineRule="auto"/>
        <w:ind w:left="0" w:firstLine="720"/>
        <w:jc w:val="both"/>
        <w:rPr>
          <w:rFonts w:ascii="Cambria" w:hAnsi="Cambria" w:cs="Verdana"/>
          <w:sz w:val="20"/>
          <w:szCs w:val="20"/>
        </w:rPr>
      </w:pPr>
      <w:r w:rsidRPr="00E72405">
        <w:rPr>
          <w:rFonts w:ascii="Cambria" w:hAnsi="Cambria" w:cs="Verdana"/>
          <w:sz w:val="20"/>
          <w:szCs w:val="20"/>
        </w:rPr>
        <w:t>Based on the considerations of fact and law contained in this report, the Commission concludes that the Brazilian State is responsible for the violation of the rights enshrined in Articles I, IV, VII, XVIII, XXII and XXV of the American Declaration and the rights enshrined in Articles 5.1, 8.1 and 25.1 of the American Convention, together with Articles 1.1 and 2 thereof.</w:t>
      </w:r>
      <w:r w:rsidRPr="00E72405">
        <w:rPr>
          <w:rFonts w:ascii="Cambria" w:hAnsi="Cambria"/>
          <w:sz w:val="20"/>
          <w:szCs w:val="20"/>
        </w:rPr>
        <w:t xml:space="preserve"> </w:t>
      </w:r>
      <w:r w:rsidRPr="00E72405">
        <w:rPr>
          <w:rFonts w:ascii="Cambria" w:hAnsi="Cambria" w:cs="Verdana"/>
          <w:sz w:val="20"/>
          <w:szCs w:val="20"/>
        </w:rPr>
        <w:t>It also concludes that the State is responsible for violation of Articles 1, 6 and 8 of the Inter-American Convention to Prevent and Punish Torture</w:t>
      </w:r>
      <w:r w:rsidRPr="00E72405">
        <w:rPr>
          <w:rFonts w:ascii="Cambria" w:hAnsi="Cambria"/>
          <w:sz w:val="20"/>
          <w:szCs w:val="20"/>
        </w:rPr>
        <w:t xml:space="preserve">. </w:t>
      </w:r>
    </w:p>
    <w:p w:rsidR="00B64BF5" w:rsidRPr="00E72405" w:rsidRDefault="00B64BF5" w:rsidP="00B64BF5">
      <w:pPr>
        <w:spacing w:after="0" w:line="240" w:lineRule="auto"/>
        <w:jc w:val="both"/>
        <w:rPr>
          <w:rFonts w:ascii="Cambria" w:hAnsi="Cambria" w:cs="Verdana"/>
          <w:sz w:val="20"/>
          <w:szCs w:val="20"/>
        </w:rPr>
      </w:pPr>
    </w:p>
    <w:p w:rsidR="00DE0BC3" w:rsidRPr="00E72405" w:rsidRDefault="00DE0BC3" w:rsidP="00563B60">
      <w:pPr>
        <w:pStyle w:val="Heading1"/>
        <w:rPr>
          <w:bdr w:val="none" w:sz="0" w:space="0" w:color="auto" w:frame="1"/>
        </w:rPr>
      </w:pPr>
      <w:bookmarkStart w:id="39" w:name="_Toc431566934"/>
      <w:bookmarkStart w:id="40" w:name="_Toc431474328"/>
      <w:bookmarkStart w:id="41" w:name="_Toc423514430"/>
      <w:bookmarkStart w:id="42" w:name="_Toc418254642"/>
      <w:bookmarkStart w:id="43" w:name="_Toc395298796"/>
      <w:bookmarkStart w:id="44" w:name="_Toc433359819"/>
      <w:r w:rsidRPr="00E72405">
        <w:rPr>
          <w:bdr w:val="none" w:sz="0" w:space="0" w:color="auto" w:frame="1"/>
        </w:rPr>
        <w:t>RECOMMENDATIONS</w:t>
      </w:r>
      <w:bookmarkEnd w:id="39"/>
      <w:bookmarkEnd w:id="40"/>
      <w:bookmarkEnd w:id="41"/>
      <w:bookmarkEnd w:id="42"/>
      <w:bookmarkEnd w:id="43"/>
      <w:bookmarkEnd w:id="44"/>
    </w:p>
    <w:p w:rsidR="00B64BF5" w:rsidRPr="00E72405" w:rsidRDefault="00B64BF5" w:rsidP="00B64BF5">
      <w:pPr>
        <w:keepNext/>
        <w:spacing w:after="0" w:line="240" w:lineRule="auto"/>
        <w:ind w:left="1440"/>
        <w:outlineLvl w:val="0"/>
        <w:rPr>
          <w:rFonts w:ascii="Cambria" w:eastAsia="Times New Roman" w:hAnsi="Cambria"/>
          <w:b/>
          <w:sz w:val="20"/>
          <w:szCs w:val="20"/>
          <w:bdr w:val="none" w:sz="0" w:space="0" w:color="auto" w:frame="1"/>
        </w:rPr>
      </w:pPr>
    </w:p>
    <w:p w:rsidR="00DE0BC3" w:rsidRPr="00E72405" w:rsidRDefault="00DE0BC3" w:rsidP="00B64BF5">
      <w:pPr>
        <w:numPr>
          <w:ilvl w:val="0"/>
          <w:numId w:val="6"/>
        </w:numPr>
        <w:tabs>
          <w:tab w:val="num" w:pos="0"/>
        </w:tabs>
        <w:spacing w:after="0" w:line="240" w:lineRule="auto"/>
        <w:ind w:left="0" w:firstLine="720"/>
        <w:jc w:val="both"/>
        <w:rPr>
          <w:rFonts w:ascii="Cambria" w:hAnsi="Cambria" w:cs="Verdana"/>
          <w:sz w:val="20"/>
          <w:szCs w:val="20"/>
        </w:rPr>
      </w:pPr>
      <w:r w:rsidRPr="00E72405">
        <w:rPr>
          <w:rFonts w:ascii="Cambria" w:eastAsia="Times New Roman" w:hAnsi="Cambria"/>
          <w:sz w:val="20"/>
          <w:szCs w:val="20"/>
        </w:rPr>
        <w:t>Based on foregoing conclusions of this report,</w:t>
      </w:r>
    </w:p>
    <w:p w:rsidR="00B64BF5" w:rsidRPr="00E72405" w:rsidRDefault="00B64BF5" w:rsidP="00B64BF5">
      <w:pPr>
        <w:spacing w:after="0" w:line="240" w:lineRule="auto"/>
        <w:ind w:left="720"/>
        <w:jc w:val="both"/>
        <w:rPr>
          <w:rFonts w:ascii="Cambria" w:hAnsi="Cambria" w:cs="Verdana"/>
          <w:sz w:val="20"/>
          <w:szCs w:val="20"/>
        </w:rPr>
      </w:pPr>
    </w:p>
    <w:p w:rsidR="00DE0BC3" w:rsidRPr="00E72405" w:rsidRDefault="00DE0BC3" w:rsidP="00E521FD">
      <w:pPr>
        <w:jc w:val="both"/>
        <w:rPr>
          <w:rFonts w:ascii="Cambria" w:hAnsi="Cambria"/>
          <w:b/>
          <w:sz w:val="20"/>
          <w:szCs w:val="20"/>
        </w:rPr>
      </w:pPr>
      <w:r w:rsidRPr="00E72405">
        <w:rPr>
          <w:rFonts w:ascii="Cambria" w:hAnsi="Cambria"/>
          <w:b/>
          <w:sz w:val="20"/>
          <w:szCs w:val="20"/>
        </w:rPr>
        <w:tab/>
        <w:t>THE INTER-AMERICAN COMMISSION ON HUMAN RIGHTS RECOMMENDS THE STATE OF BRAZIL,</w:t>
      </w:r>
    </w:p>
    <w:p w:rsidR="00DE0BC3" w:rsidRPr="00E72405" w:rsidRDefault="00DE0BC3" w:rsidP="00B64BF5">
      <w:pPr>
        <w:numPr>
          <w:ilvl w:val="0"/>
          <w:numId w:val="32"/>
        </w:numPr>
        <w:spacing w:after="0" w:line="240" w:lineRule="auto"/>
        <w:jc w:val="both"/>
        <w:rPr>
          <w:rFonts w:ascii="Cambria" w:hAnsi="Cambria"/>
          <w:sz w:val="20"/>
          <w:szCs w:val="20"/>
        </w:rPr>
      </w:pPr>
      <w:r w:rsidRPr="00E72405">
        <w:rPr>
          <w:rFonts w:ascii="Cambria" w:hAnsi="Cambria" w:cs="Univers"/>
          <w:color w:val="000000"/>
          <w:sz w:val="20"/>
          <w:szCs w:val="20"/>
          <w:lang w:eastAsia="zh-CN"/>
        </w:rPr>
        <w:t xml:space="preserve">To determine, through the ordinary courts, the criminal responsibility for the arbitrary detention, torture and murder of Vladimir Herzog, with a thorough and impartial judicial investigation of the facts in accordance with due legal process, in order to identify those responsible for such violations and punish them criminally; and to publish the results of that investigation. Pursuant to this recommendation, the State shall take into account that these crimes against humanity are not subject to amnesties or statutes of limitations. </w:t>
      </w:r>
    </w:p>
    <w:p w:rsidR="00B64BF5" w:rsidRPr="00E72405" w:rsidRDefault="00B64BF5" w:rsidP="00B64BF5">
      <w:pPr>
        <w:spacing w:after="0" w:line="240" w:lineRule="auto"/>
        <w:ind w:left="720"/>
        <w:jc w:val="both"/>
        <w:rPr>
          <w:rFonts w:ascii="Cambria" w:hAnsi="Cambria"/>
          <w:sz w:val="20"/>
          <w:szCs w:val="20"/>
        </w:rPr>
      </w:pPr>
    </w:p>
    <w:p w:rsidR="00DE0BC3" w:rsidRPr="00E72405" w:rsidRDefault="00DE0BC3" w:rsidP="00B64BF5">
      <w:pPr>
        <w:numPr>
          <w:ilvl w:val="0"/>
          <w:numId w:val="32"/>
        </w:numPr>
        <w:spacing w:after="0" w:line="240" w:lineRule="auto"/>
        <w:jc w:val="both"/>
        <w:rPr>
          <w:rFonts w:ascii="Cambria" w:hAnsi="Cambria"/>
          <w:sz w:val="20"/>
          <w:szCs w:val="20"/>
        </w:rPr>
      </w:pPr>
      <w:r w:rsidRPr="00E72405">
        <w:rPr>
          <w:rFonts w:ascii="Cambria" w:hAnsi="Cambria" w:cs="Univers"/>
          <w:color w:val="000000"/>
          <w:sz w:val="20"/>
          <w:szCs w:val="20"/>
          <w:lang w:eastAsia="zh-CN"/>
        </w:rPr>
        <w:t xml:space="preserve">Take all necessary measures to ensure that Law No. 6.683/79 (Amnesty Law), as well as other criminal law arrangements, such as statutes of limitations, </w:t>
      </w:r>
      <w:r w:rsidRPr="00E72405">
        <w:rPr>
          <w:rFonts w:ascii="Cambria" w:hAnsi="Cambria" w:cs="Univers"/>
          <w:i/>
          <w:color w:val="000000"/>
          <w:sz w:val="20"/>
          <w:szCs w:val="20"/>
          <w:lang w:eastAsia="zh-CN"/>
        </w:rPr>
        <w:t>res judicata</w:t>
      </w:r>
      <w:r w:rsidRPr="00E72405">
        <w:rPr>
          <w:rFonts w:ascii="Cambria" w:hAnsi="Cambria" w:cs="Univers"/>
          <w:color w:val="000000"/>
          <w:sz w:val="20"/>
          <w:szCs w:val="20"/>
          <w:lang w:eastAsia="zh-CN"/>
        </w:rPr>
        <w:t>, the principles of non-</w:t>
      </w:r>
      <w:r w:rsidRPr="00E72405">
        <w:rPr>
          <w:rFonts w:ascii="Cambria" w:hAnsi="Cambria" w:cs="Univers"/>
          <w:color w:val="000000"/>
          <w:sz w:val="20"/>
          <w:szCs w:val="20"/>
          <w:lang w:eastAsia="zh-CN"/>
        </w:rPr>
        <w:lastRenderedPageBreak/>
        <w:t xml:space="preserve">retroactivity and </w:t>
      </w:r>
      <w:r w:rsidRPr="00E72405">
        <w:rPr>
          <w:rFonts w:ascii="Cambria" w:hAnsi="Cambria" w:cs="Univers"/>
          <w:i/>
          <w:color w:val="000000"/>
          <w:sz w:val="20"/>
          <w:szCs w:val="20"/>
          <w:lang w:eastAsia="zh-CN"/>
        </w:rPr>
        <w:t xml:space="preserve">ne </w:t>
      </w:r>
      <w:proofErr w:type="spellStart"/>
      <w:r w:rsidRPr="00E72405">
        <w:rPr>
          <w:rFonts w:ascii="Cambria" w:hAnsi="Cambria" w:cs="Univers"/>
          <w:i/>
          <w:color w:val="000000"/>
          <w:sz w:val="20"/>
          <w:szCs w:val="20"/>
          <w:lang w:eastAsia="zh-CN"/>
        </w:rPr>
        <w:t>bis</w:t>
      </w:r>
      <w:proofErr w:type="spellEnd"/>
      <w:r w:rsidRPr="00E72405">
        <w:rPr>
          <w:rFonts w:ascii="Cambria" w:hAnsi="Cambria" w:cs="Univers"/>
          <w:i/>
          <w:color w:val="000000"/>
          <w:sz w:val="20"/>
          <w:szCs w:val="20"/>
          <w:lang w:eastAsia="zh-CN"/>
        </w:rPr>
        <w:t xml:space="preserve"> in idem</w:t>
      </w:r>
      <w:r w:rsidRPr="00E72405">
        <w:rPr>
          <w:rFonts w:ascii="Cambria" w:hAnsi="Cambria" w:cs="Univers"/>
          <w:color w:val="000000"/>
          <w:sz w:val="20"/>
          <w:szCs w:val="20"/>
          <w:lang w:eastAsia="zh-CN"/>
        </w:rPr>
        <w:t xml:space="preserve">, do not continue to represent an obstacle for the criminal prosecution of serious human rights violations, as such of the instant case. </w:t>
      </w:r>
    </w:p>
    <w:p w:rsidR="00B64BF5" w:rsidRPr="00E72405" w:rsidRDefault="00B64BF5" w:rsidP="00B64BF5">
      <w:pPr>
        <w:spacing w:after="0" w:line="240" w:lineRule="auto"/>
        <w:jc w:val="both"/>
        <w:rPr>
          <w:rFonts w:ascii="Cambria" w:hAnsi="Cambria"/>
          <w:sz w:val="20"/>
          <w:szCs w:val="20"/>
        </w:rPr>
      </w:pPr>
    </w:p>
    <w:p w:rsidR="00DE0BC3" w:rsidRPr="00E72405" w:rsidRDefault="00DE0BC3" w:rsidP="00B64BF5">
      <w:pPr>
        <w:numPr>
          <w:ilvl w:val="0"/>
          <w:numId w:val="32"/>
        </w:numPr>
        <w:autoSpaceDE w:val="0"/>
        <w:autoSpaceDN w:val="0"/>
        <w:adjustRightInd w:val="0"/>
        <w:spacing w:after="0" w:line="240" w:lineRule="auto"/>
        <w:jc w:val="both"/>
        <w:rPr>
          <w:rFonts w:ascii="Cambria" w:hAnsi="Cambria" w:cs="Univers"/>
          <w:color w:val="000000"/>
          <w:sz w:val="20"/>
          <w:szCs w:val="20"/>
          <w:lang w:eastAsia="zh-CN"/>
        </w:rPr>
      </w:pPr>
      <w:r w:rsidRPr="00E72405">
        <w:rPr>
          <w:rFonts w:ascii="Cambria" w:hAnsi="Cambria" w:cs="Univers"/>
          <w:color w:val="000000"/>
          <w:sz w:val="20"/>
          <w:szCs w:val="20"/>
          <w:lang w:eastAsia="zh-CN"/>
        </w:rPr>
        <w:t xml:space="preserve">Grant reparation to the next of kin of Vladimir Herzog, including physical and psychological treatment, as well as holding events of symbolic importance that guarantee the non-repetition of the crimes committed in the instant case and the recognition of State responsibility for the arbitrary detention, torture and murder of Vladimir Herzog and the suffering of his relatives. </w:t>
      </w:r>
    </w:p>
    <w:p w:rsidR="00B64BF5" w:rsidRPr="00E72405" w:rsidRDefault="00B64BF5" w:rsidP="00B64BF5">
      <w:pPr>
        <w:autoSpaceDE w:val="0"/>
        <w:autoSpaceDN w:val="0"/>
        <w:adjustRightInd w:val="0"/>
        <w:spacing w:after="0" w:line="240" w:lineRule="auto"/>
        <w:jc w:val="both"/>
        <w:rPr>
          <w:rFonts w:ascii="Cambria" w:hAnsi="Cambria" w:cs="Univers"/>
          <w:color w:val="000000"/>
          <w:sz w:val="20"/>
          <w:szCs w:val="20"/>
          <w:lang w:eastAsia="zh-CN"/>
        </w:rPr>
      </w:pPr>
    </w:p>
    <w:p w:rsidR="00DE0BC3" w:rsidRPr="00E72405" w:rsidRDefault="00DE0BC3" w:rsidP="00DE0BC3">
      <w:pPr>
        <w:numPr>
          <w:ilvl w:val="0"/>
          <w:numId w:val="32"/>
        </w:numPr>
        <w:spacing w:after="0" w:line="240" w:lineRule="auto"/>
        <w:jc w:val="both"/>
        <w:rPr>
          <w:rFonts w:ascii="Cambria" w:hAnsi="Cambria"/>
          <w:sz w:val="20"/>
          <w:szCs w:val="20"/>
        </w:rPr>
      </w:pPr>
      <w:r w:rsidRPr="00E72405">
        <w:rPr>
          <w:rFonts w:ascii="Cambria" w:hAnsi="Cambria"/>
          <w:sz w:val="20"/>
          <w:szCs w:val="20"/>
        </w:rPr>
        <w:t>Grant adequate reparation for human rights violations stated in this report, both materially and morally.</w:t>
      </w:r>
    </w:p>
    <w:p w:rsidR="00DE0BC3" w:rsidRPr="0069594C" w:rsidRDefault="00DE0BC3" w:rsidP="00DE0BC3">
      <w:pPr>
        <w:pStyle w:val="ListParagraph"/>
        <w:rPr>
          <w:sz w:val="20"/>
          <w:szCs w:val="20"/>
        </w:rPr>
      </w:pPr>
    </w:p>
    <w:p w:rsidR="00DE0BC3" w:rsidRPr="0069594C" w:rsidRDefault="00DE0BC3" w:rsidP="00DE0BC3">
      <w:pPr>
        <w:tabs>
          <w:tab w:val="center" w:pos="5400"/>
        </w:tabs>
        <w:suppressAutoHyphens/>
        <w:rPr>
          <w:rFonts w:ascii="Cambria" w:hAnsi="Cambria"/>
          <w:sz w:val="20"/>
          <w:szCs w:val="20"/>
        </w:rPr>
      </w:pPr>
    </w:p>
    <w:p w:rsidR="00DE0BC3" w:rsidRPr="0069594C" w:rsidRDefault="00DE0BC3" w:rsidP="00DE0BC3">
      <w:pPr>
        <w:rPr>
          <w:rFonts w:ascii="Cambria" w:hAnsi="Cambria"/>
          <w:sz w:val="20"/>
          <w:szCs w:val="20"/>
        </w:rPr>
      </w:pPr>
    </w:p>
    <w:p w:rsidR="00DE0BC3" w:rsidRPr="0069594C" w:rsidRDefault="00DE0BC3" w:rsidP="00DE0BC3"/>
    <w:p w:rsidR="009E7A14" w:rsidRDefault="009E7A14"/>
    <w:sectPr w:rsidR="009E7A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3E" w:rsidRDefault="002A0E3E" w:rsidP="0076253B">
      <w:pPr>
        <w:spacing w:after="0" w:line="240" w:lineRule="auto"/>
      </w:pPr>
      <w:r>
        <w:separator/>
      </w:r>
    </w:p>
  </w:endnote>
  <w:endnote w:type="continuationSeparator" w:id="0">
    <w:p w:rsidR="002A0E3E" w:rsidRDefault="002A0E3E" w:rsidP="0076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GaramondPro-Bold-SC700">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GaramondPro-Italic-SC700">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gfaRotisSansSerif">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06" w:rsidRPr="006311DA" w:rsidRDefault="00D5380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367BD">
      <w:rPr>
        <w:noProof/>
        <w:sz w:val="16"/>
      </w:rPr>
      <w:t>1</w:t>
    </w:r>
    <w:r w:rsidRPr="006311DA">
      <w:rPr>
        <w:noProof/>
        <w:sz w:val="16"/>
      </w:rPr>
      <w:fldChar w:fldCharType="end"/>
    </w:r>
  </w:p>
  <w:p w:rsidR="00D53806" w:rsidRDefault="00D53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06" w:rsidRDefault="00D53806">
    <w:pPr>
      <w:pStyle w:val="Footer"/>
      <w:jc w:val="center"/>
    </w:pPr>
  </w:p>
  <w:p w:rsidR="00D53806" w:rsidRDefault="00D53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3E" w:rsidRDefault="002A0E3E" w:rsidP="0076253B">
      <w:pPr>
        <w:spacing w:after="0" w:line="240" w:lineRule="auto"/>
      </w:pPr>
      <w:r>
        <w:separator/>
      </w:r>
    </w:p>
  </w:footnote>
  <w:footnote w:type="continuationSeparator" w:id="0">
    <w:p w:rsidR="002A0E3E" w:rsidRDefault="002A0E3E" w:rsidP="0076253B">
      <w:pPr>
        <w:spacing w:after="0" w:line="240" w:lineRule="auto"/>
      </w:pPr>
      <w:r>
        <w:continuationSeparator/>
      </w:r>
    </w:p>
  </w:footnote>
  <w:footnote w:id="1">
    <w:p w:rsidR="00D53806" w:rsidRPr="00B64BF5" w:rsidRDefault="00D53806" w:rsidP="00B64BF5">
      <w:pPr>
        <w:spacing w:after="0" w:line="240" w:lineRule="auto"/>
        <w:ind w:firstLine="720"/>
        <w:jc w:val="both"/>
        <w:rPr>
          <w:rFonts w:ascii="Cambria" w:eastAsia="Times New Roman" w:hAnsi="Cambria"/>
          <w:sz w:val="16"/>
          <w:szCs w:val="16"/>
          <w:lang w:val="en-AU"/>
        </w:rPr>
      </w:pPr>
      <w:r w:rsidRPr="00B64BF5">
        <w:rPr>
          <w:rStyle w:val="FootnoteReference"/>
          <w:rFonts w:ascii="Cambria" w:hAnsi="Cambria" w:cs="Arial"/>
          <w:sz w:val="16"/>
          <w:szCs w:val="16"/>
          <w:lang w:val="en-AU"/>
        </w:rPr>
        <w:footnoteRef/>
      </w:r>
      <w:r w:rsidRPr="00B64BF5">
        <w:rPr>
          <w:rFonts w:ascii="Cambria" w:hAnsi="Cambria" w:cs="Arial"/>
          <w:sz w:val="16"/>
          <w:szCs w:val="16"/>
          <w:lang w:val="en-AU"/>
        </w:rPr>
        <w:t xml:space="preserve"> Commissioner Paulo </w:t>
      </w:r>
      <w:proofErr w:type="spellStart"/>
      <w:r w:rsidRPr="00B64BF5">
        <w:rPr>
          <w:rFonts w:ascii="Cambria" w:hAnsi="Cambria" w:cs="Arial"/>
          <w:sz w:val="16"/>
          <w:szCs w:val="16"/>
          <w:lang w:val="en-AU"/>
        </w:rPr>
        <w:t>Vannuchi</w:t>
      </w:r>
      <w:proofErr w:type="spellEnd"/>
      <w:r w:rsidRPr="00B64BF5">
        <w:rPr>
          <w:rFonts w:ascii="Cambria" w:hAnsi="Cambria" w:cs="Arial"/>
          <w:sz w:val="16"/>
          <w:szCs w:val="16"/>
          <w:lang w:val="en-AU"/>
        </w:rPr>
        <w:t>, a Brazilian national, did not participate in the deliberation or decision of this case, as provided in Article 17.2.</w:t>
      </w:r>
      <w:proofErr w:type="spellStart"/>
      <w:r w:rsidRPr="00B64BF5">
        <w:rPr>
          <w:rFonts w:ascii="Cambria" w:hAnsi="Cambria" w:cs="Arial"/>
          <w:sz w:val="16"/>
          <w:szCs w:val="16"/>
          <w:lang w:val="en-AU"/>
        </w:rPr>
        <w:t>a</w:t>
      </w:r>
      <w:proofErr w:type="spellEnd"/>
      <w:r w:rsidRPr="00B64BF5">
        <w:rPr>
          <w:rFonts w:ascii="Cambria" w:hAnsi="Cambria" w:cs="Arial"/>
          <w:sz w:val="16"/>
          <w:szCs w:val="16"/>
          <w:lang w:val="en-AU"/>
        </w:rPr>
        <w:t xml:space="preserve"> of the Commission’s Rules of Procedure.</w:t>
      </w:r>
    </w:p>
    <w:p w:rsidR="00D53806" w:rsidRPr="00B64BF5" w:rsidRDefault="00D53806" w:rsidP="00B64BF5">
      <w:pPr>
        <w:pStyle w:val="FootnoteText"/>
        <w:ind w:firstLine="720"/>
        <w:jc w:val="both"/>
        <w:rPr>
          <w:rFonts w:ascii="Cambria" w:hAnsi="Cambria" w:cs="Arial"/>
          <w:color w:val="auto"/>
          <w:sz w:val="16"/>
          <w:szCs w:val="16"/>
          <w:lang w:val="en-AU"/>
        </w:rPr>
      </w:pPr>
    </w:p>
  </w:footnote>
  <w:footnote w:id="2">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r w:rsidRPr="00B64BF5">
        <w:rPr>
          <w:rFonts w:ascii="Cambria" w:hAnsi="Cambria" w:cs="Arial"/>
          <w:sz w:val="16"/>
          <w:szCs w:val="16"/>
          <w:lang w:val="en-AU"/>
        </w:rPr>
        <w:t xml:space="preserve">Commissioner Paulo </w:t>
      </w:r>
      <w:proofErr w:type="spellStart"/>
      <w:r w:rsidRPr="00B64BF5">
        <w:rPr>
          <w:rFonts w:ascii="Cambria" w:hAnsi="Cambria" w:cs="Arial"/>
          <w:sz w:val="16"/>
          <w:szCs w:val="16"/>
          <w:lang w:val="en-AU"/>
        </w:rPr>
        <w:t>Vannuchi</w:t>
      </w:r>
      <w:proofErr w:type="spellEnd"/>
      <w:r w:rsidRPr="00B64BF5">
        <w:rPr>
          <w:rFonts w:ascii="Cambria" w:hAnsi="Cambria" w:cs="Arial"/>
          <w:sz w:val="16"/>
          <w:szCs w:val="16"/>
          <w:lang w:val="en-AU"/>
        </w:rPr>
        <w:t>, a Brazilian national, did not participate in the deliberation or decision of this case, as provided in Article 17.2.</w:t>
      </w:r>
      <w:proofErr w:type="spellStart"/>
      <w:r w:rsidRPr="00B64BF5">
        <w:rPr>
          <w:rFonts w:ascii="Cambria" w:hAnsi="Cambria" w:cs="Arial"/>
          <w:sz w:val="16"/>
          <w:szCs w:val="16"/>
          <w:lang w:val="en-AU"/>
        </w:rPr>
        <w:t>a</w:t>
      </w:r>
      <w:proofErr w:type="spellEnd"/>
      <w:r w:rsidRPr="00B64BF5">
        <w:rPr>
          <w:rFonts w:ascii="Cambria" w:hAnsi="Cambria" w:cs="Arial"/>
          <w:sz w:val="16"/>
          <w:szCs w:val="16"/>
          <w:lang w:val="en-AU"/>
        </w:rPr>
        <w:t xml:space="preserve"> of the Commission’s Rules of Procedure</w:t>
      </w:r>
      <w:r w:rsidRPr="00B64BF5">
        <w:rPr>
          <w:rFonts w:ascii="Cambria" w:hAnsi="Cambria"/>
          <w:color w:val="auto"/>
          <w:sz w:val="16"/>
          <w:szCs w:val="16"/>
        </w:rPr>
        <w:t>.</w:t>
      </w:r>
    </w:p>
  </w:footnote>
  <w:footnote w:id="3">
    <w:p w:rsidR="00D53806" w:rsidRPr="00B64BF5" w:rsidRDefault="00D53806" w:rsidP="00B64BF5">
      <w:pPr>
        <w:pStyle w:val="FootnoteText"/>
        <w:ind w:firstLine="720"/>
        <w:jc w:val="both"/>
        <w:rPr>
          <w:rFonts w:ascii="Cambria" w:hAnsi="Cambria"/>
          <w:color w:val="auto"/>
          <w:sz w:val="16"/>
          <w:szCs w:val="16"/>
        </w:rPr>
      </w:pPr>
      <w:r w:rsidRPr="00B64BF5">
        <w:rPr>
          <w:rStyle w:val="FootnoteReference"/>
          <w:rFonts w:ascii="Cambria" w:hAnsi="Cambria"/>
          <w:color w:val="auto"/>
          <w:sz w:val="16"/>
          <w:szCs w:val="16"/>
        </w:rPr>
        <w:footnoteRef/>
      </w:r>
      <w:r w:rsidRPr="00B64BF5">
        <w:rPr>
          <w:rFonts w:ascii="Cambria" w:hAnsi="Cambria"/>
          <w:color w:val="auto"/>
          <w:sz w:val="16"/>
          <w:szCs w:val="16"/>
        </w:rPr>
        <w:t xml:space="preserve"> Rules of Procedure of the IACHR, Article 43(1). “The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 </w:t>
      </w:r>
    </w:p>
  </w:footnote>
  <w:footnote w:id="4">
    <w:p w:rsidR="00D53806" w:rsidRPr="00B64BF5" w:rsidRDefault="00D53806" w:rsidP="00B64BF5">
      <w:pPr>
        <w:pStyle w:val="FootnoteText"/>
        <w:ind w:firstLine="720"/>
        <w:jc w:val="both"/>
        <w:rPr>
          <w:rFonts w:ascii="Cambria" w:hAnsi="Cambria"/>
          <w:color w:val="auto"/>
          <w:sz w:val="16"/>
          <w:szCs w:val="16"/>
          <w:lang w:val="es-ES"/>
        </w:rPr>
      </w:pPr>
      <w:r w:rsidRPr="00B64BF5">
        <w:rPr>
          <w:rStyle w:val="FootnoteReference"/>
          <w:rFonts w:ascii="Cambria" w:hAnsi="Cambria"/>
          <w:color w:val="auto"/>
          <w:sz w:val="16"/>
          <w:szCs w:val="16"/>
        </w:rPr>
        <w:footnoteRef/>
      </w:r>
      <w:r w:rsidRPr="00B64BF5">
        <w:rPr>
          <w:rFonts w:ascii="Cambria" w:hAnsi="Cambria"/>
          <w:color w:val="auto"/>
          <w:sz w:val="16"/>
          <w:szCs w:val="16"/>
        </w:rPr>
        <w:t xml:space="preserve"> Rules of Procedure of the IACHR, Article 38. “</w:t>
      </w:r>
      <w:r w:rsidRPr="00B64BF5">
        <w:rPr>
          <w:rFonts w:ascii="Cambria" w:hAnsi="Cambria" w:cs="Tahoma"/>
          <w:color w:val="auto"/>
          <w:sz w:val="16"/>
          <w:szCs w:val="16"/>
          <w:shd w:val="clear" w:color="auto" w:fill="FFFFFF"/>
        </w:rPr>
        <w:t>The facts alleged in the petition, the pertinent parts of which have been transmitted to the State in question, shall be presumed to be true if the State has not provided responsive information during the period set by the Commission under the provisions of Article 37 of these Rules of Procedure, as long as other evidence does not lead to a different conclusion.”</w:t>
      </w:r>
      <w:r w:rsidRPr="00B64BF5">
        <w:rPr>
          <w:rFonts w:ascii="Cambria" w:hAnsi="Cambria"/>
          <w:color w:val="auto"/>
          <w:sz w:val="16"/>
          <w:szCs w:val="16"/>
        </w:rPr>
        <w:t xml:space="preserve"> </w:t>
      </w:r>
      <w:r w:rsidRPr="00B64BF5">
        <w:rPr>
          <w:rFonts w:ascii="Cambria" w:hAnsi="Cambria"/>
          <w:color w:val="auto"/>
          <w:sz w:val="16"/>
          <w:szCs w:val="16"/>
          <w:lang w:val="es-ES"/>
        </w:rPr>
        <w:t xml:space="preserve">El referido dispositivo corresponde al Artículo 39 del Reglamento aprobado en 1980 y vigente a la fecha de presentación de la petición, así como al Artículo 39 del Reglamento aprobado en 2000 que estaba vigente en la decisión de admisibilidad. </w:t>
      </w:r>
    </w:p>
  </w:footnote>
  <w:footnote w:id="5">
    <w:p w:rsidR="00D53806" w:rsidRPr="00B64BF5" w:rsidRDefault="00D53806" w:rsidP="00B64BF5">
      <w:pPr>
        <w:pStyle w:val="FootnoteText"/>
        <w:ind w:firstLine="720"/>
        <w:jc w:val="both"/>
        <w:rPr>
          <w:rFonts w:ascii="Cambria" w:hAnsi="Cambria"/>
          <w:color w:val="auto"/>
          <w:sz w:val="16"/>
          <w:szCs w:val="16"/>
          <w:lang w:val="pt-BR"/>
        </w:rPr>
      </w:pPr>
      <w:r w:rsidRPr="00B64BF5">
        <w:rPr>
          <w:rStyle w:val="FootnoteReference"/>
          <w:rFonts w:ascii="Cambria" w:hAnsi="Cambria"/>
          <w:color w:val="auto"/>
          <w:sz w:val="16"/>
          <w:szCs w:val="16"/>
        </w:rPr>
        <w:footnoteRef/>
      </w:r>
      <w:r w:rsidRPr="00B64BF5">
        <w:rPr>
          <w:rFonts w:ascii="Cambria" w:hAnsi="Cambria"/>
          <w:color w:val="auto"/>
          <w:sz w:val="16"/>
          <w:szCs w:val="16"/>
          <w:lang w:val="pt-BR"/>
        </w:rPr>
        <w:t xml:space="preserve"> Corte IDH. </w:t>
      </w:r>
      <w:r w:rsidRPr="00B64BF5">
        <w:rPr>
          <w:rFonts w:ascii="Cambria" w:hAnsi="Cambria"/>
          <w:i/>
          <w:color w:val="auto"/>
          <w:sz w:val="16"/>
          <w:szCs w:val="16"/>
          <w:lang w:val="pt-BR"/>
        </w:rPr>
        <w:t xml:space="preserve">Caso Gomes Lund y otros (“Guerrilha do Araguaia”) Vs. </w:t>
      </w:r>
      <w:r w:rsidRPr="00B64BF5">
        <w:rPr>
          <w:rFonts w:ascii="Cambria" w:hAnsi="Cambria"/>
          <w:i/>
          <w:color w:val="auto"/>
          <w:sz w:val="16"/>
          <w:szCs w:val="16"/>
          <w:lang w:val="es-ES"/>
        </w:rPr>
        <w:t>Brasil</w:t>
      </w:r>
      <w:r w:rsidRPr="00B64BF5">
        <w:rPr>
          <w:rFonts w:ascii="Cambria" w:hAnsi="Cambria"/>
          <w:color w:val="auto"/>
          <w:sz w:val="16"/>
          <w:szCs w:val="16"/>
          <w:lang w:val="es-ES"/>
        </w:rPr>
        <w:t xml:space="preserve">. Excepciones Preliminares, Fondo, Reparaciones y Costas. Sentencia de 24 de noviembre de 2010. </w:t>
      </w:r>
      <w:r w:rsidRPr="00845EA8">
        <w:rPr>
          <w:rFonts w:ascii="Cambria" w:hAnsi="Cambria"/>
          <w:color w:val="auto"/>
          <w:sz w:val="16"/>
          <w:szCs w:val="16"/>
          <w:lang w:val="es-ES"/>
        </w:rPr>
        <w:t xml:space="preserve">Serie C No. 219, párr. 2 y 85; </w:t>
      </w:r>
      <w:r w:rsidRPr="00845EA8">
        <w:rPr>
          <w:rStyle w:val="Emphasis"/>
          <w:rFonts w:ascii="Cambria" w:hAnsi="Cambria" w:cs="Arial"/>
          <w:i w:val="0"/>
          <w:color w:val="auto"/>
          <w:sz w:val="16"/>
          <w:szCs w:val="16"/>
          <w:lang w:val="es-ES"/>
        </w:rPr>
        <w:t xml:space="preserve">Brasil. </w:t>
      </w:r>
      <w:r w:rsidRPr="00B64BF5">
        <w:rPr>
          <w:rStyle w:val="Emphasis"/>
          <w:rFonts w:ascii="Cambria" w:hAnsi="Cambria" w:cs="Arial"/>
          <w:i w:val="0"/>
          <w:color w:val="auto"/>
          <w:sz w:val="16"/>
          <w:szCs w:val="16"/>
          <w:lang w:val="pt-BR"/>
        </w:rPr>
        <w:t>Presidência da República. Secretaria Especial dos Direitos Humanos. Direito</w:t>
      </w:r>
      <w:r w:rsidRPr="00B64BF5">
        <w:rPr>
          <w:rStyle w:val="st1"/>
          <w:rFonts w:ascii="Cambria" w:hAnsi="Cambria" w:cs="Arial"/>
          <w:b/>
          <w:i/>
          <w:color w:val="auto"/>
          <w:sz w:val="16"/>
          <w:szCs w:val="16"/>
          <w:lang w:val="pt-BR"/>
        </w:rPr>
        <w:t xml:space="preserve"> </w:t>
      </w:r>
      <w:r w:rsidRPr="00B64BF5">
        <w:rPr>
          <w:rStyle w:val="st1"/>
          <w:rFonts w:ascii="Cambria" w:hAnsi="Cambria" w:cs="Arial"/>
          <w:i/>
          <w:color w:val="auto"/>
          <w:sz w:val="16"/>
          <w:szCs w:val="16"/>
          <w:lang w:val="pt-BR"/>
        </w:rPr>
        <w:t>à</w:t>
      </w:r>
      <w:r w:rsidRPr="00B64BF5">
        <w:rPr>
          <w:rStyle w:val="st1"/>
          <w:rFonts w:ascii="Cambria" w:hAnsi="Cambria" w:cs="Arial"/>
          <w:b/>
          <w:i/>
          <w:color w:val="auto"/>
          <w:sz w:val="16"/>
          <w:szCs w:val="16"/>
          <w:lang w:val="pt-BR"/>
        </w:rPr>
        <w:t xml:space="preserve"> </w:t>
      </w:r>
      <w:r w:rsidRPr="00B64BF5">
        <w:rPr>
          <w:rStyle w:val="Emphasis"/>
          <w:rFonts w:ascii="Cambria" w:hAnsi="Cambria" w:cs="Arial"/>
          <w:i w:val="0"/>
          <w:color w:val="auto"/>
          <w:sz w:val="16"/>
          <w:szCs w:val="16"/>
          <w:lang w:val="pt-BR"/>
        </w:rPr>
        <w:t>Memória e</w:t>
      </w:r>
      <w:r w:rsidRPr="00B64BF5">
        <w:rPr>
          <w:rStyle w:val="st1"/>
          <w:rFonts w:ascii="Cambria" w:hAnsi="Cambria" w:cs="Arial"/>
          <w:b/>
          <w:i/>
          <w:color w:val="auto"/>
          <w:sz w:val="16"/>
          <w:szCs w:val="16"/>
          <w:lang w:val="pt-BR"/>
        </w:rPr>
        <w:t xml:space="preserve"> </w:t>
      </w:r>
      <w:r w:rsidRPr="00B64BF5">
        <w:rPr>
          <w:rStyle w:val="st1"/>
          <w:rFonts w:ascii="Cambria" w:hAnsi="Cambria" w:cs="Arial"/>
          <w:color w:val="auto"/>
          <w:sz w:val="16"/>
          <w:szCs w:val="16"/>
          <w:lang w:val="pt-BR"/>
        </w:rPr>
        <w:t>à</w:t>
      </w:r>
      <w:r w:rsidRPr="00B64BF5">
        <w:rPr>
          <w:rStyle w:val="st1"/>
          <w:rFonts w:ascii="Cambria" w:hAnsi="Cambria" w:cs="Arial"/>
          <w:b/>
          <w:i/>
          <w:color w:val="auto"/>
          <w:sz w:val="16"/>
          <w:szCs w:val="16"/>
          <w:lang w:val="pt-BR"/>
        </w:rPr>
        <w:t xml:space="preserve"> </w:t>
      </w:r>
      <w:r w:rsidRPr="00B64BF5">
        <w:rPr>
          <w:rStyle w:val="Emphasis"/>
          <w:rFonts w:ascii="Cambria" w:hAnsi="Cambria" w:cs="Arial"/>
          <w:i w:val="0"/>
          <w:color w:val="auto"/>
          <w:sz w:val="16"/>
          <w:szCs w:val="16"/>
          <w:lang w:val="pt-BR"/>
        </w:rPr>
        <w:t>Verdade: Comissão Especial sobre Mortos e Desaparecidos Políticos. Brasília, Secretaria Especial dos Direitos Humanos, 2007, fls. 21; Relatório da</w:t>
      </w:r>
      <w:r w:rsidRPr="00B64BF5">
        <w:rPr>
          <w:rStyle w:val="st1"/>
          <w:rFonts w:ascii="Cambria" w:hAnsi="Cambria" w:cs="Arial"/>
          <w:b/>
          <w:i/>
          <w:color w:val="auto"/>
          <w:sz w:val="16"/>
          <w:szCs w:val="16"/>
          <w:lang w:val="pt-BR"/>
        </w:rPr>
        <w:t xml:space="preserve"> </w:t>
      </w:r>
      <w:r w:rsidRPr="00B64BF5">
        <w:rPr>
          <w:rStyle w:val="Emphasis"/>
          <w:rFonts w:ascii="Cambria" w:hAnsi="Cambria" w:cs="Arial"/>
          <w:i w:val="0"/>
          <w:color w:val="auto"/>
          <w:sz w:val="16"/>
          <w:szCs w:val="16"/>
          <w:lang w:val="pt-BR"/>
        </w:rPr>
        <w:t>Comissão Nacional da Verdade. Volume I. Parte I, “A Comissão Nacional da Verdade</w:t>
      </w:r>
      <w:r w:rsidRPr="00B64BF5">
        <w:rPr>
          <w:rStyle w:val="Emphasis"/>
          <w:rFonts w:ascii="Cambria" w:hAnsi="Cambria" w:cs="Arial"/>
          <w:color w:val="auto"/>
          <w:sz w:val="16"/>
          <w:szCs w:val="16"/>
          <w:lang w:val="pt-BR"/>
        </w:rPr>
        <w:t xml:space="preserve">”. </w:t>
      </w:r>
      <w:r w:rsidRPr="00B64BF5">
        <w:rPr>
          <w:rFonts w:ascii="Cambria" w:hAnsi="Cambria"/>
          <w:color w:val="auto"/>
          <w:sz w:val="16"/>
          <w:szCs w:val="16"/>
          <w:lang w:val="pt-BR"/>
        </w:rPr>
        <w:t xml:space="preserve">Capitulo 1 – A criação da Comissão Nacional da Verdade (E) </w:t>
      </w:r>
      <w:r w:rsidRPr="00B64BF5">
        <w:rPr>
          <w:rFonts w:ascii="Cambria" w:eastAsiaTheme="minorHAnsi" w:hAnsi="Cambria" w:cs="AGaramondPro-Bold-SC700"/>
          <w:bCs/>
          <w:color w:val="auto"/>
          <w:sz w:val="16"/>
          <w:szCs w:val="16"/>
          <w:lang w:val="pt-BR" w:eastAsia="en-US"/>
        </w:rPr>
        <w:t>Comissões da verdade: a experiência internacional</w:t>
      </w:r>
      <w:r w:rsidRPr="00B64BF5">
        <w:rPr>
          <w:rFonts w:ascii="Cambria" w:hAnsi="Cambria"/>
          <w:color w:val="auto"/>
          <w:sz w:val="16"/>
          <w:szCs w:val="16"/>
          <w:lang w:val="pt-BR"/>
        </w:rPr>
        <w:t xml:space="preserve">, fls. 41, párr. </w:t>
      </w:r>
      <w:r w:rsidRPr="00B64BF5">
        <w:rPr>
          <w:rFonts w:ascii="Cambria" w:hAnsi="Cambria"/>
          <w:color w:val="auto"/>
          <w:sz w:val="16"/>
          <w:szCs w:val="16"/>
          <w:lang w:val="pt-BR"/>
        </w:rPr>
        <w:t xml:space="preserve">77, del 10 de diciembre de 2014.  </w:t>
      </w:r>
    </w:p>
  </w:footnote>
  <w:footnote w:id="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color w:val="auto"/>
          <w:sz w:val="16"/>
          <w:szCs w:val="16"/>
        </w:rPr>
        <w:footnoteRef/>
      </w:r>
      <w:r w:rsidRPr="00B64BF5">
        <w:rPr>
          <w:rFonts w:ascii="Cambria" w:hAnsi="Cambria"/>
          <w:color w:val="auto"/>
          <w:sz w:val="16"/>
          <w:szCs w:val="16"/>
          <w:lang w:val="pt-BR"/>
        </w:rPr>
        <w:t xml:space="preserve"> </w:t>
      </w:r>
      <w:r w:rsidRPr="00B64BF5">
        <w:rPr>
          <w:rStyle w:val="Emphasis"/>
          <w:rFonts w:ascii="Cambria" w:hAnsi="Cambria" w:cs="Arial"/>
          <w:i w:val="0"/>
          <w:color w:val="auto"/>
          <w:sz w:val="16"/>
          <w:szCs w:val="16"/>
          <w:lang w:val="pt-BR"/>
        </w:rPr>
        <w:t>Relatório da</w:t>
      </w:r>
      <w:r w:rsidRPr="00B64BF5">
        <w:rPr>
          <w:rStyle w:val="st1"/>
          <w:rFonts w:ascii="Cambria" w:hAnsi="Cambria" w:cs="Arial"/>
          <w:b/>
          <w:i/>
          <w:color w:val="auto"/>
          <w:sz w:val="16"/>
          <w:szCs w:val="16"/>
          <w:lang w:val="pt-BR"/>
        </w:rPr>
        <w:t xml:space="preserve"> </w:t>
      </w:r>
      <w:r w:rsidRPr="00B64BF5">
        <w:rPr>
          <w:rStyle w:val="Emphasis"/>
          <w:rFonts w:ascii="Cambria" w:hAnsi="Cambria" w:cs="Arial"/>
          <w:i w:val="0"/>
          <w:color w:val="auto"/>
          <w:sz w:val="16"/>
          <w:szCs w:val="16"/>
          <w:lang w:val="pt-BR"/>
        </w:rPr>
        <w:t>Comissão Nacional da Verdade. Volume I. Parte II, “</w:t>
      </w:r>
      <w:r w:rsidRPr="00B64BF5">
        <w:rPr>
          <w:rStyle w:val="Strong"/>
          <w:rFonts w:ascii="Cambria" w:hAnsi="Cambria"/>
          <w:b w:val="0"/>
          <w:color w:val="auto"/>
          <w:sz w:val="16"/>
          <w:szCs w:val="16"/>
          <w:lang w:val="pt-BR"/>
        </w:rPr>
        <w:t xml:space="preserve">As estruturas do Estado e as graves violações de direitos humanos”. </w:t>
      </w:r>
      <w:r w:rsidRPr="00B64BF5">
        <w:rPr>
          <w:rFonts w:ascii="Cambria" w:hAnsi="Cambria"/>
          <w:color w:val="auto"/>
          <w:sz w:val="16"/>
          <w:szCs w:val="16"/>
          <w:lang w:val="pt-BR"/>
        </w:rPr>
        <w:t xml:space="preserve">Capitulo 3 – Contexto histórico das graves violações entre 1946 e 1988 (E) </w:t>
      </w:r>
      <w:r w:rsidRPr="00B64BF5">
        <w:rPr>
          <w:rFonts w:ascii="Cambria" w:eastAsiaTheme="minorHAnsi" w:hAnsi="Cambria" w:cs="AGaramondPro-Bold-SC700"/>
          <w:bCs/>
          <w:color w:val="auto"/>
          <w:sz w:val="16"/>
          <w:szCs w:val="16"/>
          <w:lang w:val="pt-BR" w:eastAsia="en-US"/>
        </w:rPr>
        <w:t>O golpe de 1964</w:t>
      </w:r>
      <w:r w:rsidRPr="00B64BF5">
        <w:rPr>
          <w:rFonts w:ascii="Cambria" w:hAnsi="Cambria"/>
          <w:color w:val="auto"/>
          <w:sz w:val="16"/>
          <w:szCs w:val="16"/>
          <w:lang w:val="pt-BR"/>
        </w:rPr>
        <w:t xml:space="preserve">, fls. </w:t>
      </w:r>
      <w:r w:rsidRPr="00B64BF5">
        <w:rPr>
          <w:rFonts w:ascii="Cambria" w:hAnsi="Cambria"/>
          <w:color w:val="auto"/>
          <w:sz w:val="16"/>
          <w:szCs w:val="16"/>
          <w:lang w:val="pt-BR"/>
        </w:rPr>
        <w:t xml:space="preserve">97, párr. </w:t>
      </w:r>
      <w:r w:rsidRPr="00B64BF5">
        <w:rPr>
          <w:rFonts w:ascii="Cambria" w:hAnsi="Cambria"/>
          <w:color w:val="auto"/>
          <w:sz w:val="16"/>
          <w:szCs w:val="16"/>
          <w:lang w:val="pt-BR"/>
        </w:rPr>
        <w:t xml:space="preserve">62, del 10 de diciembre de 2014.  </w:t>
      </w:r>
    </w:p>
  </w:footnote>
  <w:footnote w:id="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Corte IDH. </w:t>
      </w:r>
      <w:r w:rsidRPr="00B64BF5">
        <w:rPr>
          <w:rFonts w:ascii="Cambria" w:hAnsi="Cambria"/>
          <w:sz w:val="16"/>
          <w:szCs w:val="16"/>
          <w:lang w:val="pt-BR"/>
        </w:rPr>
        <w:t xml:space="preserve">Caso Gomes Lund y otros (“Guerrilha do Araguaia”) Vs. Brasil. </w:t>
      </w:r>
      <w:r w:rsidRPr="00B64BF5">
        <w:rPr>
          <w:rFonts w:ascii="Cambria" w:hAnsi="Cambria"/>
          <w:sz w:val="16"/>
          <w:szCs w:val="16"/>
          <w:lang w:val="es-ES"/>
        </w:rPr>
        <w:t xml:space="preserve">Excepciones Preliminares, Fondo, Reparaciones y Costas. </w:t>
      </w:r>
      <w:r w:rsidRPr="00D53806">
        <w:rPr>
          <w:rFonts w:ascii="Cambria" w:hAnsi="Cambria"/>
          <w:sz w:val="16"/>
          <w:szCs w:val="16"/>
          <w:lang w:val="es-UY"/>
        </w:rPr>
        <w:t xml:space="preserve">Sentencia de 24 de noviembre de 2010. </w:t>
      </w:r>
      <w:r w:rsidRPr="00B64BF5">
        <w:rPr>
          <w:rFonts w:ascii="Cambria" w:hAnsi="Cambria"/>
          <w:sz w:val="16"/>
          <w:szCs w:val="16"/>
          <w:lang w:val="pt-BR"/>
        </w:rPr>
        <w:t xml:space="preserve">Serie C No. 219, párr. 87. </w:t>
      </w:r>
    </w:p>
  </w:footnote>
  <w:footnote w:id="8">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i/>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 xml:space="preserve">Comissão Nacional da Verdade. Volume III – Mortos e desaparecidos políticos. </w:t>
      </w:r>
      <w:proofErr w:type="spellStart"/>
      <w:r w:rsidRPr="00B64BF5">
        <w:rPr>
          <w:rStyle w:val="Emphasis"/>
          <w:rFonts w:ascii="Cambria" w:hAnsi="Cambria" w:cs="Arial"/>
          <w:i w:val="0"/>
          <w:sz w:val="16"/>
          <w:szCs w:val="16"/>
          <w:lang w:val="es-ES"/>
        </w:rPr>
        <w:t>Introdução</w:t>
      </w:r>
      <w:proofErr w:type="spellEnd"/>
      <w:r w:rsidRPr="00B64BF5">
        <w:rPr>
          <w:rStyle w:val="Emphasis"/>
          <w:rFonts w:ascii="Cambria" w:hAnsi="Cambria" w:cs="Arial"/>
          <w:i w:val="0"/>
          <w:sz w:val="16"/>
          <w:szCs w:val="16"/>
          <w:lang w:val="es-ES"/>
        </w:rPr>
        <w:t>.</w:t>
      </w:r>
      <w:r w:rsidRPr="00B64BF5">
        <w:rPr>
          <w:rFonts w:ascii="Cambria" w:hAnsi="Cambria"/>
          <w:i/>
          <w:sz w:val="16"/>
          <w:szCs w:val="16"/>
          <w:lang w:val="es-ES"/>
        </w:rPr>
        <w:t xml:space="preserve"> </w:t>
      </w:r>
      <w:proofErr w:type="spellStart"/>
      <w:r w:rsidRPr="00B64BF5">
        <w:rPr>
          <w:rFonts w:ascii="Cambria" w:hAnsi="Cambria"/>
          <w:i/>
          <w:sz w:val="16"/>
          <w:szCs w:val="16"/>
          <w:lang w:val="es-ES"/>
        </w:rPr>
        <w:t>fls</w:t>
      </w:r>
      <w:proofErr w:type="spellEnd"/>
      <w:r w:rsidRPr="00B64BF5">
        <w:rPr>
          <w:rFonts w:ascii="Cambria" w:hAnsi="Cambria"/>
          <w:i/>
          <w:sz w:val="16"/>
          <w:szCs w:val="16"/>
          <w:lang w:val="es-ES"/>
        </w:rPr>
        <w:t>.</w:t>
      </w:r>
      <w:r w:rsidRPr="00B64BF5">
        <w:rPr>
          <w:rFonts w:ascii="Cambria" w:hAnsi="Cambria"/>
          <w:sz w:val="16"/>
          <w:szCs w:val="16"/>
          <w:lang w:val="es-ES"/>
        </w:rPr>
        <w:t xml:space="preserve"> 26, del 10 de diciembre de 2014.  </w:t>
      </w:r>
    </w:p>
  </w:footnote>
  <w:footnote w:id="9">
    <w:p w:rsidR="00D53806" w:rsidRPr="00845EA8"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i/>
          <w:sz w:val="16"/>
          <w:szCs w:val="16"/>
          <w:lang w:val="es-ES"/>
        </w:rPr>
        <w:t xml:space="preserve"> </w:t>
      </w:r>
      <w:r w:rsidRPr="00B64BF5">
        <w:rPr>
          <w:rFonts w:ascii="Cambria" w:hAnsi="Cambria"/>
          <w:sz w:val="16"/>
          <w:szCs w:val="16"/>
          <w:lang w:val="es-ES"/>
        </w:rPr>
        <w:t>Corte IDH.</w:t>
      </w:r>
      <w:r w:rsidRPr="00B64BF5">
        <w:rPr>
          <w:rFonts w:ascii="Cambria" w:hAnsi="Cambria"/>
          <w:i/>
          <w:sz w:val="16"/>
          <w:szCs w:val="16"/>
          <w:lang w:val="es-ES"/>
        </w:rPr>
        <w:t xml:space="preserve"> Caso </w:t>
      </w:r>
      <w:proofErr w:type="spellStart"/>
      <w:r w:rsidRPr="00B64BF5">
        <w:rPr>
          <w:rFonts w:ascii="Cambria" w:hAnsi="Cambria"/>
          <w:i/>
          <w:sz w:val="16"/>
          <w:szCs w:val="16"/>
          <w:lang w:val="es-ES"/>
        </w:rPr>
        <w:t>Goiburú</w:t>
      </w:r>
      <w:proofErr w:type="spellEnd"/>
      <w:r w:rsidRPr="00B64BF5">
        <w:rPr>
          <w:rFonts w:ascii="Cambria" w:hAnsi="Cambria"/>
          <w:i/>
          <w:sz w:val="16"/>
          <w:szCs w:val="16"/>
          <w:lang w:val="es-ES"/>
        </w:rPr>
        <w:t xml:space="preserve"> y otros vs. Paraguay. </w:t>
      </w:r>
      <w:r w:rsidRPr="00B64BF5">
        <w:rPr>
          <w:rFonts w:ascii="Cambria" w:hAnsi="Cambria"/>
          <w:sz w:val="16"/>
          <w:szCs w:val="16"/>
          <w:lang w:val="es-ES"/>
        </w:rPr>
        <w:t>Sentencia del 22 de septiembre de 2006. Serie C No. 153; Corte IDH</w:t>
      </w:r>
      <w:r w:rsidRPr="00B64BF5">
        <w:rPr>
          <w:rFonts w:ascii="Cambria" w:hAnsi="Cambria"/>
          <w:i/>
          <w:sz w:val="16"/>
          <w:szCs w:val="16"/>
          <w:lang w:val="es-ES"/>
        </w:rPr>
        <w:t xml:space="preserve">. </w:t>
      </w:r>
      <w:r w:rsidRPr="00B64BF5">
        <w:rPr>
          <w:rStyle w:val="Emphasis"/>
          <w:rFonts w:ascii="Cambria" w:hAnsi="Cambria" w:cs="Arial"/>
          <w:i w:val="0"/>
          <w:sz w:val="16"/>
          <w:szCs w:val="16"/>
          <w:lang w:val="es-ES"/>
        </w:rPr>
        <w:t xml:space="preserve">Caso </w:t>
      </w:r>
      <w:r w:rsidRPr="00B64BF5">
        <w:rPr>
          <w:rStyle w:val="Emphasis"/>
          <w:rFonts w:ascii="Cambria" w:hAnsi="Cambria" w:cs="Arial"/>
          <w:sz w:val="16"/>
          <w:szCs w:val="16"/>
          <w:lang w:val="es-ES"/>
        </w:rPr>
        <w:t>Barrios Altos vs</w:t>
      </w:r>
      <w:r w:rsidRPr="00B64BF5">
        <w:rPr>
          <w:rStyle w:val="st1"/>
          <w:rFonts w:ascii="Cambria" w:hAnsi="Cambria" w:cs="Arial"/>
          <w:sz w:val="16"/>
          <w:szCs w:val="16"/>
          <w:lang w:val="es-ES"/>
        </w:rPr>
        <w:t>.</w:t>
      </w:r>
      <w:r w:rsidRPr="00B64BF5">
        <w:rPr>
          <w:rStyle w:val="st1"/>
          <w:rFonts w:ascii="Cambria" w:hAnsi="Cambria" w:cs="Arial"/>
          <w:b/>
          <w:sz w:val="16"/>
          <w:szCs w:val="16"/>
          <w:lang w:val="es-ES"/>
        </w:rPr>
        <w:t xml:space="preserve"> </w:t>
      </w:r>
      <w:r w:rsidRPr="00B64BF5">
        <w:rPr>
          <w:rStyle w:val="Emphasis"/>
          <w:rFonts w:ascii="Cambria" w:hAnsi="Cambria" w:cs="Arial"/>
          <w:sz w:val="16"/>
          <w:szCs w:val="16"/>
          <w:lang w:val="es-ES"/>
        </w:rPr>
        <w:t>Perú</w:t>
      </w:r>
      <w:r w:rsidRPr="00B64BF5">
        <w:rPr>
          <w:rStyle w:val="st1"/>
          <w:rFonts w:ascii="Cambria" w:hAnsi="Cambria" w:cs="Arial"/>
          <w:b/>
          <w:sz w:val="16"/>
          <w:szCs w:val="16"/>
          <w:lang w:val="es-ES"/>
        </w:rPr>
        <w:t>.</w:t>
      </w:r>
      <w:r w:rsidRPr="00B64BF5">
        <w:rPr>
          <w:rStyle w:val="st1"/>
          <w:rFonts w:ascii="Cambria" w:hAnsi="Cambria" w:cs="Arial"/>
          <w:b/>
          <w:i/>
          <w:sz w:val="16"/>
          <w:szCs w:val="16"/>
          <w:lang w:val="es-ES"/>
        </w:rPr>
        <w:t xml:space="preserve"> </w:t>
      </w:r>
      <w:r w:rsidRPr="00B64BF5">
        <w:rPr>
          <w:rStyle w:val="Emphasis"/>
          <w:rFonts w:ascii="Cambria" w:hAnsi="Cambria" w:cs="Arial"/>
          <w:i w:val="0"/>
          <w:sz w:val="16"/>
          <w:szCs w:val="16"/>
          <w:lang w:val="es-ES"/>
        </w:rPr>
        <w:t>Sentencia de 14 de marzo de 2001</w:t>
      </w:r>
      <w:r w:rsidRPr="00B64BF5">
        <w:rPr>
          <w:rStyle w:val="st1"/>
          <w:rFonts w:ascii="Cambria" w:hAnsi="Cambria" w:cs="Arial"/>
          <w:b/>
          <w:i/>
          <w:sz w:val="16"/>
          <w:szCs w:val="16"/>
          <w:lang w:val="es-ES"/>
        </w:rPr>
        <w:t xml:space="preserve">, </w:t>
      </w:r>
      <w:r w:rsidRPr="00B64BF5">
        <w:rPr>
          <w:rStyle w:val="Emphasis"/>
          <w:rFonts w:ascii="Cambria" w:hAnsi="Cambria" w:cs="Arial"/>
          <w:i w:val="0"/>
          <w:sz w:val="16"/>
          <w:szCs w:val="16"/>
          <w:lang w:val="es-ES"/>
        </w:rPr>
        <w:t>Serie</w:t>
      </w:r>
      <w:r w:rsidRPr="00B64BF5">
        <w:rPr>
          <w:rStyle w:val="st1"/>
          <w:rFonts w:ascii="Cambria" w:hAnsi="Cambria" w:cs="Arial"/>
          <w:b/>
          <w:i/>
          <w:sz w:val="16"/>
          <w:szCs w:val="16"/>
          <w:lang w:val="es-ES"/>
        </w:rPr>
        <w:t xml:space="preserve"> </w:t>
      </w:r>
      <w:r w:rsidRPr="00B64BF5">
        <w:rPr>
          <w:rStyle w:val="st1"/>
          <w:rFonts w:ascii="Cambria" w:hAnsi="Cambria" w:cs="Arial"/>
          <w:i/>
          <w:sz w:val="16"/>
          <w:szCs w:val="16"/>
          <w:lang w:val="es-ES"/>
        </w:rPr>
        <w:t xml:space="preserve">C N° 75; </w:t>
      </w:r>
      <w:r w:rsidRPr="00B64BF5">
        <w:rPr>
          <w:rStyle w:val="st1"/>
          <w:rFonts w:ascii="Cambria" w:hAnsi="Cambria" w:cs="Arial"/>
          <w:sz w:val="16"/>
          <w:szCs w:val="16"/>
          <w:lang w:val="es-ES"/>
        </w:rPr>
        <w:t xml:space="preserve">Corte IDH. </w:t>
      </w:r>
      <w:r w:rsidRPr="00B64BF5">
        <w:rPr>
          <w:rStyle w:val="st1"/>
          <w:rFonts w:ascii="Cambria" w:hAnsi="Cambria" w:cs="Arial"/>
          <w:i/>
          <w:sz w:val="16"/>
          <w:szCs w:val="16"/>
          <w:lang w:val="es-ES"/>
        </w:rPr>
        <w:t xml:space="preserve">Caso </w:t>
      </w:r>
      <w:proofErr w:type="spellStart"/>
      <w:r w:rsidRPr="00B64BF5">
        <w:rPr>
          <w:rStyle w:val="st1"/>
          <w:rFonts w:ascii="Cambria" w:hAnsi="Cambria" w:cs="Arial"/>
          <w:i/>
          <w:sz w:val="16"/>
          <w:szCs w:val="16"/>
          <w:lang w:val="es-ES"/>
        </w:rPr>
        <w:t>Almonacid</w:t>
      </w:r>
      <w:proofErr w:type="spellEnd"/>
      <w:r w:rsidRPr="00B64BF5">
        <w:rPr>
          <w:rStyle w:val="st1"/>
          <w:rFonts w:ascii="Cambria" w:hAnsi="Cambria" w:cs="Arial"/>
          <w:i/>
          <w:sz w:val="16"/>
          <w:szCs w:val="16"/>
          <w:lang w:val="es-ES"/>
        </w:rPr>
        <w:t xml:space="preserve"> Arellano y otros Vs. Chile. </w:t>
      </w:r>
      <w:r w:rsidRPr="00B64BF5">
        <w:rPr>
          <w:rStyle w:val="st1"/>
          <w:rFonts w:ascii="Cambria" w:hAnsi="Cambria" w:cs="Arial"/>
          <w:sz w:val="16"/>
          <w:szCs w:val="16"/>
          <w:lang w:val="es-ES"/>
        </w:rPr>
        <w:t>Sentencia de 26 de septiembre de 2006 (Excepciones Preliminares, Fondo, Reparaciones y Costas).</w:t>
      </w:r>
      <w:r w:rsidRPr="00B64BF5">
        <w:rPr>
          <w:rStyle w:val="st1"/>
          <w:rFonts w:ascii="Cambria" w:hAnsi="Cambria" w:cs="Arial"/>
          <w:i/>
          <w:sz w:val="16"/>
          <w:szCs w:val="16"/>
          <w:lang w:val="es-ES"/>
        </w:rPr>
        <w:t xml:space="preserve"> </w:t>
      </w:r>
      <w:r w:rsidRPr="00B64BF5">
        <w:rPr>
          <w:rStyle w:val="Emphasis"/>
          <w:rFonts w:ascii="Cambria" w:hAnsi="Cambria" w:cs="Arial"/>
          <w:i w:val="0"/>
          <w:sz w:val="16"/>
          <w:szCs w:val="16"/>
          <w:lang w:val="es-ES"/>
        </w:rPr>
        <w:t>Serie</w:t>
      </w:r>
      <w:r w:rsidRPr="00B64BF5">
        <w:rPr>
          <w:rStyle w:val="st1"/>
          <w:rFonts w:ascii="Cambria" w:hAnsi="Cambria" w:cs="Arial"/>
          <w:b/>
          <w:sz w:val="16"/>
          <w:szCs w:val="16"/>
          <w:lang w:val="es-ES"/>
        </w:rPr>
        <w:t xml:space="preserve"> </w:t>
      </w:r>
      <w:r w:rsidRPr="00B64BF5">
        <w:rPr>
          <w:rStyle w:val="st1"/>
          <w:rFonts w:ascii="Cambria" w:hAnsi="Cambria" w:cs="Arial"/>
          <w:sz w:val="16"/>
          <w:szCs w:val="16"/>
          <w:lang w:val="es-ES"/>
        </w:rPr>
        <w:t xml:space="preserve">C, n° 154; Corte IDH, </w:t>
      </w:r>
      <w:r w:rsidRPr="00B64BF5">
        <w:rPr>
          <w:rStyle w:val="Emphasis"/>
          <w:rFonts w:ascii="Cambria" w:hAnsi="Cambria" w:cs="Arial"/>
          <w:sz w:val="16"/>
          <w:szCs w:val="16"/>
          <w:lang w:val="es-ES"/>
        </w:rPr>
        <w:t xml:space="preserve">Caso </w:t>
      </w:r>
      <w:proofErr w:type="spellStart"/>
      <w:r w:rsidRPr="00B64BF5">
        <w:rPr>
          <w:rStyle w:val="Emphasis"/>
          <w:rFonts w:ascii="Cambria" w:hAnsi="Cambria" w:cs="Arial"/>
          <w:sz w:val="16"/>
          <w:szCs w:val="16"/>
          <w:lang w:val="es-ES"/>
        </w:rPr>
        <w:t>Gelman</w:t>
      </w:r>
      <w:proofErr w:type="spellEnd"/>
      <w:r w:rsidRPr="00B64BF5">
        <w:rPr>
          <w:rStyle w:val="Emphasis"/>
          <w:rFonts w:ascii="Cambria" w:hAnsi="Cambria" w:cs="Arial"/>
          <w:sz w:val="16"/>
          <w:szCs w:val="16"/>
          <w:lang w:val="es-ES"/>
        </w:rPr>
        <w:t xml:space="preserve"> Vs</w:t>
      </w:r>
      <w:r w:rsidRPr="00B64BF5">
        <w:rPr>
          <w:rStyle w:val="st1"/>
          <w:rFonts w:ascii="Cambria" w:hAnsi="Cambria" w:cs="Arial"/>
          <w:b/>
          <w:sz w:val="16"/>
          <w:szCs w:val="16"/>
          <w:lang w:val="es-ES"/>
        </w:rPr>
        <w:t xml:space="preserve">. </w:t>
      </w:r>
      <w:r w:rsidRPr="00B64BF5">
        <w:rPr>
          <w:rStyle w:val="Emphasis"/>
          <w:rFonts w:ascii="Cambria" w:hAnsi="Cambria" w:cs="Arial"/>
          <w:sz w:val="16"/>
          <w:szCs w:val="16"/>
          <w:lang w:val="es-ES"/>
        </w:rPr>
        <w:t>Uruguay</w:t>
      </w:r>
      <w:r w:rsidRPr="00B64BF5">
        <w:rPr>
          <w:rStyle w:val="Emphasis"/>
          <w:rFonts w:ascii="Cambria" w:hAnsi="Cambria" w:cs="Arial"/>
          <w:i w:val="0"/>
          <w:sz w:val="16"/>
          <w:szCs w:val="16"/>
          <w:lang w:val="es-ES"/>
        </w:rPr>
        <w:t>, Sentencia del 24 de febrero de 2011.</w:t>
      </w:r>
      <w:r w:rsidRPr="00B64BF5">
        <w:rPr>
          <w:rStyle w:val="st1"/>
          <w:rFonts w:ascii="Cambria" w:hAnsi="Cambria" w:cs="Arial"/>
          <w:b/>
          <w:i/>
          <w:sz w:val="16"/>
          <w:szCs w:val="16"/>
          <w:lang w:val="es-ES"/>
        </w:rPr>
        <w:t xml:space="preserve"> </w:t>
      </w:r>
      <w:r w:rsidRPr="00845EA8">
        <w:rPr>
          <w:rStyle w:val="st1"/>
          <w:rFonts w:ascii="Cambria" w:hAnsi="Cambria" w:cs="Arial"/>
          <w:b/>
          <w:i/>
          <w:sz w:val="16"/>
          <w:szCs w:val="16"/>
          <w:lang w:val="pt-BR"/>
        </w:rPr>
        <w:t>(</w:t>
      </w:r>
      <w:r w:rsidRPr="00845EA8">
        <w:rPr>
          <w:rStyle w:val="Emphasis"/>
          <w:rFonts w:ascii="Cambria" w:hAnsi="Cambria" w:cs="Arial"/>
          <w:i w:val="0"/>
          <w:sz w:val="16"/>
          <w:szCs w:val="16"/>
          <w:lang w:val="pt-BR"/>
        </w:rPr>
        <w:t>Fondo y Reparaciones)</w:t>
      </w:r>
      <w:r w:rsidRPr="00845EA8">
        <w:rPr>
          <w:rStyle w:val="st1"/>
          <w:rFonts w:ascii="Cambria" w:hAnsi="Cambria" w:cs="Arial"/>
          <w:b/>
          <w:i/>
          <w:sz w:val="16"/>
          <w:szCs w:val="16"/>
          <w:lang w:val="pt-BR"/>
        </w:rPr>
        <w:t>,</w:t>
      </w:r>
      <w:r w:rsidRPr="00845EA8">
        <w:rPr>
          <w:rStyle w:val="Emphasis"/>
          <w:rFonts w:ascii="Cambria" w:hAnsi="Cambria" w:cs="Arial"/>
          <w:i w:val="0"/>
          <w:sz w:val="16"/>
          <w:szCs w:val="16"/>
          <w:lang w:val="pt-BR"/>
        </w:rPr>
        <w:t>Serie</w:t>
      </w:r>
      <w:r w:rsidRPr="00845EA8">
        <w:rPr>
          <w:rStyle w:val="st1"/>
          <w:rFonts w:ascii="Cambria" w:hAnsi="Cambria" w:cs="Arial"/>
          <w:i/>
          <w:sz w:val="16"/>
          <w:szCs w:val="16"/>
          <w:lang w:val="pt-BR"/>
        </w:rPr>
        <w:t xml:space="preserve"> C, </w:t>
      </w:r>
      <w:r w:rsidRPr="00845EA8">
        <w:rPr>
          <w:rStyle w:val="st1"/>
          <w:rFonts w:ascii="Cambria" w:hAnsi="Cambria" w:cs="Arial"/>
          <w:sz w:val="16"/>
          <w:szCs w:val="16"/>
          <w:lang w:val="pt-BR"/>
        </w:rPr>
        <w:t>n° 221.</w:t>
      </w:r>
    </w:p>
  </w:footnote>
  <w:footnote w:id="10">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III – Mortos e desaparecidos políticos. Introdução.</w:t>
      </w:r>
      <w:r w:rsidRPr="00B64BF5">
        <w:rPr>
          <w:rFonts w:ascii="Cambria" w:hAnsi="Cambria"/>
          <w:i/>
          <w:sz w:val="16"/>
          <w:szCs w:val="16"/>
          <w:lang w:val="pt-BR"/>
        </w:rPr>
        <w:t xml:space="preserve"> </w:t>
      </w:r>
      <w:r w:rsidRPr="00B64BF5">
        <w:rPr>
          <w:rFonts w:ascii="Cambria" w:hAnsi="Cambria"/>
          <w:sz w:val="16"/>
          <w:szCs w:val="16"/>
          <w:lang w:val="pt-BR"/>
        </w:rPr>
        <w:t xml:space="preserve">fls. </w:t>
      </w:r>
      <w:r w:rsidRPr="00B64BF5">
        <w:rPr>
          <w:rFonts w:ascii="Cambria" w:hAnsi="Cambria"/>
          <w:sz w:val="16"/>
          <w:szCs w:val="16"/>
          <w:lang w:val="pt-BR"/>
        </w:rPr>
        <w:t>23, del 10 de diciembre de 2014.</w:t>
      </w:r>
      <w:r w:rsidRPr="00B64BF5">
        <w:rPr>
          <w:rFonts w:ascii="Cambria" w:hAnsi="Cambria"/>
          <w:i/>
          <w:sz w:val="16"/>
          <w:szCs w:val="16"/>
          <w:lang w:val="pt-BR"/>
        </w:rPr>
        <w:t xml:space="preserve">  </w:t>
      </w:r>
    </w:p>
  </w:footnote>
  <w:footnote w:id="11">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i/>
          <w:sz w:val="16"/>
          <w:szCs w:val="16"/>
          <w:lang w:val="pt-BR"/>
        </w:rPr>
        <w:t xml:space="preserve"> </w:t>
      </w:r>
      <w:r w:rsidRPr="00B64BF5">
        <w:rPr>
          <w:rFonts w:ascii="Cambria" w:hAnsi="Cambria"/>
          <w:sz w:val="16"/>
          <w:szCs w:val="16"/>
          <w:lang w:val="pt-BR"/>
        </w:rPr>
        <w:t>Corte IDH.</w:t>
      </w:r>
      <w:r w:rsidRPr="00B64BF5">
        <w:rPr>
          <w:rFonts w:ascii="Cambria" w:hAnsi="Cambria"/>
          <w:i/>
          <w:sz w:val="16"/>
          <w:szCs w:val="16"/>
          <w:lang w:val="pt-BR"/>
        </w:rPr>
        <w:t xml:space="preserve"> </w:t>
      </w:r>
      <w:r w:rsidRPr="00B64BF5">
        <w:rPr>
          <w:rFonts w:ascii="Cambria" w:hAnsi="Cambria"/>
          <w:i/>
          <w:sz w:val="16"/>
          <w:szCs w:val="16"/>
          <w:lang w:val="pt-BR"/>
        </w:rPr>
        <w:t xml:space="preserve">Caso Gomes Lund y otros (“Guerrilha do Araguaia”) Vs. </w:t>
      </w:r>
      <w:r w:rsidRPr="00B64BF5">
        <w:rPr>
          <w:rFonts w:ascii="Cambria" w:hAnsi="Cambria"/>
          <w:i/>
          <w:sz w:val="16"/>
          <w:szCs w:val="16"/>
          <w:lang w:val="es-ES"/>
        </w:rPr>
        <w:t xml:space="preserve">Brasil. </w:t>
      </w:r>
      <w:r w:rsidRPr="00B64BF5">
        <w:rPr>
          <w:rFonts w:ascii="Cambria" w:hAnsi="Cambria"/>
          <w:sz w:val="16"/>
          <w:szCs w:val="16"/>
          <w:lang w:val="es-ES"/>
        </w:rPr>
        <w:t xml:space="preserve">Excepciones Preliminares, Fondo, Reparaciones y Costas. </w:t>
      </w:r>
      <w:r w:rsidRPr="00D53806">
        <w:rPr>
          <w:rFonts w:ascii="Cambria" w:hAnsi="Cambria"/>
          <w:sz w:val="16"/>
          <w:szCs w:val="16"/>
          <w:lang w:val="es-UY"/>
        </w:rPr>
        <w:t xml:space="preserve">Sentencia de 24 de noviembre de 2010. </w:t>
      </w:r>
      <w:r w:rsidRPr="002B3271">
        <w:rPr>
          <w:rFonts w:ascii="Cambria" w:hAnsi="Cambria"/>
          <w:sz w:val="16"/>
          <w:szCs w:val="16"/>
          <w:lang w:val="pt-BR"/>
        </w:rPr>
        <w:t xml:space="preserve">Serie C No. 219, párr. 85; </w:t>
      </w:r>
      <w:r w:rsidRPr="002B3271">
        <w:rPr>
          <w:rStyle w:val="Emphasis"/>
          <w:rFonts w:ascii="Cambria" w:hAnsi="Cambria" w:cs="Arial"/>
          <w:i w:val="0"/>
          <w:sz w:val="16"/>
          <w:szCs w:val="16"/>
          <w:lang w:val="pt-BR"/>
        </w:rPr>
        <w:t xml:space="preserve">Brasil. </w:t>
      </w:r>
      <w:r w:rsidRPr="00B64BF5">
        <w:rPr>
          <w:rStyle w:val="Emphasis"/>
          <w:rFonts w:ascii="Cambria" w:hAnsi="Cambria" w:cs="Arial"/>
          <w:i w:val="0"/>
          <w:sz w:val="16"/>
          <w:szCs w:val="16"/>
          <w:lang w:val="pt-BR"/>
        </w:rPr>
        <w:t>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2007, fls. 22.</w:t>
      </w:r>
    </w:p>
  </w:footnote>
  <w:footnote w:id="12">
    <w:p w:rsidR="00D53806" w:rsidRPr="006B64E9"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D53806">
        <w:rPr>
          <w:rFonts w:ascii="Cambria" w:hAnsi="Cambria"/>
          <w:i/>
          <w:sz w:val="16"/>
          <w:szCs w:val="16"/>
          <w:lang w:val="es-UY"/>
        </w:rPr>
        <w:t xml:space="preserve"> </w:t>
      </w:r>
      <w:r w:rsidRPr="00D53806">
        <w:rPr>
          <w:rFonts w:ascii="Cambria" w:hAnsi="Cambria"/>
          <w:sz w:val="16"/>
          <w:szCs w:val="16"/>
          <w:lang w:val="es-UY"/>
        </w:rPr>
        <w:t xml:space="preserve">Demanda de la Comisión Interamericana de Derechos Humanos ante la Corte Interamericana de Derechos Humanos contra la República Federativa de Brasil. </w:t>
      </w:r>
      <w:r w:rsidRPr="006B64E9">
        <w:rPr>
          <w:rFonts w:ascii="Cambria" w:hAnsi="Cambria"/>
          <w:sz w:val="16"/>
          <w:szCs w:val="16"/>
          <w:lang w:val="pt-BR"/>
        </w:rPr>
        <w:t>Caso 11,552</w:t>
      </w:r>
      <w:r w:rsidRPr="006B64E9">
        <w:rPr>
          <w:rFonts w:ascii="Cambria" w:hAnsi="Cambria"/>
          <w:i/>
          <w:sz w:val="16"/>
          <w:szCs w:val="16"/>
          <w:lang w:val="pt-BR"/>
        </w:rPr>
        <w:t xml:space="preserve"> </w:t>
      </w:r>
      <w:r w:rsidRPr="006B64E9">
        <w:rPr>
          <w:rFonts w:ascii="Cambria" w:hAnsi="Cambria"/>
          <w:i/>
          <w:sz w:val="16"/>
          <w:szCs w:val="16"/>
          <w:lang w:val="pt-BR"/>
        </w:rPr>
        <w:t xml:space="preserve">- Julia Gomes Lund y Otros (Guerrilha do Araguaia), </w:t>
      </w:r>
      <w:r w:rsidRPr="006B64E9">
        <w:rPr>
          <w:rFonts w:ascii="Cambria" w:hAnsi="Cambria"/>
          <w:sz w:val="16"/>
          <w:szCs w:val="16"/>
          <w:lang w:val="pt-BR"/>
        </w:rPr>
        <w:t>del 26 de marzo de 2009, párr.</w:t>
      </w:r>
      <w:r w:rsidRPr="006B64E9">
        <w:rPr>
          <w:rFonts w:ascii="Cambria" w:hAnsi="Cambria"/>
          <w:i/>
          <w:sz w:val="16"/>
          <w:szCs w:val="16"/>
          <w:lang w:val="pt-BR"/>
        </w:rPr>
        <w:t xml:space="preserve"> 53.  </w:t>
      </w:r>
    </w:p>
  </w:footnote>
  <w:footnote w:id="13">
    <w:p w:rsidR="00D53806" w:rsidRPr="00B64BF5" w:rsidRDefault="00D53806" w:rsidP="00B64BF5">
      <w:pPr>
        <w:pStyle w:val="FootnoteText"/>
        <w:ind w:firstLine="720"/>
        <w:jc w:val="both"/>
        <w:rPr>
          <w:rFonts w:ascii="Cambria" w:hAnsi="Cambria"/>
          <w:i/>
          <w:sz w:val="16"/>
          <w:szCs w:val="16"/>
          <w:lang w:val="es-ES"/>
        </w:rPr>
      </w:pPr>
      <w:r w:rsidRPr="00B64BF5">
        <w:rPr>
          <w:rStyle w:val="FootnoteReference"/>
          <w:rFonts w:ascii="Cambria" w:hAnsi="Cambria"/>
          <w:sz w:val="16"/>
          <w:szCs w:val="16"/>
        </w:rPr>
        <w:footnoteRef/>
      </w:r>
      <w:r w:rsidRPr="00D53806">
        <w:rPr>
          <w:rFonts w:ascii="Cambria" w:hAnsi="Cambria"/>
          <w:i/>
          <w:sz w:val="16"/>
          <w:szCs w:val="16"/>
          <w:lang w:val="es-UY"/>
        </w:rPr>
        <w:t xml:space="preserve"> </w:t>
      </w:r>
      <w:r w:rsidRPr="00D53806">
        <w:rPr>
          <w:rFonts w:ascii="Cambria" w:hAnsi="Cambria"/>
          <w:sz w:val="16"/>
          <w:szCs w:val="16"/>
          <w:lang w:val="es-UY"/>
        </w:rPr>
        <w:t xml:space="preserve">Corte IDH. </w:t>
      </w:r>
      <w:r w:rsidRPr="00D53806">
        <w:rPr>
          <w:rFonts w:ascii="Cambria" w:hAnsi="Cambria"/>
          <w:i/>
          <w:iCs/>
          <w:sz w:val="16"/>
          <w:szCs w:val="16"/>
          <w:lang w:val="es-UY"/>
        </w:rPr>
        <w:t xml:space="preserve">Caso </w:t>
      </w:r>
      <w:proofErr w:type="spellStart"/>
      <w:r w:rsidRPr="00D53806">
        <w:rPr>
          <w:rFonts w:ascii="Cambria" w:hAnsi="Cambria"/>
          <w:i/>
          <w:iCs/>
          <w:sz w:val="16"/>
          <w:szCs w:val="16"/>
          <w:lang w:val="es-UY"/>
        </w:rPr>
        <w:t>Goiburú</w:t>
      </w:r>
      <w:proofErr w:type="spellEnd"/>
      <w:r w:rsidRPr="00D53806">
        <w:rPr>
          <w:rFonts w:ascii="Cambria" w:hAnsi="Cambria"/>
          <w:i/>
          <w:iCs/>
          <w:sz w:val="16"/>
          <w:szCs w:val="16"/>
          <w:lang w:val="es-UY"/>
        </w:rPr>
        <w:t xml:space="preserve"> y otros Vs. </w:t>
      </w:r>
      <w:r w:rsidRPr="00B64BF5">
        <w:rPr>
          <w:rFonts w:ascii="Cambria" w:hAnsi="Cambria"/>
          <w:i/>
          <w:iCs/>
          <w:sz w:val="16"/>
          <w:szCs w:val="16"/>
          <w:lang w:val="es-ES"/>
        </w:rPr>
        <w:t>Paraguay</w:t>
      </w:r>
      <w:r w:rsidRPr="00B64BF5">
        <w:rPr>
          <w:rFonts w:ascii="Cambria" w:hAnsi="Cambria"/>
          <w:i/>
          <w:sz w:val="16"/>
          <w:szCs w:val="16"/>
          <w:lang w:val="es-ES"/>
        </w:rPr>
        <w:t xml:space="preserve">, </w:t>
      </w:r>
      <w:r w:rsidRPr="00B64BF5">
        <w:rPr>
          <w:rFonts w:ascii="Cambria" w:hAnsi="Cambria"/>
          <w:sz w:val="16"/>
          <w:szCs w:val="16"/>
          <w:lang w:val="es-ES"/>
        </w:rPr>
        <w:t>Sentencia de 22 de septiembre de 2006.</w:t>
      </w:r>
      <w:r w:rsidRPr="00B64BF5">
        <w:rPr>
          <w:rFonts w:ascii="Cambria" w:hAnsi="Cambria"/>
          <w:i/>
          <w:sz w:val="16"/>
          <w:szCs w:val="16"/>
          <w:lang w:val="es-ES"/>
        </w:rPr>
        <w:t xml:space="preserve"> Serie C No. 153, párr. 61.5.  </w:t>
      </w:r>
    </w:p>
  </w:footnote>
  <w:footnote w:id="14">
    <w:p w:rsidR="00D53806" w:rsidRPr="00B64BF5" w:rsidRDefault="00D53806" w:rsidP="00B64BF5">
      <w:pPr>
        <w:pStyle w:val="FootnoteText"/>
        <w:ind w:firstLine="720"/>
        <w:jc w:val="both"/>
        <w:rPr>
          <w:rFonts w:ascii="Cambria" w:hAnsi="Cambria"/>
          <w:i/>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Demanda de la Comisión Interamericana de Derechos Humanos ante la Corte Interamericana de Derechos Humanos contra la República Federativa de Brasil. </w:t>
      </w:r>
      <w:r w:rsidRPr="00B64BF5">
        <w:rPr>
          <w:rFonts w:ascii="Cambria" w:hAnsi="Cambria"/>
          <w:sz w:val="16"/>
          <w:szCs w:val="16"/>
          <w:lang w:val="pt-BR"/>
        </w:rPr>
        <w:t>Caso 11,552</w:t>
      </w:r>
      <w:r w:rsidRPr="00B64BF5">
        <w:rPr>
          <w:rFonts w:ascii="Cambria" w:hAnsi="Cambria"/>
          <w:i/>
          <w:sz w:val="16"/>
          <w:szCs w:val="16"/>
          <w:lang w:val="pt-BR"/>
        </w:rPr>
        <w:t xml:space="preserve"> </w:t>
      </w:r>
      <w:r w:rsidRPr="00B64BF5">
        <w:rPr>
          <w:rFonts w:ascii="Cambria" w:hAnsi="Cambria"/>
          <w:i/>
          <w:sz w:val="16"/>
          <w:szCs w:val="16"/>
          <w:lang w:val="pt-BR"/>
        </w:rPr>
        <w:t xml:space="preserve">- Julia Gomes Lund y Otros (Guerrilha do Araguaia), del 26 de marzo de 2009, párr. 54;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 xml:space="preserve">Verdade: Comissão Especial sobre Mortos e Desaparecidos Políticos. </w:t>
      </w:r>
      <w:proofErr w:type="spellStart"/>
      <w:r w:rsidRPr="00B64BF5">
        <w:rPr>
          <w:rStyle w:val="Emphasis"/>
          <w:rFonts w:ascii="Cambria" w:hAnsi="Cambria" w:cs="Arial"/>
          <w:i w:val="0"/>
          <w:sz w:val="16"/>
          <w:szCs w:val="16"/>
          <w:lang w:val="es-ES"/>
        </w:rPr>
        <w:t>Brasília</w:t>
      </w:r>
      <w:proofErr w:type="spellEnd"/>
      <w:r w:rsidRPr="00B64BF5">
        <w:rPr>
          <w:rStyle w:val="Emphasis"/>
          <w:rFonts w:ascii="Cambria" w:hAnsi="Cambria" w:cs="Arial"/>
          <w:i w:val="0"/>
          <w:sz w:val="16"/>
          <w:szCs w:val="16"/>
          <w:lang w:val="es-ES"/>
        </w:rPr>
        <w:t xml:space="preserve">, Secretaria Especial dos </w:t>
      </w:r>
      <w:proofErr w:type="spellStart"/>
      <w:r w:rsidRPr="00B64BF5">
        <w:rPr>
          <w:rStyle w:val="Emphasis"/>
          <w:rFonts w:ascii="Cambria" w:hAnsi="Cambria" w:cs="Arial"/>
          <w:i w:val="0"/>
          <w:sz w:val="16"/>
          <w:szCs w:val="16"/>
          <w:lang w:val="es-ES"/>
        </w:rPr>
        <w:t>Direitos</w:t>
      </w:r>
      <w:proofErr w:type="spellEnd"/>
      <w:r w:rsidRPr="00B64BF5">
        <w:rPr>
          <w:rStyle w:val="Emphasis"/>
          <w:rFonts w:ascii="Cambria" w:hAnsi="Cambria" w:cs="Arial"/>
          <w:i w:val="0"/>
          <w:sz w:val="16"/>
          <w:szCs w:val="16"/>
          <w:lang w:val="es-ES"/>
        </w:rPr>
        <w:t xml:space="preserve"> Humanos, 2007, </w:t>
      </w:r>
      <w:proofErr w:type="spellStart"/>
      <w:r w:rsidRPr="00B64BF5">
        <w:rPr>
          <w:rStyle w:val="Emphasis"/>
          <w:rFonts w:ascii="Cambria" w:hAnsi="Cambria" w:cs="Arial"/>
          <w:i w:val="0"/>
          <w:sz w:val="16"/>
          <w:szCs w:val="16"/>
          <w:lang w:val="es-ES"/>
        </w:rPr>
        <w:t>fls</w:t>
      </w:r>
      <w:proofErr w:type="spellEnd"/>
      <w:r w:rsidRPr="00B64BF5">
        <w:rPr>
          <w:rStyle w:val="Emphasis"/>
          <w:rFonts w:ascii="Cambria" w:hAnsi="Cambria" w:cs="Arial"/>
          <w:i w:val="0"/>
          <w:sz w:val="16"/>
          <w:szCs w:val="16"/>
          <w:lang w:val="es-ES"/>
        </w:rPr>
        <w:t>. 19.</w:t>
      </w:r>
    </w:p>
  </w:footnote>
  <w:footnote w:id="15">
    <w:p w:rsidR="00D53806" w:rsidRPr="00B64BF5" w:rsidRDefault="00D53806" w:rsidP="00B64BF5">
      <w:pPr>
        <w:pStyle w:val="FootnoteText"/>
        <w:ind w:firstLine="720"/>
        <w:jc w:val="both"/>
        <w:rPr>
          <w:rFonts w:ascii="Cambria" w:hAnsi="Cambria"/>
          <w:i/>
          <w:sz w:val="16"/>
          <w:szCs w:val="16"/>
          <w:lang w:val="es-ES"/>
        </w:rPr>
      </w:pPr>
      <w:r w:rsidRPr="00B64BF5">
        <w:rPr>
          <w:rStyle w:val="FootnoteReference"/>
          <w:rFonts w:ascii="Cambria" w:hAnsi="Cambria"/>
          <w:sz w:val="16"/>
          <w:szCs w:val="16"/>
        </w:rPr>
        <w:footnoteRef/>
      </w:r>
      <w:r w:rsidRPr="00B64BF5">
        <w:rPr>
          <w:rFonts w:ascii="Cambria" w:hAnsi="Cambria"/>
          <w:i/>
          <w:sz w:val="16"/>
          <w:szCs w:val="16"/>
          <w:lang w:val="es-ES"/>
        </w:rPr>
        <w:t xml:space="preserve"> </w:t>
      </w:r>
      <w:r w:rsidRPr="00B64BF5">
        <w:rPr>
          <w:rFonts w:ascii="Cambria" w:hAnsi="Cambria"/>
          <w:sz w:val="16"/>
          <w:szCs w:val="16"/>
          <w:lang w:val="es-ES"/>
        </w:rPr>
        <w:t>Los Actos Institucionales eran normas de excepción emitidas a través de Decretos del Poder Ejecutivo, es decir, del propio gobierno militar, que podían incluso reformar materia constitucional, otorgándole al régimen total libertad para cambiar o suspender derechos establecidos en la Constitución de 1946. Demanda de la Comisión Interamericana de Derechos Humanos ante la Corte Interamericana de Derechos Humanos contra la República Federativa de Brasil. Caso 11,552</w:t>
      </w:r>
      <w:r w:rsidRPr="00B64BF5">
        <w:rPr>
          <w:rFonts w:ascii="Cambria" w:hAnsi="Cambria"/>
          <w:i/>
          <w:sz w:val="16"/>
          <w:szCs w:val="16"/>
          <w:lang w:val="es-ES"/>
        </w:rPr>
        <w:t xml:space="preserve"> - Julia Gomes </w:t>
      </w:r>
      <w:proofErr w:type="spellStart"/>
      <w:r w:rsidRPr="00B64BF5">
        <w:rPr>
          <w:rFonts w:ascii="Cambria" w:hAnsi="Cambria"/>
          <w:i/>
          <w:sz w:val="16"/>
          <w:szCs w:val="16"/>
          <w:lang w:val="es-ES"/>
        </w:rPr>
        <w:t>Lund</w:t>
      </w:r>
      <w:proofErr w:type="spellEnd"/>
      <w:r w:rsidRPr="00B64BF5">
        <w:rPr>
          <w:rFonts w:ascii="Cambria" w:hAnsi="Cambria"/>
          <w:i/>
          <w:sz w:val="16"/>
          <w:szCs w:val="16"/>
          <w:lang w:val="es-ES"/>
        </w:rPr>
        <w:t xml:space="preserve"> y Otros (</w:t>
      </w:r>
      <w:proofErr w:type="spellStart"/>
      <w:r w:rsidRPr="00B64BF5">
        <w:rPr>
          <w:rFonts w:ascii="Cambria" w:hAnsi="Cambria"/>
          <w:i/>
          <w:sz w:val="16"/>
          <w:szCs w:val="16"/>
          <w:lang w:val="es-ES"/>
        </w:rPr>
        <w:t>Guerrilha</w:t>
      </w:r>
      <w:proofErr w:type="spellEnd"/>
      <w:r w:rsidRPr="00B64BF5">
        <w:rPr>
          <w:rFonts w:ascii="Cambria" w:hAnsi="Cambria"/>
          <w:i/>
          <w:sz w:val="16"/>
          <w:szCs w:val="16"/>
          <w:lang w:val="es-ES"/>
        </w:rPr>
        <w:t xml:space="preserve"> do </w:t>
      </w:r>
      <w:proofErr w:type="spellStart"/>
      <w:r w:rsidRPr="00B64BF5">
        <w:rPr>
          <w:rFonts w:ascii="Cambria" w:hAnsi="Cambria"/>
          <w:i/>
          <w:sz w:val="16"/>
          <w:szCs w:val="16"/>
          <w:lang w:val="es-ES"/>
        </w:rPr>
        <w:t>Araguaia</w:t>
      </w:r>
      <w:proofErr w:type="spellEnd"/>
      <w:r w:rsidRPr="00B64BF5">
        <w:rPr>
          <w:rFonts w:ascii="Cambria" w:hAnsi="Cambria"/>
          <w:i/>
          <w:sz w:val="16"/>
          <w:szCs w:val="16"/>
          <w:lang w:val="es-ES"/>
        </w:rPr>
        <w:t xml:space="preserve">), </w:t>
      </w:r>
      <w:r w:rsidRPr="00B64BF5">
        <w:rPr>
          <w:rFonts w:ascii="Cambria" w:hAnsi="Cambria"/>
          <w:sz w:val="16"/>
          <w:szCs w:val="16"/>
          <w:lang w:val="es-ES"/>
        </w:rPr>
        <w:t>del 26 de marzo de 2009, párr. 54.</w:t>
      </w:r>
    </w:p>
  </w:footnote>
  <w:footnote w:id="1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i/>
          <w:sz w:val="16"/>
          <w:szCs w:val="16"/>
          <w:lang w:val="es-ES"/>
        </w:rPr>
        <w:t xml:space="preserve"> </w:t>
      </w:r>
      <w:r w:rsidRPr="00B64BF5">
        <w:rPr>
          <w:rFonts w:ascii="Cambria" w:hAnsi="Cambria"/>
          <w:sz w:val="16"/>
          <w:szCs w:val="16"/>
          <w:lang w:val="es-ES"/>
        </w:rPr>
        <w:t xml:space="preserve">Demanda de la Comisión Interamericana de Derechos Humanos ante la Corte Interamericana de Derechos Humanos contra la República Federativa de Brasil. </w:t>
      </w:r>
      <w:r w:rsidRPr="00B64BF5">
        <w:rPr>
          <w:rFonts w:ascii="Cambria" w:hAnsi="Cambria"/>
          <w:sz w:val="16"/>
          <w:szCs w:val="16"/>
          <w:lang w:val="pt-BR"/>
        </w:rPr>
        <w:t xml:space="preserve">Caso 11,552 </w:t>
      </w:r>
      <w:r w:rsidRPr="00B64BF5">
        <w:rPr>
          <w:rFonts w:ascii="Cambria" w:hAnsi="Cambria"/>
          <w:i/>
          <w:sz w:val="16"/>
          <w:szCs w:val="16"/>
          <w:lang w:val="pt-BR"/>
        </w:rPr>
        <w:t xml:space="preserve">- Julia Gomes Lund y Otros (Guerrilha do Araguaia), </w:t>
      </w:r>
      <w:r w:rsidRPr="00B64BF5">
        <w:rPr>
          <w:rFonts w:ascii="Cambria" w:hAnsi="Cambria"/>
          <w:sz w:val="16"/>
          <w:szCs w:val="16"/>
          <w:lang w:val="pt-BR"/>
        </w:rPr>
        <w:t xml:space="preserve">del 26 de marzo de 2009, párr. 59; </w:t>
      </w:r>
      <w:r w:rsidRPr="00B64BF5">
        <w:rPr>
          <w:rStyle w:val="Emphasis"/>
          <w:rFonts w:ascii="Cambria" w:hAnsi="Cambria" w:cs="Arial"/>
          <w:i w:val="0"/>
          <w:sz w:val="16"/>
          <w:szCs w:val="16"/>
          <w:lang w:val="pt-BR"/>
        </w:rPr>
        <w:t xml:space="preserve">GASPARI, Elio. A Ditadura Envergonhada. São Paulo, Companhia das Letras, 2004, fls. </w:t>
      </w:r>
      <w:r w:rsidRPr="00B64BF5">
        <w:rPr>
          <w:rFonts w:ascii="Cambria" w:hAnsi="Cambria"/>
          <w:i/>
          <w:sz w:val="16"/>
          <w:szCs w:val="16"/>
          <w:lang w:val="pt-BR"/>
        </w:rPr>
        <w:t>277-283</w:t>
      </w:r>
      <w:r w:rsidRPr="00B64BF5">
        <w:rPr>
          <w:rFonts w:ascii="Cambria" w:hAnsi="Cambria"/>
          <w:sz w:val="16"/>
          <w:szCs w:val="16"/>
          <w:lang w:val="pt-BR"/>
        </w:rPr>
        <w:t>; y</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2007, fls. 24 y 25.</w:t>
      </w:r>
      <w:r w:rsidRPr="00B64BF5">
        <w:rPr>
          <w:rStyle w:val="Emphasis"/>
          <w:rFonts w:ascii="Cambria" w:hAnsi="Cambria" w:cs="Arial"/>
          <w:sz w:val="16"/>
          <w:szCs w:val="16"/>
          <w:lang w:val="pt-BR"/>
        </w:rPr>
        <w:t xml:space="preserve"> </w:t>
      </w:r>
    </w:p>
  </w:footnote>
  <w:footnote w:id="17">
    <w:p w:rsidR="00D53806" w:rsidRPr="001F21D0"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D53806">
        <w:rPr>
          <w:rFonts w:ascii="Cambria" w:hAnsi="Cambria"/>
          <w:sz w:val="16"/>
          <w:szCs w:val="16"/>
          <w:lang w:val="es-UY"/>
        </w:rPr>
        <w:t xml:space="preserve"> Demanda de la Comisión Interamericana de Derechos Humanos ante la Corte Interamericana de Derechos Humanos contra la República Federativa de Brasil. </w:t>
      </w:r>
      <w:r w:rsidRPr="00D53806">
        <w:rPr>
          <w:rFonts w:ascii="Cambria" w:hAnsi="Cambria"/>
          <w:i/>
          <w:sz w:val="16"/>
          <w:szCs w:val="16"/>
          <w:lang w:val="es-UY"/>
        </w:rPr>
        <w:t xml:space="preserve">Caso 11,552 - Julia Gomes </w:t>
      </w:r>
      <w:proofErr w:type="spellStart"/>
      <w:r w:rsidRPr="00D53806">
        <w:rPr>
          <w:rFonts w:ascii="Cambria" w:hAnsi="Cambria"/>
          <w:i/>
          <w:sz w:val="16"/>
          <w:szCs w:val="16"/>
          <w:lang w:val="es-UY"/>
        </w:rPr>
        <w:t>Lund</w:t>
      </w:r>
      <w:proofErr w:type="spellEnd"/>
      <w:r w:rsidRPr="00D53806">
        <w:rPr>
          <w:rFonts w:ascii="Cambria" w:hAnsi="Cambria"/>
          <w:i/>
          <w:sz w:val="16"/>
          <w:szCs w:val="16"/>
          <w:lang w:val="es-UY"/>
        </w:rPr>
        <w:t xml:space="preserve"> y Otros (</w:t>
      </w:r>
      <w:proofErr w:type="spellStart"/>
      <w:r w:rsidRPr="00D53806">
        <w:rPr>
          <w:rFonts w:ascii="Cambria" w:hAnsi="Cambria"/>
          <w:i/>
          <w:sz w:val="16"/>
          <w:szCs w:val="16"/>
          <w:lang w:val="es-UY"/>
        </w:rPr>
        <w:t>Guerrilha</w:t>
      </w:r>
      <w:proofErr w:type="spellEnd"/>
      <w:r w:rsidRPr="00D53806">
        <w:rPr>
          <w:rFonts w:ascii="Cambria" w:hAnsi="Cambria"/>
          <w:i/>
          <w:sz w:val="16"/>
          <w:szCs w:val="16"/>
          <w:lang w:val="es-UY"/>
        </w:rPr>
        <w:t xml:space="preserve"> do </w:t>
      </w:r>
      <w:proofErr w:type="spellStart"/>
      <w:r w:rsidRPr="00D53806">
        <w:rPr>
          <w:rFonts w:ascii="Cambria" w:hAnsi="Cambria"/>
          <w:i/>
          <w:sz w:val="16"/>
          <w:szCs w:val="16"/>
          <w:lang w:val="es-UY"/>
        </w:rPr>
        <w:t>Araguaia</w:t>
      </w:r>
      <w:proofErr w:type="spellEnd"/>
      <w:r w:rsidRPr="00D53806">
        <w:rPr>
          <w:rFonts w:ascii="Cambria" w:hAnsi="Cambria"/>
          <w:i/>
          <w:sz w:val="16"/>
          <w:szCs w:val="16"/>
          <w:lang w:val="es-UY"/>
        </w:rPr>
        <w:t>),</w:t>
      </w:r>
      <w:r w:rsidRPr="00D53806">
        <w:rPr>
          <w:rFonts w:ascii="Cambria" w:hAnsi="Cambria"/>
          <w:sz w:val="16"/>
          <w:szCs w:val="16"/>
          <w:lang w:val="es-UY"/>
        </w:rPr>
        <w:t xml:space="preserve"> del 26 de marzo de 2009, párr. </w:t>
      </w:r>
      <w:r w:rsidRPr="001F21D0">
        <w:rPr>
          <w:rFonts w:ascii="Cambria" w:hAnsi="Cambria"/>
          <w:sz w:val="16"/>
          <w:szCs w:val="16"/>
          <w:lang w:val="es-ES"/>
        </w:rPr>
        <w:t xml:space="preserve">60. </w:t>
      </w:r>
    </w:p>
  </w:footnote>
  <w:footnote w:id="18">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845EA8">
        <w:rPr>
          <w:rFonts w:ascii="Cambria" w:hAnsi="Cambria"/>
          <w:sz w:val="16"/>
          <w:szCs w:val="16"/>
          <w:lang w:val="es-ES"/>
        </w:rPr>
        <w:t xml:space="preserve"> Demanda de la Comisión Interamericana de Derechos Humanos ante la Corte Interamericana de Derechos Humanos contra la República Federativa de Brasil. </w:t>
      </w:r>
      <w:r w:rsidRPr="00845EA8">
        <w:rPr>
          <w:rFonts w:ascii="Cambria" w:hAnsi="Cambria"/>
          <w:i/>
          <w:sz w:val="16"/>
          <w:szCs w:val="16"/>
          <w:lang w:val="es-ES"/>
        </w:rPr>
        <w:t xml:space="preserve">Caso 11,552 - Julia Gomes </w:t>
      </w:r>
      <w:proofErr w:type="spellStart"/>
      <w:r w:rsidRPr="00845EA8">
        <w:rPr>
          <w:rFonts w:ascii="Cambria" w:hAnsi="Cambria"/>
          <w:i/>
          <w:sz w:val="16"/>
          <w:szCs w:val="16"/>
          <w:lang w:val="es-ES"/>
        </w:rPr>
        <w:t>Lund</w:t>
      </w:r>
      <w:proofErr w:type="spellEnd"/>
      <w:r w:rsidRPr="00845EA8">
        <w:rPr>
          <w:rFonts w:ascii="Cambria" w:hAnsi="Cambria"/>
          <w:i/>
          <w:sz w:val="16"/>
          <w:szCs w:val="16"/>
          <w:lang w:val="es-ES"/>
        </w:rPr>
        <w:t xml:space="preserve"> y Otros (</w:t>
      </w:r>
      <w:proofErr w:type="spellStart"/>
      <w:r w:rsidRPr="00845EA8">
        <w:rPr>
          <w:rFonts w:ascii="Cambria" w:hAnsi="Cambria"/>
          <w:i/>
          <w:sz w:val="16"/>
          <w:szCs w:val="16"/>
          <w:lang w:val="es-ES"/>
        </w:rPr>
        <w:t>Guerrilha</w:t>
      </w:r>
      <w:proofErr w:type="spellEnd"/>
      <w:r w:rsidRPr="00845EA8">
        <w:rPr>
          <w:rFonts w:ascii="Cambria" w:hAnsi="Cambria"/>
          <w:i/>
          <w:sz w:val="16"/>
          <w:szCs w:val="16"/>
          <w:lang w:val="es-ES"/>
        </w:rPr>
        <w:t xml:space="preserve"> do </w:t>
      </w:r>
      <w:proofErr w:type="spellStart"/>
      <w:r w:rsidRPr="00845EA8">
        <w:rPr>
          <w:rFonts w:ascii="Cambria" w:hAnsi="Cambria"/>
          <w:i/>
          <w:sz w:val="16"/>
          <w:szCs w:val="16"/>
          <w:lang w:val="es-ES"/>
        </w:rPr>
        <w:t>Araguaia</w:t>
      </w:r>
      <w:proofErr w:type="spellEnd"/>
      <w:r w:rsidRPr="00845EA8">
        <w:rPr>
          <w:rFonts w:ascii="Cambria" w:hAnsi="Cambria"/>
          <w:i/>
          <w:sz w:val="16"/>
          <w:szCs w:val="16"/>
          <w:lang w:val="es-ES"/>
        </w:rPr>
        <w:t>),</w:t>
      </w:r>
      <w:r w:rsidRPr="00845EA8">
        <w:rPr>
          <w:rFonts w:ascii="Cambria" w:hAnsi="Cambria"/>
          <w:sz w:val="16"/>
          <w:szCs w:val="16"/>
          <w:lang w:val="es-ES"/>
        </w:rPr>
        <w:t xml:space="preserve"> del 26 de marzo de 2009, párr. 60; Véase también: </w:t>
      </w:r>
      <w:r w:rsidRPr="00845EA8">
        <w:rPr>
          <w:rStyle w:val="Emphasis"/>
          <w:rFonts w:ascii="Cambria" w:hAnsi="Cambria" w:cs="Arial"/>
          <w:i w:val="0"/>
          <w:sz w:val="16"/>
          <w:szCs w:val="16"/>
          <w:lang w:val="es-ES"/>
        </w:rPr>
        <w:t>GASPARI, Elio.</w:t>
      </w:r>
      <w:r w:rsidRPr="00845EA8">
        <w:rPr>
          <w:rStyle w:val="Emphasis"/>
          <w:rFonts w:ascii="Cambria" w:hAnsi="Cambria" w:cs="Arial"/>
          <w:sz w:val="16"/>
          <w:szCs w:val="16"/>
          <w:lang w:val="es-ES"/>
        </w:rPr>
        <w:t xml:space="preserve"> A </w:t>
      </w:r>
      <w:proofErr w:type="spellStart"/>
      <w:r w:rsidRPr="00845EA8">
        <w:rPr>
          <w:rStyle w:val="Emphasis"/>
          <w:rFonts w:ascii="Cambria" w:hAnsi="Cambria" w:cs="Arial"/>
          <w:sz w:val="16"/>
          <w:szCs w:val="16"/>
          <w:lang w:val="es-ES"/>
        </w:rPr>
        <w:t>Ditadura</w:t>
      </w:r>
      <w:proofErr w:type="spellEnd"/>
      <w:r w:rsidRPr="00845EA8">
        <w:rPr>
          <w:rStyle w:val="Emphasis"/>
          <w:rFonts w:ascii="Cambria" w:hAnsi="Cambria" w:cs="Arial"/>
          <w:sz w:val="16"/>
          <w:szCs w:val="16"/>
          <w:lang w:val="es-ES"/>
        </w:rPr>
        <w:t xml:space="preserve"> </w:t>
      </w:r>
      <w:proofErr w:type="spellStart"/>
      <w:r w:rsidRPr="00845EA8">
        <w:rPr>
          <w:rStyle w:val="Emphasis"/>
          <w:rFonts w:ascii="Cambria" w:hAnsi="Cambria" w:cs="Arial"/>
          <w:sz w:val="16"/>
          <w:szCs w:val="16"/>
          <w:lang w:val="es-ES"/>
        </w:rPr>
        <w:t>Envergonhada</w:t>
      </w:r>
      <w:proofErr w:type="spellEnd"/>
      <w:r w:rsidRPr="00845EA8">
        <w:rPr>
          <w:rStyle w:val="Emphasis"/>
          <w:rFonts w:ascii="Cambria" w:hAnsi="Cambria" w:cs="Arial"/>
          <w:sz w:val="16"/>
          <w:szCs w:val="16"/>
          <w:lang w:val="es-ES"/>
        </w:rPr>
        <w:t xml:space="preserve">. </w:t>
      </w:r>
      <w:r w:rsidRPr="00B64BF5">
        <w:rPr>
          <w:rStyle w:val="Emphasis"/>
          <w:rFonts w:ascii="Cambria" w:hAnsi="Cambria" w:cs="Arial"/>
          <w:i w:val="0"/>
          <w:sz w:val="16"/>
          <w:szCs w:val="16"/>
          <w:lang w:val="pt-BR"/>
        </w:rPr>
        <w:t>São Paulo, Companhia das Letras, 2004, fls.</w:t>
      </w:r>
      <w:r w:rsidRPr="00B64BF5">
        <w:rPr>
          <w:rFonts w:ascii="Cambria" w:hAnsi="Cambria"/>
          <w:i/>
          <w:sz w:val="16"/>
          <w:szCs w:val="16"/>
          <w:lang w:val="pt-BR"/>
        </w:rPr>
        <w:t xml:space="preserve">340; y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2007, fls</w:t>
      </w:r>
      <w:r w:rsidRPr="00B64BF5">
        <w:rPr>
          <w:rFonts w:ascii="Cambria" w:hAnsi="Cambria"/>
          <w:i/>
          <w:sz w:val="16"/>
          <w:szCs w:val="16"/>
          <w:lang w:val="pt-BR"/>
        </w:rPr>
        <w:t xml:space="preserve">. 26.  </w:t>
      </w:r>
    </w:p>
  </w:footnote>
  <w:footnote w:id="1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D53806">
        <w:rPr>
          <w:rFonts w:ascii="Cambria" w:hAnsi="Cambria"/>
          <w:sz w:val="16"/>
          <w:szCs w:val="16"/>
          <w:lang w:val="es-UY"/>
        </w:rPr>
        <w:t xml:space="preserve"> Demanda de la Comisión Interamericana de Derechos Humanos ante la Corte Interamericana de Derechos Humanos contra la República Federativa de Brasil. </w:t>
      </w:r>
      <w:r w:rsidRPr="00B64BF5">
        <w:rPr>
          <w:rFonts w:ascii="Cambria" w:hAnsi="Cambria"/>
          <w:i/>
          <w:sz w:val="16"/>
          <w:szCs w:val="16"/>
          <w:lang w:val="pt-BR"/>
        </w:rPr>
        <w:t xml:space="preserve">Caso 11,552 </w:t>
      </w:r>
      <w:r w:rsidRPr="00B64BF5">
        <w:rPr>
          <w:rFonts w:ascii="Cambria" w:hAnsi="Cambria"/>
          <w:i/>
          <w:sz w:val="16"/>
          <w:szCs w:val="16"/>
          <w:lang w:val="pt-BR"/>
        </w:rPr>
        <w:t>- Julia Gomes Lund y Otros (Guerrilha do Araguaia),</w:t>
      </w:r>
      <w:r w:rsidRPr="00B64BF5">
        <w:rPr>
          <w:rFonts w:ascii="Cambria" w:hAnsi="Cambria"/>
          <w:sz w:val="16"/>
          <w:szCs w:val="16"/>
          <w:lang w:val="pt-BR"/>
        </w:rPr>
        <w:t xml:space="preserve"> del 26 de marzo de 2009, párr. 63. </w:t>
      </w:r>
    </w:p>
  </w:footnote>
  <w:footnote w:id="2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w:t>
      </w:r>
      <w:r w:rsidRPr="00B64BF5">
        <w:rPr>
          <w:rStyle w:val="Emphasis"/>
          <w:rFonts w:ascii="Cambria" w:hAnsi="Cambria" w:cs="Arial"/>
          <w:sz w:val="16"/>
          <w:szCs w:val="16"/>
          <w:lang w:val="pt-BR"/>
        </w:rPr>
        <w:t xml:space="preserve"> Volume I. Parte II, “</w:t>
      </w:r>
      <w:r w:rsidRPr="00B64BF5">
        <w:rPr>
          <w:rStyle w:val="Strong"/>
          <w:rFonts w:ascii="Cambria" w:hAnsi="Cambria"/>
          <w:b w:val="0"/>
          <w:color w:val="222222"/>
          <w:sz w:val="16"/>
          <w:szCs w:val="16"/>
          <w:lang w:val="pt-BR"/>
        </w:rPr>
        <w:t>As estruturas do Estado e as graves violações de direitos humanos”,</w:t>
      </w:r>
      <w:r w:rsidRPr="00B64BF5">
        <w:rPr>
          <w:rStyle w:val="Strong"/>
          <w:rFonts w:ascii="Cambria" w:hAnsi="Cambria"/>
          <w:color w:val="222222"/>
          <w:sz w:val="16"/>
          <w:szCs w:val="16"/>
          <w:lang w:val="pt-BR"/>
        </w:rPr>
        <w:t xml:space="preserve"> </w:t>
      </w:r>
      <w:r w:rsidRPr="00B64BF5">
        <w:rPr>
          <w:rFonts w:ascii="Cambria" w:hAnsi="Cambria"/>
          <w:color w:val="222222"/>
          <w:sz w:val="16"/>
          <w:szCs w:val="16"/>
          <w:lang w:val="pt-BR"/>
        </w:rPr>
        <w:t>Capítulo 4 – Órgãos e procedimentos da repressão política.</w:t>
      </w:r>
      <w:r w:rsidRPr="00B64BF5">
        <w:rPr>
          <w:rStyle w:val="Emphasis"/>
          <w:rFonts w:ascii="Cambria" w:hAnsi="Cambria" w:cs="Arial"/>
          <w:sz w:val="16"/>
          <w:szCs w:val="16"/>
          <w:lang w:val="pt-BR"/>
        </w:rPr>
        <w:t xml:space="preserve"> </w:t>
      </w:r>
      <w:r w:rsidRPr="00B64BF5">
        <w:rPr>
          <w:rFonts w:ascii="Cambria" w:eastAsiaTheme="minorHAnsi" w:hAnsi="Cambria" w:cs="AGaramondPro-Italic-SC700"/>
          <w:i/>
          <w:iCs/>
          <w:sz w:val="16"/>
          <w:szCs w:val="16"/>
          <w:lang w:val="pt-BR" w:eastAsia="en-US"/>
        </w:rPr>
        <w:t xml:space="preserve">fls </w:t>
      </w:r>
      <w:r w:rsidRPr="00B64BF5">
        <w:rPr>
          <w:rFonts w:ascii="Cambria" w:hAnsi="Cambria"/>
          <w:sz w:val="16"/>
          <w:szCs w:val="16"/>
          <w:lang w:val="pt-BR"/>
        </w:rPr>
        <w:t xml:space="preserve">112, párr. 1,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1">
    <w:p w:rsidR="00D53806" w:rsidRPr="00B64BF5" w:rsidRDefault="00D53806" w:rsidP="00B64BF5">
      <w:pPr>
        <w:autoSpaceDE w:val="0"/>
        <w:autoSpaceDN w:val="0"/>
        <w:adjustRightInd w:val="0"/>
        <w:spacing w:after="0" w:line="240" w:lineRule="auto"/>
        <w:ind w:firstLine="720"/>
        <w:jc w:val="both"/>
        <w:rPr>
          <w:rFonts w:ascii="Cambria" w:eastAsiaTheme="minorHAnsi" w:hAnsi="Cambria" w:cs="AGaramondPro-Regular"/>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w:t>
      </w:r>
      <w:r w:rsidRPr="00B64BF5">
        <w:rPr>
          <w:rFonts w:ascii="Cambria" w:eastAsiaTheme="minorHAnsi" w:hAnsi="Cambria" w:cs="AGaramondPro-Regular"/>
          <w:sz w:val="16"/>
          <w:szCs w:val="16"/>
          <w:lang w:val="pt-BR"/>
        </w:rPr>
        <w:t xml:space="preserve">unidades de inteligência, especializadas em operações e subordinadas aos comandantes de cada força. Os DOI-CODI eram comandados por oficial do Exército”.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 Parte II,</w:t>
      </w:r>
      <w:r w:rsidRPr="00B64BF5">
        <w:rPr>
          <w:rStyle w:val="Emphasis"/>
          <w:rFonts w:ascii="Cambria" w:hAnsi="Cambria" w:cs="Arial"/>
          <w:sz w:val="16"/>
          <w:szCs w:val="16"/>
          <w:lang w:val="pt-BR"/>
        </w:rPr>
        <w:t xml:space="preserve"> “</w:t>
      </w:r>
      <w:r w:rsidRPr="00B64BF5">
        <w:rPr>
          <w:rStyle w:val="Strong"/>
          <w:rFonts w:ascii="Cambria" w:hAnsi="Cambria"/>
          <w:b w:val="0"/>
          <w:color w:val="222222"/>
          <w:sz w:val="16"/>
          <w:szCs w:val="16"/>
          <w:lang w:val="pt-BR"/>
        </w:rPr>
        <w:t>As estruturas do Estado e as graves violações de direitos humanos”,</w:t>
      </w:r>
      <w:r w:rsidRPr="00B64BF5">
        <w:rPr>
          <w:rStyle w:val="Strong"/>
          <w:rFonts w:ascii="Cambria" w:hAnsi="Cambria"/>
          <w:color w:val="222222"/>
          <w:sz w:val="16"/>
          <w:szCs w:val="16"/>
          <w:lang w:val="pt-BR"/>
        </w:rPr>
        <w:t xml:space="preserve"> </w:t>
      </w:r>
      <w:r w:rsidRPr="00B64BF5">
        <w:rPr>
          <w:rFonts w:ascii="Cambria" w:hAnsi="Cambria"/>
          <w:color w:val="222222"/>
          <w:sz w:val="16"/>
          <w:szCs w:val="16"/>
          <w:lang w:val="pt-BR"/>
        </w:rPr>
        <w:t>Capítulo 4 – Órgãos e procedimentos da repressão política,</w:t>
      </w:r>
      <w:r w:rsidRPr="00B64BF5">
        <w:rPr>
          <w:rFonts w:ascii="Cambria" w:hAnsi="Cambria"/>
          <w:sz w:val="16"/>
          <w:szCs w:val="16"/>
          <w:lang w:val="pt-BR"/>
        </w:rPr>
        <w:t xml:space="preserve"> (B) </w:t>
      </w:r>
      <w:r w:rsidRPr="00B64BF5">
        <w:rPr>
          <w:rFonts w:ascii="Cambria" w:eastAsiaTheme="minorHAnsi" w:hAnsi="Cambria" w:cs="AGaramondPro-Bold-SC700"/>
          <w:bCs/>
          <w:sz w:val="16"/>
          <w:szCs w:val="16"/>
          <w:lang w:val="pt-BR"/>
        </w:rPr>
        <w:t xml:space="preserve">Órgãos de </w:t>
      </w:r>
      <w:r w:rsidRPr="00B64BF5">
        <w:rPr>
          <w:rFonts w:ascii="Cambria" w:eastAsiaTheme="minorHAnsi" w:hAnsi="Cambria" w:cs="AGaramondPro-Bold-SC700"/>
          <w:bCs/>
          <w:sz w:val="16"/>
          <w:szCs w:val="16"/>
          <w:lang w:val="pt-BR"/>
        </w:rPr>
        <w:t xml:space="preserve">repressão do Exército, </w:t>
      </w:r>
      <w:r w:rsidRPr="00B64BF5">
        <w:rPr>
          <w:rFonts w:ascii="Cambria" w:eastAsiaTheme="minorHAnsi" w:hAnsi="Cambria" w:cs="AGaramondPro-Italic-SC700"/>
          <w:i/>
          <w:iCs/>
          <w:sz w:val="16"/>
          <w:szCs w:val="16"/>
          <w:lang w:val="pt-BR"/>
        </w:rPr>
        <w:t xml:space="preserve">fls </w:t>
      </w:r>
      <w:r w:rsidRPr="00B64BF5">
        <w:rPr>
          <w:rFonts w:ascii="Cambria" w:hAnsi="Cambria"/>
          <w:sz w:val="16"/>
          <w:szCs w:val="16"/>
          <w:lang w:val="pt-BR"/>
        </w:rPr>
        <w:t xml:space="preserve">138, párr. </w:t>
      </w:r>
      <w:r w:rsidRPr="00B64BF5">
        <w:rPr>
          <w:rFonts w:ascii="Cambria" w:hAnsi="Cambria"/>
          <w:sz w:val="16"/>
          <w:szCs w:val="16"/>
          <w:lang w:val="pt-BR"/>
        </w:rPr>
        <w:t xml:space="preserve">101,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PEREIRA, </w:t>
      </w:r>
      <w:r w:rsidRPr="00B64BF5">
        <w:rPr>
          <w:rFonts w:ascii="Cambria" w:hAnsi="Cambria"/>
          <w:sz w:val="16"/>
          <w:szCs w:val="16"/>
          <w:lang w:val="pt-BR"/>
        </w:rPr>
        <w:t xml:space="preserve">Freddie Perdigão. O Destacamento de Operações de Informações (DOI) – Histórico Penal no Combate a Subversão – Situação Atual e Perspectivas. Monografia. Escola de Comando e Estado Maior do Exército, Rio de Janeiro, 1977, fls. 20. </w:t>
      </w:r>
    </w:p>
  </w:footnote>
  <w:footnote w:id="2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 Parte II</w:t>
      </w:r>
      <w:r w:rsidRPr="00B64BF5">
        <w:rPr>
          <w:rStyle w:val="Emphasis"/>
          <w:rFonts w:ascii="Cambria" w:hAnsi="Cambria" w:cs="Arial"/>
          <w:sz w:val="16"/>
          <w:szCs w:val="16"/>
          <w:lang w:val="pt-BR"/>
        </w:rPr>
        <w:t>, “</w:t>
      </w:r>
      <w:r w:rsidRPr="00B64BF5">
        <w:rPr>
          <w:rStyle w:val="Strong"/>
          <w:rFonts w:ascii="Cambria" w:hAnsi="Cambria"/>
          <w:b w:val="0"/>
          <w:color w:val="222222"/>
          <w:sz w:val="16"/>
          <w:szCs w:val="16"/>
          <w:lang w:val="pt-BR"/>
        </w:rPr>
        <w:t>As estruturas do Estado e as graves violações de direitos humanos</w:t>
      </w:r>
      <w:r w:rsidRPr="00B64BF5">
        <w:rPr>
          <w:rStyle w:val="Strong"/>
          <w:rFonts w:ascii="Cambria" w:hAnsi="Cambria"/>
          <w:color w:val="222222"/>
          <w:sz w:val="16"/>
          <w:szCs w:val="16"/>
          <w:lang w:val="pt-BR"/>
        </w:rPr>
        <w:t xml:space="preserve">”, </w:t>
      </w:r>
      <w:r w:rsidRPr="00B64BF5">
        <w:rPr>
          <w:rFonts w:ascii="Cambria" w:hAnsi="Cambria"/>
          <w:color w:val="222222"/>
          <w:sz w:val="16"/>
          <w:szCs w:val="16"/>
          <w:lang w:val="pt-BR"/>
        </w:rPr>
        <w:t>Capítulo 4 – Órgãos e procedimentos da repressão política,</w:t>
      </w:r>
      <w:r w:rsidRPr="00B64BF5">
        <w:rPr>
          <w:rFonts w:ascii="Cambria" w:hAnsi="Cambria"/>
          <w:sz w:val="16"/>
          <w:szCs w:val="16"/>
          <w:lang w:val="pt-BR"/>
        </w:rPr>
        <w:t xml:space="preserve"> (B) </w:t>
      </w:r>
      <w:r w:rsidRPr="00B64BF5">
        <w:rPr>
          <w:rFonts w:ascii="Cambria" w:eastAsiaTheme="minorHAnsi" w:hAnsi="Cambria" w:cs="AGaramondPro-Bold-SC700"/>
          <w:bCs/>
          <w:sz w:val="16"/>
          <w:szCs w:val="16"/>
          <w:lang w:val="pt-BR" w:eastAsia="en-US"/>
        </w:rPr>
        <w:t xml:space="preserve">Órgãos de </w:t>
      </w:r>
      <w:r w:rsidRPr="00B64BF5">
        <w:rPr>
          <w:rFonts w:ascii="Cambria" w:eastAsiaTheme="minorHAnsi" w:hAnsi="Cambria" w:cs="AGaramondPro-Bold-SC700"/>
          <w:bCs/>
          <w:sz w:val="16"/>
          <w:szCs w:val="16"/>
          <w:lang w:val="pt-BR" w:eastAsia="en-US"/>
        </w:rPr>
        <w:t xml:space="preserve">repressão do Exército, </w:t>
      </w:r>
      <w:r w:rsidRPr="00B64BF5">
        <w:rPr>
          <w:rFonts w:ascii="Cambria" w:eastAsiaTheme="minorHAnsi" w:hAnsi="Cambria" w:cs="AGaramondPro-Italic-SC700"/>
          <w:i/>
          <w:iCs/>
          <w:sz w:val="16"/>
          <w:szCs w:val="16"/>
          <w:lang w:val="pt-BR" w:eastAsia="en-US"/>
        </w:rPr>
        <w:t xml:space="preserve">fls </w:t>
      </w:r>
      <w:r w:rsidRPr="00B64BF5">
        <w:rPr>
          <w:rFonts w:ascii="Cambria" w:hAnsi="Cambria"/>
          <w:sz w:val="16"/>
          <w:szCs w:val="16"/>
          <w:lang w:val="pt-BR"/>
        </w:rPr>
        <w:t xml:space="preserve">138, párr. </w:t>
      </w:r>
      <w:r w:rsidRPr="00B64BF5">
        <w:rPr>
          <w:rFonts w:ascii="Cambria" w:hAnsi="Cambria"/>
          <w:sz w:val="16"/>
          <w:szCs w:val="16"/>
          <w:lang w:val="pt-BR"/>
        </w:rPr>
        <w:t xml:space="preserve">101,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4">
    <w:p w:rsidR="00D53806" w:rsidRPr="00B64BF5" w:rsidRDefault="00D53806" w:rsidP="00B64BF5">
      <w:pPr>
        <w:pStyle w:val="FootnoteText"/>
        <w:ind w:firstLine="720"/>
        <w:jc w:val="both"/>
        <w:rPr>
          <w:rFonts w:ascii="Cambria" w:hAnsi="Cambria"/>
          <w:sz w:val="16"/>
          <w:szCs w:val="16"/>
          <w:lang w:val="es-CO"/>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 xml:space="preserve">original: “[c]hefiado por um alto oficial do Exército, o DOI-CODI assumiu o primeiro posto na repressão politica no país”.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 xml:space="preserve">Verdade: Comissão Especial sobre Mortos e Desaparecidos Políticos. </w:t>
      </w:r>
      <w:proofErr w:type="spellStart"/>
      <w:r w:rsidRPr="00B64BF5">
        <w:rPr>
          <w:rStyle w:val="Emphasis"/>
          <w:rFonts w:ascii="Cambria" w:hAnsi="Cambria" w:cs="Arial"/>
          <w:i w:val="0"/>
          <w:sz w:val="16"/>
          <w:szCs w:val="16"/>
          <w:lang w:val="es-CO"/>
        </w:rPr>
        <w:t>Brasília</w:t>
      </w:r>
      <w:proofErr w:type="spellEnd"/>
      <w:r w:rsidRPr="00B64BF5">
        <w:rPr>
          <w:rStyle w:val="Emphasis"/>
          <w:rFonts w:ascii="Cambria" w:hAnsi="Cambria" w:cs="Arial"/>
          <w:i w:val="0"/>
          <w:sz w:val="16"/>
          <w:szCs w:val="16"/>
          <w:lang w:val="es-CO"/>
        </w:rPr>
        <w:t xml:space="preserve">, Secretaria Especial dos </w:t>
      </w:r>
      <w:proofErr w:type="spellStart"/>
      <w:r w:rsidRPr="00B64BF5">
        <w:rPr>
          <w:rStyle w:val="Emphasis"/>
          <w:rFonts w:ascii="Cambria" w:hAnsi="Cambria" w:cs="Arial"/>
          <w:i w:val="0"/>
          <w:sz w:val="16"/>
          <w:szCs w:val="16"/>
          <w:lang w:val="es-CO"/>
        </w:rPr>
        <w:t>Direitos</w:t>
      </w:r>
      <w:proofErr w:type="spellEnd"/>
      <w:r w:rsidRPr="00B64BF5">
        <w:rPr>
          <w:rStyle w:val="Emphasis"/>
          <w:rFonts w:ascii="Cambria" w:hAnsi="Cambria" w:cs="Arial"/>
          <w:i w:val="0"/>
          <w:sz w:val="16"/>
          <w:szCs w:val="16"/>
          <w:lang w:val="es-CO"/>
        </w:rPr>
        <w:t xml:space="preserve"> Humanos, 2007, </w:t>
      </w:r>
      <w:proofErr w:type="spellStart"/>
      <w:r w:rsidRPr="00B64BF5">
        <w:rPr>
          <w:rStyle w:val="Emphasis"/>
          <w:rFonts w:ascii="Cambria" w:hAnsi="Cambria" w:cs="Arial"/>
          <w:i w:val="0"/>
          <w:sz w:val="16"/>
          <w:szCs w:val="16"/>
          <w:lang w:val="es-CO"/>
        </w:rPr>
        <w:t>fls</w:t>
      </w:r>
      <w:proofErr w:type="spellEnd"/>
      <w:r w:rsidRPr="00B64BF5">
        <w:rPr>
          <w:rStyle w:val="Emphasis"/>
          <w:rFonts w:ascii="Cambria" w:hAnsi="Cambria" w:cs="Arial"/>
          <w:i w:val="0"/>
          <w:sz w:val="16"/>
          <w:szCs w:val="16"/>
          <w:lang w:val="es-CO"/>
        </w:rPr>
        <w:t>. 23.</w:t>
      </w:r>
      <w:r w:rsidRPr="00B64BF5">
        <w:rPr>
          <w:rStyle w:val="Emphasis"/>
          <w:rFonts w:ascii="Cambria" w:hAnsi="Cambria" w:cs="Arial"/>
          <w:sz w:val="16"/>
          <w:szCs w:val="16"/>
          <w:lang w:val="es-CO"/>
        </w:rPr>
        <w:t xml:space="preserve"> </w:t>
      </w:r>
    </w:p>
  </w:footnote>
  <w:footnote w:id="25">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Petición Inicial de la Acción Civil Publica No. 2008.61.00.011414-5, de fecha 12 de mayo de 2008, </w:t>
      </w:r>
      <w:proofErr w:type="spellStart"/>
      <w:r w:rsidRPr="00B64BF5">
        <w:rPr>
          <w:rFonts w:ascii="Cambria" w:hAnsi="Cambria"/>
          <w:sz w:val="16"/>
          <w:szCs w:val="16"/>
          <w:lang w:val="es-ES"/>
        </w:rPr>
        <w:t>fls</w:t>
      </w:r>
      <w:proofErr w:type="spellEnd"/>
      <w:r w:rsidRPr="00B64BF5">
        <w:rPr>
          <w:rFonts w:ascii="Cambria" w:hAnsi="Cambria"/>
          <w:sz w:val="16"/>
          <w:szCs w:val="16"/>
          <w:lang w:val="es-ES"/>
        </w:rPr>
        <w:t xml:space="preserve">. 12 y 13. </w:t>
      </w:r>
    </w:p>
  </w:footnote>
  <w:footnote w:id="2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es-ES"/>
        </w:rPr>
        <w:t xml:space="preserve"> Demanda de la Comisión Interamericana de Derechos Humanos ante la Corte Interamericana de Derechos Humanos contra la República Federativa de Brasil. </w:t>
      </w:r>
      <w:r w:rsidRPr="00B64BF5">
        <w:rPr>
          <w:rFonts w:ascii="Cambria" w:hAnsi="Cambria"/>
          <w:i/>
          <w:sz w:val="16"/>
          <w:szCs w:val="16"/>
          <w:lang w:val="es-ES"/>
        </w:rPr>
        <w:t xml:space="preserve">Caso 11,552 - Julia Gomes </w:t>
      </w:r>
      <w:proofErr w:type="spellStart"/>
      <w:r w:rsidRPr="00B64BF5">
        <w:rPr>
          <w:rFonts w:ascii="Cambria" w:hAnsi="Cambria"/>
          <w:i/>
          <w:sz w:val="16"/>
          <w:szCs w:val="16"/>
          <w:lang w:val="es-ES"/>
        </w:rPr>
        <w:t>Lund</w:t>
      </w:r>
      <w:proofErr w:type="spellEnd"/>
      <w:r w:rsidRPr="00B64BF5">
        <w:rPr>
          <w:rFonts w:ascii="Cambria" w:hAnsi="Cambria"/>
          <w:i/>
          <w:sz w:val="16"/>
          <w:szCs w:val="16"/>
          <w:lang w:val="es-ES"/>
        </w:rPr>
        <w:t xml:space="preserve"> y Otros (</w:t>
      </w:r>
      <w:proofErr w:type="spellStart"/>
      <w:r w:rsidRPr="00B64BF5">
        <w:rPr>
          <w:rFonts w:ascii="Cambria" w:hAnsi="Cambria"/>
          <w:i/>
          <w:sz w:val="16"/>
          <w:szCs w:val="16"/>
          <w:lang w:val="es-ES"/>
        </w:rPr>
        <w:t>Guerrilha</w:t>
      </w:r>
      <w:proofErr w:type="spellEnd"/>
      <w:r w:rsidRPr="00B64BF5">
        <w:rPr>
          <w:rFonts w:ascii="Cambria" w:hAnsi="Cambria"/>
          <w:i/>
          <w:sz w:val="16"/>
          <w:szCs w:val="16"/>
          <w:lang w:val="es-ES"/>
        </w:rPr>
        <w:t xml:space="preserve"> do </w:t>
      </w:r>
      <w:proofErr w:type="spellStart"/>
      <w:r w:rsidRPr="00B64BF5">
        <w:rPr>
          <w:rFonts w:ascii="Cambria" w:hAnsi="Cambria"/>
          <w:i/>
          <w:sz w:val="16"/>
          <w:szCs w:val="16"/>
          <w:lang w:val="es-ES"/>
        </w:rPr>
        <w:t>Araguaia</w:t>
      </w:r>
      <w:proofErr w:type="spellEnd"/>
      <w:r w:rsidRPr="00B64BF5">
        <w:rPr>
          <w:rFonts w:ascii="Cambria" w:hAnsi="Cambria"/>
          <w:i/>
          <w:sz w:val="16"/>
          <w:szCs w:val="16"/>
          <w:lang w:val="es-ES"/>
        </w:rPr>
        <w:t>),</w:t>
      </w:r>
      <w:r w:rsidRPr="00B64BF5">
        <w:rPr>
          <w:rFonts w:ascii="Cambria" w:hAnsi="Cambria"/>
          <w:sz w:val="16"/>
          <w:szCs w:val="16"/>
          <w:lang w:val="es-ES"/>
        </w:rPr>
        <w:t xml:space="preserve"> del 26 de marzo de 2009, párr. 71; Véase también: </w:t>
      </w:r>
      <w:r w:rsidRPr="00B64BF5">
        <w:rPr>
          <w:rStyle w:val="Emphasis"/>
          <w:rFonts w:ascii="Cambria" w:hAnsi="Cambria" w:cs="Arial"/>
          <w:sz w:val="16"/>
          <w:szCs w:val="16"/>
          <w:lang w:val="es-ES"/>
        </w:rPr>
        <w:t xml:space="preserve">Brasil. </w:t>
      </w:r>
      <w:proofErr w:type="spellStart"/>
      <w:r w:rsidRPr="00B64BF5">
        <w:rPr>
          <w:rStyle w:val="Emphasis"/>
          <w:rFonts w:ascii="Cambria" w:hAnsi="Cambria" w:cs="Arial"/>
          <w:i w:val="0"/>
          <w:sz w:val="16"/>
          <w:szCs w:val="16"/>
          <w:lang w:val="es-ES"/>
        </w:rPr>
        <w:t>Presidência</w:t>
      </w:r>
      <w:proofErr w:type="spellEnd"/>
      <w:r w:rsidRPr="00B64BF5">
        <w:rPr>
          <w:rStyle w:val="Emphasis"/>
          <w:rFonts w:ascii="Cambria" w:hAnsi="Cambria" w:cs="Arial"/>
          <w:i w:val="0"/>
          <w:sz w:val="16"/>
          <w:szCs w:val="16"/>
          <w:lang w:val="es-ES"/>
        </w:rPr>
        <w:t xml:space="preserve"> da República. </w:t>
      </w:r>
      <w:r w:rsidRPr="00B64BF5">
        <w:rPr>
          <w:rStyle w:val="Emphasis"/>
          <w:rFonts w:ascii="Cambria" w:hAnsi="Cambria" w:cs="Arial"/>
          <w:i w:val="0"/>
          <w:sz w:val="16"/>
          <w:szCs w:val="16"/>
          <w:lang w:val="pt-BR"/>
        </w:rPr>
        <w:t>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w:t>
      </w:r>
      <w:r w:rsidRPr="00B64BF5">
        <w:rPr>
          <w:rStyle w:val="Emphasis"/>
          <w:rFonts w:ascii="Cambria" w:hAnsi="Cambria" w:cs="Arial"/>
          <w:sz w:val="16"/>
          <w:szCs w:val="16"/>
          <w:lang w:val="pt-BR"/>
        </w:rPr>
        <w:t xml:space="preserve"> 2007, fls</w:t>
      </w:r>
      <w:r w:rsidRPr="00B64BF5">
        <w:rPr>
          <w:rFonts w:ascii="Cambria" w:hAnsi="Cambria"/>
          <w:sz w:val="16"/>
          <w:szCs w:val="16"/>
          <w:lang w:val="pt-BR"/>
        </w:rPr>
        <w:t xml:space="preserve">. 27.  </w:t>
      </w:r>
    </w:p>
  </w:footnote>
  <w:footnote w:id="2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D53806">
        <w:rPr>
          <w:rFonts w:ascii="Cambria" w:hAnsi="Cambria"/>
          <w:sz w:val="16"/>
          <w:szCs w:val="16"/>
          <w:lang w:val="es-UY"/>
        </w:rPr>
        <w:t xml:space="preserve"> Demanda de la Comisión Interamericana de Derechos Humanos ante la Corte Interamericana de Derechos Humanos contra la República Federativa de Brasil. </w:t>
      </w:r>
      <w:r w:rsidRPr="00845EA8">
        <w:rPr>
          <w:rFonts w:ascii="Cambria" w:hAnsi="Cambria"/>
          <w:i/>
          <w:sz w:val="16"/>
          <w:szCs w:val="16"/>
          <w:lang w:val="es-ES"/>
        </w:rPr>
        <w:t xml:space="preserve">Caso 11,552 - Julia Gomes </w:t>
      </w:r>
      <w:proofErr w:type="spellStart"/>
      <w:r w:rsidRPr="00845EA8">
        <w:rPr>
          <w:rFonts w:ascii="Cambria" w:hAnsi="Cambria"/>
          <w:i/>
          <w:sz w:val="16"/>
          <w:szCs w:val="16"/>
          <w:lang w:val="es-ES"/>
        </w:rPr>
        <w:t>Lund</w:t>
      </w:r>
      <w:proofErr w:type="spellEnd"/>
      <w:r w:rsidRPr="00845EA8">
        <w:rPr>
          <w:rFonts w:ascii="Cambria" w:hAnsi="Cambria"/>
          <w:i/>
          <w:sz w:val="16"/>
          <w:szCs w:val="16"/>
          <w:lang w:val="es-ES"/>
        </w:rPr>
        <w:t xml:space="preserve"> y Otros (</w:t>
      </w:r>
      <w:proofErr w:type="spellStart"/>
      <w:r w:rsidRPr="00845EA8">
        <w:rPr>
          <w:rFonts w:ascii="Cambria" w:hAnsi="Cambria"/>
          <w:i/>
          <w:sz w:val="16"/>
          <w:szCs w:val="16"/>
          <w:lang w:val="es-ES"/>
        </w:rPr>
        <w:t>Guerrilha</w:t>
      </w:r>
      <w:proofErr w:type="spellEnd"/>
      <w:r w:rsidRPr="00845EA8">
        <w:rPr>
          <w:rFonts w:ascii="Cambria" w:hAnsi="Cambria"/>
          <w:i/>
          <w:sz w:val="16"/>
          <w:szCs w:val="16"/>
          <w:lang w:val="es-ES"/>
        </w:rPr>
        <w:t xml:space="preserve"> do </w:t>
      </w:r>
      <w:proofErr w:type="spellStart"/>
      <w:r w:rsidRPr="00845EA8">
        <w:rPr>
          <w:rFonts w:ascii="Cambria" w:hAnsi="Cambria"/>
          <w:i/>
          <w:sz w:val="16"/>
          <w:szCs w:val="16"/>
          <w:lang w:val="es-ES"/>
        </w:rPr>
        <w:t>Araguaia</w:t>
      </w:r>
      <w:proofErr w:type="spellEnd"/>
      <w:r w:rsidRPr="00845EA8">
        <w:rPr>
          <w:rFonts w:ascii="Cambria" w:hAnsi="Cambria"/>
          <w:i/>
          <w:sz w:val="16"/>
          <w:szCs w:val="16"/>
          <w:lang w:val="es-ES"/>
        </w:rPr>
        <w:t>),</w:t>
      </w:r>
      <w:r w:rsidRPr="00845EA8">
        <w:rPr>
          <w:rFonts w:ascii="Cambria" w:hAnsi="Cambria"/>
          <w:sz w:val="16"/>
          <w:szCs w:val="16"/>
          <w:lang w:val="es-ES"/>
        </w:rPr>
        <w:t xml:space="preserve"> del 26 de marzo de 2009, párr. </w:t>
      </w:r>
      <w:r w:rsidRPr="00D53806">
        <w:rPr>
          <w:rFonts w:ascii="Cambria" w:hAnsi="Cambria"/>
          <w:sz w:val="16"/>
          <w:szCs w:val="16"/>
          <w:lang w:val="es-UY"/>
        </w:rPr>
        <w:t xml:space="preserve">71; </w:t>
      </w:r>
      <w:r w:rsidRPr="00D53806">
        <w:rPr>
          <w:rFonts w:ascii="Cambria" w:hAnsi="Cambria"/>
          <w:i/>
          <w:sz w:val="16"/>
          <w:szCs w:val="16"/>
          <w:lang w:val="es-UY"/>
        </w:rPr>
        <w:t xml:space="preserve">Véase también: </w:t>
      </w:r>
      <w:r w:rsidRPr="00D53806">
        <w:rPr>
          <w:rStyle w:val="Emphasis"/>
          <w:rFonts w:ascii="Cambria" w:hAnsi="Cambria" w:cs="Arial"/>
          <w:i w:val="0"/>
          <w:sz w:val="16"/>
          <w:szCs w:val="16"/>
          <w:lang w:val="es-UY"/>
        </w:rPr>
        <w:t xml:space="preserve">Brasil. </w:t>
      </w:r>
      <w:proofErr w:type="spellStart"/>
      <w:r w:rsidRPr="00D53806">
        <w:rPr>
          <w:rStyle w:val="Emphasis"/>
          <w:rFonts w:ascii="Cambria" w:hAnsi="Cambria" w:cs="Arial"/>
          <w:i w:val="0"/>
          <w:sz w:val="16"/>
          <w:szCs w:val="16"/>
          <w:lang w:val="es-UY"/>
        </w:rPr>
        <w:t>Presidência</w:t>
      </w:r>
      <w:proofErr w:type="spellEnd"/>
      <w:r w:rsidRPr="00D53806">
        <w:rPr>
          <w:rStyle w:val="Emphasis"/>
          <w:rFonts w:ascii="Cambria" w:hAnsi="Cambria" w:cs="Arial"/>
          <w:i w:val="0"/>
          <w:sz w:val="16"/>
          <w:szCs w:val="16"/>
          <w:lang w:val="es-UY"/>
        </w:rPr>
        <w:t xml:space="preserve"> da República. </w:t>
      </w:r>
      <w:r w:rsidRPr="00B64BF5">
        <w:rPr>
          <w:rStyle w:val="Emphasis"/>
          <w:rFonts w:ascii="Cambria" w:hAnsi="Cambria" w:cs="Arial"/>
          <w:i w:val="0"/>
          <w:sz w:val="16"/>
          <w:szCs w:val="16"/>
          <w:lang w:val="pt-BR"/>
        </w:rPr>
        <w:t>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2007, fls</w:t>
      </w:r>
      <w:r w:rsidRPr="00B64BF5">
        <w:rPr>
          <w:rFonts w:ascii="Cambria" w:hAnsi="Cambria"/>
          <w:i/>
          <w:sz w:val="16"/>
          <w:szCs w:val="16"/>
          <w:lang w:val="pt-BR"/>
        </w:rPr>
        <w:t>. 27.</w:t>
      </w:r>
      <w:r w:rsidRPr="00B64BF5">
        <w:rPr>
          <w:rFonts w:ascii="Cambria" w:hAnsi="Cambria"/>
          <w:sz w:val="16"/>
          <w:szCs w:val="16"/>
          <w:lang w:val="pt-BR"/>
        </w:rPr>
        <w:t xml:space="preserve">  </w:t>
      </w:r>
    </w:p>
  </w:footnote>
  <w:footnote w:id="28">
    <w:p w:rsidR="00D53806" w:rsidRPr="00B64BF5" w:rsidRDefault="00D53806" w:rsidP="00B64BF5">
      <w:pPr>
        <w:spacing w:after="0" w:line="240" w:lineRule="auto"/>
        <w:ind w:firstLine="720"/>
        <w:jc w:val="both"/>
        <w:rPr>
          <w:rStyle w:val="Emphasis"/>
          <w:rFonts w:ascii="Cambria" w:hAnsi="Cambria" w:cs="Arial"/>
          <w:b/>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Até o final do mandato, a Presidência de Geisel será caracterizada – talvez mais do que as anteriores – por um duplo movimento que atravessa todo o período ditatorial. </w:t>
      </w:r>
      <w:r w:rsidRPr="00B64BF5">
        <w:rPr>
          <w:rStyle w:val="Emphasis"/>
          <w:rFonts w:ascii="Cambria" w:hAnsi="Cambria" w:cs="Arial"/>
          <w:i w:val="0"/>
          <w:sz w:val="16"/>
          <w:szCs w:val="16"/>
          <w:lang w:val="pt-BR"/>
        </w:rPr>
        <w:t>O primeiro dizia respeito a vigilância repressiva em vários níveis: censura a imprensa, prisões, tortura e assassinatos. Mais tarde, o próprio Geisel legitimaria a violência quando, em depoimento concedido a historiadores sobre sua trajetória no regime autoritário de 64, admitiu considerar a tortura necessária em determinados casos: ‘Há circunstancias em que o individuo é impelido a praticar a tortura, para obter determinadas confissões e, assim, evitar um mal maior.</w:t>
      </w:r>
    </w:p>
    <w:p w:rsidR="00D53806" w:rsidRPr="00B64BF5" w:rsidRDefault="00D53806" w:rsidP="00B64BF5">
      <w:pPr>
        <w:pStyle w:val="FootnoteText"/>
        <w:ind w:firstLine="720"/>
        <w:jc w:val="both"/>
        <w:rPr>
          <w:rFonts w:ascii="Cambria" w:hAnsi="Cambria"/>
          <w:sz w:val="16"/>
          <w:szCs w:val="16"/>
          <w:lang w:val="pt-BR"/>
        </w:rPr>
      </w:pPr>
      <w:r w:rsidRPr="00B64BF5">
        <w:rPr>
          <w:rStyle w:val="Emphasis"/>
          <w:rFonts w:ascii="Cambria" w:hAnsi="Cambria" w:cs="Arial"/>
          <w:i w:val="0"/>
          <w:sz w:val="16"/>
          <w:szCs w:val="16"/>
          <w:lang w:val="pt-BR"/>
        </w:rPr>
        <w:t>Um segundo movimento era o da reinvenção institucional casuística que visava resguardar o caráter autoritário do regime em circunstancias diversas”. 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 Parte II,</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As estruturas do Estado e as graves violações de direitos humanos</w:t>
      </w:r>
      <w:r w:rsidRPr="00B64BF5">
        <w:rPr>
          <w:rStyle w:val="Emphasis"/>
          <w:rFonts w:ascii="Cambria" w:hAnsi="Cambria" w:cs="Arial"/>
          <w:sz w:val="16"/>
          <w:szCs w:val="16"/>
          <w:lang w:val="pt-BR"/>
        </w:rPr>
        <w:t xml:space="preserve">”. </w:t>
      </w:r>
      <w:r w:rsidRPr="00B64BF5">
        <w:rPr>
          <w:rFonts w:ascii="Cambria" w:hAnsi="Cambria"/>
          <w:color w:val="222222"/>
          <w:sz w:val="16"/>
          <w:szCs w:val="16"/>
          <w:lang w:val="pt-BR"/>
        </w:rPr>
        <w:t xml:space="preserve">Capitulo 3 – (J) O controle da política, fls. </w:t>
      </w:r>
      <w:r w:rsidRPr="00B64BF5">
        <w:rPr>
          <w:rFonts w:ascii="Cambria" w:hAnsi="Cambria"/>
          <w:color w:val="222222"/>
          <w:sz w:val="16"/>
          <w:szCs w:val="16"/>
          <w:lang w:val="pt-BR"/>
        </w:rPr>
        <w:t xml:space="preserve">105, del 10 de diciembre de 2014. </w:t>
      </w:r>
      <w:r w:rsidRPr="00B64BF5">
        <w:rPr>
          <w:rFonts w:ascii="Cambria" w:hAnsi="Cambria"/>
          <w:sz w:val="16"/>
          <w:szCs w:val="16"/>
          <w:lang w:val="pt-BR"/>
        </w:rPr>
        <w:t xml:space="preserve"> </w:t>
      </w:r>
    </w:p>
  </w:footnote>
  <w:footnote w:id="29">
    <w:p w:rsidR="00D53806" w:rsidRPr="00B64BF5" w:rsidRDefault="00D53806" w:rsidP="00B64BF5">
      <w:pPr>
        <w:pStyle w:val="FootnoteText"/>
        <w:ind w:firstLine="720"/>
        <w:jc w:val="both"/>
        <w:rPr>
          <w:rFonts w:ascii="Cambria" w:hAnsi="Cambria"/>
          <w:sz w:val="16"/>
          <w:szCs w:val="16"/>
          <w:highlight w:val="yellow"/>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 xml:space="preserve">original: “[a]ções repressivas contra o Partido Comunista Brasileiro (PCB). Dezenas de militantes foram presos e torturados”.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 Parte II,</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As estruturas do Estado e as graves violações de direitos humanos”.</w:t>
      </w:r>
      <w:r w:rsidRPr="00B64BF5">
        <w:rPr>
          <w:rStyle w:val="Emphasis"/>
          <w:rFonts w:ascii="Cambria" w:hAnsi="Cambria" w:cs="Arial"/>
          <w:sz w:val="16"/>
          <w:szCs w:val="16"/>
          <w:lang w:val="pt-BR"/>
        </w:rPr>
        <w:t xml:space="preserve"> </w:t>
      </w:r>
      <w:r w:rsidRPr="00B64BF5">
        <w:rPr>
          <w:rFonts w:ascii="Cambria" w:hAnsi="Cambria"/>
          <w:color w:val="222222"/>
          <w:sz w:val="16"/>
          <w:szCs w:val="16"/>
          <w:lang w:val="pt-BR"/>
        </w:rPr>
        <w:t xml:space="preserve">Capitulo 3 – (J) O controle da política, fls. 104, de 10 de diciembre de 2014. </w:t>
      </w:r>
      <w:r w:rsidRPr="00B64BF5">
        <w:rPr>
          <w:rFonts w:ascii="Cambria" w:hAnsi="Cambria"/>
          <w:sz w:val="16"/>
          <w:szCs w:val="16"/>
          <w:lang w:val="pt-BR"/>
        </w:rPr>
        <w:t xml:space="preserve"> </w:t>
      </w:r>
    </w:p>
  </w:footnote>
  <w:footnote w:id="3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PEREIRA, </w:t>
      </w:r>
      <w:r w:rsidRPr="00B64BF5">
        <w:rPr>
          <w:rFonts w:ascii="Cambria" w:hAnsi="Cambria"/>
          <w:sz w:val="16"/>
          <w:szCs w:val="16"/>
          <w:lang w:val="pt-BR"/>
        </w:rPr>
        <w:t>Freddie Perdigão. O Destacamento de Operações de Informações (DOI) – Histórico Penal no Combate a Subversão – Situação Atual e Perspectivas. Monografia. Escola de Comando e Estado Maior do Exército, Rio de Janeiro, 1977, fls. 1.</w:t>
      </w:r>
    </w:p>
  </w:footnote>
  <w:footnote w:id="3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2007, fls. 27, 373 y 374.</w:t>
      </w:r>
      <w:r w:rsidRPr="00B64BF5">
        <w:rPr>
          <w:rStyle w:val="Emphasis"/>
          <w:rFonts w:ascii="Cambria" w:hAnsi="Cambria" w:cs="Arial"/>
          <w:sz w:val="16"/>
          <w:szCs w:val="16"/>
          <w:lang w:val="pt-BR"/>
        </w:rPr>
        <w:t xml:space="preserve"> </w:t>
      </w:r>
    </w:p>
  </w:footnote>
  <w:footnote w:id="32">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i/>
          <w:sz w:val="16"/>
          <w:szCs w:val="16"/>
          <w:lang w:val="pt-BR"/>
        </w:rPr>
        <w:t xml:space="preserve"> </w:t>
      </w:r>
      <w:r w:rsidRPr="00B64BF5">
        <w:rPr>
          <w:rFonts w:ascii="Cambria" w:hAnsi="Cambria"/>
          <w:sz w:val="16"/>
          <w:szCs w:val="16"/>
          <w:lang w:val="pt-BR"/>
        </w:rPr>
        <w:t>Texto original:</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 começou a se tornar pública uma extensa ofensiva dos órgãos de segurança do regime militar contra o PCB que se alongaria ate janeiro de 1976, quando foi morto sob torturas o operário metalúrgico Manoel Fiel Filho. </w:t>
      </w:r>
      <w:r w:rsidRPr="00B64BF5">
        <w:rPr>
          <w:rStyle w:val="Emphasis"/>
          <w:rFonts w:ascii="Cambria" w:hAnsi="Cambria" w:cs="Arial"/>
          <w:i w:val="0"/>
          <w:sz w:val="16"/>
          <w:szCs w:val="16"/>
          <w:lang w:val="pt-BR"/>
        </w:rPr>
        <w:t xml:space="preserve">No computo geral dessa investida, que mais tarde receberia o nome de </w:t>
      </w:r>
      <w:r w:rsidRPr="00B64BF5">
        <w:rPr>
          <w:rStyle w:val="Emphasis"/>
          <w:rFonts w:ascii="Cambria" w:hAnsi="Cambria" w:cs="Arial"/>
          <w:i w:val="0"/>
          <w:sz w:val="16"/>
          <w:szCs w:val="16"/>
          <w:lang w:val="pt-BR"/>
        </w:rPr>
        <w:t>Operação Radar, Operação Marumbi ou Operação Barriga Verde, dependendo do estado atingido, centenas de integrantes desse partido foram presos, atingido uma cifra que a revista IstoÉ de 31/03/2004 calculou em 679. Se até aquele momento a estratégia do regime militar tinha sido exterminar os opositores envolvidos com a resistência armada, o foco central da repressão passaria então a ser o PCB, que sempre se posicionou contra as ações de guerrilha e tinha conseguido preservar uma estrutura partidária que, para o aparelho de repressão, se tornaria uma ameaça caso a distensão de Geisel evoluísse para uma verdadeira abertura politica. Tratava-se, pois, de neutralizar o PCB antes da volta a democracia”. 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 xml:space="preserve">Verdade: Comissão Especial sobre Mortos e Desaparecidos Políticos. Brasília, Secretaria Especial dos Direitos Humanos, 2007, fls. 373-374. </w:t>
      </w:r>
    </w:p>
  </w:footnote>
  <w:footnote w:id="3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“[t]otal impunidade e acobertamento até mesmo de determinados dispositivos legais”. Arquidiocese de São Paulo. Projeto “Brasil: Nunca Mais”, tomo I – O Regime Militar. Pétropolis: Editora Vozes, 1985, fls. 34.</w:t>
      </w:r>
    </w:p>
  </w:footnote>
  <w:footnote w:id="3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“[p]rontamente desmentida, censurada na imprensa e, muitas vezes, acarretava problemas para os denunciantes”. Arquidiocese de São Paulo. Projeto “Brasil: Nunca Mais”, tomo I – O Regime Militar. Pétropolis: Editora Vozes, 1985, fls. 34.</w:t>
      </w:r>
    </w:p>
  </w:footnote>
  <w:footnote w:id="3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original:”[o] Ministério Público agia mais como braço judicial dos organismos policiais de repressão politica do que como fiscal da lei e verdadeiro titular da ação penal”. Arquidiocese de São Paulo. Projeto “Brasil: Nunca Mais”, tomo IV – As Leis Repressivas. </w:t>
      </w:r>
      <w:r w:rsidRPr="00B64BF5">
        <w:rPr>
          <w:rFonts w:ascii="Cambria" w:hAnsi="Cambria"/>
          <w:sz w:val="16"/>
          <w:szCs w:val="16"/>
          <w:lang w:val="pt-BR"/>
        </w:rPr>
        <w:t>Pétropolis: Editora Vozes, 1985, fls. 20.</w:t>
      </w:r>
    </w:p>
  </w:footnote>
  <w:footnote w:id="3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“[a]trelado e subordinado ao sistema de repressão policial”. Câmara Municipal de São Paulo. CPI – Perus/Desaparecidos. In: Vala clandestina de Perus: desaparecidos políticos, um capitulo não encerrado da historia brasileira. São Paulo: Instituto Macuco, 2012, fls. 172. </w:t>
      </w:r>
    </w:p>
  </w:footnote>
  <w:footnote w:id="37">
    <w:p w:rsidR="00D53806" w:rsidRPr="00B64BF5" w:rsidRDefault="00D53806" w:rsidP="00B64BF5">
      <w:pPr>
        <w:autoSpaceDE w:val="0"/>
        <w:autoSpaceDN w:val="0"/>
        <w:adjustRightInd w:val="0"/>
        <w:spacing w:after="0" w:line="240" w:lineRule="auto"/>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w:t>
      </w:r>
      <w:r w:rsidRPr="00B64BF5">
        <w:rPr>
          <w:rFonts w:ascii="Cambria" w:eastAsiaTheme="minorHAnsi" w:hAnsi="Cambria" w:cs="AGaramondPro-Regular"/>
          <w:sz w:val="16"/>
          <w:szCs w:val="16"/>
          <w:lang w:val="pt-BR"/>
        </w:rPr>
        <w:t xml:space="preserve">De modo semelhante, observou-se que a Justiça Militar se consolidou como a principal instância punitiva política da ditadura, especialmente com o advento do AI-2, na medida em que suas atribuições foram ampliadas para processar e julgar civis incursos em crimes contra a segurança nacional”.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w:t>
      </w:r>
      <w:r w:rsidRPr="00B64BF5">
        <w:rPr>
          <w:rStyle w:val="Emphasis"/>
          <w:rFonts w:ascii="Cambria" w:hAnsi="Cambria" w:cs="Arial"/>
          <w:sz w:val="16"/>
          <w:szCs w:val="16"/>
          <w:lang w:val="pt-BR"/>
        </w:rPr>
        <w:t xml:space="preserve"> </w:t>
      </w:r>
      <w:r w:rsidRPr="00B64BF5">
        <w:rPr>
          <w:rStyle w:val="Strong"/>
          <w:rFonts w:ascii="Cambria" w:hAnsi="Cambria"/>
          <w:b w:val="0"/>
          <w:color w:val="222222"/>
          <w:sz w:val="16"/>
          <w:szCs w:val="16"/>
          <w:lang w:val="pt-BR"/>
        </w:rPr>
        <w:t>Parte IV – “Dinâmica das graves violações de direitos humanos: casos emblemáticos, locais e autores O Judiciário”</w:t>
      </w:r>
      <w:r w:rsidRPr="00B64BF5">
        <w:rPr>
          <w:rFonts w:ascii="Cambria" w:hAnsi="Cambria"/>
          <w:color w:val="222222"/>
          <w:sz w:val="16"/>
          <w:szCs w:val="16"/>
          <w:lang w:val="pt-BR"/>
        </w:rPr>
        <w:t> Capítulo 17 – O Judiciário na ditadura</w:t>
      </w:r>
      <w:r w:rsidRPr="00B64BF5">
        <w:rPr>
          <w:rFonts w:ascii="Cambria" w:hAnsi="Cambria"/>
          <w:sz w:val="16"/>
          <w:szCs w:val="16"/>
          <w:lang w:val="pt-BR"/>
        </w:rPr>
        <w:t xml:space="preserve"> (D) </w:t>
      </w:r>
      <w:r w:rsidRPr="00B64BF5">
        <w:rPr>
          <w:rFonts w:ascii="Cambria" w:eastAsiaTheme="minorHAnsi" w:hAnsi="Cambria" w:cs="AGaramondPro-Bold-SC700"/>
          <w:bCs/>
          <w:sz w:val="16"/>
          <w:szCs w:val="16"/>
          <w:lang w:val="pt-BR"/>
        </w:rPr>
        <w:t>Considerações finais sobre a apreciação judicial acerca de graves violações de direitos humanos</w:t>
      </w:r>
      <w:r w:rsidRPr="00B64BF5">
        <w:rPr>
          <w:rFonts w:ascii="Cambria" w:hAnsi="Cambria"/>
          <w:sz w:val="16"/>
          <w:szCs w:val="16"/>
          <w:lang w:val="pt-BR"/>
        </w:rPr>
        <w:t xml:space="preserve"> fls. </w:t>
      </w:r>
      <w:r w:rsidRPr="00B64BF5">
        <w:rPr>
          <w:rFonts w:ascii="Cambria" w:hAnsi="Cambria"/>
          <w:sz w:val="16"/>
          <w:szCs w:val="16"/>
          <w:lang w:val="pt-BR"/>
        </w:rPr>
        <w:t xml:space="preserve">41, párrs. </w:t>
      </w:r>
      <w:r w:rsidRPr="00B64BF5">
        <w:rPr>
          <w:rFonts w:ascii="Cambria" w:hAnsi="Cambria"/>
          <w:sz w:val="16"/>
          <w:szCs w:val="16"/>
          <w:lang w:val="es-ES"/>
        </w:rPr>
        <w:t xml:space="preserve">68-70, del 10 de diciembre de 2014.  </w:t>
      </w:r>
    </w:p>
  </w:footnote>
  <w:footnote w:id="3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es-ES"/>
        </w:rPr>
        <w:t xml:space="preserve"> Demanda de la Comisión Interamericana de Derechos Humanos ante la Corte Interamericana de Derechos Humanos contra la República Federativa de Brasil. </w:t>
      </w:r>
      <w:r w:rsidRPr="00B64BF5">
        <w:rPr>
          <w:rFonts w:ascii="Cambria" w:hAnsi="Cambria"/>
          <w:i/>
          <w:sz w:val="16"/>
          <w:szCs w:val="16"/>
          <w:lang w:val="pt-BR"/>
        </w:rPr>
        <w:t xml:space="preserve">Caso 11,552 </w:t>
      </w:r>
      <w:r w:rsidRPr="00B64BF5">
        <w:rPr>
          <w:rFonts w:ascii="Cambria" w:hAnsi="Cambria"/>
          <w:i/>
          <w:sz w:val="16"/>
          <w:szCs w:val="16"/>
          <w:lang w:val="pt-BR"/>
        </w:rPr>
        <w:t>- Julia Gomes Lund y Otros (Guerrilha do Araguaia),</w:t>
      </w:r>
      <w:r w:rsidRPr="00B64BF5">
        <w:rPr>
          <w:rFonts w:ascii="Cambria" w:hAnsi="Cambria"/>
          <w:sz w:val="16"/>
          <w:szCs w:val="16"/>
          <w:lang w:val="pt-BR"/>
        </w:rPr>
        <w:t xml:space="preserve"> del 26 de marzo de 2009, párr. 109.</w:t>
      </w:r>
    </w:p>
  </w:footnote>
  <w:footnote w:id="39">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pt-BR"/>
        </w:rPr>
        <w:t xml:space="preserve">Brasil. </w:t>
      </w:r>
      <w:r w:rsidRPr="00B64BF5">
        <w:rPr>
          <w:rStyle w:val="Strong"/>
          <w:rFonts w:ascii="Cambria" w:hAnsi="Cambria" w:cs="Arial"/>
          <w:b w:val="0"/>
          <w:sz w:val="16"/>
          <w:szCs w:val="16"/>
          <w:lang w:val="pt-BR"/>
        </w:rPr>
        <w:t>Presidência</w:t>
      </w:r>
      <w:r w:rsidRPr="00B64BF5">
        <w:rPr>
          <w:rFonts w:ascii="Cambria" w:hAnsi="Cambria"/>
          <w:sz w:val="16"/>
          <w:szCs w:val="16"/>
          <w:lang w:val="pt-BR"/>
        </w:rPr>
        <w:t xml:space="preserve"> da República. </w:t>
      </w:r>
      <w:r w:rsidRPr="00B64BF5">
        <w:rPr>
          <w:rFonts w:ascii="Cambria" w:hAnsi="Cambria"/>
          <w:sz w:val="16"/>
          <w:szCs w:val="16"/>
          <w:lang w:val="es-ES"/>
        </w:rPr>
        <w:t xml:space="preserve">Ley No. 6.683, de 28 de agosto de 1979. Disponible en: </w:t>
      </w:r>
      <w:r w:rsidR="002A0E3E">
        <w:fldChar w:fldCharType="begin"/>
      </w:r>
      <w:r w:rsidR="002A0E3E" w:rsidRPr="000367BD">
        <w:rPr>
          <w:lang w:val="es-UY"/>
        </w:rPr>
        <w:instrText xml:space="preserve"> HYPERLINK "http://www.planalto.gov.br/ccivil_03/leis/L6683.htm" </w:instrText>
      </w:r>
      <w:r w:rsidR="002A0E3E">
        <w:fldChar w:fldCharType="separate"/>
      </w:r>
      <w:r w:rsidRPr="00B64BF5">
        <w:rPr>
          <w:rStyle w:val="Hyperlink"/>
          <w:rFonts w:ascii="Cambria" w:hAnsi="Cambria"/>
          <w:sz w:val="16"/>
          <w:szCs w:val="16"/>
          <w:lang w:val="es-ES"/>
        </w:rPr>
        <w:t>http://www.planalto.gov.br/ccivil_03/leis/L6683.htm</w:t>
      </w:r>
      <w:r w:rsidR="002A0E3E">
        <w:rPr>
          <w:rStyle w:val="Hyperlink"/>
          <w:rFonts w:ascii="Cambria" w:hAnsi="Cambria"/>
          <w:sz w:val="16"/>
          <w:szCs w:val="16"/>
          <w:lang w:val="es-ES"/>
        </w:rPr>
        <w:fldChar w:fldCharType="end"/>
      </w:r>
      <w:r w:rsidRPr="00B64BF5">
        <w:rPr>
          <w:rFonts w:ascii="Cambria" w:hAnsi="Cambria"/>
          <w:sz w:val="16"/>
          <w:szCs w:val="16"/>
          <w:lang w:val="es-ES"/>
        </w:rPr>
        <w:t xml:space="preserve"> </w:t>
      </w:r>
    </w:p>
  </w:footnote>
  <w:footnote w:id="4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es-ES"/>
        </w:rPr>
        <w:t xml:space="preserve"> Demanda de la Comisión Interamericana de Derechos Humanos ante la Corte Interamericana de Derechos Humanos contra la República Federativa de Brasil. </w:t>
      </w:r>
      <w:r w:rsidRPr="00B64BF5">
        <w:rPr>
          <w:rFonts w:ascii="Cambria" w:hAnsi="Cambria"/>
          <w:i/>
          <w:sz w:val="16"/>
          <w:szCs w:val="16"/>
          <w:lang w:val="es-ES"/>
        </w:rPr>
        <w:t xml:space="preserve">Caso 11,552 - Julia Gomes </w:t>
      </w:r>
      <w:proofErr w:type="spellStart"/>
      <w:r w:rsidRPr="00B64BF5">
        <w:rPr>
          <w:rFonts w:ascii="Cambria" w:hAnsi="Cambria"/>
          <w:i/>
          <w:sz w:val="16"/>
          <w:szCs w:val="16"/>
          <w:lang w:val="es-ES"/>
        </w:rPr>
        <w:t>Lund</w:t>
      </w:r>
      <w:proofErr w:type="spellEnd"/>
      <w:r w:rsidRPr="00B64BF5">
        <w:rPr>
          <w:rFonts w:ascii="Cambria" w:hAnsi="Cambria"/>
          <w:i/>
          <w:sz w:val="16"/>
          <w:szCs w:val="16"/>
          <w:lang w:val="es-ES"/>
        </w:rPr>
        <w:t xml:space="preserve"> y Otros (</w:t>
      </w:r>
      <w:proofErr w:type="spellStart"/>
      <w:r w:rsidRPr="00B64BF5">
        <w:rPr>
          <w:rFonts w:ascii="Cambria" w:hAnsi="Cambria"/>
          <w:i/>
          <w:sz w:val="16"/>
          <w:szCs w:val="16"/>
          <w:lang w:val="es-ES"/>
        </w:rPr>
        <w:t>Guerrilha</w:t>
      </w:r>
      <w:proofErr w:type="spellEnd"/>
      <w:r w:rsidRPr="00B64BF5">
        <w:rPr>
          <w:rFonts w:ascii="Cambria" w:hAnsi="Cambria"/>
          <w:i/>
          <w:sz w:val="16"/>
          <w:szCs w:val="16"/>
          <w:lang w:val="es-ES"/>
        </w:rPr>
        <w:t xml:space="preserve"> do </w:t>
      </w:r>
      <w:proofErr w:type="spellStart"/>
      <w:r w:rsidRPr="00B64BF5">
        <w:rPr>
          <w:rFonts w:ascii="Cambria" w:hAnsi="Cambria"/>
          <w:i/>
          <w:sz w:val="16"/>
          <w:szCs w:val="16"/>
          <w:lang w:val="es-ES"/>
        </w:rPr>
        <w:t>Araguaia</w:t>
      </w:r>
      <w:proofErr w:type="spellEnd"/>
      <w:r w:rsidRPr="00B64BF5">
        <w:rPr>
          <w:rFonts w:ascii="Cambria" w:hAnsi="Cambria"/>
          <w:i/>
          <w:sz w:val="16"/>
          <w:szCs w:val="16"/>
          <w:lang w:val="es-ES"/>
        </w:rPr>
        <w:t>),</w:t>
      </w:r>
      <w:r w:rsidRPr="00B64BF5">
        <w:rPr>
          <w:rFonts w:ascii="Cambria" w:hAnsi="Cambria"/>
          <w:sz w:val="16"/>
          <w:szCs w:val="16"/>
          <w:lang w:val="es-ES"/>
        </w:rPr>
        <w:t xml:space="preserve"> del 26 de marzo de 2009, párr. 110; Véase también: </w:t>
      </w:r>
      <w:r w:rsidRPr="00B64BF5">
        <w:rPr>
          <w:rStyle w:val="Emphasis"/>
          <w:rFonts w:ascii="Cambria" w:hAnsi="Cambria" w:cs="Arial"/>
          <w:i w:val="0"/>
          <w:sz w:val="16"/>
          <w:szCs w:val="16"/>
          <w:lang w:val="es-ES"/>
        </w:rPr>
        <w:t xml:space="preserve">Brasil. </w:t>
      </w:r>
      <w:proofErr w:type="spellStart"/>
      <w:r w:rsidRPr="00B64BF5">
        <w:rPr>
          <w:rStyle w:val="Emphasis"/>
          <w:rFonts w:ascii="Cambria" w:hAnsi="Cambria" w:cs="Arial"/>
          <w:i w:val="0"/>
          <w:sz w:val="16"/>
          <w:szCs w:val="16"/>
          <w:lang w:val="es-ES"/>
        </w:rPr>
        <w:t>Presidência</w:t>
      </w:r>
      <w:proofErr w:type="spellEnd"/>
      <w:r w:rsidRPr="00B64BF5">
        <w:rPr>
          <w:rStyle w:val="Emphasis"/>
          <w:rFonts w:ascii="Cambria" w:hAnsi="Cambria" w:cs="Arial"/>
          <w:i w:val="0"/>
          <w:sz w:val="16"/>
          <w:szCs w:val="16"/>
          <w:lang w:val="es-ES"/>
        </w:rPr>
        <w:t xml:space="preserve"> da República. </w:t>
      </w:r>
      <w:r w:rsidRPr="00B64BF5">
        <w:rPr>
          <w:rStyle w:val="Emphasis"/>
          <w:rFonts w:ascii="Cambria" w:hAnsi="Cambria" w:cs="Arial"/>
          <w:i w:val="0"/>
          <w:sz w:val="16"/>
          <w:szCs w:val="16"/>
          <w:lang w:val="pt-BR"/>
        </w:rPr>
        <w:t>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2007,</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fls</w:t>
      </w:r>
      <w:r w:rsidRPr="00B64BF5">
        <w:rPr>
          <w:rFonts w:ascii="Cambria" w:hAnsi="Cambria"/>
          <w:i/>
          <w:sz w:val="16"/>
          <w:szCs w:val="16"/>
          <w:lang w:val="pt-BR"/>
        </w:rPr>
        <w:t>.</w:t>
      </w:r>
      <w:r w:rsidRPr="00B64BF5">
        <w:rPr>
          <w:rFonts w:ascii="Cambria" w:hAnsi="Cambria"/>
          <w:sz w:val="16"/>
          <w:szCs w:val="16"/>
          <w:lang w:val="pt-BR"/>
        </w:rPr>
        <w:t xml:space="preserve"> 28. </w:t>
      </w:r>
    </w:p>
  </w:footnote>
  <w:footnote w:id="4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2007, fls.35.</w:t>
      </w:r>
      <w:r w:rsidRPr="00B64BF5">
        <w:rPr>
          <w:rStyle w:val="Emphasis"/>
          <w:rFonts w:ascii="Cambria" w:hAnsi="Cambria" w:cs="Arial"/>
          <w:sz w:val="16"/>
          <w:szCs w:val="16"/>
          <w:lang w:val="pt-BR"/>
        </w:rPr>
        <w:t xml:space="preserve"> </w:t>
      </w:r>
    </w:p>
  </w:footnote>
  <w:footnote w:id="42">
    <w:p w:rsidR="00D53806" w:rsidRPr="00B64BF5" w:rsidRDefault="00D53806" w:rsidP="00B64BF5">
      <w:pPr>
        <w:autoSpaceDE w:val="0"/>
        <w:autoSpaceDN w:val="0"/>
        <w:adjustRightInd w:val="0"/>
        <w:spacing w:after="0" w:line="240" w:lineRule="auto"/>
        <w:ind w:firstLine="720"/>
        <w:jc w:val="both"/>
        <w:rPr>
          <w:rFonts w:ascii="Cambria" w:eastAsiaTheme="minorHAnsi" w:hAnsi="Cambria" w:cs="AGaramondPro-Regular"/>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w:t>
      </w:r>
      <w:r w:rsidRPr="00B64BF5">
        <w:rPr>
          <w:rFonts w:ascii="Cambria" w:eastAsiaTheme="minorHAnsi" w:hAnsi="Cambria" w:cs="AGaramondPro-Regular"/>
          <w:sz w:val="16"/>
          <w:szCs w:val="16"/>
          <w:lang w:val="pt-BR"/>
        </w:rPr>
        <w:t xml:space="preserve"> As instituições militares; aplicou extensivamente – e a fatos posteriores – a Lei da Anistia aos militares; e perpetrou uma omissão e legitimação sistemática em relação às graves violações de direitos humanos denunciadas por presos políticos, seus familiares e advogados.</w:t>
      </w:r>
    </w:p>
    <w:p w:rsidR="00D53806" w:rsidRPr="00B64BF5" w:rsidRDefault="00D53806" w:rsidP="00B64BF5">
      <w:pPr>
        <w:autoSpaceDE w:val="0"/>
        <w:autoSpaceDN w:val="0"/>
        <w:adjustRightInd w:val="0"/>
        <w:spacing w:after="0" w:line="240" w:lineRule="auto"/>
        <w:ind w:firstLine="720"/>
        <w:jc w:val="both"/>
        <w:rPr>
          <w:rFonts w:ascii="Cambria" w:hAnsi="Cambria"/>
          <w:sz w:val="16"/>
          <w:szCs w:val="16"/>
          <w:lang w:val="pt-BR"/>
        </w:rPr>
      </w:pPr>
      <w:r w:rsidRPr="00B64BF5">
        <w:rPr>
          <w:rFonts w:ascii="Cambria" w:eastAsiaTheme="minorHAnsi" w:hAnsi="Cambria" w:cs="AGaramondPro-Regular"/>
          <w:sz w:val="16"/>
          <w:szCs w:val="16"/>
          <w:lang w:val="pt-BR"/>
        </w:rPr>
        <w:t>Na Justiça comum federal e estadual, vislumbrou-se um significativo abuso do direito de defesa por parte da União e dos agentes da repressão processados. Observou-se, também, um comportamento dos órgãos judicantes – notadamente, das instâncias superiores –, no mais das vezes, pautado na interpretação do STF, que persiste, ainda na atualidade, por entender a Lei da Anistia como um óbice ao processamento e à apuração de graves violações de direitos humanos perpetradas pelos agentes da repressão durante a ditadura.</w:t>
      </w:r>
      <w:r w:rsidRPr="00B64BF5">
        <w:rPr>
          <w:rFonts w:ascii="Cambria" w:hAnsi="Cambria"/>
          <w:sz w:val="16"/>
          <w:szCs w:val="16"/>
          <w:lang w:val="pt-BR"/>
        </w:rPr>
        <w:t xml:space="preserve"> </w:t>
      </w:r>
    </w:p>
    <w:p w:rsidR="00D53806" w:rsidRPr="00B64BF5" w:rsidRDefault="00D53806" w:rsidP="00B64BF5">
      <w:pPr>
        <w:autoSpaceDE w:val="0"/>
        <w:autoSpaceDN w:val="0"/>
        <w:adjustRightInd w:val="0"/>
        <w:spacing w:after="0" w:line="240" w:lineRule="auto"/>
        <w:ind w:firstLine="720"/>
        <w:jc w:val="both"/>
        <w:rPr>
          <w:rFonts w:ascii="Cambria" w:eastAsiaTheme="minorHAnsi" w:hAnsi="Cambria" w:cs="AGaramondPro-Bold-SC700"/>
          <w:b/>
          <w:bCs/>
          <w:sz w:val="16"/>
          <w:szCs w:val="16"/>
          <w:lang w:val="pt-BR"/>
        </w:rPr>
      </w:pP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 xml:space="preserve">Comissão Nacional da Verdade. Volume I. </w:t>
      </w:r>
      <w:r w:rsidRPr="00B64BF5">
        <w:rPr>
          <w:rStyle w:val="Strong"/>
          <w:rFonts w:ascii="Cambria" w:hAnsi="Cambria"/>
          <w:b w:val="0"/>
          <w:color w:val="222222"/>
          <w:sz w:val="16"/>
          <w:szCs w:val="16"/>
          <w:lang w:val="pt-BR"/>
        </w:rPr>
        <w:t>Parte IV – “Dinâmica das graves violações de direitos humanos: casos emblemáticos, locais e autores O Judiciário</w:t>
      </w:r>
      <w:r w:rsidRPr="00B64BF5">
        <w:rPr>
          <w:rStyle w:val="Strong"/>
          <w:rFonts w:ascii="Cambria" w:hAnsi="Cambria"/>
          <w:color w:val="222222"/>
          <w:sz w:val="16"/>
          <w:szCs w:val="16"/>
          <w:lang w:val="pt-BR"/>
        </w:rPr>
        <w:t>”</w:t>
      </w:r>
      <w:r w:rsidRPr="00B64BF5">
        <w:rPr>
          <w:rFonts w:ascii="Cambria" w:hAnsi="Cambria"/>
          <w:color w:val="222222"/>
          <w:sz w:val="16"/>
          <w:szCs w:val="16"/>
          <w:lang w:val="pt-BR"/>
        </w:rPr>
        <w:t> Capítulo 17 – O Judiciário na ditadura</w:t>
      </w:r>
      <w:r w:rsidRPr="00B64BF5">
        <w:rPr>
          <w:rFonts w:ascii="Cambria" w:hAnsi="Cambria"/>
          <w:sz w:val="16"/>
          <w:szCs w:val="16"/>
          <w:lang w:val="pt-BR"/>
        </w:rPr>
        <w:t xml:space="preserve"> (D) </w:t>
      </w:r>
      <w:r w:rsidRPr="00B64BF5">
        <w:rPr>
          <w:rFonts w:ascii="Cambria" w:eastAsiaTheme="minorHAnsi" w:hAnsi="Cambria" w:cs="AGaramondPro-Bold-SC700"/>
          <w:bCs/>
          <w:sz w:val="16"/>
          <w:szCs w:val="16"/>
          <w:lang w:val="pt-BR"/>
        </w:rPr>
        <w:t>Considerações finais sobre a apreciação judicial acerca de graves violações de direitos humanos</w:t>
      </w:r>
      <w:r w:rsidRPr="00B64BF5">
        <w:rPr>
          <w:rFonts w:ascii="Cambria" w:hAnsi="Cambria"/>
          <w:sz w:val="16"/>
          <w:szCs w:val="16"/>
          <w:lang w:val="pt-BR"/>
        </w:rPr>
        <w:t xml:space="preserve"> fls. </w:t>
      </w:r>
      <w:r w:rsidRPr="00B64BF5">
        <w:rPr>
          <w:rFonts w:ascii="Cambria" w:hAnsi="Cambria"/>
          <w:sz w:val="16"/>
          <w:szCs w:val="16"/>
          <w:lang w:val="pt-BR"/>
        </w:rPr>
        <w:t xml:space="preserve">41, párrs. </w:t>
      </w:r>
      <w:r w:rsidRPr="00B64BF5">
        <w:rPr>
          <w:rFonts w:ascii="Cambria" w:hAnsi="Cambria"/>
          <w:sz w:val="16"/>
          <w:szCs w:val="16"/>
          <w:lang w:val="pt-BR"/>
        </w:rPr>
        <w:t xml:space="preserve">68-70, del 10 de diciembre de 2014.  </w:t>
      </w:r>
    </w:p>
  </w:footnote>
  <w:footnote w:id="4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 xml:space="preserve">Comissão Nacional da Verdade. Volume III. Parte III, </w:t>
      </w:r>
      <w:r w:rsidRPr="00B64BF5">
        <w:rPr>
          <w:rStyle w:val="Emphasis"/>
          <w:rFonts w:ascii="Cambria" w:hAnsi="Cambria" w:cs="Arial"/>
          <w:sz w:val="16"/>
          <w:szCs w:val="16"/>
          <w:lang w:val="pt-BR"/>
        </w:rPr>
        <w:t>“</w:t>
      </w:r>
      <w:r w:rsidRPr="00B64BF5">
        <w:rPr>
          <w:rStyle w:val="Strong"/>
          <w:rFonts w:ascii="Cambria" w:hAnsi="Cambria"/>
          <w:b w:val="0"/>
          <w:sz w:val="16"/>
          <w:szCs w:val="16"/>
          <w:lang w:val="pt-BR"/>
        </w:rPr>
        <w:t>Mortos e desaparecidos políticos</w:t>
      </w:r>
      <w:r w:rsidRPr="00B64BF5">
        <w:rPr>
          <w:rStyle w:val="Strong"/>
          <w:rFonts w:ascii="Cambria" w:hAnsi="Cambria"/>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1794, del 10 de diciembre de 2014</w:t>
      </w:r>
      <w:r w:rsidRPr="00B64BF5">
        <w:rPr>
          <w:rFonts w:ascii="Cambria" w:hAnsi="Cambria"/>
          <w:i/>
          <w:color w:val="222222"/>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 xml:space="preserve">Verdade: Comissão Especial sobre Mortos e Desaparecidos Políticos. Brasília, Secretaria Especial dos Direitos Humanos, 2007, fls. 407- 408; </w:t>
      </w:r>
      <w:r w:rsidRPr="00B64BF5">
        <w:rPr>
          <w:rFonts w:ascii="Cambria" w:hAnsi="Cambria"/>
          <w:sz w:val="16"/>
          <w:szCs w:val="16"/>
          <w:lang w:val="pt-BR"/>
        </w:rPr>
        <w:t>DANTAS, Audálio.</w:t>
      </w:r>
      <w:r w:rsidRPr="00B64BF5">
        <w:rPr>
          <w:rFonts w:ascii="Cambria" w:hAnsi="Cambria"/>
          <w:i/>
          <w:sz w:val="16"/>
          <w:szCs w:val="16"/>
          <w:lang w:val="pt-BR"/>
        </w:rPr>
        <w:t xml:space="preserve"> As duas guerras de Vlado Herzog. </w:t>
      </w:r>
      <w:r w:rsidRPr="00B64BF5">
        <w:rPr>
          <w:rFonts w:ascii="Cambria" w:hAnsi="Cambria"/>
          <w:sz w:val="16"/>
          <w:szCs w:val="16"/>
          <w:lang w:val="pt-BR"/>
        </w:rPr>
        <w:t xml:space="preserve">Rio de Janeiro. Editora </w:t>
      </w:r>
      <w:r w:rsidRPr="00B64BF5">
        <w:rPr>
          <w:rStyle w:val="Emphasis"/>
          <w:rFonts w:ascii="Cambria" w:hAnsi="Cambria" w:cs="Arial"/>
          <w:i w:val="0"/>
          <w:sz w:val="16"/>
          <w:szCs w:val="16"/>
          <w:lang w:val="pt-BR"/>
        </w:rPr>
        <w:t>Civilização Brasileira, 2012, fls.</w:t>
      </w:r>
      <w:r w:rsidRPr="00B64BF5">
        <w:rPr>
          <w:rStyle w:val="Emphasis"/>
          <w:rFonts w:ascii="Cambria" w:hAnsi="Cambria" w:cs="Arial"/>
          <w:sz w:val="16"/>
          <w:szCs w:val="16"/>
          <w:lang w:val="pt-BR"/>
        </w:rPr>
        <w:t xml:space="preserve"> 35.</w:t>
      </w:r>
    </w:p>
  </w:footnote>
  <w:footnote w:id="4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 “</w:t>
      </w:r>
      <w:r w:rsidRPr="00B64BF5">
        <w:rPr>
          <w:rStyle w:val="Strong"/>
          <w:rFonts w:ascii="Cambria" w:hAnsi="Cambria"/>
          <w:b w:val="0"/>
          <w:sz w:val="16"/>
          <w:szCs w:val="16"/>
          <w:lang w:val="pt-BR"/>
        </w:rPr>
        <w:t>Mortos e desaparecidos políticos”</w:t>
      </w:r>
      <w:r w:rsidRPr="00B64BF5">
        <w:rPr>
          <w:rFonts w:ascii="Cambria" w:hAnsi="Cambria"/>
          <w:b/>
          <w:color w:val="222222"/>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1794, del 10 de diciembre de 2014.</w:t>
      </w:r>
    </w:p>
  </w:footnote>
  <w:footnote w:id="4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DANTAS, </w:t>
      </w:r>
      <w:r w:rsidRPr="00B64BF5">
        <w:rPr>
          <w:rFonts w:ascii="Cambria" w:hAnsi="Cambria"/>
          <w:sz w:val="16"/>
          <w:szCs w:val="16"/>
          <w:lang w:val="pt-BR"/>
        </w:rPr>
        <w:t xml:space="preserve">Audálio. As duas guerras de Vlado Herzog. Rio de Janeiro. Editora </w:t>
      </w:r>
      <w:r w:rsidRPr="00B64BF5">
        <w:rPr>
          <w:rStyle w:val="Emphasis"/>
          <w:rFonts w:ascii="Cambria" w:hAnsi="Cambria" w:cs="Arial"/>
          <w:i w:val="0"/>
          <w:sz w:val="16"/>
          <w:szCs w:val="16"/>
          <w:lang w:val="pt-BR"/>
        </w:rPr>
        <w:t>Civilização Brasileira,</w:t>
      </w:r>
      <w:r w:rsidRPr="00B64BF5">
        <w:rPr>
          <w:rStyle w:val="Emphasis"/>
          <w:rFonts w:ascii="Cambria" w:hAnsi="Cambria" w:cs="Arial"/>
          <w:sz w:val="16"/>
          <w:szCs w:val="16"/>
          <w:lang w:val="pt-BR"/>
        </w:rPr>
        <w:t xml:space="preserve"> 2012, fls. 47-48; Brasil. </w:t>
      </w:r>
      <w:r w:rsidRPr="00B64BF5">
        <w:rPr>
          <w:rStyle w:val="Emphasis"/>
          <w:rFonts w:ascii="Cambria" w:hAnsi="Cambria" w:cs="Arial"/>
          <w:i w:val="0"/>
          <w:sz w:val="16"/>
          <w:szCs w:val="16"/>
          <w:lang w:val="pt-BR"/>
        </w:rPr>
        <w:t>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 xml:space="preserve">à </w:t>
      </w:r>
      <w:r w:rsidRPr="00B64BF5">
        <w:rPr>
          <w:rStyle w:val="Emphasis"/>
          <w:rFonts w:ascii="Cambria" w:hAnsi="Cambria" w:cs="Arial"/>
          <w:i w:val="0"/>
          <w:sz w:val="16"/>
          <w:szCs w:val="16"/>
          <w:lang w:val="pt-BR"/>
        </w:rPr>
        <w:t>Verdade: Comissão Especial sobre Mortos e Desaparecidos Políticos.</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Brasília, Secretaria Especial dos Direitos Humanos, 2007, fls. 408.</w:t>
      </w:r>
      <w:r w:rsidRPr="00B64BF5">
        <w:rPr>
          <w:rStyle w:val="Emphasis"/>
          <w:rFonts w:ascii="Cambria" w:hAnsi="Cambria" w:cs="Arial"/>
          <w:sz w:val="16"/>
          <w:szCs w:val="16"/>
          <w:lang w:val="pt-BR"/>
        </w:rPr>
        <w:t xml:space="preserve"> </w:t>
      </w:r>
    </w:p>
  </w:footnote>
  <w:footnote w:id="4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 xml:space="preserve">Comissão Nacional da Verdade. Volume III. Parte III, </w:t>
      </w:r>
      <w:r w:rsidRPr="00B64BF5">
        <w:rPr>
          <w:rStyle w:val="Emphasis"/>
          <w:rFonts w:ascii="Cambria" w:hAnsi="Cambria" w:cs="Arial"/>
          <w:sz w:val="16"/>
          <w:szCs w:val="16"/>
          <w:lang w:val="pt-BR"/>
        </w:rPr>
        <w:t>“</w:t>
      </w:r>
      <w:r w:rsidRPr="00B64BF5">
        <w:rPr>
          <w:rStyle w:val="Strong"/>
          <w:rFonts w:ascii="Cambria" w:hAnsi="Cambria"/>
          <w:b w:val="0"/>
          <w:sz w:val="16"/>
          <w:szCs w:val="16"/>
          <w:lang w:val="pt-BR"/>
        </w:rPr>
        <w:t>Mortos e desaparecidos políticos</w:t>
      </w:r>
      <w:r w:rsidRPr="00B64BF5">
        <w:rPr>
          <w:rStyle w:val="Strong"/>
          <w:rFonts w:ascii="Cambria" w:hAnsi="Cambria"/>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1794, del 10 de diciembre de 2014.</w:t>
      </w:r>
    </w:p>
  </w:footnote>
  <w:footnote w:id="4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DANTAS, </w:t>
      </w:r>
      <w:r w:rsidRPr="00B64BF5">
        <w:rPr>
          <w:rFonts w:ascii="Cambria" w:hAnsi="Cambria"/>
          <w:sz w:val="16"/>
          <w:szCs w:val="16"/>
          <w:lang w:val="pt-BR"/>
        </w:rPr>
        <w:t>Audálio. As duas guerras de Vlado Herzog. Rio de Janeiro. Editora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Civilização Brasileira, 2012, fls. 47-48</w:t>
      </w:r>
      <w:r w:rsidRPr="00B64BF5">
        <w:rPr>
          <w:rStyle w:val="Emphasis"/>
          <w:rFonts w:ascii="Cambria" w:hAnsi="Cambria" w:cs="Arial"/>
          <w:sz w:val="16"/>
          <w:szCs w:val="16"/>
          <w:lang w:val="pt-BR"/>
        </w:rPr>
        <w:t>.</w:t>
      </w:r>
    </w:p>
  </w:footnote>
  <w:footnote w:id="4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DANTAS, Audálio. As duas guerras de Vlado Herzog. Rio de Janeiro. Editora </w:t>
      </w:r>
      <w:r w:rsidRPr="00B64BF5">
        <w:rPr>
          <w:rStyle w:val="Emphasis"/>
          <w:rFonts w:ascii="Cambria" w:hAnsi="Cambria" w:cs="Arial"/>
          <w:i w:val="0"/>
          <w:sz w:val="16"/>
          <w:szCs w:val="16"/>
          <w:lang w:val="pt-BR"/>
        </w:rPr>
        <w:t>Civilização Brasileira, 2012, fls. 49-50.</w:t>
      </w:r>
      <w:r w:rsidRPr="00B64BF5">
        <w:rPr>
          <w:rStyle w:val="Emphasis"/>
          <w:rFonts w:ascii="Cambria" w:hAnsi="Cambria" w:cs="Arial"/>
          <w:sz w:val="16"/>
          <w:szCs w:val="16"/>
          <w:lang w:val="pt-BR"/>
        </w:rPr>
        <w:t xml:space="preserve"> </w:t>
      </w:r>
    </w:p>
  </w:footnote>
  <w:footnote w:id="4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2007, fls. 408.</w:t>
      </w:r>
      <w:r w:rsidRPr="00B64BF5">
        <w:rPr>
          <w:rFonts w:ascii="Cambria" w:hAnsi="Cambria"/>
          <w:sz w:val="16"/>
          <w:szCs w:val="16"/>
          <w:lang w:val="pt-BR"/>
        </w:rPr>
        <w:t xml:space="preserve"> </w:t>
      </w:r>
    </w:p>
  </w:footnote>
  <w:footnote w:id="5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DANTAS, Audálio. As duas guerras de Vlado Herzog. Rio de Janeiro. Editora </w:t>
      </w:r>
      <w:r w:rsidRPr="00B64BF5">
        <w:rPr>
          <w:rStyle w:val="Emphasis"/>
          <w:rFonts w:ascii="Cambria" w:hAnsi="Cambria" w:cs="Arial"/>
          <w:i w:val="0"/>
          <w:sz w:val="16"/>
          <w:szCs w:val="16"/>
          <w:lang w:val="pt-BR"/>
        </w:rPr>
        <w:t>Civilização Brasileira, 2012, fls. 56.</w:t>
      </w:r>
    </w:p>
  </w:footnote>
  <w:footnote w:id="5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DANTAS, Audálio. As duas guerras de Vlado Herzog. Rio de Janeiro. Editora </w:t>
      </w:r>
      <w:r w:rsidRPr="00B64BF5">
        <w:rPr>
          <w:rStyle w:val="Emphasis"/>
          <w:rFonts w:ascii="Cambria" w:hAnsi="Cambria" w:cs="Arial"/>
          <w:i w:val="0"/>
          <w:sz w:val="16"/>
          <w:szCs w:val="16"/>
          <w:lang w:val="pt-BR"/>
        </w:rPr>
        <w:t>Civilização Brasileira, 2012, fls. 58;</w:t>
      </w:r>
      <w:r w:rsidRPr="00B64BF5">
        <w:rPr>
          <w:rStyle w:val="Emphasis"/>
          <w:rFonts w:ascii="Cambria" w:hAnsi="Cambria" w:cs="Arial"/>
          <w:sz w:val="16"/>
          <w:szCs w:val="16"/>
          <w:lang w:val="pt-BR"/>
        </w:rPr>
        <w:t xml:space="preserve"> </w:t>
      </w:r>
      <w:r w:rsidRPr="00B64BF5">
        <w:rPr>
          <w:rFonts w:ascii="Cambria" w:hAnsi="Cambria"/>
          <w:sz w:val="16"/>
          <w:szCs w:val="16"/>
          <w:lang w:val="pt-BR"/>
        </w:rPr>
        <w:t>Comiss</w:t>
      </w:r>
      <w:r w:rsidRPr="00B64BF5">
        <w:rPr>
          <w:rStyle w:val="Emphasis"/>
          <w:rFonts w:ascii="Cambria" w:hAnsi="Cambria" w:cs="Arial"/>
          <w:i w:val="0"/>
          <w:sz w:val="16"/>
          <w:szCs w:val="16"/>
          <w:lang w:val="pt-BR"/>
        </w:rPr>
        <w:t>ão</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de Familiares e</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Desaparecidos Políticos. “1975: Vladimir Herzog”. In:</w:t>
      </w:r>
      <w:r w:rsidRPr="00B64BF5">
        <w:rPr>
          <w:rStyle w:val="Emphasis"/>
          <w:rFonts w:ascii="Cambria" w:hAnsi="Cambria" w:cs="Arial"/>
          <w:sz w:val="16"/>
          <w:szCs w:val="16"/>
          <w:lang w:val="pt-BR"/>
        </w:rPr>
        <w:t xml:space="preserve"> </w:t>
      </w:r>
      <w:r w:rsidRPr="00B64BF5">
        <w:rPr>
          <w:rFonts w:ascii="Cambria" w:hAnsi="Cambria"/>
          <w:sz w:val="16"/>
          <w:szCs w:val="16"/>
          <w:lang w:val="pt-BR"/>
        </w:rPr>
        <w:t xml:space="preserve">Dossiê Ditadura: Mortos e Desaparecidos Políticos no Brasil, 1964-1985. </w:t>
      </w:r>
      <w:r w:rsidRPr="00B64BF5">
        <w:rPr>
          <w:rStyle w:val="Emphasis"/>
          <w:rFonts w:ascii="Cambria" w:hAnsi="Cambria" w:cs="Arial"/>
          <w:i w:val="0"/>
          <w:sz w:val="16"/>
          <w:szCs w:val="16"/>
          <w:lang w:val="pt-BR"/>
        </w:rPr>
        <w:t xml:space="preserve">2ª edicíon, 2007, fls. 626. </w:t>
      </w:r>
    </w:p>
  </w:footnote>
  <w:footnote w:id="5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w:t>
      </w:r>
      <w:r w:rsidRPr="00B64BF5">
        <w:rPr>
          <w:rStyle w:val="Emphasis"/>
          <w:rFonts w:ascii="Cambria" w:hAnsi="Cambria" w:cs="Arial"/>
          <w:sz w:val="16"/>
          <w:szCs w:val="16"/>
          <w:lang w:val="pt-BR"/>
        </w:rPr>
        <w:t xml:space="preserve"> </w:t>
      </w:r>
      <w:r w:rsidRPr="00B64BF5">
        <w:rPr>
          <w:rStyle w:val="Emphasis"/>
          <w:rFonts w:ascii="Cambria" w:hAnsi="Cambria" w:cs="Arial"/>
          <w:b/>
          <w:sz w:val="16"/>
          <w:szCs w:val="16"/>
          <w:lang w:val="pt-BR"/>
        </w:rPr>
        <w:t>“</w:t>
      </w:r>
      <w:r w:rsidRPr="00B64BF5">
        <w:rPr>
          <w:rStyle w:val="Strong"/>
          <w:rFonts w:ascii="Cambria" w:hAnsi="Cambria"/>
          <w:b w:val="0"/>
          <w:sz w:val="16"/>
          <w:szCs w:val="16"/>
          <w:lang w:val="pt-BR"/>
        </w:rPr>
        <w:t>Mortos e desaparecidos políticos</w:t>
      </w:r>
      <w:r w:rsidRPr="00B64BF5">
        <w:rPr>
          <w:rStyle w:val="Strong"/>
          <w:rFonts w:ascii="Cambria" w:hAnsi="Cambria"/>
          <w:i/>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1794, del 10 de diciembre de 2014.</w:t>
      </w:r>
    </w:p>
  </w:footnote>
  <w:footnote w:id="5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w:t>
      </w:r>
      <w:r w:rsidRPr="00B64BF5">
        <w:rPr>
          <w:rStyle w:val="Emphasis"/>
          <w:rFonts w:ascii="Cambria" w:hAnsi="Cambria" w:cs="Arial"/>
          <w:sz w:val="16"/>
          <w:szCs w:val="16"/>
          <w:lang w:val="pt-BR"/>
        </w:rPr>
        <w:t xml:space="preserve"> </w:t>
      </w:r>
      <w:r w:rsidRPr="00B64BF5">
        <w:rPr>
          <w:rStyle w:val="Emphasis"/>
          <w:rFonts w:ascii="Cambria" w:hAnsi="Cambria" w:cs="Arial"/>
          <w:b/>
          <w:sz w:val="16"/>
          <w:szCs w:val="16"/>
          <w:lang w:val="pt-BR"/>
        </w:rPr>
        <w:t>“</w:t>
      </w:r>
      <w:r w:rsidRPr="00B64BF5">
        <w:rPr>
          <w:rStyle w:val="Strong"/>
          <w:rFonts w:ascii="Cambria" w:hAnsi="Cambria"/>
          <w:b w:val="0"/>
          <w:sz w:val="16"/>
          <w:szCs w:val="16"/>
          <w:lang w:val="pt-BR"/>
        </w:rPr>
        <w:t>Mortos e desaparecidos políticos”</w:t>
      </w:r>
      <w:r w:rsidRPr="00B64BF5">
        <w:rPr>
          <w:rFonts w:ascii="Cambria" w:hAnsi="Cambria"/>
          <w:b/>
          <w:color w:val="222222"/>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 xml:space="preserve">1794, del 10 de diciembre de 2014.  </w:t>
      </w:r>
    </w:p>
  </w:footnote>
  <w:footnote w:id="5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DANTAS, </w:t>
      </w:r>
      <w:r w:rsidRPr="00B64BF5">
        <w:rPr>
          <w:rFonts w:ascii="Cambria" w:hAnsi="Cambria"/>
          <w:sz w:val="16"/>
          <w:szCs w:val="16"/>
          <w:lang w:val="pt-BR"/>
        </w:rPr>
        <w:t xml:space="preserve">Audálio. As duas guerras de Vlado Herzog. Rio de Janeiro. Editora </w:t>
      </w:r>
      <w:r w:rsidRPr="00B64BF5">
        <w:rPr>
          <w:rStyle w:val="Emphasis"/>
          <w:rFonts w:ascii="Cambria" w:hAnsi="Cambria" w:cs="Arial"/>
          <w:i w:val="0"/>
          <w:sz w:val="16"/>
          <w:szCs w:val="16"/>
          <w:lang w:val="pt-BR"/>
        </w:rPr>
        <w:t>Civilização Brasileira, 2012, fls. 60;</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2007, fls.408.</w:t>
      </w:r>
    </w:p>
  </w:footnote>
  <w:footnote w:id="5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w:t>
      </w:r>
      <w:r w:rsidRPr="00B64BF5">
        <w:rPr>
          <w:rStyle w:val="Emphasis"/>
          <w:rFonts w:ascii="Cambria" w:hAnsi="Cambria" w:cs="Arial"/>
          <w:sz w:val="16"/>
          <w:szCs w:val="16"/>
          <w:lang w:val="pt-BR"/>
        </w:rPr>
        <w:t xml:space="preserve"> “</w:t>
      </w:r>
      <w:r w:rsidRPr="00B64BF5">
        <w:rPr>
          <w:rStyle w:val="Strong"/>
          <w:rFonts w:ascii="Cambria" w:hAnsi="Cambria"/>
          <w:b w:val="0"/>
          <w:sz w:val="16"/>
          <w:szCs w:val="16"/>
          <w:lang w:val="pt-BR"/>
        </w:rPr>
        <w:t>Mortos e desaparecidos políticos”</w:t>
      </w:r>
      <w:r w:rsidRPr="00B64BF5">
        <w:rPr>
          <w:rFonts w:ascii="Cambria" w:hAnsi="Cambria"/>
          <w:b/>
          <w:color w:val="222222"/>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 xml:space="preserve">1794, del 10 de diciembre de 2014.  </w:t>
      </w:r>
    </w:p>
  </w:footnote>
  <w:footnote w:id="5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DANTAS, </w:t>
      </w:r>
      <w:r w:rsidRPr="00B64BF5">
        <w:rPr>
          <w:rFonts w:ascii="Cambria" w:hAnsi="Cambria"/>
          <w:sz w:val="16"/>
          <w:szCs w:val="16"/>
          <w:lang w:val="pt-BR"/>
        </w:rPr>
        <w:t xml:space="preserve">Audálio. As duas guerras de Vlado Herzog. Rio de Janeiro. Editora </w:t>
      </w:r>
      <w:r w:rsidRPr="00B64BF5">
        <w:rPr>
          <w:rStyle w:val="Emphasis"/>
          <w:rFonts w:ascii="Cambria" w:hAnsi="Cambria" w:cs="Arial"/>
          <w:i w:val="0"/>
          <w:sz w:val="16"/>
          <w:szCs w:val="16"/>
          <w:lang w:val="pt-BR"/>
        </w:rPr>
        <w:t>Civilização Brasileira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2012, fls. 63-64; </w:t>
      </w:r>
      <w:r w:rsidRPr="00B64BF5">
        <w:rPr>
          <w:rFonts w:ascii="Cambria" w:hAnsi="Cambria"/>
          <w:i/>
          <w:sz w:val="16"/>
          <w:szCs w:val="16"/>
          <w:lang w:val="pt-BR"/>
        </w:rPr>
        <w:t>Comiss</w:t>
      </w:r>
      <w:r w:rsidRPr="00B64BF5">
        <w:rPr>
          <w:rStyle w:val="Emphasis"/>
          <w:rFonts w:ascii="Cambria" w:hAnsi="Cambria" w:cs="Arial"/>
          <w:i w:val="0"/>
          <w:sz w:val="16"/>
          <w:szCs w:val="16"/>
          <w:lang w:val="pt-BR"/>
        </w:rPr>
        <w:t>ão de Familiares e Desaparecidos Políticos.</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1975: Vladimir Herzog</w:t>
      </w:r>
      <w:r w:rsidRPr="00B64BF5">
        <w:rPr>
          <w:rStyle w:val="Emphasis"/>
          <w:rFonts w:ascii="Cambria" w:hAnsi="Cambria" w:cs="Arial"/>
          <w:sz w:val="16"/>
          <w:szCs w:val="16"/>
          <w:lang w:val="pt-BR"/>
        </w:rPr>
        <w:t xml:space="preserve">”. In: </w:t>
      </w:r>
      <w:r w:rsidRPr="00B64BF5">
        <w:rPr>
          <w:rFonts w:ascii="Cambria" w:hAnsi="Cambria"/>
          <w:sz w:val="16"/>
          <w:szCs w:val="16"/>
          <w:lang w:val="pt-BR"/>
        </w:rPr>
        <w:t xml:space="preserve">Dossiê Ditadura: Mortos e Desaparecidos Políticos no Brasil, 1964-1985. </w:t>
      </w:r>
      <w:r w:rsidRPr="00B64BF5">
        <w:rPr>
          <w:rStyle w:val="Emphasis"/>
          <w:rFonts w:ascii="Cambria" w:hAnsi="Cambria" w:cs="Arial"/>
          <w:sz w:val="16"/>
          <w:szCs w:val="16"/>
          <w:lang w:val="pt-BR"/>
        </w:rPr>
        <w:t xml:space="preserve">2ª </w:t>
      </w:r>
      <w:r w:rsidRPr="00B64BF5">
        <w:rPr>
          <w:rStyle w:val="Emphasis"/>
          <w:rFonts w:ascii="Cambria" w:hAnsi="Cambria" w:cs="Arial"/>
          <w:i w:val="0"/>
          <w:sz w:val="16"/>
          <w:szCs w:val="16"/>
          <w:lang w:val="pt-BR"/>
        </w:rPr>
        <w:t>edición, 2007, fls. 626</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 xml:space="preserve">à </w:t>
      </w:r>
      <w:r w:rsidRPr="00B64BF5">
        <w:rPr>
          <w:rStyle w:val="Emphasis"/>
          <w:rFonts w:ascii="Cambria" w:hAnsi="Cambria" w:cs="Arial"/>
          <w:i w:val="0"/>
          <w:sz w:val="16"/>
          <w:szCs w:val="16"/>
          <w:lang w:val="pt-BR"/>
        </w:rPr>
        <w:t>Verdade: Comissão Especial sobre Mortos e Desaparecidos Políticos. Brasília, Secretaria Especial dos Direitos Humanos, 2007, fls.408.</w:t>
      </w:r>
      <w:r w:rsidRPr="00B64BF5">
        <w:rPr>
          <w:rStyle w:val="Emphasis"/>
          <w:rFonts w:ascii="Cambria" w:hAnsi="Cambria" w:cs="Arial"/>
          <w:sz w:val="16"/>
          <w:szCs w:val="16"/>
          <w:lang w:val="pt-BR"/>
        </w:rPr>
        <w:t xml:space="preserve"> </w:t>
      </w:r>
    </w:p>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DANTAS, Audálio. As duas guerras de Vlado Herzog. Rio de Janeiro. Editora </w:t>
      </w:r>
      <w:r w:rsidRPr="00B64BF5">
        <w:rPr>
          <w:rStyle w:val="Emphasis"/>
          <w:rFonts w:ascii="Cambria" w:hAnsi="Cambria" w:cs="Arial"/>
          <w:i w:val="0"/>
          <w:sz w:val="16"/>
          <w:szCs w:val="16"/>
          <w:lang w:val="pt-BR"/>
        </w:rPr>
        <w:t>Civilização Brasileira, 2012, fls. 63; 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b/>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2007, fls.408.</w:t>
      </w:r>
    </w:p>
  </w:footnote>
  <w:footnote w:id="5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 xml:space="preserve">Comissão Nacional da Verdade. Volume III. Parte III, </w:t>
      </w:r>
      <w:r w:rsidRPr="00B64BF5">
        <w:rPr>
          <w:rStyle w:val="Emphasis"/>
          <w:rFonts w:ascii="Cambria" w:hAnsi="Cambria" w:cs="Arial"/>
          <w:sz w:val="16"/>
          <w:szCs w:val="16"/>
          <w:lang w:val="pt-BR"/>
        </w:rPr>
        <w:t>“</w:t>
      </w:r>
      <w:r w:rsidRPr="00B64BF5">
        <w:rPr>
          <w:rStyle w:val="Strong"/>
          <w:rFonts w:ascii="Cambria" w:hAnsi="Cambria"/>
          <w:b w:val="0"/>
          <w:sz w:val="16"/>
          <w:szCs w:val="16"/>
          <w:lang w:val="pt-BR"/>
        </w:rPr>
        <w:t>Mortos e desaparecidos políticos”</w:t>
      </w:r>
      <w:r w:rsidRPr="00B64BF5">
        <w:rPr>
          <w:rFonts w:ascii="Cambria" w:hAnsi="Cambria"/>
          <w:b/>
          <w:color w:val="222222"/>
          <w:sz w:val="16"/>
          <w:szCs w:val="16"/>
          <w:lang w:val="pt-BR"/>
        </w:rPr>
        <w:t xml:space="preserve">, </w:t>
      </w:r>
      <w:r w:rsidRPr="00B64BF5">
        <w:rPr>
          <w:rFonts w:ascii="Cambria" w:hAnsi="Cambria"/>
          <w:color w:val="222222"/>
          <w:sz w:val="16"/>
          <w:szCs w:val="16"/>
          <w:lang w:val="pt-BR"/>
        </w:rPr>
        <w:t xml:space="preserve">fls. </w:t>
      </w:r>
      <w:r w:rsidRPr="00B64BF5">
        <w:rPr>
          <w:rFonts w:ascii="Cambria" w:hAnsi="Cambria"/>
          <w:color w:val="222222"/>
          <w:sz w:val="16"/>
          <w:szCs w:val="16"/>
          <w:lang w:val="pt-BR"/>
        </w:rPr>
        <w:t>1794, del 10 de diciembre de 2014</w:t>
      </w:r>
      <w:r w:rsidRPr="00B64BF5">
        <w:rPr>
          <w:rFonts w:ascii="Cambria" w:hAnsi="Cambria"/>
          <w:i/>
          <w:color w:val="222222"/>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 xml:space="preserve">à </w:t>
      </w:r>
      <w:r w:rsidRPr="00B64BF5">
        <w:rPr>
          <w:rStyle w:val="Emphasis"/>
          <w:rFonts w:ascii="Cambria" w:hAnsi="Cambria" w:cs="Arial"/>
          <w:i w:val="0"/>
          <w:sz w:val="16"/>
          <w:szCs w:val="16"/>
          <w:lang w:val="pt-BR"/>
        </w:rPr>
        <w:t>Verdade: Comissão Especial sobre Mortos e Desaparecidos Políticos. Brasília, Secretaria Especial dos Direitos Humanos, 2007, fls.408.</w:t>
      </w:r>
    </w:p>
  </w:footnote>
  <w:footnote w:id="5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w:t>
      </w:r>
      <w:r w:rsidRPr="00B64BF5">
        <w:rPr>
          <w:rStyle w:val="Emphasis"/>
          <w:rFonts w:ascii="Cambria" w:hAnsi="Cambria" w:cs="Arial"/>
          <w:sz w:val="16"/>
          <w:szCs w:val="16"/>
          <w:lang w:val="pt-BR"/>
        </w:rPr>
        <w:t>, “</w:t>
      </w:r>
      <w:r w:rsidRPr="00B64BF5">
        <w:rPr>
          <w:rStyle w:val="Strong"/>
          <w:rFonts w:ascii="Cambria" w:hAnsi="Cambria"/>
          <w:b w:val="0"/>
          <w:sz w:val="16"/>
          <w:szCs w:val="16"/>
          <w:lang w:val="pt-BR"/>
        </w:rPr>
        <w:t>Mortos e desaparecidos políticos”</w:t>
      </w:r>
      <w:r w:rsidRPr="00B64BF5">
        <w:rPr>
          <w:rFonts w:ascii="Cambria" w:hAnsi="Cambria"/>
          <w:b/>
          <w:color w:val="222222"/>
          <w:sz w:val="16"/>
          <w:szCs w:val="16"/>
          <w:lang w:val="pt-BR"/>
        </w:rPr>
        <w:t xml:space="preserve">, </w:t>
      </w:r>
      <w:r w:rsidRPr="00B64BF5">
        <w:rPr>
          <w:rFonts w:ascii="Cambria" w:hAnsi="Cambria"/>
          <w:color w:val="222222"/>
          <w:sz w:val="16"/>
          <w:szCs w:val="16"/>
          <w:lang w:val="pt-BR"/>
        </w:rPr>
        <w:t xml:space="preserve">fls. </w:t>
      </w:r>
      <w:r w:rsidRPr="00B64BF5">
        <w:rPr>
          <w:rFonts w:ascii="Cambria" w:hAnsi="Cambria"/>
          <w:color w:val="222222"/>
          <w:sz w:val="16"/>
          <w:szCs w:val="16"/>
          <w:lang w:val="pt-BR"/>
        </w:rPr>
        <w:t>1794, del 10 de diciembre de 2014.</w:t>
      </w:r>
    </w:p>
  </w:footnote>
  <w:footnote w:id="59">
    <w:p w:rsidR="00D53806" w:rsidRPr="00B64BF5" w:rsidRDefault="00D53806" w:rsidP="002A72A1">
      <w:pPr>
        <w:pStyle w:val="FootnoteText"/>
        <w:ind w:firstLine="720"/>
        <w:jc w:val="both"/>
        <w:rPr>
          <w:rFonts w:ascii="Cambria" w:hAnsi="Cambria"/>
          <w:sz w:val="16"/>
          <w:szCs w:val="16"/>
          <w:lang w:val="pt-BR"/>
        </w:rPr>
      </w:pPr>
      <w:r w:rsidRPr="002A72A1">
        <w:rPr>
          <w:rStyle w:val="FootnoteReference"/>
          <w:rFonts w:ascii="Cambria" w:hAnsi="Cambria"/>
          <w:color w:val="auto"/>
          <w:sz w:val="16"/>
          <w:szCs w:val="16"/>
        </w:rPr>
        <w:footnoteRef/>
      </w:r>
      <w:r w:rsidRPr="002A72A1">
        <w:rPr>
          <w:rFonts w:ascii="Cambria" w:hAnsi="Cambria"/>
          <w:color w:val="auto"/>
          <w:sz w:val="16"/>
          <w:szCs w:val="16"/>
          <w:lang w:val="pt-BR"/>
        </w:rPr>
        <w:t xml:space="preserve"> </w:t>
      </w:r>
      <w:r w:rsidR="002A72A1" w:rsidRPr="002A72A1">
        <w:rPr>
          <w:rFonts w:ascii="Cambria" w:hAnsi="Cambria"/>
          <w:sz w:val="16"/>
          <w:szCs w:val="16"/>
          <w:lang w:val="pt-BR"/>
        </w:rPr>
        <w:t>NERY</w:t>
      </w:r>
      <w:r w:rsidR="002A72A1" w:rsidRPr="00AF4F87">
        <w:rPr>
          <w:rFonts w:ascii="Cambria" w:hAnsi="Cambria"/>
          <w:sz w:val="16"/>
          <w:szCs w:val="16"/>
          <w:lang w:val="pt-BR"/>
        </w:rPr>
        <w:t>, Jo</w:t>
      </w:r>
      <w:r w:rsidR="002A72A1" w:rsidRPr="00AF4F87">
        <w:rPr>
          <w:rStyle w:val="Emphasis"/>
          <w:rFonts w:ascii="Cambria" w:hAnsi="Cambria" w:cs="Arial"/>
          <w:i w:val="0"/>
          <w:sz w:val="16"/>
          <w:szCs w:val="16"/>
          <w:lang w:val="pt-BR"/>
        </w:rPr>
        <w:t>ão Elias</w:t>
      </w:r>
      <w:r w:rsidR="002A72A1" w:rsidRPr="00AF4F87">
        <w:rPr>
          <w:rStyle w:val="Emphasis"/>
          <w:rFonts w:ascii="Cambria" w:hAnsi="Cambria" w:cs="Arial"/>
          <w:sz w:val="16"/>
          <w:szCs w:val="16"/>
          <w:lang w:val="pt-BR"/>
        </w:rPr>
        <w:t xml:space="preserve">. “Páginas de Cultura, resistência e submissão: livros na revista visão”. </w:t>
      </w:r>
      <w:r w:rsidR="002A72A1" w:rsidRPr="00AF4F87">
        <w:rPr>
          <w:rStyle w:val="Emphasis"/>
          <w:rFonts w:ascii="Cambria" w:hAnsi="Cambria" w:cs="Arial"/>
          <w:i w:val="0"/>
          <w:sz w:val="16"/>
          <w:szCs w:val="16"/>
          <w:lang w:val="pt-BR"/>
        </w:rPr>
        <w:t>Em Questão, Porto Alegre, v. 1</w:t>
      </w:r>
      <w:r w:rsidR="002A72A1">
        <w:rPr>
          <w:rStyle w:val="Emphasis"/>
          <w:rFonts w:ascii="Cambria" w:hAnsi="Cambria" w:cs="Arial"/>
          <w:i w:val="0"/>
          <w:sz w:val="16"/>
          <w:szCs w:val="16"/>
          <w:lang w:val="pt-BR"/>
        </w:rPr>
        <w:t xml:space="preserve">3, n. </w:t>
      </w:r>
      <w:r w:rsidR="002A72A1">
        <w:rPr>
          <w:rStyle w:val="Emphasis"/>
          <w:rFonts w:ascii="Cambria" w:hAnsi="Cambria" w:cs="Arial"/>
          <w:i w:val="0"/>
          <w:sz w:val="16"/>
          <w:szCs w:val="16"/>
          <w:lang w:val="pt-BR"/>
        </w:rPr>
        <w:t>2, jul/dez 2007, fls. 290</w:t>
      </w:r>
      <w:r w:rsidR="002A72A1" w:rsidRPr="002A72A1">
        <w:rPr>
          <w:rStyle w:val="Emphasis"/>
          <w:rFonts w:ascii="Cambria" w:hAnsi="Cambria" w:cs="Arial"/>
          <w:sz w:val="16"/>
          <w:szCs w:val="16"/>
          <w:lang w:val="pt-BR"/>
        </w:rPr>
        <w:t>.</w:t>
      </w:r>
      <w:r w:rsidR="002A72A1" w:rsidRPr="002A72A1">
        <w:rPr>
          <w:rFonts w:ascii="Cambria" w:hAnsi="Cambria"/>
          <w:sz w:val="16"/>
          <w:szCs w:val="16"/>
          <w:lang w:val="pt-BR"/>
        </w:rPr>
        <w:t xml:space="preserve"> </w:t>
      </w:r>
      <w:r w:rsidR="002A72A1" w:rsidRPr="00AF4F87">
        <w:rPr>
          <w:rFonts w:ascii="Cambria" w:hAnsi="Cambria"/>
          <w:sz w:val="16"/>
          <w:szCs w:val="16"/>
          <w:lang w:val="pt-BR"/>
        </w:rPr>
        <w:t xml:space="preserve">DANTAS, Audálio. As duas guerras de Vlado Herzog. Rio de Janeiro. Editora </w:t>
      </w:r>
      <w:r w:rsidR="002A72A1" w:rsidRPr="00AF4F87">
        <w:rPr>
          <w:rStyle w:val="Emphasis"/>
          <w:rFonts w:ascii="Cambria" w:hAnsi="Cambria" w:cs="Arial"/>
          <w:sz w:val="16"/>
          <w:szCs w:val="16"/>
          <w:lang w:val="pt-BR"/>
        </w:rPr>
        <w:t>Civilização Brasileira, 2012, fls. 60.</w:t>
      </w:r>
    </w:p>
  </w:footnote>
  <w:footnote w:id="6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DANTAS, Audálio. As duas guerras de Vlado Herzog. Rio de Janeiro. Editora </w:t>
      </w:r>
      <w:r w:rsidRPr="00B64BF5">
        <w:rPr>
          <w:rStyle w:val="Emphasis"/>
          <w:rFonts w:ascii="Cambria" w:hAnsi="Cambria" w:cs="Arial"/>
          <w:i w:val="0"/>
          <w:sz w:val="16"/>
          <w:szCs w:val="16"/>
          <w:lang w:val="pt-BR"/>
        </w:rPr>
        <w:t>Civilização Brasileira, 2012, fls. 66; GASPARI, Elio. A Ditadura Encurralada. São Paulo, Companhia das Letras, 2004,</w:t>
      </w:r>
      <w:r w:rsidRPr="00B64BF5">
        <w:rPr>
          <w:rStyle w:val="Emphasis"/>
          <w:rFonts w:ascii="Cambria" w:hAnsi="Cambria" w:cs="Arial"/>
          <w:sz w:val="16"/>
          <w:szCs w:val="16"/>
          <w:lang w:val="pt-BR"/>
        </w:rPr>
        <w:t xml:space="preserve"> fls. 173. </w:t>
      </w:r>
    </w:p>
  </w:footnote>
  <w:footnote w:id="61">
    <w:p w:rsidR="00D53806" w:rsidRPr="00B64BF5" w:rsidRDefault="00D53806" w:rsidP="00B64BF5">
      <w:pPr>
        <w:autoSpaceDE w:val="0"/>
        <w:autoSpaceDN w:val="0"/>
        <w:adjustRightInd w:val="0"/>
        <w:spacing w:after="0" w:line="240" w:lineRule="auto"/>
        <w:ind w:firstLine="720"/>
        <w:jc w:val="both"/>
        <w:rPr>
          <w:rFonts w:ascii="Cambria" w:hAnsi="Cambria" w:cs="AGaramondPro-Regular"/>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w:t>
      </w:r>
      <w:r w:rsidRPr="00B64BF5">
        <w:rPr>
          <w:rFonts w:ascii="Cambria" w:hAnsi="Cambria" w:cs="AGaramondPro-Regular"/>
          <w:sz w:val="16"/>
          <w:szCs w:val="16"/>
          <w:lang w:val="pt-BR"/>
        </w:rPr>
        <w:t xml:space="preserve">r]evela monitoramento dos órgãos de informação sobre Herzog, caracterizado como problema para o regime militar. </w:t>
      </w:r>
      <w:r w:rsidRPr="00B64BF5">
        <w:rPr>
          <w:rStyle w:val="Emphasis"/>
          <w:rFonts w:ascii="Cambria" w:hAnsi="Cambria" w:cs="Arial"/>
          <w:i w:val="0"/>
          <w:sz w:val="16"/>
          <w:szCs w:val="16"/>
          <w:lang w:val="pt-BR"/>
        </w:rPr>
        <w:t>Informe de la Comissão Nacional da Verdade. Volume I. Parte III, “</w:t>
      </w:r>
      <w:r w:rsidRPr="00B64BF5">
        <w:rPr>
          <w:rStyle w:val="Strong"/>
          <w:rFonts w:ascii="Cambria" w:hAnsi="Cambria"/>
          <w:b w:val="0"/>
          <w:sz w:val="16"/>
          <w:szCs w:val="16"/>
          <w:lang w:val="pt-BR"/>
        </w:rPr>
        <w:t>Métodos e práticas nas graves violações de direitos humanos e suas vítimas</w:t>
      </w:r>
      <w:r w:rsidRPr="00B64BF5">
        <w:rPr>
          <w:rFonts w:ascii="Cambria" w:hAnsi="Cambria"/>
          <w:b/>
          <w:i/>
          <w:sz w:val="16"/>
          <w:szCs w:val="16"/>
          <w:lang w:val="pt-BR"/>
        </w:rPr>
        <w:t>”.</w:t>
      </w:r>
      <w:r w:rsidRPr="00B64BF5">
        <w:rPr>
          <w:rFonts w:ascii="Cambria" w:hAnsi="Cambria"/>
          <w:color w:val="222222"/>
          <w:sz w:val="16"/>
          <w:szCs w:val="16"/>
          <w:lang w:val="pt-BR"/>
        </w:rPr>
        <w:t xml:space="preserve"> Capitulo 11 – (E) Execuções e mortes decorrentes de tortura, fls. 474, del 10 de diciembre de 2014. </w:t>
      </w:r>
    </w:p>
  </w:footnote>
  <w:footnote w:id="62">
    <w:p w:rsidR="00D53806" w:rsidRPr="00B64BF5" w:rsidRDefault="00D53806" w:rsidP="00B64BF5">
      <w:pPr>
        <w:autoSpaceDE w:val="0"/>
        <w:autoSpaceDN w:val="0"/>
        <w:adjustRightInd w:val="0"/>
        <w:spacing w:after="0" w:line="240" w:lineRule="auto"/>
        <w:ind w:firstLine="720"/>
        <w:jc w:val="both"/>
        <w:rPr>
          <w:rFonts w:ascii="Cambria" w:hAnsi="Cambria" w:cs="AGaramondPro-Regular"/>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w:t>
      </w:r>
      <w:r w:rsidRPr="00B64BF5">
        <w:rPr>
          <w:rStyle w:val="Emphasis"/>
          <w:rFonts w:ascii="Cambria" w:hAnsi="Cambria"/>
          <w:sz w:val="16"/>
          <w:szCs w:val="16"/>
          <w:lang w:val="pt-BR"/>
        </w:rPr>
        <w:t>“</w:t>
      </w:r>
      <w:r w:rsidRPr="00B64BF5">
        <w:rPr>
          <w:rFonts w:ascii="Cambria" w:hAnsi="Cambria" w:cs="AGaramondPro-Regular"/>
          <w:sz w:val="16"/>
          <w:szCs w:val="16"/>
          <w:lang w:val="pt-BR"/>
        </w:rPr>
        <w:t xml:space="preserve">[a] reabertura de um processo de infiltração de esquerda naquele veículo de comunicação subsidiado pelo governo do estado”. </w:t>
      </w:r>
      <w:r w:rsidRPr="00B64BF5">
        <w:rPr>
          <w:rStyle w:val="Emphasis"/>
          <w:rFonts w:ascii="Cambria" w:hAnsi="Cambria" w:cs="Arial"/>
          <w:i w:val="0"/>
          <w:sz w:val="16"/>
          <w:szCs w:val="16"/>
          <w:lang w:val="pt-BR"/>
        </w:rPr>
        <w:t>Informe de la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 xml:space="preserve">Comissão Nacional da Verdade. Volume I. Parte III, </w:t>
      </w:r>
      <w:r w:rsidRPr="00B64BF5">
        <w:rPr>
          <w:rStyle w:val="Emphasis"/>
          <w:rFonts w:ascii="Cambria" w:hAnsi="Cambria" w:cs="Arial"/>
          <w:sz w:val="16"/>
          <w:szCs w:val="16"/>
          <w:lang w:val="pt-BR"/>
        </w:rPr>
        <w:t>“</w:t>
      </w:r>
      <w:r w:rsidRPr="00B64BF5">
        <w:rPr>
          <w:rStyle w:val="Strong"/>
          <w:rFonts w:ascii="Cambria" w:hAnsi="Cambria"/>
          <w:b w:val="0"/>
          <w:sz w:val="16"/>
          <w:szCs w:val="16"/>
          <w:lang w:val="pt-BR"/>
        </w:rPr>
        <w:t>Métodos e práticas nas graves violações de direitos humanos e suas vítimas</w:t>
      </w:r>
      <w:r w:rsidRPr="00B64BF5">
        <w:rPr>
          <w:rFonts w:ascii="Cambria" w:hAnsi="Cambria"/>
          <w:b/>
          <w:sz w:val="16"/>
          <w:szCs w:val="16"/>
          <w:lang w:val="pt-BR"/>
        </w:rPr>
        <w:t>”.</w:t>
      </w:r>
      <w:r w:rsidRPr="00B64BF5">
        <w:rPr>
          <w:rFonts w:ascii="Cambria" w:hAnsi="Cambria"/>
          <w:b/>
          <w:color w:val="222222"/>
          <w:sz w:val="16"/>
          <w:szCs w:val="16"/>
          <w:lang w:val="pt-BR"/>
        </w:rPr>
        <w:t xml:space="preserve"> </w:t>
      </w:r>
      <w:r w:rsidRPr="00B64BF5">
        <w:rPr>
          <w:rFonts w:ascii="Cambria" w:hAnsi="Cambria"/>
          <w:color w:val="222222"/>
          <w:sz w:val="16"/>
          <w:szCs w:val="16"/>
          <w:lang w:val="pt-BR"/>
        </w:rPr>
        <w:t xml:space="preserve">Capitulo 11 – (E) Execuções e mortes decorrentes de tortura, fls. </w:t>
      </w:r>
      <w:r w:rsidRPr="00B64BF5">
        <w:rPr>
          <w:rFonts w:ascii="Cambria" w:hAnsi="Cambria"/>
          <w:color w:val="222222"/>
          <w:sz w:val="16"/>
          <w:szCs w:val="16"/>
          <w:lang w:val="pt-BR"/>
        </w:rPr>
        <w:t>474, del 10 de diciembre de 2014.</w:t>
      </w:r>
    </w:p>
  </w:footnote>
  <w:footnote w:id="6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Diário Oficial do Estado de </w:t>
      </w:r>
      <w:r w:rsidRPr="00B64BF5">
        <w:rPr>
          <w:rStyle w:val="Emphasis"/>
          <w:rFonts w:ascii="Cambria" w:hAnsi="Cambria" w:cs="Arial"/>
          <w:i w:val="0"/>
          <w:sz w:val="16"/>
          <w:szCs w:val="16"/>
          <w:lang w:val="pt-BR"/>
        </w:rPr>
        <w:t xml:space="preserve">São Paulo. Imprensa Oficial. São Paulo. </w:t>
      </w:r>
      <w:r w:rsidRPr="00B64BF5">
        <w:rPr>
          <w:rStyle w:val="Emphasis"/>
          <w:rFonts w:ascii="Cambria" w:hAnsi="Cambria" w:cs="Arial"/>
          <w:i w:val="0"/>
          <w:sz w:val="16"/>
          <w:szCs w:val="16"/>
          <w:lang w:val="pt-BR"/>
        </w:rPr>
        <w:t>9 de octubre de 1975, fls. 62.</w:t>
      </w:r>
      <w:r w:rsidRPr="00B64BF5">
        <w:rPr>
          <w:rStyle w:val="Emphasis"/>
          <w:rFonts w:ascii="Cambria" w:hAnsi="Cambria" w:cs="Arial"/>
          <w:sz w:val="16"/>
          <w:szCs w:val="16"/>
          <w:lang w:val="pt-BR"/>
        </w:rPr>
        <w:t xml:space="preserve"> </w:t>
      </w:r>
    </w:p>
  </w:footnote>
  <w:footnote w:id="6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São Paulo, Volume 5, fls. 921 (número de hojas ilegibles) – Declaración de Paulo Sergio Markun en el Inquérito Policial No 704/92, del 30 de junio de 1992.</w:t>
      </w:r>
    </w:p>
  </w:footnote>
  <w:footnote w:id="6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577 – Declaración de Clarice Herzog en el Inquérito Policial Militar, del 27 de noviembre de 1975.</w:t>
      </w:r>
      <w:r w:rsidRPr="00B64BF5">
        <w:rPr>
          <w:rStyle w:val="Emphasis"/>
          <w:rFonts w:ascii="Cambria" w:hAnsi="Cambria" w:cs="Arial"/>
          <w:sz w:val="16"/>
          <w:szCs w:val="16"/>
          <w:lang w:val="pt-BR"/>
        </w:rPr>
        <w:t xml:space="preserve"> </w:t>
      </w:r>
    </w:p>
  </w:footnote>
  <w:footnote w:id="6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577 – Declaración de Clarice Herzog en el Inquérito Policial Militar, del 27 de noviembre de 1975.</w:t>
      </w:r>
    </w:p>
  </w:footnote>
  <w:footnote w:id="6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577 – Declaración de Clarice Herzog en el Inquérito Policial Militar, del 27 de noviembre de 1975.</w:t>
      </w:r>
    </w:p>
  </w:footnote>
  <w:footnote w:id="6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i w:val="0"/>
          <w:sz w:val="16"/>
          <w:szCs w:val="16"/>
          <w:lang w:val="pt-BR"/>
        </w:rPr>
        <w:t xml:space="preserve"> Federal - São Paulo, Volume 3, fls. 466</w:t>
      </w:r>
      <w:r w:rsidRPr="00B64BF5">
        <w:rPr>
          <w:rFonts w:ascii="Cambria" w:hAnsi="Cambria"/>
          <w:i/>
          <w:sz w:val="16"/>
          <w:szCs w:val="16"/>
          <w:lang w:val="pt-BR"/>
        </w:rPr>
        <w:t xml:space="preserve"> – </w:t>
      </w:r>
      <w:r w:rsidRPr="00B64BF5">
        <w:rPr>
          <w:rFonts w:ascii="Cambria" w:hAnsi="Cambria"/>
          <w:sz w:val="16"/>
          <w:szCs w:val="16"/>
          <w:lang w:val="pt-BR"/>
        </w:rPr>
        <w:t>Declaración de Paulo Pereira Nunes en la</w:t>
      </w:r>
      <w:r w:rsidRPr="00B64BF5">
        <w:rPr>
          <w:rFonts w:ascii="Cambria" w:hAnsi="Cambria"/>
          <w:i/>
          <w:sz w:val="16"/>
          <w:szCs w:val="16"/>
          <w:lang w:val="pt-BR"/>
        </w:rPr>
        <w:t xml:space="preserve"> </w:t>
      </w:r>
      <w:r w:rsidRPr="00B64BF5">
        <w:rPr>
          <w:rFonts w:ascii="Cambria" w:hAnsi="Cambria"/>
          <w:sz w:val="16"/>
          <w:szCs w:val="16"/>
          <w:lang w:val="pt-BR"/>
        </w:rPr>
        <w:t>Ação Declaratória</w:t>
      </w:r>
      <w:r w:rsidRPr="00B64BF5">
        <w:rPr>
          <w:rFonts w:ascii="Cambria" w:hAnsi="Cambria"/>
          <w:i/>
          <w:sz w:val="16"/>
          <w:szCs w:val="16"/>
          <w:lang w:val="pt-BR"/>
        </w:rPr>
        <w:t xml:space="preserve"> </w:t>
      </w:r>
      <w:r w:rsidRPr="00B64BF5">
        <w:rPr>
          <w:rFonts w:ascii="Cambria" w:hAnsi="Cambria"/>
          <w:sz w:val="16"/>
          <w:szCs w:val="16"/>
          <w:lang w:val="pt-BR"/>
        </w:rPr>
        <w:t>No. 136/76, del 26 de mayo de 1978.</w:t>
      </w:r>
    </w:p>
  </w:footnote>
  <w:footnote w:id="6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“sob a suspeita de integrar e articular contatos com membros do PCB”.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 Parte III, “</w:t>
      </w:r>
      <w:r w:rsidRPr="00B64BF5">
        <w:rPr>
          <w:rStyle w:val="Strong"/>
          <w:rFonts w:ascii="Cambria" w:hAnsi="Cambria"/>
          <w:b w:val="0"/>
          <w:sz w:val="16"/>
          <w:szCs w:val="16"/>
          <w:lang w:val="pt-BR"/>
        </w:rPr>
        <w:t>Métodos e práticas nas graves violações de direitos humanos e suas vítimas</w:t>
      </w:r>
      <w:r w:rsidRPr="00B64BF5">
        <w:rPr>
          <w:rFonts w:ascii="Cambria" w:hAnsi="Cambria"/>
          <w:b/>
          <w:i/>
          <w:sz w:val="16"/>
          <w:szCs w:val="16"/>
          <w:lang w:val="pt-BR"/>
        </w:rPr>
        <w:t>”.</w:t>
      </w:r>
      <w:r w:rsidRPr="00B64BF5">
        <w:rPr>
          <w:rFonts w:ascii="Cambria" w:hAnsi="Cambria"/>
          <w:i/>
          <w:color w:val="222222"/>
          <w:sz w:val="16"/>
          <w:szCs w:val="16"/>
          <w:lang w:val="pt-BR"/>
        </w:rPr>
        <w:t xml:space="preserve"> </w:t>
      </w:r>
      <w:r w:rsidRPr="00B64BF5">
        <w:rPr>
          <w:rFonts w:ascii="Cambria" w:hAnsi="Cambria"/>
          <w:color w:val="222222"/>
          <w:sz w:val="16"/>
          <w:szCs w:val="16"/>
          <w:lang w:val="pt-BR"/>
        </w:rPr>
        <w:t xml:space="preserve">Capitulo 11 – (E) Execuções e mortes decorrentes de tortura, fls. </w:t>
      </w:r>
      <w:r w:rsidRPr="00B64BF5">
        <w:rPr>
          <w:rFonts w:ascii="Cambria" w:hAnsi="Cambria"/>
          <w:color w:val="222222"/>
          <w:sz w:val="16"/>
          <w:szCs w:val="16"/>
          <w:lang w:val="pt-BR"/>
        </w:rPr>
        <w:t xml:space="preserve">474, del 10 de diciembre de 2014. </w:t>
      </w:r>
    </w:p>
  </w:footnote>
  <w:footnote w:id="7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3, fls. 537 – Declaración de Audir Santos Maciel em el Inquérito Policial Militar, del 5 de noviembre de </w:t>
      </w:r>
      <w:r w:rsidRPr="00B64BF5">
        <w:rPr>
          <w:rStyle w:val="Emphasis"/>
          <w:rFonts w:ascii="Cambria" w:hAnsi="Cambria" w:cs="Arial"/>
          <w:sz w:val="16"/>
          <w:szCs w:val="16"/>
          <w:lang w:val="pt-BR"/>
        </w:rPr>
        <w:t xml:space="preserve">1975;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3, fls. 577 – Declaración de Clarice Herzog en el Inquérito Policial Militar, del 27 de noviembre </w:t>
      </w:r>
      <w:r w:rsidRPr="00B64BF5">
        <w:rPr>
          <w:rStyle w:val="Emphasis"/>
          <w:rFonts w:ascii="Cambria" w:hAnsi="Cambria" w:cs="Arial"/>
          <w:sz w:val="16"/>
          <w:szCs w:val="16"/>
          <w:lang w:val="pt-BR"/>
        </w:rPr>
        <w:t>de 1975.</w:t>
      </w:r>
    </w:p>
  </w:footnote>
  <w:footnote w:id="7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577</w:t>
      </w:r>
      <w:r w:rsidRPr="00B64BF5">
        <w:rPr>
          <w:rStyle w:val="Emphasis"/>
          <w:rFonts w:ascii="Cambria" w:hAnsi="Cambria" w:cs="Arial"/>
          <w:sz w:val="16"/>
          <w:szCs w:val="16"/>
          <w:lang w:val="pt-BR"/>
        </w:rPr>
        <w:t xml:space="preserve"> – </w:t>
      </w:r>
      <w:r w:rsidRPr="00B64BF5">
        <w:rPr>
          <w:rStyle w:val="Emphasis"/>
          <w:rFonts w:ascii="Cambria" w:hAnsi="Cambria" w:cs="Arial"/>
          <w:i w:val="0"/>
          <w:sz w:val="16"/>
          <w:szCs w:val="16"/>
          <w:lang w:val="pt-BR"/>
        </w:rPr>
        <w:t xml:space="preserve">Declaración de Clarice Herzog en el Inquérito Policial Militar, del 27 de noviembre de </w:t>
      </w:r>
      <w:r w:rsidRPr="00B64BF5">
        <w:rPr>
          <w:rStyle w:val="Emphasis"/>
          <w:rFonts w:ascii="Cambria" w:hAnsi="Cambria" w:cs="Arial"/>
          <w:sz w:val="16"/>
          <w:szCs w:val="16"/>
          <w:lang w:val="pt-BR"/>
        </w:rPr>
        <w:t xml:space="preserve">1975;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w:t>
      </w:r>
      <w:r w:rsidRPr="00B64BF5">
        <w:rPr>
          <w:rStyle w:val="Emphasis"/>
          <w:rFonts w:ascii="Cambria" w:hAnsi="Cambria" w:cs="Arial"/>
          <w:sz w:val="16"/>
          <w:szCs w:val="16"/>
          <w:lang w:val="pt-BR"/>
        </w:rPr>
        <w:t xml:space="preserve"> 989– </w:t>
      </w:r>
      <w:r w:rsidRPr="00B64BF5">
        <w:rPr>
          <w:rStyle w:val="Emphasis"/>
          <w:rFonts w:ascii="Cambria" w:hAnsi="Cambria" w:cs="Arial"/>
          <w:i w:val="0"/>
          <w:sz w:val="16"/>
          <w:szCs w:val="16"/>
          <w:lang w:val="pt-BR"/>
        </w:rPr>
        <w:t>Sentencia proferida en la</w:t>
      </w:r>
      <w:r w:rsidRPr="00B64BF5">
        <w:rPr>
          <w:rFonts w:ascii="Cambria" w:hAnsi="Cambria"/>
          <w:i/>
          <w:sz w:val="16"/>
          <w:szCs w:val="16"/>
          <w:lang w:val="pt-BR"/>
        </w:rPr>
        <w:t xml:space="preserve"> </w:t>
      </w:r>
      <w:r w:rsidRPr="00B64BF5">
        <w:rPr>
          <w:rFonts w:ascii="Cambria" w:hAnsi="Cambria"/>
          <w:sz w:val="16"/>
          <w:szCs w:val="16"/>
          <w:lang w:val="pt-BR"/>
        </w:rPr>
        <w:t>Ação Declaratória 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 Relatório da Comissão Nacional da Verdade. Volume I. Parte III,</w:t>
      </w:r>
      <w:r w:rsidRPr="00B64BF5">
        <w:rPr>
          <w:rStyle w:val="Emphasis"/>
          <w:rFonts w:ascii="Cambria" w:hAnsi="Cambria" w:cs="Arial"/>
          <w:sz w:val="16"/>
          <w:szCs w:val="16"/>
          <w:lang w:val="pt-BR"/>
        </w:rPr>
        <w:t xml:space="preserve"> “</w:t>
      </w:r>
      <w:r w:rsidRPr="00B64BF5">
        <w:rPr>
          <w:rStyle w:val="Strong"/>
          <w:rFonts w:ascii="Cambria" w:hAnsi="Cambria"/>
          <w:b w:val="0"/>
          <w:sz w:val="16"/>
          <w:szCs w:val="16"/>
          <w:lang w:val="pt-BR"/>
        </w:rPr>
        <w:t>Métodos e práticas nas graves violações de direitos humanos e suas vítimas</w:t>
      </w:r>
      <w:r w:rsidRPr="00B64BF5">
        <w:rPr>
          <w:rFonts w:ascii="Cambria" w:hAnsi="Cambria"/>
          <w:b/>
          <w:sz w:val="16"/>
          <w:szCs w:val="16"/>
          <w:lang w:val="pt-BR"/>
        </w:rPr>
        <w:t>”.</w:t>
      </w:r>
      <w:r w:rsidRPr="00B64BF5">
        <w:rPr>
          <w:rFonts w:ascii="Cambria" w:hAnsi="Cambria"/>
          <w:color w:val="222222"/>
          <w:sz w:val="16"/>
          <w:szCs w:val="16"/>
          <w:lang w:val="pt-BR"/>
        </w:rPr>
        <w:t xml:space="preserve"> Capitulo 11 – (E) Execuções e mortes decorrentes de tortura, fls. 474, del 10 de diciembre de 2014.</w:t>
      </w:r>
    </w:p>
  </w:footnote>
  <w:footnote w:id="7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466</w:t>
      </w:r>
      <w:r w:rsidRPr="00B64BF5">
        <w:rPr>
          <w:rFonts w:ascii="Cambria" w:hAnsi="Cambria"/>
          <w:sz w:val="16"/>
          <w:szCs w:val="16"/>
          <w:lang w:val="pt-BR"/>
        </w:rPr>
        <w:t xml:space="preserve"> – Declaración de Paulo Pereira Nunes en la Ação Declaratória No. 136/76, del 26 de mayo de 1978.</w:t>
      </w:r>
    </w:p>
  </w:footnote>
  <w:footnote w:id="7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433</w:t>
      </w:r>
      <w:r w:rsidRPr="00B64BF5">
        <w:rPr>
          <w:rStyle w:val="Emphasis"/>
          <w:rFonts w:ascii="Cambria" w:hAnsi="Cambria" w:cs="Arial"/>
          <w:sz w:val="16"/>
          <w:szCs w:val="16"/>
          <w:lang w:val="pt-BR"/>
        </w:rPr>
        <w:t xml:space="preserve"> – </w:t>
      </w:r>
      <w:r w:rsidRPr="00B64BF5">
        <w:rPr>
          <w:rStyle w:val="Emphasis"/>
          <w:rFonts w:ascii="Cambria" w:hAnsi="Cambria" w:cs="Arial"/>
          <w:i w:val="0"/>
          <w:sz w:val="16"/>
          <w:szCs w:val="16"/>
          <w:lang w:val="pt-BR"/>
        </w:rPr>
        <w:t>Declaración de George Benigno Duque Estrada en la</w:t>
      </w:r>
      <w:r w:rsidRPr="00B64BF5">
        <w:rPr>
          <w:rStyle w:val="Emphasis"/>
          <w:rFonts w:ascii="Cambria" w:hAnsi="Cambria" w:cs="Arial"/>
          <w:sz w:val="16"/>
          <w:szCs w:val="16"/>
          <w:lang w:val="pt-BR"/>
        </w:rPr>
        <w:t xml:space="preserve"> </w:t>
      </w:r>
      <w:r w:rsidRPr="00B64BF5">
        <w:rPr>
          <w:rFonts w:ascii="Cambria" w:hAnsi="Cambria"/>
          <w:sz w:val="16"/>
          <w:szCs w:val="16"/>
          <w:lang w:val="pt-BR"/>
        </w:rPr>
        <w:t>Ação Declaratória No. 136/76, del 16 de mayo de 1978;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921 (número de hojas ilegibles) – Declaración de Paulo Sergio Markun en el Inquérito Policial No 704/92, del 30 de junio de</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1992;</w:t>
      </w:r>
      <w:r w:rsidRPr="00B64BF5">
        <w:rPr>
          <w:rStyle w:val="Emphasis"/>
          <w:rFonts w:ascii="Cambria" w:hAnsi="Cambria" w:cs="Arial"/>
          <w:sz w:val="16"/>
          <w:szCs w:val="16"/>
          <w:lang w:val="pt-BR"/>
        </w:rPr>
        <w:t xml:space="preserve">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São Paulo, Volume 5, fls. 887-888 – Declaración de Rodolfo Osvaldo Konder en el Inquérito Policial No 704/92, del 3 de junio de 1992.</w:t>
      </w:r>
      <w:r w:rsidRPr="00B64BF5">
        <w:rPr>
          <w:rStyle w:val="Emphasis"/>
          <w:rFonts w:ascii="Cambria" w:hAnsi="Cambria" w:cs="Arial"/>
          <w:sz w:val="16"/>
          <w:szCs w:val="16"/>
          <w:lang w:val="pt-BR"/>
        </w:rPr>
        <w:t xml:space="preserve"> </w:t>
      </w:r>
    </w:p>
  </w:footnote>
  <w:footnote w:id="7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i w:val="0"/>
          <w:sz w:val="16"/>
          <w:szCs w:val="16"/>
          <w:lang w:val="pt-BR"/>
        </w:rPr>
        <w:t xml:space="preserve"> Federal - São Paulo, Volume 2, fls. 276 – Declarações a termo de Rodolfo Osvaldo Konder, del 7 de noviembre de 1975</w:t>
      </w:r>
      <w:r w:rsidRPr="00B64BF5">
        <w:rPr>
          <w:rStyle w:val="Emphasis"/>
          <w:rFonts w:ascii="Cambria" w:hAnsi="Cambria" w:cs="Arial"/>
          <w:sz w:val="16"/>
          <w:szCs w:val="16"/>
          <w:lang w:val="pt-BR"/>
        </w:rPr>
        <w:t xml:space="preserve">. </w:t>
      </w:r>
    </w:p>
  </w:footnote>
  <w:footnote w:id="7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278 </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Declarações a termo de Rodolfo Osvaldo Konder, del 7 de noviembre de 1975</w:t>
      </w:r>
      <w:r w:rsidRPr="00B64BF5">
        <w:rPr>
          <w:rStyle w:val="Emphasis"/>
          <w:rFonts w:ascii="Cambria" w:hAnsi="Cambria" w:cs="Arial"/>
          <w:sz w:val="16"/>
          <w:szCs w:val="16"/>
          <w:lang w:val="pt-BR"/>
        </w:rPr>
        <w:t xml:space="preserve">;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434 – Declaración de George Benigno Duque Estrada en la</w:t>
      </w:r>
      <w:r w:rsidRPr="00B64BF5">
        <w:rPr>
          <w:rStyle w:val="Emphasis"/>
          <w:rFonts w:ascii="Cambria" w:hAnsi="Cambria" w:cs="Arial"/>
          <w:sz w:val="16"/>
          <w:szCs w:val="16"/>
          <w:lang w:val="pt-BR"/>
        </w:rPr>
        <w:t xml:space="preserve"> </w:t>
      </w:r>
      <w:r w:rsidRPr="00B64BF5">
        <w:rPr>
          <w:rFonts w:ascii="Cambria" w:hAnsi="Cambria"/>
          <w:sz w:val="16"/>
          <w:szCs w:val="16"/>
          <w:lang w:val="pt-BR"/>
        </w:rPr>
        <w:t>Ação Declaratória No. 136/76, del 16 de mayo de 1978.</w:t>
      </w:r>
    </w:p>
  </w:footnote>
  <w:footnote w:id="7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278 – Declarações a termo de Rodolfo Osvaldo Konder, del 7 de noviembre de</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1975.</w:t>
      </w:r>
    </w:p>
  </w:footnote>
  <w:footnote w:id="77">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Proceso No. 2008.61.81.013434-2, </w:t>
      </w:r>
      <w:proofErr w:type="spellStart"/>
      <w:r w:rsidRPr="00B64BF5">
        <w:rPr>
          <w:rFonts w:ascii="Cambria" w:hAnsi="Cambria"/>
          <w:sz w:val="16"/>
          <w:szCs w:val="16"/>
          <w:lang w:val="es-ES"/>
        </w:rPr>
        <w:t>Justiça</w:t>
      </w:r>
      <w:proofErr w:type="spellEnd"/>
      <w:r w:rsidRPr="00B64BF5">
        <w:rPr>
          <w:rStyle w:val="Emphasis"/>
          <w:rFonts w:ascii="Cambria" w:hAnsi="Cambria" w:cs="Arial"/>
          <w:sz w:val="16"/>
          <w:szCs w:val="16"/>
          <w:lang w:val="es-ES"/>
        </w:rPr>
        <w:t xml:space="preserve"> </w:t>
      </w:r>
      <w:r w:rsidRPr="00B64BF5">
        <w:rPr>
          <w:rStyle w:val="Emphasis"/>
          <w:rFonts w:ascii="Cambria" w:hAnsi="Cambria" w:cs="Arial"/>
          <w:i w:val="0"/>
          <w:sz w:val="16"/>
          <w:szCs w:val="16"/>
          <w:lang w:val="es-ES"/>
        </w:rPr>
        <w:t xml:space="preserve">Federal </w:t>
      </w:r>
      <w:r w:rsidRPr="00B64BF5">
        <w:rPr>
          <w:rStyle w:val="Emphasis"/>
          <w:rFonts w:ascii="Cambria" w:hAnsi="Cambria" w:cs="Arial"/>
          <w:sz w:val="16"/>
          <w:szCs w:val="16"/>
          <w:lang w:val="es-ES"/>
        </w:rPr>
        <w:t xml:space="preserve">- </w:t>
      </w:r>
      <w:r w:rsidRPr="00B64BF5">
        <w:rPr>
          <w:rStyle w:val="Emphasis"/>
          <w:rFonts w:ascii="Cambria" w:hAnsi="Cambria" w:cs="Arial"/>
          <w:i w:val="0"/>
          <w:sz w:val="16"/>
          <w:szCs w:val="16"/>
          <w:lang w:val="es-ES"/>
        </w:rPr>
        <w:t xml:space="preserve">São Paulo, </w:t>
      </w:r>
      <w:proofErr w:type="spellStart"/>
      <w:r w:rsidRPr="00B64BF5">
        <w:rPr>
          <w:rStyle w:val="Emphasis"/>
          <w:rFonts w:ascii="Cambria" w:hAnsi="Cambria" w:cs="Arial"/>
          <w:i w:val="0"/>
          <w:sz w:val="16"/>
          <w:szCs w:val="16"/>
          <w:lang w:val="es-ES"/>
        </w:rPr>
        <w:t>Volume</w:t>
      </w:r>
      <w:proofErr w:type="spellEnd"/>
      <w:r w:rsidRPr="00B64BF5">
        <w:rPr>
          <w:rStyle w:val="Emphasis"/>
          <w:rFonts w:ascii="Cambria" w:hAnsi="Cambria" w:cs="Arial"/>
          <w:i w:val="0"/>
          <w:sz w:val="16"/>
          <w:szCs w:val="16"/>
          <w:lang w:val="es-ES"/>
        </w:rPr>
        <w:t xml:space="preserve"> 3, </w:t>
      </w:r>
      <w:proofErr w:type="spellStart"/>
      <w:r w:rsidRPr="00B64BF5">
        <w:rPr>
          <w:rStyle w:val="Emphasis"/>
          <w:rFonts w:ascii="Cambria" w:hAnsi="Cambria" w:cs="Arial"/>
          <w:i w:val="0"/>
          <w:sz w:val="16"/>
          <w:szCs w:val="16"/>
          <w:lang w:val="es-ES"/>
        </w:rPr>
        <w:t>fls</w:t>
      </w:r>
      <w:proofErr w:type="spellEnd"/>
      <w:r w:rsidRPr="00B64BF5">
        <w:rPr>
          <w:rStyle w:val="Emphasis"/>
          <w:rFonts w:ascii="Cambria" w:hAnsi="Cambria" w:cs="Arial"/>
          <w:i w:val="0"/>
          <w:sz w:val="16"/>
          <w:szCs w:val="16"/>
          <w:lang w:val="es-ES"/>
        </w:rPr>
        <w:t xml:space="preserve">. 567/569 – Declaración de Pedro </w:t>
      </w:r>
      <w:proofErr w:type="spellStart"/>
      <w:r w:rsidRPr="00B64BF5">
        <w:rPr>
          <w:rStyle w:val="Emphasis"/>
          <w:rFonts w:ascii="Cambria" w:hAnsi="Cambria" w:cs="Arial"/>
          <w:i w:val="0"/>
          <w:sz w:val="16"/>
          <w:szCs w:val="16"/>
          <w:lang w:val="es-ES"/>
        </w:rPr>
        <w:t>Grancieri</w:t>
      </w:r>
      <w:proofErr w:type="spellEnd"/>
      <w:r w:rsidRPr="00B64BF5">
        <w:rPr>
          <w:rStyle w:val="Emphasis"/>
          <w:rFonts w:ascii="Cambria" w:hAnsi="Cambria" w:cs="Arial"/>
          <w:i w:val="0"/>
          <w:sz w:val="16"/>
          <w:szCs w:val="16"/>
          <w:lang w:val="es-ES"/>
        </w:rPr>
        <w:t xml:space="preserve"> en el </w:t>
      </w:r>
      <w:proofErr w:type="spellStart"/>
      <w:r w:rsidRPr="00B64BF5">
        <w:rPr>
          <w:rStyle w:val="Emphasis"/>
          <w:rFonts w:ascii="Cambria" w:hAnsi="Cambria" w:cs="Arial"/>
          <w:i w:val="0"/>
          <w:sz w:val="16"/>
          <w:szCs w:val="16"/>
          <w:lang w:val="es-ES"/>
        </w:rPr>
        <w:t>Inquérito</w:t>
      </w:r>
      <w:proofErr w:type="spellEnd"/>
      <w:r w:rsidRPr="00B64BF5">
        <w:rPr>
          <w:rStyle w:val="Emphasis"/>
          <w:rFonts w:ascii="Cambria" w:hAnsi="Cambria" w:cs="Arial"/>
          <w:i w:val="0"/>
          <w:sz w:val="16"/>
          <w:szCs w:val="16"/>
          <w:lang w:val="es-ES"/>
        </w:rPr>
        <w:t xml:space="preserve"> Policial Militar, del 21 de noviembre de 1975; Petición de </w:t>
      </w:r>
      <w:proofErr w:type="spellStart"/>
      <w:r w:rsidRPr="00B64BF5">
        <w:rPr>
          <w:rStyle w:val="Emphasis"/>
          <w:rFonts w:ascii="Cambria" w:hAnsi="Cambria" w:cs="Arial"/>
          <w:i w:val="0"/>
          <w:sz w:val="16"/>
          <w:szCs w:val="16"/>
          <w:lang w:val="es-ES"/>
        </w:rPr>
        <w:t>Clarice</w:t>
      </w:r>
      <w:proofErr w:type="spellEnd"/>
      <w:r w:rsidRPr="00B64BF5">
        <w:rPr>
          <w:rStyle w:val="Emphasis"/>
          <w:rFonts w:ascii="Cambria" w:hAnsi="Cambria" w:cs="Arial"/>
          <w:i w:val="0"/>
          <w:sz w:val="16"/>
          <w:szCs w:val="16"/>
          <w:lang w:val="es-ES"/>
        </w:rPr>
        <w:t xml:space="preserve"> </w:t>
      </w:r>
      <w:proofErr w:type="spellStart"/>
      <w:r w:rsidRPr="00B64BF5">
        <w:rPr>
          <w:rStyle w:val="Emphasis"/>
          <w:rFonts w:ascii="Cambria" w:hAnsi="Cambria" w:cs="Arial"/>
          <w:i w:val="0"/>
          <w:sz w:val="16"/>
          <w:szCs w:val="16"/>
          <w:lang w:val="es-ES"/>
        </w:rPr>
        <w:t>Herzog</w:t>
      </w:r>
      <w:proofErr w:type="spellEnd"/>
      <w:r w:rsidRPr="00B64BF5">
        <w:rPr>
          <w:rStyle w:val="Emphasis"/>
          <w:rFonts w:ascii="Cambria" w:hAnsi="Cambria" w:cs="Arial"/>
          <w:i w:val="0"/>
          <w:sz w:val="16"/>
          <w:szCs w:val="16"/>
          <w:lang w:val="es-ES"/>
        </w:rPr>
        <w:t xml:space="preserve"> y otros, de fecha 16 de mayo de 1978, en la </w:t>
      </w:r>
      <w:proofErr w:type="spellStart"/>
      <w:r w:rsidRPr="00B64BF5">
        <w:rPr>
          <w:rFonts w:ascii="Cambria" w:hAnsi="Cambria"/>
          <w:sz w:val="16"/>
          <w:szCs w:val="16"/>
          <w:lang w:val="es-ES"/>
        </w:rPr>
        <w:t>Ação</w:t>
      </w:r>
      <w:proofErr w:type="spellEnd"/>
      <w:r w:rsidRPr="00B64BF5">
        <w:rPr>
          <w:rFonts w:ascii="Cambria" w:hAnsi="Cambria"/>
          <w:sz w:val="16"/>
          <w:szCs w:val="16"/>
          <w:lang w:val="es-ES"/>
        </w:rPr>
        <w:t xml:space="preserve"> </w:t>
      </w:r>
      <w:proofErr w:type="spellStart"/>
      <w:r w:rsidRPr="00B64BF5">
        <w:rPr>
          <w:rFonts w:ascii="Cambria" w:hAnsi="Cambria"/>
          <w:sz w:val="16"/>
          <w:szCs w:val="16"/>
          <w:lang w:val="es-ES"/>
        </w:rPr>
        <w:t>Declaratória</w:t>
      </w:r>
      <w:proofErr w:type="spellEnd"/>
      <w:r w:rsidRPr="00B64BF5">
        <w:rPr>
          <w:rFonts w:ascii="Cambria" w:hAnsi="Cambria"/>
          <w:sz w:val="16"/>
          <w:szCs w:val="16"/>
          <w:lang w:val="es-ES"/>
        </w:rPr>
        <w:t xml:space="preserve"> </w:t>
      </w:r>
      <w:r w:rsidRPr="00B64BF5">
        <w:rPr>
          <w:rFonts w:ascii="Cambria" w:hAnsi="Cambria"/>
          <w:i/>
          <w:sz w:val="16"/>
          <w:szCs w:val="16"/>
          <w:lang w:val="es-ES"/>
        </w:rPr>
        <w:t xml:space="preserve">No. </w:t>
      </w:r>
      <w:r w:rsidRPr="00B64BF5">
        <w:rPr>
          <w:rStyle w:val="Emphasis"/>
          <w:rFonts w:ascii="Cambria" w:hAnsi="Cambria" w:cs="Arial"/>
          <w:i w:val="0"/>
          <w:sz w:val="16"/>
          <w:szCs w:val="16"/>
          <w:lang w:val="es-ES"/>
        </w:rPr>
        <w:t xml:space="preserve">136/76 (CF. Proceso No. 2008.61.81.013434-2, </w:t>
      </w:r>
      <w:proofErr w:type="spellStart"/>
      <w:r w:rsidRPr="00B64BF5">
        <w:rPr>
          <w:rFonts w:ascii="Cambria" w:hAnsi="Cambria"/>
          <w:sz w:val="16"/>
          <w:szCs w:val="16"/>
          <w:lang w:val="es-ES"/>
        </w:rPr>
        <w:t>Justiça</w:t>
      </w:r>
      <w:proofErr w:type="spellEnd"/>
      <w:r w:rsidRPr="00B64BF5">
        <w:rPr>
          <w:rStyle w:val="Emphasis"/>
          <w:rFonts w:ascii="Cambria" w:hAnsi="Cambria" w:cs="Arial"/>
          <w:sz w:val="16"/>
          <w:szCs w:val="16"/>
          <w:lang w:val="es-ES"/>
        </w:rPr>
        <w:t xml:space="preserve"> </w:t>
      </w:r>
      <w:r w:rsidRPr="00B64BF5">
        <w:rPr>
          <w:rStyle w:val="Emphasis"/>
          <w:rFonts w:ascii="Cambria" w:hAnsi="Cambria" w:cs="Arial"/>
          <w:i w:val="0"/>
          <w:sz w:val="16"/>
          <w:szCs w:val="16"/>
          <w:lang w:val="es-ES"/>
        </w:rPr>
        <w:t xml:space="preserve">Federal - São Paulo, </w:t>
      </w:r>
      <w:proofErr w:type="spellStart"/>
      <w:r w:rsidRPr="00B64BF5">
        <w:rPr>
          <w:rStyle w:val="Emphasis"/>
          <w:rFonts w:ascii="Cambria" w:hAnsi="Cambria" w:cs="Arial"/>
          <w:i w:val="0"/>
          <w:sz w:val="16"/>
          <w:szCs w:val="16"/>
          <w:lang w:val="es-ES"/>
        </w:rPr>
        <w:t>Volume</w:t>
      </w:r>
      <w:proofErr w:type="spellEnd"/>
      <w:r w:rsidRPr="00B64BF5">
        <w:rPr>
          <w:rStyle w:val="Emphasis"/>
          <w:rFonts w:ascii="Cambria" w:hAnsi="Cambria" w:cs="Arial"/>
          <w:i w:val="0"/>
          <w:sz w:val="16"/>
          <w:szCs w:val="16"/>
          <w:lang w:val="es-ES"/>
        </w:rPr>
        <w:t xml:space="preserve"> 2, </w:t>
      </w:r>
      <w:proofErr w:type="spellStart"/>
      <w:r w:rsidRPr="00B64BF5">
        <w:rPr>
          <w:rStyle w:val="Emphasis"/>
          <w:rFonts w:ascii="Cambria" w:hAnsi="Cambria" w:cs="Arial"/>
          <w:i w:val="0"/>
          <w:sz w:val="16"/>
          <w:szCs w:val="16"/>
          <w:lang w:val="es-ES"/>
        </w:rPr>
        <w:t>fls</w:t>
      </w:r>
      <w:proofErr w:type="spellEnd"/>
      <w:r w:rsidRPr="00B64BF5">
        <w:rPr>
          <w:rStyle w:val="Emphasis"/>
          <w:rFonts w:ascii="Cambria" w:hAnsi="Cambria" w:cs="Arial"/>
          <w:i w:val="0"/>
          <w:sz w:val="16"/>
          <w:szCs w:val="16"/>
          <w:lang w:val="es-ES"/>
        </w:rPr>
        <w:t xml:space="preserve">. 429); reportaje titulada “Eu, </w:t>
      </w:r>
      <w:proofErr w:type="spellStart"/>
      <w:r w:rsidRPr="00B64BF5">
        <w:rPr>
          <w:rStyle w:val="Emphasis"/>
          <w:rFonts w:ascii="Cambria" w:hAnsi="Cambria" w:cs="Arial"/>
          <w:i w:val="0"/>
          <w:sz w:val="16"/>
          <w:szCs w:val="16"/>
          <w:lang w:val="es-ES"/>
        </w:rPr>
        <w:t>Capitão</w:t>
      </w:r>
      <w:proofErr w:type="spellEnd"/>
      <w:r w:rsidRPr="00B64BF5">
        <w:rPr>
          <w:rStyle w:val="Emphasis"/>
          <w:rFonts w:ascii="Cambria" w:hAnsi="Cambria" w:cs="Arial"/>
          <w:i w:val="0"/>
          <w:sz w:val="16"/>
          <w:szCs w:val="16"/>
          <w:lang w:val="es-ES"/>
        </w:rPr>
        <w:t xml:space="preserve"> Ramiro, </w:t>
      </w:r>
      <w:proofErr w:type="spellStart"/>
      <w:r w:rsidRPr="00B64BF5">
        <w:rPr>
          <w:rStyle w:val="Emphasis"/>
          <w:rFonts w:ascii="Cambria" w:hAnsi="Cambria" w:cs="Arial"/>
          <w:i w:val="0"/>
          <w:sz w:val="16"/>
          <w:szCs w:val="16"/>
          <w:lang w:val="es-ES"/>
        </w:rPr>
        <w:t>interroguei</w:t>
      </w:r>
      <w:proofErr w:type="spellEnd"/>
      <w:r w:rsidRPr="00B64BF5">
        <w:rPr>
          <w:rStyle w:val="Emphasis"/>
          <w:rFonts w:ascii="Cambria" w:hAnsi="Cambria" w:cs="Arial"/>
          <w:i w:val="0"/>
          <w:sz w:val="16"/>
          <w:szCs w:val="16"/>
          <w:lang w:val="es-ES"/>
        </w:rPr>
        <w:t xml:space="preserve"> </w:t>
      </w:r>
      <w:proofErr w:type="spellStart"/>
      <w:r w:rsidRPr="00B64BF5">
        <w:rPr>
          <w:rStyle w:val="Emphasis"/>
          <w:rFonts w:ascii="Cambria" w:hAnsi="Cambria" w:cs="Arial"/>
          <w:i w:val="0"/>
          <w:sz w:val="16"/>
          <w:szCs w:val="16"/>
          <w:lang w:val="es-ES"/>
        </w:rPr>
        <w:t>Herzog</w:t>
      </w:r>
      <w:proofErr w:type="spellEnd"/>
      <w:r w:rsidRPr="00B64BF5">
        <w:rPr>
          <w:rStyle w:val="Emphasis"/>
          <w:rFonts w:ascii="Cambria" w:hAnsi="Cambria" w:cs="Arial"/>
          <w:i w:val="0"/>
          <w:sz w:val="16"/>
          <w:szCs w:val="16"/>
          <w:lang w:val="es-ES"/>
        </w:rPr>
        <w:t>”, revista “</w:t>
      </w:r>
      <w:proofErr w:type="spellStart"/>
      <w:r w:rsidRPr="00B64BF5">
        <w:rPr>
          <w:rStyle w:val="Emphasis"/>
          <w:rFonts w:ascii="Cambria" w:hAnsi="Cambria" w:cs="Arial"/>
          <w:i w:val="0"/>
          <w:sz w:val="16"/>
          <w:szCs w:val="16"/>
          <w:lang w:val="es-ES"/>
        </w:rPr>
        <w:t>Isto</w:t>
      </w:r>
      <w:proofErr w:type="spellEnd"/>
      <w:r w:rsidRPr="00B64BF5">
        <w:rPr>
          <w:rStyle w:val="Emphasis"/>
          <w:rFonts w:ascii="Cambria" w:hAnsi="Cambria" w:cs="Arial"/>
          <w:i w:val="0"/>
          <w:sz w:val="16"/>
          <w:szCs w:val="16"/>
          <w:lang w:val="es-ES"/>
        </w:rPr>
        <w:t xml:space="preserve"> é </w:t>
      </w:r>
      <w:proofErr w:type="spellStart"/>
      <w:r w:rsidRPr="00B64BF5">
        <w:rPr>
          <w:rStyle w:val="Emphasis"/>
          <w:rFonts w:ascii="Cambria" w:hAnsi="Cambria" w:cs="Arial"/>
          <w:i w:val="0"/>
          <w:sz w:val="16"/>
          <w:szCs w:val="16"/>
          <w:lang w:val="es-ES"/>
        </w:rPr>
        <w:t>Senhor</w:t>
      </w:r>
      <w:proofErr w:type="spellEnd"/>
      <w:r w:rsidRPr="00B64BF5">
        <w:rPr>
          <w:rStyle w:val="Emphasis"/>
          <w:rFonts w:ascii="Cambria" w:hAnsi="Cambria" w:cs="Arial"/>
          <w:i w:val="0"/>
          <w:sz w:val="16"/>
          <w:szCs w:val="16"/>
          <w:lang w:val="es-ES"/>
        </w:rPr>
        <w:t xml:space="preserve">”, edición del 25 de marzo de 1992; </w:t>
      </w:r>
      <w:r w:rsidRPr="00B64BF5">
        <w:rPr>
          <w:rFonts w:ascii="Cambria" w:hAnsi="Cambria"/>
          <w:sz w:val="16"/>
          <w:szCs w:val="16"/>
          <w:lang w:val="es-ES"/>
        </w:rPr>
        <w:t>Proceso No. 2008.61.81.013434-2</w:t>
      </w:r>
      <w:r w:rsidRPr="00B64BF5">
        <w:rPr>
          <w:rFonts w:ascii="Cambria" w:hAnsi="Cambria"/>
          <w:i/>
          <w:sz w:val="16"/>
          <w:szCs w:val="16"/>
          <w:lang w:val="es-ES"/>
        </w:rPr>
        <w:t xml:space="preserve"> </w:t>
      </w:r>
      <w:proofErr w:type="spellStart"/>
      <w:r w:rsidRPr="00B64BF5">
        <w:rPr>
          <w:rFonts w:ascii="Cambria" w:hAnsi="Cambria"/>
          <w:i/>
          <w:sz w:val="16"/>
          <w:szCs w:val="16"/>
          <w:lang w:val="es-ES"/>
        </w:rPr>
        <w:t>Justiça</w:t>
      </w:r>
      <w:proofErr w:type="spellEnd"/>
      <w:r w:rsidRPr="00B64BF5">
        <w:rPr>
          <w:rStyle w:val="Emphasis"/>
          <w:rFonts w:ascii="Cambria" w:hAnsi="Cambria" w:cs="Arial"/>
          <w:i w:val="0"/>
          <w:sz w:val="16"/>
          <w:szCs w:val="16"/>
          <w:lang w:val="es-ES"/>
        </w:rPr>
        <w:t xml:space="preserve"> Federal - São Paulo, </w:t>
      </w:r>
      <w:proofErr w:type="spellStart"/>
      <w:r w:rsidRPr="00B64BF5">
        <w:rPr>
          <w:rStyle w:val="Emphasis"/>
          <w:rFonts w:ascii="Cambria" w:hAnsi="Cambria" w:cs="Arial"/>
          <w:i w:val="0"/>
          <w:sz w:val="16"/>
          <w:szCs w:val="16"/>
          <w:lang w:val="es-ES"/>
        </w:rPr>
        <w:t>Volume</w:t>
      </w:r>
      <w:proofErr w:type="spellEnd"/>
      <w:r w:rsidRPr="00B64BF5">
        <w:rPr>
          <w:rStyle w:val="Emphasis"/>
          <w:rFonts w:ascii="Cambria" w:hAnsi="Cambria" w:cs="Arial"/>
          <w:i w:val="0"/>
          <w:sz w:val="16"/>
          <w:szCs w:val="16"/>
          <w:lang w:val="es-ES"/>
        </w:rPr>
        <w:t xml:space="preserve"> 5, </w:t>
      </w:r>
      <w:proofErr w:type="spellStart"/>
      <w:r w:rsidRPr="00B64BF5">
        <w:rPr>
          <w:rStyle w:val="Emphasis"/>
          <w:rFonts w:ascii="Cambria" w:hAnsi="Cambria" w:cs="Arial"/>
          <w:i w:val="0"/>
          <w:sz w:val="16"/>
          <w:szCs w:val="16"/>
          <w:lang w:val="es-ES"/>
        </w:rPr>
        <w:t>fls</w:t>
      </w:r>
      <w:proofErr w:type="spellEnd"/>
      <w:r w:rsidRPr="00B64BF5">
        <w:rPr>
          <w:rStyle w:val="Emphasis"/>
          <w:rFonts w:ascii="Cambria" w:hAnsi="Cambria" w:cs="Arial"/>
          <w:i w:val="0"/>
          <w:sz w:val="16"/>
          <w:szCs w:val="16"/>
          <w:lang w:val="es-ES"/>
        </w:rPr>
        <w:t xml:space="preserve">. 892– Declaración de Rodolfo Osvaldo </w:t>
      </w:r>
      <w:proofErr w:type="spellStart"/>
      <w:r w:rsidRPr="00B64BF5">
        <w:rPr>
          <w:rStyle w:val="Emphasis"/>
          <w:rFonts w:ascii="Cambria" w:hAnsi="Cambria" w:cs="Arial"/>
          <w:i w:val="0"/>
          <w:sz w:val="16"/>
          <w:szCs w:val="16"/>
          <w:lang w:val="es-ES"/>
        </w:rPr>
        <w:t>Konder</w:t>
      </w:r>
      <w:proofErr w:type="spellEnd"/>
      <w:r w:rsidRPr="00B64BF5">
        <w:rPr>
          <w:rStyle w:val="Emphasis"/>
          <w:rFonts w:ascii="Cambria" w:hAnsi="Cambria" w:cs="Arial"/>
          <w:i w:val="0"/>
          <w:sz w:val="16"/>
          <w:szCs w:val="16"/>
          <w:lang w:val="es-ES"/>
        </w:rPr>
        <w:t xml:space="preserve"> en el </w:t>
      </w:r>
      <w:proofErr w:type="spellStart"/>
      <w:r w:rsidRPr="00B64BF5">
        <w:rPr>
          <w:rStyle w:val="Emphasis"/>
          <w:rFonts w:ascii="Cambria" w:hAnsi="Cambria" w:cs="Arial"/>
          <w:i w:val="0"/>
          <w:sz w:val="16"/>
          <w:szCs w:val="16"/>
          <w:lang w:val="es-ES"/>
        </w:rPr>
        <w:t>Inquérito</w:t>
      </w:r>
      <w:proofErr w:type="spellEnd"/>
      <w:r w:rsidRPr="00B64BF5">
        <w:rPr>
          <w:rStyle w:val="Emphasis"/>
          <w:rFonts w:ascii="Cambria" w:hAnsi="Cambria" w:cs="Arial"/>
          <w:i w:val="0"/>
          <w:sz w:val="16"/>
          <w:szCs w:val="16"/>
          <w:lang w:val="es-ES"/>
        </w:rPr>
        <w:t xml:space="preserve"> Policial No 704/92, del 3 de junio de 1992; </w:t>
      </w:r>
      <w:r w:rsidRPr="00B64BF5">
        <w:rPr>
          <w:rFonts w:ascii="Cambria" w:hAnsi="Cambria"/>
          <w:sz w:val="16"/>
          <w:szCs w:val="16"/>
          <w:lang w:val="es-ES"/>
        </w:rPr>
        <w:t xml:space="preserve">Proceso No. 2008.61.81.013434-2 </w:t>
      </w:r>
      <w:proofErr w:type="spellStart"/>
      <w:r w:rsidRPr="00B64BF5">
        <w:rPr>
          <w:rFonts w:ascii="Cambria" w:hAnsi="Cambria"/>
          <w:sz w:val="16"/>
          <w:szCs w:val="16"/>
          <w:lang w:val="es-ES"/>
        </w:rPr>
        <w:t>Justiça</w:t>
      </w:r>
      <w:proofErr w:type="spellEnd"/>
      <w:r w:rsidRPr="00B64BF5">
        <w:rPr>
          <w:rStyle w:val="Emphasis"/>
          <w:rFonts w:ascii="Cambria" w:hAnsi="Cambria" w:cs="Arial"/>
          <w:i w:val="0"/>
          <w:sz w:val="16"/>
          <w:szCs w:val="16"/>
          <w:lang w:val="es-ES"/>
        </w:rPr>
        <w:t xml:space="preserve"> Federal - São Paulo, </w:t>
      </w:r>
      <w:proofErr w:type="spellStart"/>
      <w:r w:rsidRPr="00B64BF5">
        <w:rPr>
          <w:rStyle w:val="Emphasis"/>
          <w:rFonts w:ascii="Cambria" w:hAnsi="Cambria" w:cs="Arial"/>
          <w:i w:val="0"/>
          <w:sz w:val="16"/>
          <w:szCs w:val="16"/>
          <w:lang w:val="es-ES"/>
        </w:rPr>
        <w:t>Volume</w:t>
      </w:r>
      <w:proofErr w:type="spellEnd"/>
      <w:r w:rsidRPr="00B64BF5">
        <w:rPr>
          <w:rStyle w:val="Emphasis"/>
          <w:rFonts w:ascii="Cambria" w:hAnsi="Cambria" w:cs="Arial"/>
          <w:i w:val="0"/>
          <w:sz w:val="16"/>
          <w:szCs w:val="16"/>
          <w:lang w:val="es-ES"/>
        </w:rPr>
        <w:t xml:space="preserve"> 2, </w:t>
      </w:r>
      <w:proofErr w:type="spellStart"/>
      <w:r w:rsidRPr="00B64BF5">
        <w:rPr>
          <w:rStyle w:val="Emphasis"/>
          <w:rFonts w:ascii="Cambria" w:hAnsi="Cambria" w:cs="Arial"/>
          <w:i w:val="0"/>
          <w:sz w:val="16"/>
          <w:szCs w:val="16"/>
          <w:lang w:val="es-ES"/>
        </w:rPr>
        <w:t>fls</w:t>
      </w:r>
      <w:proofErr w:type="spellEnd"/>
      <w:r w:rsidRPr="00B64BF5">
        <w:rPr>
          <w:rStyle w:val="Emphasis"/>
          <w:rFonts w:ascii="Cambria" w:hAnsi="Cambria" w:cs="Arial"/>
          <w:i w:val="0"/>
          <w:sz w:val="16"/>
          <w:szCs w:val="16"/>
          <w:lang w:val="es-ES"/>
        </w:rPr>
        <w:t xml:space="preserve">. 433 – Declaración de George Benigno Duque Estrada en la </w:t>
      </w:r>
      <w:proofErr w:type="spellStart"/>
      <w:r w:rsidRPr="00B64BF5">
        <w:rPr>
          <w:rFonts w:ascii="Cambria" w:hAnsi="Cambria"/>
          <w:sz w:val="16"/>
          <w:szCs w:val="16"/>
          <w:lang w:val="es-ES"/>
        </w:rPr>
        <w:t>Ação</w:t>
      </w:r>
      <w:proofErr w:type="spellEnd"/>
      <w:r w:rsidRPr="00B64BF5">
        <w:rPr>
          <w:rFonts w:ascii="Cambria" w:hAnsi="Cambria"/>
          <w:sz w:val="16"/>
          <w:szCs w:val="16"/>
          <w:lang w:val="es-ES"/>
        </w:rPr>
        <w:t xml:space="preserve"> </w:t>
      </w:r>
      <w:proofErr w:type="spellStart"/>
      <w:r w:rsidRPr="00B64BF5">
        <w:rPr>
          <w:rFonts w:ascii="Cambria" w:hAnsi="Cambria"/>
          <w:sz w:val="16"/>
          <w:szCs w:val="16"/>
          <w:lang w:val="es-ES"/>
        </w:rPr>
        <w:t>Declaratória</w:t>
      </w:r>
      <w:proofErr w:type="spellEnd"/>
      <w:r w:rsidRPr="00B64BF5">
        <w:rPr>
          <w:rFonts w:ascii="Cambria" w:hAnsi="Cambria"/>
          <w:sz w:val="16"/>
          <w:szCs w:val="16"/>
          <w:lang w:val="es-ES"/>
        </w:rPr>
        <w:t xml:space="preserve"> No. 136/76, del 16 de mayo de 1978.</w:t>
      </w:r>
    </w:p>
  </w:footnote>
  <w:footnote w:id="78">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Según el testigo </w:t>
      </w:r>
      <w:r w:rsidRPr="00B64BF5">
        <w:rPr>
          <w:rStyle w:val="Emphasis"/>
          <w:rFonts w:ascii="Cambria" w:hAnsi="Cambria" w:cs="Arial"/>
          <w:i w:val="0"/>
          <w:sz w:val="16"/>
          <w:szCs w:val="16"/>
          <w:lang w:val="es-ES"/>
        </w:rPr>
        <w:t xml:space="preserve">George Benigno Duque Estrada, “trono de </w:t>
      </w:r>
      <w:proofErr w:type="spellStart"/>
      <w:r w:rsidRPr="00B64BF5">
        <w:rPr>
          <w:rStyle w:val="Emphasis"/>
          <w:rFonts w:ascii="Cambria" w:hAnsi="Cambria" w:cs="Arial"/>
          <w:i w:val="0"/>
          <w:sz w:val="16"/>
          <w:szCs w:val="16"/>
          <w:lang w:val="es-ES"/>
        </w:rPr>
        <w:t>dragã</w:t>
      </w:r>
      <w:r w:rsidRPr="00B64BF5">
        <w:rPr>
          <w:rStyle w:val="Emphasis"/>
          <w:rFonts w:ascii="Cambria" w:hAnsi="Cambria"/>
          <w:i w:val="0"/>
          <w:sz w:val="16"/>
          <w:szCs w:val="16"/>
          <w:lang w:val="es-ES"/>
        </w:rPr>
        <w:t>o</w:t>
      </w:r>
      <w:proofErr w:type="spellEnd"/>
      <w:r w:rsidRPr="00B64BF5">
        <w:rPr>
          <w:rStyle w:val="Emphasis"/>
          <w:rFonts w:ascii="Cambria" w:hAnsi="Cambria"/>
          <w:i w:val="0"/>
          <w:sz w:val="16"/>
          <w:szCs w:val="16"/>
          <w:lang w:val="es-ES"/>
        </w:rPr>
        <w:t xml:space="preserve">”, era una silla blanca, con una placa de metal en el lugar del asiento. Además, indicó que tomó conocimiento que dicha silla era utilizada para dar choques en los detenidos. </w:t>
      </w:r>
      <w:r w:rsidRPr="00B64BF5">
        <w:rPr>
          <w:rFonts w:ascii="Cambria" w:hAnsi="Cambria"/>
          <w:sz w:val="16"/>
          <w:szCs w:val="16"/>
          <w:lang w:val="es-ES"/>
        </w:rPr>
        <w:t xml:space="preserve">Proceso No. 2008.61.81.013434-2 </w:t>
      </w:r>
      <w:proofErr w:type="spellStart"/>
      <w:r w:rsidRPr="00B64BF5">
        <w:rPr>
          <w:rFonts w:ascii="Cambria" w:hAnsi="Cambria"/>
          <w:sz w:val="16"/>
          <w:szCs w:val="16"/>
          <w:lang w:val="es-ES"/>
        </w:rPr>
        <w:t>Justiça</w:t>
      </w:r>
      <w:proofErr w:type="spellEnd"/>
      <w:r w:rsidRPr="00B64BF5">
        <w:rPr>
          <w:rStyle w:val="Emphasis"/>
          <w:rFonts w:ascii="Cambria" w:hAnsi="Cambria" w:cs="Arial"/>
          <w:i w:val="0"/>
          <w:sz w:val="16"/>
          <w:szCs w:val="16"/>
          <w:lang w:val="es-ES"/>
        </w:rPr>
        <w:t xml:space="preserve"> Federal - São Paulo, </w:t>
      </w:r>
      <w:proofErr w:type="spellStart"/>
      <w:r w:rsidRPr="00B64BF5">
        <w:rPr>
          <w:rStyle w:val="Emphasis"/>
          <w:rFonts w:ascii="Cambria" w:hAnsi="Cambria" w:cs="Arial"/>
          <w:i w:val="0"/>
          <w:sz w:val="16"/>
          <w:szCs w:val="16"/>
          <w:lang w:val="es-ES"/>
        </w:rPr>
        <w:t>Volume</w:t>
      </w:r>
      <w:proofErr w:type="spellEnd"/>
      <w:r w:rsidRPr="00B64BF5">
        <w:rPr>
          <w:rStyle w:val="Emphasis"/>
          <w:rFonts w:ascii="Cambria" w:hAnsi="Cambria" w:cs="Arial"/>
          <w:i w:val="0"/>
          <w:sz w:val="16"/>
          <w:szCs w:val="16"/>
          <w:lang w:val="es-ES"/>
        </w:rPr>
        <w:t xml:space="preserve"> 2, </w:t>
      </w:r>
      <w:proofErr w:type="spellStart"/>
      <w:r w:rsidRPr="00B64BF5">
        <w:rPr>
          <w:rStyle w:val="Emphasis"/>
          <w:rFonts w:ascii="Cambria" w:hAnsi="Cambria" w:cs="Arial"/>
          <w:i w:val="0"/>
          <w:sz w:val="16"/>
          <w:szCs w:val="16"/>
          <w:lang w:val="es-ES"/>
        </w:rPr>
        <w:t>fls</w:t>
      </w:r>
      <w:proofErr w:type="spellEnd"/>
      <w:r w:rsidRPr="00B64BF5">
        <w:rPr>
          <w:rStyle w:val="Emphasis"/>
          <w:rFonts w:ascii="Cambria" w:hAnsi="Cambria" w:cs="Arial"/>
          <w:i w:val="0"/>
          <w:sz w:val="16"/>
          <w:szCs w:val="16"/>
          <w:lang w:val="es-ES"/>
        </w:rPr>
        <w:t xml:space="preserve">. 434 – Declaración de George Benigno Duque Estrada en la </w:t>
      </w:r>
      <w:proofErr w:type="spellStart"/>
      <w:r w:rsidRPr="00B64BF5">
        <w:rPr>
          <w:rFonts w:ascii="Cambria" w:hAnsi="Cambria"/>
          <w:sz w:val="16"/>
          <w:szCs w:val="16"/>
          <w:lang w:val="es-ES"/>
        </w:rPr>
        <w:t>Ação</w:t>
      </w:r>
      <w:proofErr w:type="spellEnd"/>
      <w:r w:rsidRPr="00B64BF5">
        <w:rPr>
          <w:rFonts w:ascii="Cambria" w:hAnsi="Cambria"/>
          <w:sz w:val="16"/>
          <w:szCs w:val="16"/>
          <w:lang w:val="es-ES"/>
        </w:rPr>
        <w:t xml:space="preserve"> </w:t>
      </w:r>
      <w:proofErr w:type="spellStart"/>
      <w:r w:rsidRPr="00B64BF5">
        <w:rPr>
          <w:rFonts w:ascii="Cambria" w:hAnsi="Cambria"/>
          <w:sz w:val="16"/>
          <w:szCs w:val="16"/>
          <w:lang w:val="es-ES"/>
        </w:rPr>
        <w:t>Declaratória</w:t>
      </w:r>
      <w:proofErr w:type="spellEnd"/>
      <w:r w:rsidRPr="00B64BF5">
        <w:rPr>
          <w:rFonts w:ascii="Cambria" w:hAnsi="Cambria"/>
          <w:sz w:val="16"/>
          <w:szCs w:val="16"/>
          <w:lang w:val="es-ES"/>
        </w:rPr>
        <w:t xml:space="preserve"> No. 136/76, del 16 de mayo de 1978.</w:t>
      </w:r>
    </w:p>
  </w:footnote>
  <w:footnote w:id="79">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Proceso No. 2008.61.81.013434-2 </w:t>
      </w:r>
      <w:proofErr w:type="spellStart"/>
      <w:r w:rsidRPr="00B64BF5">
        <w:rPr>
          <w:rFonts w:ascii="Cambria" w:hAnsi="Cambria"/>
          <w:sz w:val="16"/>
          <w:szCs w:val="16"/>
          <w:lang w:val="es-ES"/>
        </w:rPr>
        <w:t>Justiça</w:t>
      </w:r>
      <w:proofErr w:type="spellEnd"/>
      <w:r w:rsidRPr="00B64BF5">
        <w:rPr>
          <w:rStyle w:val="Emphasis"/>
          <w:rFonts w:ascii="Cambria" w:hAnsi="Cambria" w:cs="Arial"/>
          <w:sz w:val="16"/>
          <w:szCs w:val="16"/>
          <w:lang w:val="es-ES"/>
        </w:rPr>
        <w:t xml:space="preserve"> </w:t>
      </w:r>
      <w:r w:rsidRPr="00B64BF5">
        <w:rPr>
          <w:rStyle w:val="Emphasis"/>
          <w:rFonts w:ascii="Cambria" w:hAnsi="Cambria" w:cs="Arial"/>
          <w:i w:val="0"/>
          <w:sz w:val="16"/>
          <w:szCs w:val="16"/>
          <w:lang w:val="es-ES"/>
        </w:rPr>
        <w:t xml:space="preserve">Federal - São Paulo, </w:t>
      </w:r>
      <w:proofErr w:type="spellStart"/>
      <w:r w:rsidRPr="00B64BF5">
        <w:rPr>
          <w:rStyle w:val="Emphasis"/>
          <w:rFonts w:ascii="Cambria" w:hAnsi="Cambria" w:cs="Arial"/>
          <w:i w:val="0"/>
          <w:sz w:val="16"/>
          <w:szCs w:val="16"/>
          <w:lang w:val="es-ES"/>
        </w:rPr>
        <w:t>Volume</w:t>
      </w:r>
      <w:proofErr w:type="spellEnd"/>
      <w:r w:rsidRPr="00B64BF5">
        <w:rPr>
          <w:rStyle w:val="Emphasis"/>
          <w:rFonts w:ascii="Cambria" w:hAnsi="Cambria" w:cs="Arial"/>
          <w:i w:val="0"/>
          <w:sz w:val="16"/>
          <w:szCs w:val="16"/>
          <w:lang w:val="es-ES"/>
        </w:rPr>
        <w:t xml:space="preserve"> 2, </w:t>
      </w:r>
      <w:proofErr w:type="spellStart"/>
      <w:r w:rsidRPr="00B64BF5">
        <w:rPr>
          <w:rStyle w:val="Emphasis"/>
          <w:rFonts w:ascii="Cambria" w:hAnsi="Cambria" w:cs="Arial"/>
          <w:i w:val="0"/>
          <w:sz w:val="16"/>
          <w:szCs w:val="16"/>
          <w:lang w:val="es-ES"/>
        </w:rPr>
        <w:t>fls</w:t>
      </w:r>
      <w:proofErr w:type="spellEnd"/>
      <w:r w:rsidRPr="00B64BF5">
        <w:rPr>
          <w:rStyle w:val="Emphasis"/>
          <w:rFonts w:ascii="Cambria" w:hAnsi="Cambria" w:cs="Arial"/>
          <w:i w:val="0"/>
          <w:sz w:val="16"/>
          <w:szCs w:val="16"/>
          <w:lang w:val="es-ES"/>
        </w:rPr>
        <w:t xml:space="preserve">. 434 – Declaración de George Benigno Duque Estrada en la </w:t>
      </w:r>
      <w:proofErr w:type="spellStart"/>
      <w:r w:rsidRPr="00B64BF5">
        <w:rPr>
          <w:rFonts w:ascii="Cambria" w:hAnsi="Cambria"/>
          <w:sz w:val="16"/>
          <w:szCs w:val="16"/>
          <w:lang w:val="es-ES"/>
        </w:rPr>
        <w:t>Ação</w:t>
      </w:r>
      <w:proofErr w:type="spellEnd"/>
      <w:r w:rsidRPr="00B64BF5">
        <w:rPr>
          <w:rFonts w:ascii="Cambria" w:hAnsi="Cambria"/>
          <w:sz w:val="16"/>
          <w:szCs w:val="16"/>
          <w:lang w:val="es-ES"/>
        </w:rPr>
        <w:t xml:space="preserve"> </w:t>
      </w:r>
      <w:proofErr w:type="spellStart"/>
      <w:r w:rsidRPr="00B64BF5">
        <w:rPr>
          <w:rFonts w:ascii="Cambria" w:hAnsi="Cambria"/>
          <w:sz w:val="16"/>
          <w:szCs w:val="16"/>
          <w:lang w:val="es-ES"/>
        </w:rPr>
        <w:t>Declaratória</w:t>
      </w:r>
      <w:proofErr w:type="spellEnd"/>
      <w:r w:rsidRPr="00B64BF5">
        <w:rPr>
          <w:rFonts w:ascii="Cambria" w:hAnsi="Cambria"/>
          <w:sz w:val="16"/>
          <w:szCs w:val="16"/>
          <w:lang w:val="es-ES"/>
        </w:rPr>
        <w:t xml:space="preserve"> No. 136/76, del 16 de mayo de 1978. </w:t>
      </w:r>
    </w:p>
  </w:footnote>
  <w:footnote w:id="8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“não adiantava sonegar informação”.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278 – Declarações a termo de Rodolfo Osvaldo Konder,</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del 7 de noviembre de 1975.</w:t>
      </w:r>
    </w:p>
  </w:footnote>
  <w:footnote w:id="8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“[a] dizer o que sabia, inclusive porque as informações que os interrogadores desejavam, (…) desejavam ver confirmadas já tinham sido dadas por pessoas presas antes de nós”.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278 – Declarações a termo de Rodolfo Osvaldo Konder, del 7 de noviembre</w:t>
      </w:r>
      <w:r w:rsidRPr="00B64BF5">
        <w:rPr>
          <w:rStyle w:val="Emphasis"/>
          <w:rFonts w:ascii="Cambria" w:hAnsi="Cambria" w:cs="Arial"/>
          <w:sz w:val="16"/>
          <w:szCs w:val="16"/>
          <w:lang w:val="pt-BR"/>
        </w:rPr>
        <w:t xml:space="preserve"> de 1975.</w:t>
      </w:r>
    </w:p>
  </w:footnote>
  <w:footnote w:id="8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“não sabia de nada”.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São Paulo, Volume 2, fls. 278 – Declarações a termo de Rodolfo Osvaldo Konder, del 7 de noviembre de 1975.</w:t>
      </w:r>
    </w:p>
  </w:footnote>
  <w:footnote w:id="8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434 – Declaración de George Benigno Duque Estrada en la</w:t>
      </w:r>
      <w:r w:rsidRPr="00B64BF5">
        <w:rPr>
          <w:rStyle w:val="Emphasis"/>
          <w:rFonts w:ascii="Cambria" w:hAnsi="Cambria" w:cs="Arial"/>
          <w:sz w:val="16"/>
          <w:szCs w:val="16"/>
          <w:lang w:val="pt-BR"/>
        </w:rPr>
        <w:t xml:space="preserve"> </w:t>
      </w:r>
      <w:r w:rsidRPr="00B64BF5">
        <w:rPr>
          <w:rFonts w:ascii="Cambria" w:hAnsi="Cambria"/>
          <w:sz w:val="16"/>
          <w:szCs w:val="16"/>
          <w:lang w:val="pt-BR"/>
        </w:rPr>
        <w:t>Ação Declaratória No. 136/76, del 16 de mayo de 1978.</w:t>
      </w:r>
    </w:p>
  </w:footnote>
  <w:footnote w:id="8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“de la, podíamos ouvir nitidamente os gritos, primeiro do interrogador e depois de Vladimir e ouvimos quando o interrogador pediu que lhe trouxessem a ‘pimentinha’ e solicitou a ajuda de uma equipe de torturadores”.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278 – Declarações a termo de Rodolfo Osvaldo Konder, del 7 de noviembre de 1975.</w:t>
      </w:r>
    </w:p>
  </w:footnote>
  <w:footnote w:id="8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278 – Declarações a termo de Rodolfo Osvaldo Konder, del 7 de noviembre de 1975.</w:t>
      </w:r>
    </w:p>
  </w:footnote>
  <w:footnote w:id="8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“a partir de um determinado momento, o som da voz de Vladimir se modificou, como se tivessem introduzido alguma coisa em sua boca; sua voz ficou abafada, como se lhe tivessem posto uma mordaça”.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278 – Declarações a termo de Rodolfo Osvaldo Konder, del 7 de noviembre de 1975.</w:t>
      </w:r>
    </w:p>
  </w:footnote>
  <w:footnote w:id="8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279 – Declarações a termo de Rodolfo Osvaldo Konder, del 7 de noviembre de 1975.</w:t>
      </w:r>
    </w:p>
  </w:footnote>
  <w:footnote w:id="8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 xml:space="preserve">à </w:t>
      </w:r>
      <w:r w:rsidRPr="00B64BF5">
        <w:rPr>
          <w:rStyle w:val="Emphasis"/>
          <w:rFonts w:ascii="Cambria" w:hAnsi="Cambria" w:cs="Arial"/>
          <w:i w:val="0"/>
          <w:sz w:val="16"/>
          <w:szCs w:val="16"/>
          <w:lang w:val="pt-BR"/>
        </w:rPr>
        <w:t>Verdade: Comissão Especial sobre Mortos e Desaparecidos Políticos. Brasília, Secretaria Especial dos Direitos Humanos, 2007, fls.408; Relatório da Comissão Nacional da Verdade.</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Volume II. Parte IV,</w:t>
      </w:r>
      <w:r w:rsidRPr="00B64BF5">
        <w:rPr>
          <w:rStyle w:val="Emphasis"/>
          <w:rFonts w:ascii="Cambria" w:hAnsi="Cambria" w:cs="Arial"/>
          <w:sz w:val="16"/>
          <w:szCs w:val="16"/>
          <w:lang w:val="pt-BR"/>
        </w:rPr>
        <w:t xml:space="preserve"> </w:t>
      </w:r>
      <w:r w:rsidRPr="00B64BF5">
        <w:rPr>
          <w:rStyle w:val="Emphasis"/>
          <w:rFonts w:ascii="Cambria" w:hAnsi="Cambria" w:cs="Arial"/>
          <w:b/>
          <w:sz w:val="16"/>
          <w:szCs w:val="16"/>
          <w:lang w:val="pt-BR"/>
        </w:rPr>
        <w:t>“</w:t>
      </w:r>
      <w:r w:rsidRPr="00B64BF5">
        <w:rPr>
          <w:rStyle w:val="Strong"/>
          <w:rFonts w:ascii="Cambria" w:hAnsi="Cambria"/>
          <w:b w:val="0"/>
          <w:sz w:val="16"/>
          <w:szCs w:val="16"/>
          <w:lang w:val="pt-BR"/>
        </w:rPr>
        <w:t>Dinâmica das graves violações de direitos humanos: casos emblemáticos, locais e autores O Judiciário</w:t>
      </w:r>
      <w:r w:rsidRPr="00B64BF5">
        <w:rPr>
          <w:rFonts w:ascii="Cambria" w:hAnsi="Cambria"/>
          <w:b/>
          <w:sz w:val="16"/>
          <w:szCs w:val="16"/>
          <w:lang w:val="pt-BR"/>
        </w:rPr>
        <w:t>”.</w:t>
      </w:r>
      <w:r w:rsidRPr="00B64BF5">
        <w:rPr>
          <w:rFonts w:ascii="Cambria" w:hAnsi="Cambria"/>
          <w:sz w:val="16"/>
          <w:szCs w:val="16"/>
          <w:lang w:val="pt-BR"/>
        </w:rPr>
        <w:t xml:space="preserve"> Capitulo 15 – (A) Unidades militares e policiais, fls. </w:t>
      </w:r>
      <w:r w:rsidRPr="00B64BF5">
        <w:rPr>
          <w:rFonts w:ascii="Cambria" w:hAnsi="Cambria"/>
          <w:sz w:val="16"/>
          <w:szCs w:val="16"/>
          <w:lang w:val="pt-BR"/>
        </w:rPr>
        <w:t>758, del 10 de diciembre de 2014;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492, Nota Oficial do Comando do II Exército</w:t>
      </w:r>
      <w:r w:rsidRPr="00B64BF5">
        <w:rPr>
          <w:rStyle w:val="Emphasis"/>
          <w:rFonts w:ascii="Cambria" w:hAnsi="Cambria" w:cs="Arial"/>
          <w:sz w:val="16"/>
          <w:szCs w:val="16"/>
          <w:lang w:val="pt-BR"/>
        </w:rPr>
        <w:t xml:space="preserve">. </w:t>
      </w:r>
    </w:p>
  </w:footnote>
  <w:footnote w:id="8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“[s]eguramente deve ter sido a ultima pessoa a vê-lo[a Herzog] com vida”.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892– Declaración de George Benigno Jathay en el Inquérito Policial No 704/92, del 3 de junio de 1992.</w:t>
      </w:r>
    </w:p>
  </w:footnote>
  <w:footnote w:id="9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433 – Declaración de George Benigno Duque Estrada en la</w:t>
      </w:r>
      <w:r w:rsidRPr="00B64BF5">
        <w:rPr>
          <w:rStyle w:val="Emphasis"/>
          <w:rFonts w:ascii="Cambria" w:hAnsi="Cambria" w:cs="Arial"/>
          <w:sz w:val="16"/>
          <w:szCs w:val="16"/>
          <w:lang w:val="pt-BR"/>
        </w:rPr>
        <w:t xml:space="preserve"> </w:t>
      </w:r>
      <w:r w:rsidRPr="00B64BF5">
        <w:rPr>
          <w:rFonts w:ascii="Cambria" w:hAnsi="Cambria"/>
          <w:sz w:val="16"/>
          <w:szCs w:val="16"/>
          <w:lang w:val="pt-BR"/>
        </w:rPr>
        <w:t>Ação Declaratória No. 136/76, del 16 de mayo de 1978.</w:t>
      </w:r>
    </w:p>
  </w:footnote>
  <w:footnote w:id="91">
    <w:p w:rsidR="00D53806" w:rsidRPr="00B64BF5" w:rsidRDefault="00D53806" w:rsidP="00B64BF5">
      <w:pPr>
        <w:spacing w:after="0" w:line="240" w:lineRule="auto"/>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w:t>
      </w:r>
      <w:r w:rsidRPr="00B64BF5">
        <w:rPr>
          <w:rFonts w:ascii="Cambria" w:hAnsi="Cambria"/>
          <w:i/>
          <w:sz w:val="16"/>
          <w:szCs w:val="16"/>
          <w:lang w:val="pt-BR"/>
        </w:rPr>
        <w:t xml:space="preserve"> “</w:t>
      </w:r>
      <w:r w:rsidRPr="00B64BF5">
        <w:rPr>
          <w:rStyle w:val="Emphasis"/>
          <w:rFonts w:ascii="Cambria" w:hAnsi="Cambria"/>
          <w:i w:val="0"/>
          <w:sz w:val="16"/>
          <w:szCs w:val="16"/>
          <w:lang w:val="pt-BR"/>
        </w:rPr>
        <w:t xml:space="preserve">O interrogador saiu novamente da sala e dali a pouco voltou para me apanhar pelo braço e me levar ate a sala onde se encontrava Vladimir, permitindo mais uma vez que eu tirasse o capuz. Vladimir estava sentado na mesma cadeira, com o capuz enfiado na cabeça, mas agora me parecia particularmente nervoso, as mãos tremiam muito e a voz era débil. Então o interrogador pediu a Vladimir que me falasse a respeito dessa reunião. (...) O interrogador então fez um gesto para que nós – eu e o interrogador – saíssemos novamente. (...) esperei algumas horas até que (...) o mesmo interrogador, muito nervoso, nos ditou uma declaração, em que dizíamos ter convencido Vladimir Herzog a prestar espontaneamente seu depoimento”.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Federal -</w:t>
      </w:r>
      <w:r w:rsidRPr="00B64BF5">
        <w:rPr>
          <w:rStyle w:val="Emphasis"/>
          <w:rFonts w:ascii="Cambria" w:hAnsi="Cambria" w:cs="Arial"/>
          <w:i w:val="0"/>
          <w:sz w:val="16"/>
          <w:szCs w:val="16"/>
          <w:lang w:val="pt-BR"/>
        </w:rPr>
        <w:t xml:space="preserve"> São Paulo, Volume 2, fls. 278 – Declarações a termo de Rodolfo Osvaldo Konder, del 7 de noviembre de 1975.</w:t>
      </w:r>
    </w:p>
  </w:footnote>
  <w:footnote w:id="9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”Cerca das 16:00hs, ao ser procurado na sala onde for a deixado desacompanhado, foi encontrado morto, enforcado, tendo para tanto utilizado uma tira de pano”.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Federal - </w:t>
      </w:r>
      <w:r w:rsidRPr="00B64BF5">
        <w:rPr>
          <w:rStyle w:val="Emphasis"/>
          <w:rFonts w:ascii="Cambria" w:hAnsi="Cambria" w:cs="Arial"/>
          <w:i w:val="0"/>
          <w:sz w:val="16"/>
          <w:szCs w:val="16"/>
          <w:lang w:val="pt-BR"/>
        </w:rPr>
        <w:t>São Paulo, Volume 3, fls. 493, Nota Oficial do Comando do II Exército.</w:t>
      </w:r>
    </w:p>
  </w:footnote>
  <w:footnote w:id="9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“[a] estrutura e </w:t>
      </w:r>
      <w:r w:rsidRPr="00B64BF5">
        <w:rPr>
          <w:rFonts w:ascii="Cambria" w:hAnsi="Cambria"/>
          <w:sz w:val="16"/>
          <w:szCs w:val="16"/>
          <w:lang w:val="pt-BR"/>
        </w:rPr>
        <w:t xml:space="preserve">as atividades do ‘Comite Estadual do Partido Comunista’”. Proceso No. </w:t>
      </w:r>
      <w:r w:rsidRPr="00B64BF5">
        <w:rPr>
          <w:rFonts w:ascii="Cambria" w:hAnsi="Cambria"/>
          <w:sz w:val="16"/>
          <w:szCs w:val="16"/>
          <w:lang w:val="pt-BR"/>
        </w:rPr>
        <w:t>2008.61.81.013434-2, Justiça</w:t>
      </w:r>
      <w:r w:rsidRPr="00B64BF5">
        <w:rPr>
          <w:rStyle w:val="Emphasis"/>
          <w:rFonts w:ascii="Cambria" w:hAnsi="Cambria" w:cs="Arial"/>
          <w:i w:val="0"/>
          <w:sz w:val="16"/>
          <w:szCs w:val="16"/>
          <w:lang w:val="pt-BR"/>
        </w:rPr>
        <w:t xml:space="preserve"> Federal - São Paulo, Volume 3, fls. 492, Nota Oficial do Comando do II Exército.</w:t>
      </w:r>
    </w:p>
  </w:footnote>
  <w:footnote w:id="9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”[m]ilitante e integrante de uma cédula de base de jornalistas do citado ‘Partido’”.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492, Nota Oficial do Comando do II Exército.</w:t>
      </w:r>
    </w:p>
  </w:footnote>
  <w:footnote w:id="9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Texto original: “[c]onvidado a prestar esclarecimentos”.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492, Nota Oficial do Comando do II Exército.</w:t>
      </w:r>
    </w:p>
  </w:footnote>
  <w:footnote w:id="9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“[c]olega de profissão, as 08:00hs do dia 25 do mês fluente”.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492, Nota Oficial do Comando do II Exército.</w:t>
      </w:r>
    </w:p>
  </w:footnote>
  <w:footnote w:id="9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“[s]uas ligações e atividades/criminosas”.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492, Nota Oficial do Comando do II Exército.</w:t>
      </w:r>
    </w:p>
  </w:footnote>
  <w:footnote w:id="9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“[q]ue o aconselharam a dizer toda a verdade, pois, assim já o haviam procedido”.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492, Nota Oficial do Comando do II Exército.</w:t>
      </w:r>
    </w:p>
  </w:footnote>
  <w:footnote w:id="9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“[s]uas declarações de próprio punho”.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492, Nota Oficial do Comando do II Exército.</w:t>
      </w:r>
    </w:p>
  </w:footnote>
  <w:footnote w:id="10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493, Nota Oficial do Comando do II Exército.</w:t>
      </w:r>
    </w:p>
  </w:footnote>
  <w:footnote w:id="101">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“Foi solicitada a Secretaria de Segurança a necessária pericia/técnica, positivando os Srs. Peritos a ocorrência de suicídio”.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493, Nota Oficial do Comando do II Exército.</w:t>
      </w:r>
    </w:p>
  </w:footnote>
  <w:footnote w:id="102">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1, fls. 126, Pericia del local donde fue encontrado el cadáver; 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 xml:space="preserve">Comissão Nacional da Verdade. Volume III. Parte III, </w:t>
      </w:r>
      <w:r w:rsidRPr="00B64BF5">
        <w:rPr>
          <w:rStyle w:val="Emphasis"/>
          <w:rFonts w:ascii="Cambria" w:hAnsi="Cambria" w:cs="Arial"/>
          <w:b/>
          <w:sz w:val="16"/>
          <w:szCs w:val="16"/>
          <w:lang w:val="pt-BR"/>
        </w:rPr>
        <w:t>“</w:t>
      </w:r>
      <w:r w:rsidRPr="00B64BF5">
        <w:rPr>
          <w:rStyle w:val="Strong"/>
          <w:rFonts w:ascii="Cambria" w:hAnsi="Cambria"/>
          <w:b w:val="0"/>
          <w:sz w:val="16"/>
          <w:szCs w:val="16"/>
          <w:lang w:val="pt-BR"/>
        </w:rPr>
        <w:t>Mortos e desaparecidos políticos</w:t>
      </w:r>
      <w:r w:rsidRPr="00B64BF5">
        <w:rPr>
          <w:rStyle w:val="Strong"/>
          <w:rFonts w:ascii="Cambria" w:hAnsi="Cambria"/>
          <w:i/>
          <w:sz w:val="16"/>
          <w:szCs w:val="16"/>
          <w:lang w:val="pt-BR"/>
        </w:rPr>
        <w:t>”</w:t>
      </w:r>
      <w:r w:rsidRPr="00B64BF5">
        <w:rPr>
          <w:rFonts w:ascii="Cambria" w:hAnsi="Cambria"/>
          <w:i/>
          <w:color w:val="222222"/>
          <w:sz w:val="16"/>
          <w:szCs w:val="16"/>
          <w:lang w:val="pt-BR"/>
        </w:rPr>
        <w:t xml:space="preserve">, </w:t>
      </w:r>
      <w:r w:rsidRPr="00B64BF5">
        <w:rPr>
          <w:rFonts w:ascii="Cambria" w:hAnsi="Cambria"/>
          <w:color w:val="222222"/>
          <w:sz w:val="16"/>
          <w:szCs w:val="16"/>
          <w:lang w:val="pt-BR"/>
        </w:rPr>
        <w:t>fls. 1795, del 10 de</w:t>
      </w:r>
      <w:r w:rsidRPr="00B64BF5">
        <w:rPr>
          <w:rFonts w:ascii="Cambria" w:hAnsi="Cambria"/>
          <w:i/>
          <w:color w:val="222222"/>
          <w:sz w:val="16"/>
          <w:szCs w:val="16"/>
          <w:lang w:val="pt-BR"/>
        </w:rPr>
        <w:t xml:space="preserve"> </w:t>
      </w:r>
      <w:r w:rsidRPr="00B64BF5">
        <w:rPr>
          <w:rFonts w:ascii="Cambria" w:hAnsi="Cambria"/>
          <w:color w:val="222222"/>
          <w:sz w:val="16"/>
          <w:szCs w:val="16"/>
          <w:lang w:val="pt-BR"/>
        </w:rPr>
        <w:t xml:space="preserve">diciembre </w:t>
      </w:r>
      <w:r w:rsidRPr="00B64BF5">
        <w:rPr>
          <w:rFonts w:ascii="Cambria" w:hAnsi="Cambria"/>
          <w:i/>
          <w:color w:val="222222"/>
          <w:sz w:val="16"/>
          <w:szCs w:val="16"/>
          <w:lang w:val="pt-BR"/>
        </w:rPr>
        <w:t>de 2014.</w:t>
      </w:r>
    </w:p>
  </w:footnote>
  <w:footnote w:id="103">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w:t>
      </w:r>
      <w:r w:rsidRPr="00B64BF5">
        <w:rPr>
          <w:rStyle w:val="Emphasis"/>
          <w:rFonts w:ascii="Cambria" w:hAnsi="Cambria" w:cs="Arial"/>
          <w:sz w:val="16"/>
          <w:szCs w:val="16"/>
          <w:lang w:val="pt-BR"/>
        </w:rPr>
        <w:t xml:space="preserve"> - </w:t>
      </w:r>
      <w:r w:rsidRPr="00B64BF5">
        <w:rPr>
          <w:rStyle w:val="Emphasis"/>
          <w:rFonts w:ascii="Cambria" w:hAnsi="Cambria" w:cs="Arial"/>
          <w:i w:val="0"/>
          <w:sz w:val="16"/>
          <w:szCs w:val="16"/>
          <w:lang w:val="pt-BR"/>
        </w:rPr>
        <w:t>São Paulo, Volume 4, fls. 827/829, Atestado de examén forense y examén necroscópico, del 25 de octubre de 1975; 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 xml:space="preserve">Comissão Nacional da Verdade. Volume III. Parte III, </w:t>
      </w:r>
      <w:r w:rsidRPr="00B64BF5">
        <w:rPr>
          <w:rStyle w:val="Emphasis"/>
          <w:rFonts w:ascii="Cambria" w:hAnsi="Cambria" w:cs="Arial"/>
          <w:b/>
          <w:i w:val="0"/>
          <w:sz w:val="16"/>
          <w:szCs w:val="16"/>
          <w:lang w:val="pt-BR"/>
        </w:rPr>
        <w:t>“</w:t>
      </w:r>
      <w:r w:rsidRPr="00B64BF5">
        <w:rPr>
          <w:rStyle w:val="Strong"/>
          <w:rFonts w:ascii="Cambria" w:hAnsi="Cambria"/>
          <w:b w:val="0"/>
          <w:sz w:val="16"/>
          <w:szCs w:val="16"/>
          <w:lang w:val="pt-BR"/>
        </w:rPr>
        <w:t>Mortos e desaparecidos políticos</w:t>
      </w:r>
      <w:r w:rsidRPr="00B64BF5">
        <w:rPr>
          <w:rStyle w:val="Strong"/>
          <w:rFonts w:ascii="Cambria" w:hAnsi="Cambria"/>
          <w:sz w:val="16"/>
          <w:szCs w:val="16"/>
          <w:lang w:val="pt-BR"/>
        </w:rPr>
        <w:t>”</w:t>
      </w:r>
      <w:r w:rsidRPr="00B64BF5">
        <w:rPr>
          <w:rFonts w:ascii="Cambria" w:hAnsi="Cambria"/>
          <w:color w:val="222222"/>
          <w:sz w:val="16"/>
          <w:szCs w:val="16"/>
          <w:lang w:val="pt-BR"/>
        </w:rPr>
        <w:t>, fls. 1795, del 10 de diciembre de 2014.</w:t>
      </w:r>
    </w:p>
  </w:footnote>
  <w:footnote w:id="10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w:t>
      </w:r>
      <w:r w:rsidRPr="00B64BF5">
        <w:rPr>
          <w:rStyle w:val="Emphasis"/>
          <w:rFonts w:ascii="Cambria" w:hAnsi="Cambria" w:cs="Arial"/>
          <w:sz w:val="16"/>
          <w:szCs w:val="16"/>
          <w:lang w:val="pt-BR"/>
        </w:rPr>
        <w:t xml:space="preserve"> “</w:t>
      </w:r>
      <w:r w:rsidRPr="00B64BF5">
        <w:rPr>
          <w:rStyle w:val="Strong"/>
          <w:rFonts w:ascii="Cambria" w:hAnsi="Cambria"/>
          <w:b w:val="0"/>
          <w:sz w:val="16"/>
          <w:szCs w:val="16"/>
          <w:lang w:val="pt-BR"/>
        </w:rPr>
        <w:t>Mortos e desaparecidos políticos</w:t>
      </w:r>
      <w:r w:rsidRPr="00B64BF5">
        <w:rPr>
          <w:rStyle w:val="Strong"/>
          <w:rFonts w:ascii="Cambria" w:hAnsi="Cambria"/>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1795, del 10 de diciembre de 2014.</w:t>
      </w:r>
    </w:p>
  </w:footnote>
  <w:footnote w:id="10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Relatório da Comissão Nacional da Verdade. Volume I. Parte III, </w:t>
      </w:r>
      <w:r w:rsidRPr="00B64BF5">
        <w:rPr>
          <w:rStyle w:val="Emphasis"/>
          <w:rFonts w:ascii="Cambria" w:hAnsi="Cambria" w:cs="Arial"/>
          <w:b/>
          <w:sz w:val="16"/>
          <w:szCs w:val="16"/>
          <w:lang w:val="pt-BR"/>
        </w:rPr>
        <w:t>“</w:t>
      </w:r>
      <w:r w:rsidRPr="00B64BF5">
        <w:rPr>
          <w:rStyle w:val="Strong"/>
          <w:rFonts w:ascii="Cambria" w:hAnsi="Cambria"/>
          <w:b w:val="0"/>
          <w:sz w:val="16"/>
          <w:szCs w:val="16"/>
          <w:lang w:val="pt-BR"/>
        </w:rPr>
        <w:t>Métodos e práticas nas graves violações de direitos humanos e suas vítimas</w:t>
      </w:r>
      <w:r w:rsidRPr="00B64BF5">
        <w:rPr>
          <w:rFonts w:ascii="Cambria" w:hAnsi="Cambria"/>
          <w:b/>
          <w:sz w:val="16"/>
          <w:szCs w:val="16"/>
          <w:lang w:val="pt-BR"/>
        </w:rPr>
        <w:t>”.</w:t>
      </w:r>
      <w:r w:rsidRPr="00B64BF5">
        <w:rPr>
          <w:rFonts w:ascii="Cambria" w:hAnsi="Cambria"/>
          <w:color w:val="222222"/>
          <w:sz w:val="16"/>
          <w:szCs w:val="16"/>
          <w:lang w:val="pt-BR"/>
        </w:rPr>
        <w:t xml:space="preserve"> Capitulo 11 – (E) Execuções e mortes decorrentes de tortura, fls. </w:t>
      </w:r>
      <w:r w:rsidRPr="00B64BF5">
        <w:rPr>
          <w:rFonts w:ascii="Cambria" w:hAnsi="Cambria"/>
          <w:color w:val="222222"/>
          <w:sz w:val="16"/>
          <w:szCs w:val="16"/>
          <w:lang w:val="pt-BR"/>
        </w:rPr>
        <w:t>473, del 10 de diciembre de 2010.</w:t>
      </w:r>
    </w:p>
  </w:footnote>
  <w:footnote w:id="106">
    <w:p w:rsidR="00D53806" w:rsidRPr="00B64BF5" w:rsidRDefault="00D53806" w:rsidP="00B64BF5">
      <w:pPr>
        <w:pStyle w:val="FootnoteText"/>
        <w:ind w:firstLine="720"/>
        <w:jc w:val="both"/>
        <w:rPr>
          <w:rFonts w:ascii="Cambria" w:hAnsi="Cambria"/>
          <w:color w:val="222222"/>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Relatório da Comissão Nacional da Verdade. Volume I. Parte III, </w:t>
      </w:r>
      <w:r w:rsidRPr="00B64BF5">
        <w:rPr>
          <w:rStyle w:val="Emphasis"/>
          <w:rFonts w:ascii="Cambria" w:hAnsi="Cambria" w:cs="Arial"/>
          <w:b/>
          <w:sz w:val="16"/>
          <w:szCs w:val="16"/>
          <w:lang w:val="pt-BR"/>
        </w:rPr>
        <w:t>“</w:t>
      </w:r>
      <w:r w:rsidRPr="00B64BF5">
        <w:rPr>
          <w:rStyle w:val="Strong"/>
          <w:rFonts w:ascii="Cambria" w:hAnsi="Cambria"/>
          <w:b w:val="0"/>
          <w:sz w:val="16"/>
          <w:szCs w:val="16"/>
          <w:lang w:val="pt-BR"/>
        </w:rPr>
        <w:t>Métodos e práticas nas graves violações de direitos humanos e suas vítimas</w:t>
      </w:r>
      <w:r w:rsidRPr="00B64BF5">
        <w:rPr>
          <w:rFonts w:ascii="Cambria" w:hAnsi="Cambria"/>
          <w:b/>
          <w:sz w:val="16"/>
          <w:szCs w:val="16"/>
          <w:lang w:val="pt-BR"/>
        </w:rPr>
        <w:t>”</w:t>
      </w:r>
      <w:r w:rsidRPr="00B64BF5">
        <w:rPr>
          <w:rFonts w:ascii="Cambria" w:hAnsi="Cambria"/>
          <w:sz w:val="16"/>
          <w:szCs w:val="16"/>
          <w:lang w:val="pt-BR"/>
        </w:rPr>
        <w:t>.</w:t>
      </w:r>
      <w:r w:rsidRPr="00B64BF5">
        <w:rPr>
          <w:rFonts w:ascii="Cambria" w:hAnsi="Cambria"/>
          <w:color w:val="222222"/>
          <w:sz w:val="16"/>
          <w:szCs w:val="16"/>
          <w:lang w:val="pt-BR"/>
        </w:rPr>
        <w:t xml:space="preserve"> Capitulo 11 – (E) Execuções e mortes decorrentes de tortura, fls. </w:t>
      </w:r>
      <w:r w:rsidRPr="00B64BF5">
        <w:rPr>
          <w:rFonts w:ascii="Cambria" w:hAnsi="Cambria"/>
          <w:color w:val="222222"/>
          <w:sz w:val="16"/>
          <w:szCs w:val="16"/>
          <w:lang w:val="pt-BR"/>
        </w:rPr>
        <w:t>473, del 10 de diciembre de 2014.</w:t>
      </w:r>
    </w:p>
  </w:footnote>
  <w:footnote w:id="10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 “</w:t>
      </w:r>
      <w:r w:rsidRPr="00B64BF5">
        <w:rPr>
          <w:rStyle w:val="Strong"/>
          <w:rFonts w:ascii="Cambria" w:hAnsi="Cambria"/>
          <w:b w:val="0"/>
          <w:sz w:val="16"/>
          <w:szCs w:val="16"/>
          <w:lang w:val="pt-BR"/>
        </w:rPr>
        <w:t>Mortos e desaparecidos políticos”</w:t>
      </w:r>
      <w:r w:rsidRPr="00B64BF5">
        <w:rPr>
          <w:rFonts w:ascii="Cambria" w:hAnsi="Cambria"/>
          <w:b/>
          <w:color w:val="222222"/>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1794, del 10 de diciembre de 2014.</w:t>
      </w:r>
    </w:p>
  </w:footnote>
  <w:footnote w:id="10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578 – Declaración de Clarice Herzog en el Inquérito Policial Militar, del 27 de noviembre de 1975.</w:t>
      </w:r>
    </w:p>
  </w:footnote>
  <w:footnote w:id="10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578 – Declaración de Clarice Herzog en el Inquérito Policial Militar, del 27 de noviembre de 1975.</w:t>
      </w:r>
    </w:p>
  </w:footnote>
  <w:footnote w:id="11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578 – Declaración de Clarice Herzog en el Inquérito Policial Militar, del 27 de noviembre de 1975.</w:t>
      </w:r>
    </w:p>
  </w:footnote>
  <w:footnote w:id="11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“[h]avia recebido ordens de autoridades superiores para não permitir [que o seu corpo fosse examinado por outros médicos], alegando ainda que havia policiais a paisana no Hospital e que se a declarante insistisse, seria presa”.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578 – Declaración de Clarice Herzog en el Inquérito Policial Militar, del 27 de noviembre de 1975.</w:t>
      </w:r>
    </w:p>
  </w:footnote>
  <w:footnote w:id="11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GASPARI, </w:t>
      </w:r>
      <w:r w:rsidRPr="00B64BF5">
        <w:rPr>
          <w:rFonts w:ascii="Cambria" w:hAnsi="Cambria"/>
          <w:sz w:val="16"/>
          <w:szCs w:val="16"/>
          <w:lang w:val="pt-BR"/>
        </w:rPr>
        <w:t xml:space="preserve">Elio. A Ditadura encurralada. </w:t>
      </w:r>
      <w:r w:rsidRPr="00B64BF5">
        <w:rPr>
          <w:rFonts w:ascii="Cambria" w:hAnsi="Cambria"/>
          <w:i/>
          <w:sz w:val="16"/>
          <w:szCs w:val="16"/>
          <w:lang w:val="pt-BR"/>
        </w:rPr>
        <w:t>S</w:t>
      </w:r>
      <w:r w:rsidRPr="00B64BF5">
        <w:rPr>
          <w:rStyle w:val="Emphasis"/>
          <w:rFonts w:ascii="Cambria" w:hAnsi="Cambria" w:cs="Arial"/>
          <w:i w:val="0"/>
          <w:sz w:val="16"/>
          <w:szCs w:val="16"/>
          <w:lang w:val="pt-BR"/>
        </w:rPr>
        <w:t>ão Paulo, Companhia das Letras, 2004, fls. 179;</w:t>
      </w:r>
      <w:r w:rsidRPr="00B64BF5">
        <w:rPr>
          <w:rStyle w:val="Emphasis"/>
          <w:rFonts w:ascii="Cambria" w:hAnsi="Cambria" w:cs="Arial"/>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578 – Declaración de Clarice Herzog en el Inquérito Policial Militar, del 27 de noviembre de 1975;</w:t>
      </w:r>
      <w:r w:rsidRPr="00B64BF5">
        <w:rPr>
          <w:rStyle w:val="Emphasis"/>
          <w:rFonts w:ascii="Cambria" w:hAnsi="Cambria" w:cs="Arial"/>
          <w:sz w:val="16"/>
          <w:szCs w:val="16"/>
          <w:lang w:val="pt-BR"/>
        </w:rPr>
        <w:t xml:space="preserve"> </w:t>
      </w:r>
      <w:r w:rsidRPr="00B64BF5">
        <w:rPr>
          <w:rFonts w:ascii="Cambria" w:hAnsi="Cambria"/>
          <w:sz w:val="16"/>
          <w:szCs w:val="16"/>
          <w:lang w:val="pt-BR"/>
        </w:rPr>
        <w:t xml:space="preserve">DANTAS, Audálio. As duas guerras de Vlado Herzog. Rio de Janeiro. Editora </w:t>
      </w:r>
      <w:r w:rsidRPr="00B64BF5">
        <w:rPr>
          <w:rStyle w:val="Emphasis"/>
          <w:rFonts w:ascii="Cambria" w:hAnsi="Cambria" w:cs="Arial"/>
          <w:i w:val="0"/>
          <w:sz w:val="16"/>
          <w:szCs w:val="16"/>
          <w:lang w:val="pt-BR"/>
        </w:rPr>
        <w:t>Civilização Brasileira,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2012, fls. 238.</w:t>
      </w:r>
    </w:p>
  </w:footnote>
  <w:footnote w:id="11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DANTAS, Audálio. As duas guerras de Vlado Herzog. Rio de Janeiro. Editora </w:t>
      </w:r>
      <w:r w:rsidRPr="00B64BF5">
        <w:rPr>
          <w:rStyle w:val="Emphasis"/>
          <w:rFonts w:ascii="Cambria" w:hAnsi="Cambria" w:cs="Arial"/>
          <w:i w:val="0"/>
          <w:sz w:val="16"/>
          <w:szCs w:val="16"/>
          <w:lang w:val="pt-BR"/>
        </w:rPr>
        <w:t>Civilização Brasileira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2012, fls. 242.</w:t>
      </w:r>
    </w:p>
  </w:footnote>
  <w:footnote w:id="11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2, fls. 280, Declarações a termo de Rodolfo Osvaldo Konder, del 7 de noviembre de 1975. </w:t>
      </w:r>
    </w:p>
  </w:footnote>
  <w:footnote w:id="11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“[p]oderíamos incluso dormir em [sua] casa naquela noite”.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280 – Declarações a termo de Rodolfo Osvaldo Konder, del 7 de noviembre de 1975.</w:t>
      </w:r>
    </w:p>
  </w:footnote>
  <w:footnote w:id="11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“O objetivo, aparentemente, era mostrar que os outros jornalistas estavam bem”. </w:t>
      </w:r>
      <w:r w:rsidRPr="00B64BF5">
        <w:rPr>
          <w:rFonts w:ascii="Cambria" w:hAnsi="Cambria"/>
          <w:sz w:val="16"/>
          <w:szCs w:val="16"/>
          <w:lang w:val="pt-BR"/>
        </w:rPr>
        <w:t xml:space="preserve">DANTAS, Audálio. As duas guerras de Vlado Herzog. Rio de Janeiro. Editora </w:t>
      </w:r>
      <w:r w:rsidRPr="00B64BF5">
        <w:rPr>
          <w:rStyle w:val="Emphasis"/>
          <w:rFonts w:ascii="Cambria" w:hAnsi="Cambria" w:cs="Arial"/>
          <w:i w:val="0"/>
          <w:sz w:val="16"/>
          <w:szCs w:val="16"/>
          <w:lang w:val="pt-BR"/>
        </w:rPr>
        <w:t>Civilização Brasileira,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2012, fls. 243.</w:t>
      </w:r>
    </w:p>
  </w:footnote>
  <w:footnote w:id="11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Federal - </w:t>
      </w:r>
      <w:r w:rsidRPr="00B64BF5">
        <w:rPr>
          <w:rStyle w:val="Emphasis"/>
          <w:rFonts w:ascii="Cambria" w:hAnsi="Cambria" w:cs="Arial"/>
          <w:i w:val="0"/>
          <w:sz w:val="16"/>
          <w:szCs w:val="16"/>
          <w:lang w:val="pt-BR"/>
        </w:rPr>
        <w:t>São Paulo, Volume 2, fls. 280, Declarações a termo de Rodolfo Osvaldo Konder, del 7 de noviembre de 1975.</w:t>
      </w:r>
    </w:p>
  </w:footnote>
  <w:footnote w:id="11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“[a] nota do Segundo Exercito nos havia colocado numa situação extremamente perigosa, porque a qualquer momento poderíamos ser ‘justiçados’ por elementos do Partido Comunista”.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2, fls. 280 – Declarações a termo de Rodolfo Osvaldo Konder, del 7 de noviembre de 1975. </w:t>
      </w:r>
    </w:p>
  </w:footnote>
  <w:footnote w:id="11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 xml:space="preserve">original: “[c]omo gota d’água para que se aflorasse um forte repudio da opinião publica, na imprensa e na sociedade civil como um todo, contra a repetição de encenações aviltantes (de suicídio) para tentar encobrir a verdadeira rotina dos porões do regime”.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 xml:space="preserve">à </w:t>
      </w:r>
      <w:r w:rsidRPr="00B64BF5">
        <w:rPr>
          <w:rStyle w:val="Emphasis"/>
          <w:rFonts w:ascii="Cambria" w:hAnsi="Cambria" w:cs="Arial"/>
          <w:i w:val="0"/>
          <w:sz w:val="16"/>
          <w:szCs w:val="16"/>
          <w:lang w:val="pt-BR"/>
        </w:rPr>
        <w:t>Verdade: Comissão Especial sobre Mortos e Desaparecidos Políticos. Brasília, Secretaria Especial dos Direitos Humanos, 2007, fls. 27.</w:t>
      </w:r>
      <w:r w:rsidRPr="00B64BF5">
        <w:rPr>
          <w:rStyle w:val="Emphasis"/>
          <w:rFonts w:ascii="Cambria" w:hAnsi="Cambria" w:cs="Arial"/>
          <w:sz w:val="16"/>
          <w:szCs w:val="16"/>
          <w:lang w:val="pt-BR"/>
        </w:rPr>
        <w:t xml:space="preserve"> </w:t>
      </w:r>
    </w:p>
  </w:footnote>
  <w:footnote w:id="12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“[p]aralisaram muitas redações em São Paulo”.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 xml:space="preserve">à </w:t>
      </w:r>
      <w:r w:rsidRPr="00B64BF5">
        <w:rPr>
          <w:rStyle w:val="Emphasis"/>
          <w:rFonts w:ascii="Cambria" w:hAnsi="Cambria" w:cs="Arial"/>
          <w:i w:val="0"/>
          <w:sz w:val="16"/>
          <w:szCs w:val="16"/>
          <w:lang w:val="pt-BR"/>
        </w:rPr>
        <w:t>Verdade: Comissão Especial sobre Mortos e Desaparecidos Políticos. Brasília, Secretaria Especial dos Direitos Humanos, 2007, fls. 408.</w:t>
      </w:r>
    </w:p>
  </w:footnote>
  <w:footnote w:id="12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Comiss</w:t>
      </w:r>
      <w:r w:rsidRPr="00B64BF5">
        <w:rPr>
          <w:rStyle w:val="Emphasis"/>
          <w:rFonts w:ascii="Cambria" w:hAnsi="Cambria" w:cs="Arial"/>
          <w:i w:val="0"/>
          <w:sz w:val="16"/>
          <w:szCs w:val="16"/>
          <w:lang w:val="pt-BR"/>
        </w:rPr>
        <w:t>ão</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de Familiares e Desaparecidos Políticos. “1975: Vladimir Herzog”. In:</w:t>
      </w:r>
      <w:r w:rsidRPr="00B64BF5">
        <w:rPr>
          <w:rStyle w:val="Emphasis"/>
          <w:rFonts w:ascii="Cambria" w:hAnsi="Cambria" w:cs="Arial"/>
          <w:sz w:val="16"/>
          <w:szCs w:val="16"/>
          <w:lang w:val="pt-BR"/>
        </w:rPr>
        <w:t xml:space="preserve"> </w:t>
      </w:r>
      <w:r w:rsidRPr="00B64BF5">
        <w:rPr>
          <w:rFonts w:ascii="Cambria" w:hAnsi="Cambria"/>
          <w:sz w:val="16"/>
          <w:szCs w:val="16"/>
          <w:lang w:val="pt-BR"/>
        </w:rPr>
        <w:t xml:space="preserve">Dossiê Ditadura: Mortos e Desaparecidos Políticos no Brasil, 1964-1985. </w:t>
      </w:r>
      <w:r w:rsidRPr="00B64BF5">
        <w:rPr>
          <w:rStyle w:val="Emphasis"/>
          <w:rFonts w:ascii="Cambria" w:hAnsi="Cambria" w:cs="Arial"/>
          <w:sz w:val="16"/>
          <w:szCs w:val="16"/>
          <w:lang w:val="pt-BR"/>
        </w:rPr>
        <w:t xml:space="preserve">2ª edición, 2007, fls. 627. </w:t>
      </w:r>
    </w:p>
  </w:footnote>
  <w:footnote w:id="122">
    <w:p w:rsidR="00D53806" w:rsidRPr="00B64BF5" w:rsidRDefault="00D53806" w:rsidP="00B64BF5">
      <w:pPr>
        <w:pStyle w:val="FootnoteText"/>
        <w:tabs>
          <w:tab w:val="left" w:pos="5580"/>
        </w:tabs>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Comiss</w:t>
      </w:r>
      <w:r w:rsidRPr="00B64BF5">
        <w:rPr>
          <w:rStyle w:val="Emphasis"/>
          <w:rFonts w:ascii="Cambria" w:hAnsi="Cambria" w:cs="Arial"/>
          <w:sz w:val="16"/>
          <w:szCs w:val="16"/>
          <w:lang w:val="pt-BR"/>
        </w:rPr>
        <w:t>ão</w:t>
      </w:r>
      <w:r w:rsidRPr="00B64BF5">
        <w:rPr>
          <w:rStyle w:val="Emphasis"/>
          <w:rFonts w:ascii="Cambria" w:hAnsi="Cambria" w:cs="Arial"/>
          <w:i w:val="0"/>
          <w:sz w:val="16"/>
          <w:szCs w:val="16"/>
          <w:lang w:val="pt-BR"/>
        </w:rPr>
        <w:t xml:space="preserve"> de Familiares e Desaparecidos Políticos. “1975: Vladimir Herzog”.</w:t>
      </w:r>
      <w:r w:rsidRPr="00B64BF5">
        <w:rPr>
          <w:rStyle w:val="Emphasis"/>
          <w:rFonts w:ascii="Cambria" w:hAnsi="Cambria" w:cs="Arial"/>
          <w:sz w:val="16"/>
          <w:szCs w:val="16"/>
          <w:lang w:val="pt-BR"/>
        </w:rPr>
        <w:t xml:space="preserve"> In: </w:t>
      </w:r>
      <w:r w:rsidRPr="00B64BF5">
        <w:rPr>
          <w:rFonts w:ascii="Cambria" w:hAnsi="Cambria"/>
          <w:sz w:val="16"/>
          <w:szCs w:val="16"/>
          <w:lang w:val="pt-BR"/>
        </w:rPr>
        <w:t xml:space="preserve">Dossiê Ditadura: Mortos e Desaparecidos Políticos no Brasil, 1964-1985. </w:t>
      </w:r>
      <w:r w:rsidRPr="00B64BF5">
        <w:rPr>
          <w:rStyle w:val="Emphasis"/>
          <w:rFonts w:ascii="Cambria" w:hAnsi="Cambria" w:cs="Arial"/>
          <w:i w:val="0"/>
          <w:sz w:val="16"/>
          <w:szCs w:val="16"/>
          <w:lang w:val="pt-BR"/>
        </w:rPr>
        <w:t>2ª edición, 2007, fls. 627; 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 xml:space="preserve">à </w:t>
      </w:r>
      <w:r w:rsidRPr="00B64BF5">
        <w:rPr>
          <w:rStyle w:val="Emphasis"/>
          <w:rFonts w:ascii="Cambria" w:hAnsi="Cambria" w:cs="Arial"/>
          <w:i w:val="0"/>
          <w:sz w:val="16"/>
          <w:szCs w:val="16"/>
          <w:lang w:val="pt-BR"/>
        </w:rPr>
        <w:t>Verdade: Comissão Especial sobre Mortos e Desaparecidos Políticos. Brasília, Secretaria Especial dos Direitos Humanos, 2007, fls. 408.</w:t>
      </w:r>
    </w:p>
  </w:footnote>
  <w:footnote w:id="12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“[f]oi um dos mais divulgados e documentados do período da ditadura, sendo considerado um marco na luta de resistência”. Comiss</w:t>
      </w:r>
      <w:r w:rsidRPr="00B64BF5">
        <w:rPr>
          <w:rStyle w:val="Emphasis"/>
          <w:rFonts w:ascii="Cambria" w:hAnsi="Cambria" w:cs="Arial"/>
          <w:i w:val="0"/>
          <w:sz w:val="16"/>
          <w:szCs w:val="16"/>
          <w:lang w:val="pt-BR"/>
        </w:rPr>
        <w:t>ão de Familiares e Desaparecidos Políticos. “1975: Vladimir Herzog”.</w:t>
      </w:r>
      <w:r w:rsidRPr="00B64BF5">
        <w:rPr>
          <w:rStyle w:val="Emphasis"/>
          <w:rFonts w:ascii="Cambria" w:hAnsi="Cambria" w:cs="Arial"/>
          <w:sz w:val="16"/>
          <w:szCs w:val="16"/>
          <w:lang w:val="pt-BR"/>
        </w:rPr>
        <w:t xml:space="preserve"> In: </w:t>
      </w:r>
      <w:r w:rsidRPr="00B64BF5">
        <w:rPr>
          <w:rFonts w:ascii="Cambria" w:hAnsi="Cambria"/>
          <w:sz w:val="16"/>
          <w:szCs w:val="16"/>
          <w:lang w:val="pt-BR"/>
        </w:rPr>
        <w:t xml:space="preserve">Dossiê Ditadura: Mortos e Desaparecidos Políticos no Brasil, 1964-1985. </w:t>
      </w:r>
      <w:r w:rsidRPr="00B64BF5">
        <w:rPr>
          <w:rStyle w:val="Emphasis"/>
          <w:rFonts w:ascii="Cambria" w:hAnsi="Cambria" w:cs="Arial"/>
          <w:i w:val="0"/>
          <w:sz w:val="16"/>
          <w:szCs w:val="16"/>
          <w:lang w:val="pt-BR"/>
        </w:rPr>
        <w:t>2ª edición, 2007, fls. 627.</w:t>
      </w:r>
    </w:p>
  </w:footnote>
  <w:footnote w:id="12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“[a]purar as circunstancias em que ocorreram o suicídio do jornalista [Vladimir Herzog]”.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494, Portaria de instauração do Inquérito Policial Militar, del 31 de octubre de 1975.  Ver también, 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 “</w:t>
      </w:r>
      <w:r w:rsidRPr="00B64BF5">
        <w:rPr>
          <w:rStyle w:val="Strong"/>
          <w:rFonts w:ascii="Cambria" w:hAnsi="Cambria"/>
          <w:b w:val="0"/>
          <w:sz w:val="16"/>
          <w:szCs w:val="16"/>
          <w:lang w:val="pt-BR"/>
        </w:rPr>
        <w:t>Mortos e desaparecidos políticos”</w:t>
      </w:r>
      <w:r w:rsidRPr="00B64BF5">
        <w:rPr>
          <w:rFonts w:ascii="Cambria" w:hAnsi="Cambria"/>
          <w:b/>
          <w:color w:val="222222"/>
          <w:sz w:val="16"/>
          <w:szCs w:val="16"/>
          <w:lang w:val="pt-BR"/>
        </w:rPr>
        <w:t>,</w:t>
      </w:r>
      <w:r w:rsidRPr="00B64BF5">
        <w:rPr>
          <w:rFonts w:ascii="Cambria" w:hAnsi="Cambria"/>
          <w:color w:val="222222"/>
          <w:sz w:val="16"/>
          <w:szCs w:val="16"/>
          <w:lang w:val="pt-BR"/>
        </w:rPr>
        <w:t xml:space="preserve"> fls. 1795, del 10 de diciembre de 2014.</w:t>
      </w:r>
    </w:p>
  </w:footnote>
  <w:footnote w:id="125">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3, fls. 491 y 494, Despachos del 25, 30 y 31 de octubre de 1975. </w:t>
      </w:r>
    </w:p>
  </w:footnote>
  <w:footnote w:id="126">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3, fls. 495, Despacho en el Inquérito Policial Militar, del 31 de octubre de 1975. </w:t>
      </w:r>
    </w:p>
  </w:footnote>
  <w:footnote w:id="127">
    <w:p w:rsidR="00D53806" w:rsidRPr="00B64BF5" w:rsidRDefault="00D53806" w:rsidP="00B64BF5">
      <w:pPr>
        <w:spacing w:after="0" w:line="240" w:lineRule="auto"/>
        <w:ind w:firstLine="720"/>
        <w:jc w:val="both"/>
        <w:rPr>
          <w:rFonts w:ascii="Cambria" w:hAnsi="Cambria" w:cs="Arial"/>
          <w:bCs/>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4, fls. 827/829, Atestado de examén forense y examén necroscópico, del 25 de octubre de 1975. </w:t>
      </w:r>
    </w:p>
  </w:footnote>
  <w:footnote w:id="128">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1, fls. 125/128, Pericia del local donde fue encontrado el cadáver.</w:t>
      </w:r>
    </w:p>
  </w:footnote>
  <w:footnote w:id="129">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1, fls. 125, Pericia del local donde fue encontrado el cadáver.</w:t>
      </w:r>
    </w:p>
  </w:footnote>
  <w:footnote w:id="130">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2, fls. 441– Declaración de Harry Shibata en la </w:t>
      </w:r>
      <w:r w:rsidRPr="00B64BF5">
        <w:rPr>
          <w:rFonts w:ascii="Cambria" w:hAnsi="Cambria"/>
          <w:i/>
          <w:sz w:val="16"/>
          <w:szCs w:val="16"/>
          <w:lang w:val="pt-BR"/>
        </w:rPr>
        <w:t xml:space="preserve">Ação Declaratória </w:t>
      </w:r>
      <w:r w:rsidRPr="00B64BF5">
        <w:rPr>
          <w:rStyle w:val="Emphasis"/>
          <w:rFonts w:ascii="Cambria" w:hAnsi="Cambria" w:cs="Arial"/>
          <w:i w:val="0"/>
          <w:sz w:val="16"/>
          <w:szCs w:val="16"/>
          <w:lang w:val="pt-BR"/>
        </w:rPr>
        <w:t>No. 136/76, del 16 de mayo de 1978.</w:t>
      </w:r>
    </w:p>
  </w:footnote>
  <w:footnote w:id="131">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495, Despacho en el Inquérito Policial Militar, del 31 de octubre de 1975.</w:t>
      </w:r>
    </w:p>
  </w:footnote>
  <w:footnote w:id="132">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“[q]uando foi interrogado a respeito dos fatos, já vinha abalado pelas circunstancias de torturas já descritas anteriormente, sendo ouvido somente na presença de militares, sem acompanhamento de qualquer advogado; que, ciente de que deveria retornar ao DOI CODI apos ali ser ouvido, o depoente, logicamente, achou prudente não revelar a verdade real dos fatos, qual seja, a sua tortura e a [tortura] de [V]ladimir”.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888 verso, Declaración de Rodolfo Osvaldo Konder en el Inquérito Policial No 704/92, del 3 de junio de 1992.</w:t>
      </w:r>
    </w:p>
  </w:footnote>
  <w:footnote w:id="133">
    <w:p w:rsidR="00D53806" w:rsidRPr="00B64BF5" w:rsidRDefault="00D53806" w:rsidP="00B64BF5">
      <w:pPr>
        <w:spacing w:after="0" w:line="240" w:lineRule="auto"/>
        <w:ind w:firstLine="720"/>
        <w:jc w:val="both"/>
        <w:rPr>
          <w:rFonts w:ascii="Cambria" w:hAnsi="Cambria" w:cs="Arial"/>
          <w:bCs/>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“[a] maior parte das afirmações ali contidas, são inverídicas, já que impostas pelo Procurador que atuou naquele IPM [...], principalmente quanto ao fato de ter sido mencionado pelo </w:t>
      </w:r>
      <w:r w:rsidRPr="00B64BF5">
        <w:rPr>
          <w:rFonts w:ascii="Cambria" w:hAnsi="Cambria"/>
          <w:sz w:val="16"/>
          <w:szCs w:val="16"/>
          <w:lang w:val="pt-BR"/>
        </w:rPr>
        <w:t>depoente que [V]ladimir não havia sido torturado, ja que realmente o havia sido”.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891 verso, Declaración de George Benigno Jathay en el Inquérito Policial No 704/92, del 3 de junio de 1992.</w:t>
      </w:r>
    </w:p>
  </w:footnote>
  <w:footnote w:id="134">
    <w:p w:rsidR="00D53806" w:rsidRPr="00B64BF5" w:rsidRDefault="00D53806" w:rsidP="00B64BF5">
      <w:pPr>
        <w:spacing w:after="0" w:line="240" w:lineRule="auto"/>
        <w:ind w:firstLine="720"/>
        <w:jc w:val="both"/>
        <w:rPr>
          <w:rFonts w:ascii="Cambria" w:hAnsi="Cambria" w:cs="Arial"/>
          <w:bCs/>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“quando do depoimento, o fez sem acompanhamento </w:t>
      </w:r>
      <w:r w:rsidRPr="00B64BF5">
        <w:rPr>
          <w:rFonts w:ascii="Cambria" w:hAnsi="Cambria"/>
          <w:sz w:val="16"/>
          <w:szCs w:val="16"/>
          <w:lang w:val="pt-BR"/>
        </w:rPr>
        <w:t>de advogado e ja ciente que deveria retornar ao DOI CODI a seguir, razão pela qual também moderou suas acusações, por receio do que lhe poderia acontecer no retorno aquele órgão</w:t>
      </w:r>
      <w:r w:rsidRPr="00B64BF5">
        <w:rPr>
          <w:rFonts w:ascii="Cambria" w:eastAsia="PMingLiU" w:hAnsi="Cambria"/>
          <w:sz w:val="16"/>
          <w:szCs w:val="16"/>
          <w:lang w:val="pt-BR" w:eastAsia="zh-TW"/>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891 verso, Declaración de George Benigno Jathay en el Inquérito Policial No 704/92, del 3 de junio de 1992.</w:t>
      </w:r>
    </w:p>
  </w:footnote>
  <w:footnote w:id="13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 “</w:t>
      </w:r>
      <w:r w:rsidRPr="00B64BF5">
        <w:rPr>
          <w:rStyle w:val="Strong"/>
          <w:rFonts w:ascii="Cambria" w:hAnsi="Cambria"/>
          <w:b w:val="0"/>
          <w:sz w:val="16"/>
          <w:szCs w:val="16"/>
          <w:lang w:val="pt-BR"/>
        </w:rPr>
        <w:t>Mortos e desaparecidos políticos”</w:t>
      </w:r>
      <w:r w:rsidRPr="00B64BF5">
        <w:rPr>
          <w:rFonts w:ascii="Cambria" w:hAnsi="Cambria"/>
          <w:b/>
          <w:color w:val="222222"/>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 xml:space="preserve">1796, del 10 de diciembre de 2014.  </w:t>
      </w:r>
    </w:p>
  </w:footnote>
  <w:footnote w:id="13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i/>
          <w:sz w:val="16"/>
          <w:szCs w:val="16"/>
          <w:lang w:val="pt-BR"/>
        </w:rPr>
        <w:t xml:space="preserve"> </w:t>
      </w:r>
      <w:r w:rsidRPr="00B64BF5">
        <w:rPr>
          <w:rStyle w:val="Emphasis"/>
          <w:rFonts w:ascii="Cambria" w:hAnsi="Cambria" w:cs="Arial"/>
          <w:i w:val="0"/>
          <w:sz w:val="16"/>
          <w:szCs w:val="16"/>
          <w:lang w:val="pt-BR"/>
        </w:rPr>
        <w:t>Comissão Nacional da Verdade. Volume III. Parte III,</w:t>
      </w:r>
      <w:r w:rsidRPr="00B64BF5">
        <w:rPr>
          <w:rStyle w:val="Emphasis"/>
          <w:rFonts w:ascii="Cambria" w:hAnsi="Cambria" w:cs="Arial"/>
          <w:sz w:val="16"/>
          <w:szCs w:val="16"/>
          <w:lang w:val="pt-BR"/>
        </w:rPr>
        <w:t xml:space="preserve"> “</w:t>
      </w:r>
      <w:r w:rsidRPr="00B64BF5">
        <w:rPr>
          <w:rStyle w:val="Strong"/>
          <w:rFonts w:ascii="Cambria" w:hAnsi="Cambria"/>
          <w:b w:val="0"/>
          <w:sz w:val="16"/>
          <w:szCs w:val="16"/>
          <w:lang w:val="pt-BR"/>
        </w:rPr>
        <w:t>Mortos e desaparecidos políticos”</w:t>
      </w:r>
      <w:r w:rsidRPr="00B64BF5">
        <w:rPr>
          <w:rFonts w:ascii="Cambria" w:hAnsi="Cambria"/>
          <w:b/>
          <w:color w:val="222222"/>
          <w:sz w:val="16"/>
          <w:szCs w:val="16"/>
          <w:lang w:val="pt-BR"/>
        </w:rPr>
        <w:t>,</w:t>
      </w:r>
      <w:r w:rsidRPr="00B64BF5">
        <w:rPr>
          <w:rFonts w:ascii="Cambria" w:hAnsi="Cambria"/>
          <w:color w:val="222222"/>
          <w:sz w:val="16"/>
          <w:szCs w:val="16"/>
          <w:lang w:val="pt-BR"/>
        </w:rPr>
        <w:t xml:space="preserve"> fls. </w:t>
      </w:r>
      <w:r w:rsidRPr="00B64BF5">
        <w:rPr>
          <w:rFonts w:ascii="Cambria" w:hAnsi="Cambria"/>
          <w:color w:val="222222"/>
          <w:sz w:val="16"/>
          <w:szCs w:val="16"/>
          <w:lang w:val="pt-BR"/>
        </w:rPr>
        <w:t xml:space="preserve">1795, del 10 de diciembre de 2014.  </w:t>
      </w:r>
    </w:p>
  </w:footnote>
  <w:footnote w:id="137">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3, fls. 553 – Parecer Médico-Legal No. 241/75, del 10 de noviembre de 1975. </w:t>
      </w:r>
    </w:p>
  </w:footnote>
  <w:footnote w:id="138">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537/539, Declaración de Audir Santos Maciel en el Inquérito Policial Militar, del 5 de noviembre de 1975.</w:t>
      </w:r>
    </w:p>
  </w:footnote>
  <w:footnote w:id="139">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 xml:space="preserve">2008.61.81.013434-2 </w:t>
      </w:r>
      <w:r w:rsidRPr="00B64BF5">
        <w:rPr>
          <w:rFonts w:ascii="Cambria" w:hAnsi="Cambria"/>
          <w:i/>
          <w:sz w:val="16"/>
          <w:szCs w:val="16"/>
          <w:lang w:val="pt-BR"/>
        </w:rPr>
        <w:t>Justiça</w:t>
      </w:r>
      <w:r w:rsidRPr="00B64BF5">
        <w:rPr>
          <w:rStyle w:val="Emphasis"/>
          <w:rFonts w:ascii="Cambria" w:hAnsi="Cambria" w:cs="Arial"/>
          <w:i w:val="0"/>
          <w:sz w:val="16"/>
          <w:szCs w:val="16"/>
          <w:lang w:val="pt-BR"/>
        </w:rPr>
        <w:t xml:space="preserve"> Federal - São Paulo, Volume 3, fls. 535/536, Declaración de Luis Weis en el Inquérito Policial Militar, del 4 de noviembre de 1975.</w:t>
      </w:r>
    </w:p>
  </w:footnote>
  <w:footnote w:id="140">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545/548, Declaración de Anthony Christo en el Inquérito Policial Militar, del 7 de noviembre de 1975.</w:t>
      </w:r>
    </w:p>
  </w:footnote>
  <w:footnote w:id="141">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Volume 3, fls. 542/544, Declaración</w:t>
      </w:r>
      <w:r w:rsidRPr="00B64BF5">
        <w:rPr>
          <w:rFonts w:ascii="Cambria" w:hAnsi="Cambria" w:cs="Arial"/>
          <w:b/>
          <w:i/>
          <w:sz w:val="16"/>
          <w:szCs w:val="16"/>
          <w:lang w:val="pt-BR"/>
        </w:rPr>
        <w:t xml:space="preserve"> </w:t>
      </w:r>
      <w:r w:rsidRPr="00B64BF5">
        <w:rPr>
          <w:rStyle w:val="Emphasis"/>
          <w:rFonts w:ascii="Cambria" w:hAnsi="Cambria" w:cs="Arial"/>
          <w:i w:val="0"/>
          <w:sz w:val="16"/>
          <w:szCs w:val="16"/>
          <w:lang w:val="pt-BR"/>
        </w:rPr>
        <w:t>de Paulo Markun en el Inquérito Policial Militar, del 7 de noviembre de 1975.</w:t>
      </w:r>
    </w:p>
  </w:footnote>
  <w:footnote w:id="142">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567/569, Declaración de Pedro Grancieri en el Inquérito Policial Militar, del 21 de noviembre de 1975.</w:t>
      </w:r>
    </w:p>
  </w:footnote>
  <w:footnote w:id="143">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576/580, Declaración de Clarice Herzog en el Inquérito Policial Militar, del 27 de noviembre de 1975.</w:t>
      </w:r>
    </w:p>
  </w:footnote>
  <w:footnote w:id="14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546/547, Declaración de Marco Antonio de Souza Rocha en el Inquérito Policial Militar, del 7 de noviembre de 1975.</w:t>
      </w:r>
    </w:p>
  </w:footnote>
  <w:footnote w:id="145">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“[a] fim de convidá-lo a comparecer ao DOI para prestar esclarecimentos sobre o envolvimento [,] a participação [,] de jornalistas no PCB”.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537, Declaración de Audir Santos Maciel en el Inquérito Policial Militar, del 5 de noviembre de 1975.</w:t>
      </w:r>
    </w:p>
  </w:footnote>
  <w:footnote w:id="146">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567/569, Declaración de Pedro Grancieri en el Inquérito Policial Militar, del 21 de noviembre de 1975.</w:t>
      </w:r>
    </w:p>
  </w:footnote>
  <w:footnote w:id="147">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w:t>
      </w:r>
      <w:r w:rsidRPr="00B64BF5">
        <w:rPr>
          <w:rFonts w:ascii="Cambria" w:hAnsi="Cambria"/>
          <w:sz w:val="16"/>
          <w:szCs w:val="16"/>
          <w:lang w:val="pt-BR"/>
        </w:rPr>
        <w:t xml:space="preserve">original: “nao tem conhecimento de qualquer fato que possa concluir que a morte de VLADIMIR HERZOG tenha ocorrido senao por voluntario suicidio por meio de enforcamento”. 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569, Declaración de Pedro Grancieri en el Inquérito Policial Militar, del 21 de noviembre de 1975.</w:t>
      </w:r>
    </w:p>
  </w:footnote>
  <w:footnote w:id="148">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2, fls. 445 y Volume 5, fls. 918-verso, Declaración de Anthony Christo, en el Inquérito Policial No. 704/92;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448 y Volume 5, fls. 921-verso, Declaración de Paulo Sergio Markun en el Inquérito Policial No. 704/92, del 30 de junio de 1992</w:t>
      </w:r>
      <w:r w:rsidRPr="00B64BF5">
        <w:rPr>
          <w:rStyle w:val="Emphasis"/>
          <w:rFonts w:ascii="Cambria" w:hAnsi="Cambria" w:cs="Arial"/>
          <w:sz w:val="16"/>
          <w:szCs w:val="16"/>
          <w:lang w:val="pt-BR"/>
        </w:rPr>
        <w:t xml:space="preserve">;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916-verso, Declaración de Luis Weis en el Inquérito Policial No. 704/92, del 3 de junio de 1992.</w:t>
      </w:r>
    </w:p>
  </w:footnote>
  <w:footnote w:id="149">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“[s]e recusa[va] a fornecer o nome das pessoas que a informaram, com medo de que essas pessoas [viessem] a ser mortas”.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578, Declaración de Clarice Herzog en el Inquérito Policial Militar, del 27 de noviembre de 1975.</w:t>
      </w:r>
    </w:p>
  </w:footnote>
  <w:footnote w:id="150">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3, fls. 575, Declaración de Zora Herzog en el Inquérito Policial Militar, del 5 de noviembre de 1975.</w:t>
      </w:r>
    </w:p>
  </w:footnote>
  <w:footnote w:id="151">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3, fls. 629, Certidão de óbito de Vladimir Herzog, del 9 de diciembre de 1975. </w:t>
      </w:r>
    </w:p>
  </w:footnote>
  <w:footnote w:id="152">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1, fls. 163 Relatório do Inquérito Policial Militar, del 16 de diciembre de 1975. </w:t>
      </w:r>
    </w:p>
  </w:footnote>
  <w:footnote w:id="153">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1, fls. 133, Solução do Quartel General do II Exército, del 17 de diciembre de 1975. </w:t>
      </w:r>
    </w:p>
  </w:footnote>
  <w:footnote w:id="154">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4, fls. 652, Requerimento de Clarice Herzog, del 23 de enero de 1976. </w:t>
      </w:r>
    </w:p>
  </w:footnote>
  <w:footnote w:id="155">
    <w:p w:rsidR="00D53806" w:rsidRPr="00AB7D9B" w:rsidRDefault="00D53806" w:rsidP="00AB7D9B">
      <w:pPr>
        <w:pStyle w:val="FootnoteText"/>
        <w:ind w:firstLine="720"/>
        <w:jc w:val="both"/>
        <w:rPr>
          <w:rFonts w:ascii="Cambria" w:hAnsi="Cambria"/>
          <w:i/>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Proceso </w:t>
      </w:r>
      <w:r w:rsidRPr="00AB7D9B">
        <w:rPr>
          <w:rFonts w:ascii="Cambria" w:hAnsi="Cambria"/>
          <w:sz w:val="16"/>
          <w:szCs w:val="16"/>
          <w:lang w:val="pt-BR"/>
        </w:rPr>
        <w:t xml:space="preserve">No. </w:t>
      </w:r>
      <w:r w:rsidRPr="00AB7D9B">
        <w:rPr>
          <w:rFonts w:ascii="Cambria" w:hAnsi="Cambria"/>
          <w:sz w:val="16"/>
          <w:szCs w:val="16"/>
          <w:lang w:val="pt-BR"/>
        </w:rPr>
        <w:t>2008.61.81.013434-2 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2, fls. 278-279, Declarações a termo de Rodolfo Osvaldo Konder, del 7 de noviembre de 1975.</w:t>
      </w:r>
    </w:p>
  </w:footnote>
  <w:footnote w:id="156">
    <w:p w:rsidR="00D53806" w:rsidRPr="00AB7D9B" w:rsidRDefault="00D53806" w:rsidP="00AB7D9B">
      <w:pPr>
        <w:pStyle w:val="FootnoteText"/>
        <w:ind w:firstLine="720"/>
        <w:jc w:val="both"/>
        <w:rPr>
          <w:rFonts w:ascii="Cambria" w:hAnsi="Cambria"/>
          <w:i/>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w:t>
      </w:r>
      <w:r w:rsidRPr="00AB7D9B">
        <w:rPr>
          <w:rFonts w:ascii="Cambria" w:hAnsi="Cambria"/>
          <w:sz w:val="16"/>
          <w:szCs w:val="16"/>
          <w:lang w:val="pt-BR"/>
        </w:rPr>
        <w:t xml:space="preserve">Proceso No. </w:t>
      </w:r>
      <w:r w:rsidRPr="00AB7D9B">
        <w:rPr>
          <w:rFonts w:ascii="Cambria" w:hAnsi="Cambria"/>
          <w:sz w:val="16"/>
          <w:szCs w:val="16"/>
          <w:lang w:val="pt-BR"/>
        </w:rPr>
        <w:t>2008.61.81.013434-2 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 xml:space="preserve">Federal - São Paulo, Volume 1, fls. 129, </w:t>
      </w:r>
      <w:r w:rsidRPr="00AB7D9B">
        <w:rPr>
          <w:rFonts w:ascii="Cambria" w:hAnsi="Cambria"/>
          <w:sz w:val="16"/>
          <w:szCs w:val="16"/>
          <w:lang w:val="pt-BR"/>
        </w:rPr>
        <w:t>Parecer do Ministério Público Militar solicitando el archivo, del 12 de febrero de 1976.</w:t>
      </w:r>
    </w:p>
  </w:footnote>
  <w:footnote w:id="157">
    <w:p w:rsidR="00D53806" w:rsidRPr="00AB7D9B" w:rsidRDefault="00D53806" w:rsidP="00AB7D9B">
      <w:pPr>
        <w:pStyle w:val="FootnoteText"/>
        <w:ind w:firstLine="720"/>
        <w:jc w:val="both"/>
        <w:rPr>
          <w:rFonts w:ascii="Cambria" w:hAnsi="Cambria"/>
          <w:i/>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Proceso </w:t>
      </w:r>
      <w:r w:rsidRPr="00AB7D9B">
        <w:rPr>
          <w:rFonts w:ascii="Cambria" w:hAnsi="Cambria"/>
          <w:sz w:val="16"/>
          <w:szCs w:val="16"/>
          <w:lang w:val="pt-BR"/>
        </w:rPr>
        <w:t xml:space="preserve">No. </w:t>
      </w:r>
      <w:r w:rsidRPr="00AB7D9B">
        <w:rPr>
          <w:rFonts w:ascii="Cambria" w:hAnsi="Cambria"/>
          <w:sz w:val="16"/>
          <w:szCs w:val="16"/>
          <w:lang w:val="pt-BR"/>
        </w:rPr>
        <w:t>2008.61.81.013434-2 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 xml:space="preserve">Federal - São Paulo, Volume 4, fls. 654, </w:t>
      </w:r>
      <w:r w:rsidRPr="00AB7D9B">
        <w:rPr>
          <w:rFonts w:ascii="Cambria" w:hAnsi="Cambria"/>
          <w:sz w:val="16"/>
          <w:szCs w:val="16"/>
          <w:lang w:val="pt-BR"/>
        </w:rPr>
        <w:t>Parecer do Ministério Público Militar, del 10 de febrero de 1976.</w:t>
      </w:r>
    </w:p>
  </w:footnote>
  <w:footnote w:id="158">
    <w:p w:rsidR="00D53806" w:rsidRPr="00AB7D9B" w:rsidRDefault="00D53806"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w:t>
      </w:r>
      <w:r w:rsidRPr="00AB7D9B">
        <w:rPr>
          <w:rFonts w:ascii="Cambria" w:hAnsi="Cambria"/>
          <w:sz w:val="16"/>
          <w:szCs w:val="16"/>
          <w:lang w:val="pt-BR"/>
        </w:rPr>
        <w:t xml:space="preserve">Texto </w:t>
      </w:r>
      <w:r w:rsidRPr="00AB7D9B">
        <w:rPr>
          <w:rFonts w:ascii="Cambria" w:hAnsi="Cambria"/>
          <w:sz w:val="16"/>
          <w:szCs w:val="16"/>
          <w:lang w:val="pt-BR"/>
        </w:rPr>
        <w:t>original: “[p]or inexistencia de crime a punir”. Proceso No. 2008.61.81.013434-2 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1, fls. 129</w:t>
      </w:r>
      <w:r w:rsidRPr="00AB7D9B">
        <w:rPr>
          <w:rStyle w:val="Emphasis"/>
          <w:rFonts w:ascii="Cambria" w:hAnsi="Cambria" w:cs="Arial"/>
          <w:sz w:val="16"/>
          <w:szCs w:val="16"/>
          <w:lang w:val="pt-BR"/>
        </w:rPr>
        <w:t xml:space="preserve">, </w:t>
      </w:r>
      <w:r w:rsidRPr="00AB7D9B">
        <w:rPr>
          <w:rFonts w:ascii="Cambria" w:hAnsi="Cambria"/>
          <w:sz w:val="16"/>
          <w:szCs w:val="16"/>
          <w:lang w:val="pt-BR"/>
        </w:rPr>
        <w:t>Parecer do Ministério Público Militar solicitando el archivo, del 12 de febrero de 1976.</w:t>
      </w:r>
    </w:p>
  </w:footnote>
  <w:footnote w:id="159">
    <w:p w:rsidR="00D53806" w:rsidRPr="00AB7D9B" w:rsidRDefault="00D53806"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Proceso </w:t>
      </w:r>
      <w:r w:rsidRPr="00AB7D9B">
        <w:rPr>
          <w:rFonts w:ascii="Cambria" w:hAnsi="Cambria"/>
          <w:sz w:val="16"/>
          <w:szCs w:val="16"/>
          <w:lang w:val="pt-BR"/>
        </w:rPr>
        <w:t xml:space="preserve">No. </w:t>
      </w:r>
      <w:r w:rsidRPr="00AB7D9B">
        <w:rPr>
          <w:rFonts w:ascii="Cambria" w:hAnsi="Cambria"/>
          <w:sz w:val="16"/>
          <w:szCs w:val="16"/>
          <w:lang w:val="pt-BR"/>
        </w:rPr>
        <w:t>2008.61.81.013434-2 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1, fl 130/132, Decisión del archivo del Inquérito Policial Militar</w:t>
      </w:r>
      <w:r w:rsidRPr="00AB7D9B">
        <w:rPr>
          <w:rStyle w:val="Emphasis"/>
          <w:rFonts w:ascii="Cambria" w:hAnsi="Cambria" w:cs="Arial"/>
          <w:sz w:val="16"/>
          <w:szCs w:val="16"/>
          <w:lang w:val="pt-BR"/>
        </w:rPr>
        <w:t xml:space="preserve">, </w:t>
      </w:r>
      <w:r w:rsidRPr="00AB7D9B">
        <w:rPr>
          <w:rFonts w:ascii="Cambria" w:hAnsi="Cambria"/>
          <w:sz w:val="16"/>
          <w:szCs w:val="16"/>
          <w:lang w:val="pt-BR"/>
        </w:rPr>
        <w:t xml:space="preserve">del 8 de marzo de 1976. </w:t>
      </w:r>
    </w:p>
  </w:footnote>
  <w:footnote w:id="160">
    <w:p w:rsidR="00D53806" w:rsidRPr="00AB7D9B" w:rsidRDefault="00D53806"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w:t>
      </w:r>
      <w:r w:rsidRPr="00AB7D9B">
        <w:rPr>
          <w:rFonts w:ascii="Cambria" w:hAnsi="Cambria"/>
          <w:sz w:val="16"/>
          <w:szCs w:val="16"/>
          <w:lang w:val="pt-BR"/>
        </w:rPr>
        <w:t xml:space="preserve">Texto </w:t>
      </w:r>
      <w:r w:rsidRPr="00AB7D9B">
        <w:rPr>
          <w:rFonts w:ascii="Cambria" w:hAnsi="Cambria"/>
          <w:sz w:val="16"/>
          <w:szCs w:val="16"/>
          <w:lang w:val="pt-BR"/>
        </w:rPr>
        <w:t xml:space="preserve">original: “[d]eclare a responsabilidade da Uniao Federal pela prisao arbitraria de Vladimir Herzog, pelas torturas a que foi submetido e por sua mort[e]”. </w:t>
      </w:r>
      <w:r w:rsidRPr="00AB7D9B">
        <w:rPr>
          <w:rStyle w:val="Emphasis"/>
          <w:rFonts w:ascii="Cambria" w:hAnsi="Cambria" w:cs="Arial"/>
          <w:i w:val="0"/>
          <w:sz w:val="16"/>
          <w:szCs w:val="16"/>
          <w:lang w:val="pt-BR"/>
        </w:rPr>
        <w:t>Proceso No. 2008.61.81.013434-2,</w:t>
      </w:r>
      <w:r w:rsidRPr="00AB7D9B">
        <w:rPr>
          <w:rStyle w:val="Emphasis"/>
          <w:rFonts w:ascii="Cambria" w:hAnsi="Cambria" w:cs="Arial"/>
          <w:sz w:val="16"/>
          <w:szCs w:val="16"/>
          <w:lang w:val="pt-BR"/>
        </w:rPr>
        <w:t xml:space="preserve"> </w:t>
      </w:r>
      <w:r w:rsidRPr="00AB7D9B">
        <w:rPr>
          <w:rFonts w:ascii="Cambria" w:hAnsi="Cambria"/>
          <w:sz w:val="16"/>
          <w:szCs w:val="16"/>
          <w:lang w:val="pt-BR"/>
        </w:rPr>
        <w:t>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2, fls.333, Petición de Clarice Herzog y otros, de fecha 16 de mayo de 1978, en la Ação Declaratória No. 136/76.</w:t>
      </w:r>
      <w:r w:rsidRPr="00AB7D9B">
        <w:rPr>
          <w:rStyle w:val="Emphasis"/>
          <w:rFonts w:ascii="Cambria" w:hAnsi="Cambria" w:cs="Arial"/>
          <w:sz w:val="16"/>
          <w:szCs w:val="16"/>
          <w:lang w:val="pt-BR"/>
        </w:rPr>
        <w:t xml:space="preserve"> </w:t>
      </w:r>
    </w:p>
  </w:footnote>
  <w:footnote w:id="161">
    <w:p w:rsidR="00D53806" w:rsidRPr="00AB7D9B" w:rsidRDefault="00D53806"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w:t>
      </w:r>
      <w:r w:rsidRPr="00AB7D9B">
        <w:rPr>
          <w:rStyle w:val="Emphasis"/>
          <w:rFonts w:ascii="Cambria" w:hAnsi="Cambria" w:cs="Arial"/>
          <w:i w:val="0"/>
          <w:sz w:val="16"/>
          <w:szCs w:val="16"/>
          <w:lang w:val="pt-BR"/>
        </w:rPr>
        <w:t xml:space="preserve">Proceso </w:t>
      </w:r>
      <w:r w:rsidRPr="00AB7D9B">
        <w:rPr>
          <w:rStyle w:val="Emphasis"/>
          <w:rFonts w:ascii="Cambria" w:hAnsi="Cambria" w:cs="Arial"/>
          <w:i w:val="0"/>
          <w:sz w:val="16"/>
          <w:szCs w:val="16"/>
          <w:lang w:val="pt-BR"/>
        </w:rPr>
        <w:t xml:space="preserve">No. </w:t>
      </w:r>
      <w:r w:rsidRPr="00AB7D9B">
        <w:rPr>
          <w:rStyle w:val="Emphasis"/>
          <w:rFonts w:ascii="Cambria" w:hAnsi="Cambria" w:cs="Arial"/>
          <w:i w:val="0"/>
          <w:sz w:val="16"/>
          <w:szCs w:val="16"/>
          <w:lang w:val="pt-BR"/>
        </w:rPr>
        <w:t>2008.61.81.013434-2</w:t>
      </w:r>
      <w:r w:rsidRPr="00AB7D9B">
        <w:rPr>
          <w:rStyle w:val="Emphasis"/>
          <w:rFonts w:ascii="Cambria" w:hAnsi="Cambria" w:cs="Arial"/>
          <w:sz w:val="16"/>
          <w:szCs w:val="16"/>
          <w:lang w:val="pt-BR"/>
        </w:rPr>
        <w:t xml:space="preserve">, </w:t>
      </w:r>
      <w:r w:rsidRPr="00AB7D9B">
        <w:rPr>
          <w:rFonts w:ascii="Cambria" w:hAnsi="Cambria"/>
          <w:sz w:val="16"/>
          <w:szCs w:val="16"/>
          <w:lang w:val="pt-BR"/>
        </w:rPr>
        <w:t>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2, fls.328, Petición de Clarice Herzog y otros, de fecha 16 de mayo de 1978, en la Ação Declaratória No. 136/76.</w:t>
      </w:r>
    </w:p>
  </w:footnote>
  <w:footnote w:id="162">
    <w:p w:rsidR="00AB7D9B" w:rsidRPr="00AB7D9B" w:rsidRDefault="00AB7D9B"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w:t>
      </w:r>
      <w:r w:rsidRPr="00AB7D9B">
        <w:rPr>
          <w:rStyle w:val="Emphasis"/>
          <w:rFonts w:ascii="Cambria" w:hAnsi="Cambria" w:cs="Arial"/>
          <w:i w:val="0"/>
          <w:sz w:val="16"/>
          <w:szCs w:val="16"/>
          <w:lang w:val="pt-BR"/>
        </w:rPr>
        <w:t xml:space="preserve">Proceso No. </w:t>
      </w:r>
      <w:r w:rsidRPr="00AB7D9B">
        <w:rPr>
          <w:rStyle w:val="Emphasis"/>
          <w:rFonts w:ascii="Cambria" w:hAnsi="Cambria" w:cs="Arial"/>
          <w:i w:val="0"/>
          <w:sz w:val="16"/>
          <w:szCs w:val="16"/>
          <w:lang w:val="pt-BR"/>
        </w:rPr>
        <w:t xml:space="preserve">2008.61.81.013434-2, </w:t>
      </w:r>
      <w:r w:rsidRPr="00AB7D9B">
        <w:rPr>
          <w:rFonts w:ascii="Cambria" w:hAnsi="Cambria"/>
          <w:sz w:val="16"/>
          <w:szCs w:val="16"/>
          <w:lang w:val="pt-BR"/>
        </w:rPr>
        <w:t>Justiça</w:t>
      </w:r>
      <w:r w:rsidRPr="00AB7D9B">
        <w:rPr>
          <w:rStyle w:val="Emphasis"/>
          <w:rFonts w:ascii="Cambria" w:hAnsi="Cambria" w:cs="Arial"/>
          <w:i w:val="0"/>
          <w:sz w:val="16"/>
          <w:szCs w:val="16"/>
          <w:lang w:val="pt-BR"/>
        </w:rPr>
        <w:t xml:space="preserve"> Federal - São Paulo, Volume 2, fls.326, Petición Inicial de la Ação Declaratória No. 136/76, del 19 de abril de 1976.  </w:t>
      </w:r>
    </w:p>
  </w:footnote>
  <w:footnote w:id="163">
    <w:p w:rsidR="00D53806" w:rsidRPr="00AB7D9B" w:rsidRDefault="00D53806"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Texto original: “[o] macacão que lhe deram para vestir nas dependências do DOI, a exemplo de todos os outros, não tinha cinto”. </w:t>
      </w:r>
      <w:r w:rsidRPr="00AB7D9B">
        <w:rPr>
          <w:rStyle w:val="Emphasis"/>
          <w:rFonts w:ascii="Cambria" w:hAnsi="Cambria" w:cs="Arial"/>
          <w:i w:val="0"/>
          <w:sz w:val="16"/>
          <w:szCs w:val="16"/>
          <w:lang w:val="pt-BR"/>
        </w:rPr>
        <w:t xml:space="preserve">Proceso No. </w:t>
      </w:r>
      <w:r w:rsidRPr="00AB7D9B">
        <w:rPr>
          <w:rStyle w:val="Emphasis"/>
          <w:rFonts w:ascii="Cambria" w:hAnsi="Cambria" w:cs="Arial"/>
          <w:i w:val="0"/>
          <w:sz w:val="16"/>
          <w:szCs w:val="16"/>
          <w:lang w:val="pt-BR"/>
        </w:rPr>
        <w:t>2008.61.81.013434-2</w:t>
      </w:r>
      <w:r w:rsidRPr="00AB7D9B">
        <w:rPr>
          <w:rStyle w:val="Emphasis"/>
          <w:rFonts w:ascii="Cambria" w:hAnsi="Cambria" w:cs="Arial"/>
          <w:sz w:val="16"/>
          <w:szCs w:val="16"/>
          <w:lang w:val="pt-BR"/>
        </w:rPr>
        <w:t xml:space="preserve">, </w:t>
      </w:r>
      <w:r w:rsidRPr="00AB7D9B">
        <w:rPr>
          <w:rFonts w:ascii="Cambria" w:hAnsi="Cambria"/>
          <w:sz w:val="16"/>
          <w:szCs w:val="16"/>
          <w:lang w:val="pt-BR"/>
        </w:rPr>
        <w:t>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2, fls.327, Petición de Clarice Herzog y otros, de fecha 16 de mayo de 1978, en la Ação Declaratória No. 136/76.</w:t>
      </w:r>
    </w:p>
  </w:footnote>
  <w:footnote w:id="164">
    <w:p w:rsidR="00D53806" w:rsidRPr="00AB7D9B" w:rsidRDefault="00D53806"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w:t>
      </w:r>
      <w:r w:rsidRPr="00AB7D9B">
        <w:rPr>
          <w:rStyle w:val="Emphasis"/>
          <w:rFonts w:ascii="Cambria" w:hAnsi="Cambria" w:cs="Arial"/>
          <w:i w:val="0"/>
          <w:sz w:val="16"/>
          <w:szCs w:val="16"/>
          <w:lang w:val="pt-BR"/>
        </w:rPr>
        <w:t xml:space="preserve">Proceso </w:t>
      </w:r>
      <w:r w:rsidRPr="00AB7D9B">
        <w:rPr>
          <w:rStyle w:val="Emphasis"/>
          <w:rFonts w:ascii="Cambria" w:hAnsi="Cambria" w:cs="Arial"/>
          <w:i w:val="0"/>
          <w:sz w:val="16"/>
          <w:szCs w:val="16"/>
          <w:lang w:val="pt-BR"/>
        </w:rPr>
        <w:t xml:space="preserve">No. </w:t>
      </w:r>
      <w:r w:rsidRPr="00AB7D9B">
        <w:rPr>
          <w:rStyle w:val="Emphasis"/>
          <w:rFonts w:ascii="Cambria" w:hAnsi="Cambria" w:cs="Arial"/>
          <w:i w:val="0"/>
          <w:sz w:val="16"/>
          <w:szCs w:val="16"/>
          <w:lang w:val="pt-BR"/>
        </w:rPr>
        <w:t>2008.61.81.013434-2</w:t>
      </w:r>
      <w:r w:rsidRPr="00AB7D9B">
        <w:rPr>
          <w:rStyle w:val="Emphasis"/>
          <w:rFonts w:ascii="Cambria" w:hAnsi="Cambria" w:cs="Arial"/>
          <w:sz w:val="16"/>
          <w:szCs w:val="16"/>
          <w:lang w:val="pt-BR"/>
        </w:rPr>
        <w:t xml:space="preserve">, </w:t>
      </w:r>
      <w:r w:rsidRPr="00AB7D9B">
        <w:rPr>
          <w:rFonts w:ascii="Cambria" w:hAnsi="Cambria"/>
          <w:sz w:val="16"/>
          <w:szCs w:val="16"/>
          <w:lang w:val="pt-BR"/>
        </w:rPr>
        <w:t>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1, fls. 88/123, Parecer do Ministério do Exército en la Ação Declaratória No. 136/76, del 26 de mayo de 1976.</w:t>
      </w:r>
      <w:r w:rsidRPr="00AB7D9B">
        <w:rPr>
          <w:rStyle w:val="Emphasis"/>
          <w:rFonts w:ascii="Cambria" w:hAnsi="Cambria" w:cs="Arial"/>
          <w:sz w:val="16"/>
          <w:szCs w:val="16"/>
          <w:lang w:val="pt-BR"/>
        </w:rPr>
        <w:t xml:space="preserve"> </w:t>
      </w:r>
    </w:p>
  </w:footnote>
  <w:footnote w:id="165">
    <w:p w:rsidR="00D53806" w:rsidRPr="00AB7D9B" w:rsidRDefault="00D53806"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w:t>
      </w:r>
      <w:r w:rsidRPr="00AB7D9B">
        <w:rPr>
          <w:rFonts w:ascii="Cambria" w:hAnsi="Cambria"/>
          <w:sz w:val="16"/>
          <w:szCs w:val="16"/>
          <w:lang w:val="pt-BR"/>
        </w:rPr>
        <w:t xml:space="preserve">Texto </w:t>
      </w:r>
      <w:r w:rsidRPr="00AB7D9B">
        <w:rPr>
          <w:rFonts w:ascii="Cambria" w:hAnsi="Cambria"/>
          <w:sz w:val="16"/>
          <w:szCs w:val="16"/>
          <w:lang w:val="pt-BR"/>
        </w:rPr>
        <w:t xml:space="preserve">original: “[n]ão houve participação criminosa no suicídio do ex jornalista Vladimir Herzog”. </w:t>
      </w:r>
      <w:r w:rsidRPr="00AB7D9B">
        <w:rPr>
          <w:rStyle w:val="Emphasis"/>
          <w:rFonts w:ascii="Cambria" w:hAnsi="Cambria" w:cs="Arial"/>
          <w:i w:val="0"/>
          <w:sz w:val="16"/>
          <w:szCs w:val="16"/>
          <w:lang w:val="pt-BR"/>
        </w:rPr>
        <w:t>Proceso No. 2008.61.81.013434-2</w:t>
      </w:r>
      <w:r w:rsidRPr="00AB7D9B">
        <w:rPr>
          <w:rStyle w:val="Emphasis"/>
          <w:rFonts w:ascii="Cambria" w:hAnsi="Cambria" w:cs="Arial"/>
          <w:sz w:val="16"/>
          <w:szCs w:val="16"/>
          <w:lang w:val="pt-BR"/>
        </w:rPr>
        <w:t xml:space="preserve">, </w:t>
      </w:r>
      <w:r w:rsidRPr="00AB7D9B">
        <w:rPr>
          <w:rFonts w:ascii="Cambria" w:hAnsi="Cambria"/>
          <w:sz w:val="16"/>
          <w:szCs w:val="16"/>
          <w:lang w:val="pt-BR"/>
        </w:rPr>
        <w:t>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1, fls. 90, Parecer do Ministério do Exército en la Ação Declaratória No. 136/76, del 26 de mayo de 1976.</w:t>
      </w:r>
    </w:p>
  </w:footnote>
  <w:footnote w:id="166">
    <w:p w:rsidR="00D53806" w:rsidRPr="00AB7D9B" w:rsidRDefault="00D53806"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w:t>
      </w:r>
      <w:r w:rsidRPr="00AB7D9B">
        <w:rPr>
          <w:rFonts w:ascii="Cambria" w:hAnsi="Cambria"/>
          <w:sz w:val="16"/>
          <w:szCs w:val="16"/>
          <w:lang w:val="pt-BR"/>
        </w:rPr>
        <w:t xml:space="preserve">Texto </w:t>
      </w:r>
      <w:r w:rsidRPr="00AB7D9B">
        <w:rPr>
          <w:rFonts w:ascii="Cambria" w:hAnsi="Cambria"/>
          <w:sz w:val="16"/>
          <w:szCs w:val="16"/>
          <w:lang w:val="pt-BR"/>
        </w:rPr>
        <w:t xml:space="preserve">original: “[u]ma apresentação espontânea de Vladimir Herzog as autoridades não uma prisão”. </w:t>
      </w:r>
      <w:r w:rsidRPr="00AB7D9B">
        <w:rPr>
          <w:rStyle w:val="Emphasis"/>
          <w:rFonts w:ascii="Cambria" w:hAnsi="Cambria" w:cs="Arial"/>
          <w:i w:val="0"/>
          <w:sz w:val="16"/>
          <w:szCs w:val="16"/>
          <w:lang w:val="pt-BR"/>
        </w:rPr>
        <w:t>Proceso No. 2008.61.81.013434-2</w:t>
      </w:r>
      <w:r w:rsidRPr="00AB7D9B">
        <w:rPr>
          <w:rStyle w:val="Emphasis"/>
          <w:rFonts w:ascii="Cambria" w:hAnsi="Cambria" w:cs="Arial"/>
          <w:sz w:val="16"/>
          <w:szCs w:val="16"/>
          <w:lang w:val="pt-BR"/>
        </w:rPr>
        <w:t xml:space="preserve">, </w:t>
      </w:r>
      <w:r w:rsidRPr="00AB7D9B">
        <w:rPr>
          <w:rFonts w:ascii="Cambria" w:hAnsi="Cambria"/>
          <w:sz w:val="16"/>
          <w:szCs w:val="16"/>
          <w:lang w:val="pt-BR"/>
        </w:rPr>
        <w:t>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1, fls. 115, Parecer do Ministério do Exército en la Ação Declaratória No. 136/76, del 26 de mayo de 1976.</w:t>
      </w:r>
    </w:p>
  </w:footnote>
  <w:footnote w:id="167">
    <w:p w:rsidR="00D53806" w:rsidRPr="00B64BF5" w:rsidRDefault="00D53806" w:rsidP="00AB7D9B">
      <w:pPr>
        <w:pStyle w:val="FootnoteText"/>
        <w:ind w:firstLine="720"/>
        <w:jc w:val="both"/>
        <w:rPr>
          <w:rFonts w:ascii="Cambria" w:hAnsi="Cambria"/>
          <w:sz w:val="16"/>
          <w:szCs w:val="16"/>
          <w:lang w:val="pt-BR"/>
        </w:rPr>
      </w:pPr>
      <w:r w:rsidRPr="00AB7D9B">
        <w:rPr>
          <w:rStyle w:val="FootnoteReference"/>
          <w:rFonts w:ascii="Cambria" w:hAnsi="Cambria"/>
          <w:sz w:val="16"/>
          <w:szCs w:val="16"/>
        </w:rPr>
        <w:footnoteRef/>
      </w:r>
      <w:r w:rsidRPr="00AB7D9B">
        <w:rPr>
          <w:rFonts w:ascii="Cambria" w:hAnsi="Cambria"/>
          <w:sz w:val="16"/>
          <w:szCs w:val="16"/>
          <w:lang w:val="pt-BR"/>
        </w:rPr>
        <w:t xml:space="preserve"> </w:t>
      </w:r>
      <w:r w:rsidRPr="00AB7D9B">
        <w:rPr>
          <w:rStyle w:val="Emphasis"/>
          <w:rFonts w:ascii="Cambria" w:hAnsi="Cambria" w:cs="Arial"/>
          <w:i w:val="0"/>
          <w:sz w:val="16"/>
          <w:szCs w:val="16"/>
          <w:lang w:val="pt-BR"/>
        </w:rPr>
        <w:t xml:space="preserve">Proceso </w:t>
      </w:r>
      <w:r w:rsidRPr="00AB7D9B">
        <w:rPr>
          <w:rStyle w:val="Emphasis"/>
          <w:rFonts w:ascii="Cambria" w:hAnsi="Cambria" w:cs="Arial"/>
          <w:i w:val="0"/>
          <w:sz w:val="16"/>
          <w:szCs w:val="16"/>
          <w:lang w:val="pt-BR"/>
        </w:rPr>
        <w:t xml:space="preserve">No. </w:t>
      </w:r>
      <w:r w:rsidRPr="00AB7D9B">
        <w:rPr>
          <w:rStyle w:val="Emphasis"/>
          <w:rFonts w:ascii="Cambria" w:hAnsi="Cambria" w:cs="Arial"/>
          <w:i w:val="0"/>
          <w:sz w:val="16"/>
          <w:szCs w:val="16"/>
          <w:lang w:val="pt-BR"/>
        </w:rPr>
        <w:t>2008.61.81.013434-2,</w:t>
      </w:r>
      <w:r w:rsidRPr="00AB7D9B">
        <w:rPr>
          <w:rStyle w:val="Emphasis"/>
          <w:rFonts w:ascii="Cambria" w:hAnsi="Cambria" w:cs="Arial"/>
          <w:sz w:val="16"/>
          <w:szCs w:val="16"/>
          <w:lang w:val="pt-BR"/>
        </w:rPr>
        <w:t xml:space="preserve"> </w:t>
      </w:r>
      <w:r w:rsidRPr="00AB7D9B">
        <w:rPr>
          <w:rFonts w:ascii="Cambria" w:hAnsi="Cambria"/>
          <w:sz w:val="16"/>
          <w:szCs w:val="16"/>
          <w:lang w:val="pt-BR"/>
        </w:rPr>
        <w:t>Justiça</w:t>
      </w:r>
      <w:r w:rsidRPr="00AB7D9B">
        <w:rPr>
          <w:rStyle w:val="Emphasis"/>
          <w:rFonts w:ascii="Cambria" w:hAnsi="Cambria" w:cs="Arial"/>
          <w:sz w:val="16"/>
          <w:szCs w:val="16"/>
          <w:lang w:val="pt-BR"/>
        </w:rPr>
        <w:t xml:space="preserve"> </w:t>
      </w:r>
      <w:r w:rsidRPr="00AB7D9B">
        <w:rPr>
          <w:rStyle w:val="Emphasis"/>
          <w:rFonts w:ascii="Cambria" w:hAnsi="Cambria" w:cs="Arial"/>
          <w:i w:val="0"/>
          <w:sz w:val="16"/>
          <w:szCs w:val="16"/>
          <w:lang w:val="pt-BR"/>
        </w:rPr>
        <w:t>Federal - São Paulo, Volume 1, fls. 116, Parecer do Ministério do Exército en la Ação Declaratória No. 136/76, del 26 de mayo de 1976.</w:t>
      </w:r>
    </w:p>
  </w:footnote>
  <w:footnote w:id="16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Proceso </w:t>
      </w:r>
      <w:r w:rsidRPr="00B64BF5">
        <w:rPr>
          <w:rStyle w:val="Emphasis"/>
          <w:rFonts w:ascii="Cambria" w:hAnsi="Cambria" w:cs="Arial"/>
          <w:i w:val="0"/>
          <w:sz w:val="16"/>
          <w:szCs w:val="16"/>
          <w:lang w:val="pt-BR"/>
        </w:rPr>
        <w:t xml:space="preserve">No. </w:t>
      </w:r>
      <w:r w:rsidRPr="00B64BF5">
        <w:rPr>
          <w:rStyle w:val="Emphasis"/>
          <w:rFonts w:ascii="Cambria" w:hAnsi="Cambria" w:cs="Arial"/>
          <w:i w:val="0"/>
          <w:sz w:val="16"/>
          <w:szCs w:val="16"/>
          <w:lang w:val="pt-BR"/>
        </w:rPr>
        <w:t>2008.61.81.013434-2</w:t>
      </w:r>
      <w:r w:rsidRPr="00B64BF5">
        <w:rPr>
          <w:rStyle w:val="Emphasis"/>
          <w:rFonts w:ascii="Cambria" w:hAnsi="Cambria" w:cs="Arial"/>
          <w:sz w:val="16"/>
          <w:szCs w:val="16"/>
          <w:lang w:val="pt-BR"/>
        </w:rPr>
        <w:t xml:space="preserve">, </w:t>
      </w:r>
      <w:r w:rsidRPr="00B64BF5">
        <w:rPr>
          <w:rFonts w:ascii="Cambria" w:hAnsi="Cambria"/>
          <w:sz w:val="16"/>
          <w:szCs w:val="16"/>
          <w:lang w:val="pt-BR"/>
        </w:rPr>
        <w:t>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1, fls. 118, Parecer do Ministério do Exército en la Ação Declaratória No. 136/76, del 26 de mayo de 1976.</w:t>
      </w:r>
    </w:p>
  </w:footnote>
  <w:footnote w:id="16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Proceso </w:t>
      </w:r>
      <w:r w:rsidRPr="00B64BF5">
        <w:rPr>
          <w:rStyle w:val="Emphasis"/>
          <w:rFonts w:ascii="Cambria" w:hAnsi="Cambria" w:cs="Arial"/>
          <w:i w:val="0"/>
          <w:sz w:val="16"/>
          <w:szCs w:val="16"/>
          <w:lang w:val="pt-BR"/>
        </w:rPr>
        <w:t xml:space="preserve">No. </w:t>
      </w:r>
      <w:r w:rsidRPr="00B64BF5">
        <w:rPr>
          <w:rStyle w:val="Emphasis"/>
          <w:rFonts w:ascii="Cambria" w:hAnsi="Cambria" w:cs="Arial"/>
          <w:i w:val="0"/>
          <w:sz w:val="16"/>
          <w:szCs w:val="16"/>
          <w:lang w:val="pt-BR"/>
        </w:rPr>
        <w:t>2008.61.81.013434-2,</w:t>
      </w:r>
      <w:r w:rsidRPr="00B64BF5">
        <w:rPr>
          <w:rStyle w:val="Emphasis"/>
          <w:rFonts w:ascii="Cambria" w:hAnsi="Cambria" w:cs="Arial"/>
          <w:sz w:val="16"/>
          <w:szCs w:val="16"/>
          <w:lang w:val="pt-BR"/>
        </w:rPr>
        <w:t xml:space="preserve"> </w:t>
      </w:r>
      <w:r w:rsidRPr="00B64BF5">
        <w:rPr>
          <w:rFonts w:ascii="Cambria" w:hAnsi="Cambria"/>
          <w:sz w:val="16"/>
          <w:szCs w:val="16"/>
          <w:lang w:val="pt-BR"/>
        </w:rPr>
        <w:t>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1, fls. 121, Parecer do Ministério do Exército en la Ação Declaratória No. 136/76, del 26 de mayo de 1976.</w:t>
      </w:r>
    </w:p>
  </w:footnote>
  <w:footnote w:id="17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Proceso </w:t>
      </w:r>
      <w:r w:rsidRPr="00B64BF5">
        <w:rPr>
          <w:rStyle w:val="Emphasis"/>
          <w:rFonts w:ascii="Cambria" w:hAnsi="Cambria" w:cs="Arial"/>
          <w:i w:val="0"/>
          <w:sz w:val="16"/>
          <w:szCs w:val="16"/>
          <w:lang w:val="pt-BR"/>
        </w:rPr>
        <w:t xml:space="preserve">No. </w:t>
      </w:r>
      <w:r w:rsidRPr="00B64BF5">
        <w:rPr>
          <w:rStyle w:val="Emphasis"/>
          <w:rFonts w:ascii="Cambria" w:hAnsi="Cambria" w:cs="Arial"/>
          <w:i w:val="0"/>
          <w:sz w:val="16"/>
          <w:szCs w:val="16"/>
          <w:lang w:val="pt-BR"/>
        </w:rPr>
        <w:t>2008.61.81.013434-2</w:t>
      </w:r>
      <w:r w:rsidRPr="00B64BF5">
        <w:rPr>
          <w:rStyle w:val="Emphasis"/>
          <w:rFonts w:ascii="Cambria" w:hAnsi="Cambria" w:cs="Arial"/>
          <w:sz w:val="16"/>
          <w:szCs w:val="16"/>
          <w:lang w:val="pt-BR"/>
        </w:rPr>
        <w:t xml:space="preserve">, </w:t>
      </w:r>
      <w:r w:rsidRPr="00B64BF5">
        <w:rPr>
          <w:rFonts w:ascii="Cambria" w:hAnsi="Cambria"/>
          <w:sz w:val="16"/>
          <w:szCs w:val="16"/>
          <w:lang w:val="pt-BR"/>
        </w:rPr>
        <w:t>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 268/270, Despacho saneador en la Ação Declaratória No. 136/76, del 16 de marzo de 1978.</w:t>
      </w:r>
      <w:r w:rsidRPr="00B64BF5">
        <w:rPr>
          <w:rStyle w:val="Emphasis"/>
          <w:rFonts w:ascii="Cambria" w:hAnsi="Cambria" w:cs="Arial"/>
          <w:sz w:val="16"/>
          <w:szCs w:val="16"/>
          <w:lang w:val="pt-BR"/>
        </w:rPr>
        <w:t xml:space="preserve"> </w:t>
      </w:r>
    </w:p>
  </w:footnote>
  <w:footnote w:id="17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Tribunal Regional Federal da </w:t>
      </w:r>
      <w:r w:rsidRPr="00B64BF5">
        <w:rPr>
          <w:rStyle w:val="st1"/>
          <w:rFonts w:ascii="Cambria" w:hAnsi="Cambria" w:cs="Arial"/>
          <w:sz w:val="16"/>
          <w:szCs w:val="16"/>
          <w:lang w:val="pt-BR"/>
        </w:rPr>
        <w:t xml:space="preserve">3ª </w:t>
      </w:r>
      <w:r w:rsidRPr="00B64BF5">
        <w:rPr>
          <w:rStyle w:val="st1"/>
          <w:rFonts w:ascii="Cambria" w:hAnsi="Cambria" w:cs="Arial"/>
          <w:sz w:val="16"/>
          <w:szCs w:val="16"/>
          <w:lang w:val="pt-BR"/>
        </w:rPr>
        <w:t>Regi</w:t>
      </w:r>
      <w:r w:rsidRPr="00B64BF5">
        <w:rPr>
          <w:rStyle w:val="Emphasis"/>
          <w:rFonts w:ascii="Cambria" w:hAnsi="Cambria" w:cs="Arial"/>
          <w:sz w:val="16"/>
          <w:szCs w:val="16"/>
          <w:lang w:val="pt-BR"/>
        </w:rPr>
        <w:t>ão</w:t>
      </w:r>
      <w:r w:rsidRPr="00B64BF5">
        <w:rPr>
          <w:rStyle w:val="st1"/>
          <w:rFonts w:ascii="Cambria" w:hAnsi="Cambria" w:cs="Arial"/>
          <w:sz w:val="16"/>
          <w:szCs w:val="16"/>
          <w:lang w:val="pt-BR"/>
        </w:rPr>
        <w:t xml:space="preserve">, </w:t>
      </w:r>
      <w:r w:rsidRPr="00B64BF5">
        <w:rPr>
          <w:rFonts w:ascii="Cambria" w:hAnsi="Cambria"/>
          <w:sz w:val="16"/>
          <w:szCs w:val="16"/>
          <w:lang w:val="pt-BR"/>
        </w:rPr>
        <w:t xml:space="preserve">Sentencia de los Embargos infringentes No. 89.03.7264-2 del 18 de mayo de 1994. </w:t>
      </w:r>
    </w:p>
  </w:footnote>
  <w:footnote w:id="172">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Proceso </w:t>
      </w:r>
      <w:r w:rsidRPr="00B64BF5">
        <w:rPr>
          <w:rStyle w:val="Emphasis"/>
          <w:rFonts w:ascii="Cambria" w:hAnsi="Cambria" w:cs="Arial"/>
          <w:i w:val="0"/>
          <w:sz w:val="16"/>
          <w:szCs w:val="16"/>
          <w:lang w:val="pt-BR"/>
        </w:rPr>
        <w:t xml:space="preserve">No. </w:t>
      </w:r>
      <w:r w:rsidRPr="00B64BF5">
        <w:rPr>
          <w:rStyle w:val="Emphasis"/>
          <w:rFonts w:ascii="Cambria" w:hAnsi="Cambria" w:cs="Arial"/>
          <w:i w:val="0"/>
          <w:sz w:val="16"/>
          <w:szCs w:val="16"/>
          <w:lang w:val="pt-BR"/>
        </w:rPr>
        <w:t>2008.61.81.013434-2</w:t>
      </w:r>
      <w:r w:rsidRPr="00B64BF5">
        <w:rPr>
          <w:rStyle w:val="Emphasis"/>
          <w:rFonts w:ascii="Cambria" w:hAnsi="Cambria" w:cs="Arial"/>
          <w:sz w:val="16"/>
          <w:szCs w:val="16"/>
          <w:lang w:val="pt-BR"/>
        </w:rPr>
        <w:t xml:space="preserve"> Justiça </w:t>
      </w:r>
      <w:r w:rsidRPr="00B64BF5">
        <w:rPr>
          <w:rStyle w:val="Emphasis"/>
          <w:rFonts w:ascii="Cambria" w:hAnsi="Cambria" w:cs="Arial"/>
          <w:i w:val="0"/>
          <w:sz w:val="16"/>
          <w:szCs w:val="16"/>
          <w:lang w:val="pt-BR"/>
        </w:rPr>
        <w:t xml:space="preserve">Federal - São Paulo, Volume 2, fls.426/427, Petición de los autores en la Ação Declaratória No. 136/76, del 16 de mayo de 1978. </w:t>
      </w:r>
    </w:p>
  </w:footnote>
  <w:footnote w:id="173">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Proceso No. </w:t>
      </w:r>
      <w:r w:rsidRPr="00B64BF5">
        <w:rPr>
          <w:rStyle w:val="Emphasis"/>
          <w:rFonts w:ascii="Cambria" w:hAnsi="Cambria" w:cs="Arial"/>
          <w:i w:val="0"/>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fls.429/430, Petición de los autores en la Ação Declaratória No. 136/76, del 16 de mayo de 1978.</w:t>
      </w:r>
    </w:p>
  </w:footnote>
  <w:footnote w:id="17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Proceso </w:t>
      </w:r>
      <w:r w:rsidRPr="00B64BF5">
        <w:rPr>
          <w:rStyle w:val="Emphasis"/>
          <w:rFonts w:ascii="Cambria" w:hAnsi="Cambria" w:cs="Arial"/>
          <w:i w:val="0"/>
          <w:sz w:val="16"/>
          <w:szCs w:val="16"/>
          <w:lang w:val="pt-BR"/>
        </w:rPr>
        <w:t xml:space="preserve">No. </w:t>
      </w:r>
      <w:r w:rsidRPr="00B64BF5">
        <w:rPr>
          <w:rStyle w:val="Emphasis"/>
          <w:rFonts w:ascii="Cambria" w:hAnsi="Cambria" w:cs="Arial"/>
          <w:i w:val="0"/>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2, fls.431/452, Audiência de instrução e julgamento en la Ação Declaratória No. 136/76, del 16 de mayo de 1978.</w:t>
      </w:r>
      <w:r w:rsidRPr="00B64BF5">
        <w:rPr>
          <w:rStyle w:val="Emphasis"/>
          <w:rFonts w:ascii="Cambria" w:hAnsi="Cambria" w:cs="Arial"/>
          <w:sz w:val="16"/>
          <w:szCs w:val="16"/>
          <w:lang w:val="pt-BR"/>
        </w:rPr>
        <w:t xml:space="preserve"> </w:t>
      </w:r>
    </w:p>
  </w:footnote>
  <w:footnote w:id="175">
    <w:p w:rsidR="00D53806" w:rsidRPr="00B64BF5" w:rsidRDefault="00D53806" w:rsidP="00B64BF5">
      <w:pPr>
        <w:spacing w:after="0" w:line="240" w:lineRule="auto"/>
        <w:ind w:firstLine="720"/>
        <w:jc w:val="both"/>
        <w:rPr>
          <w:rFonts w:ascii="Cambria" w:hAnsi="Cambria" w:cs="Arial"/>
          <w:bCs/>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Los </w:t>
      </w:r>
      <w:r w:rsidRPr="00B64BF5">
        <w:rPr>
          <w:rStyle w:val="Emphasis"/>
          <w:rFonts w:ascii="Cambria" w:hAnsi="Cambria" w:cs="Arial"/>
          <w:i w:val="0"/>
          <w:sz w:val="16"/>
          <w:szCs w:val="16"/>
          <w:lang w:val="pt-BR"/>
        </w:rPr>
        <w:t xml:space="preserve">seis testigos que habían declarado fueron: George Benigno Jatahy Duque Estrada, Professor Godofredo da Silva Telles Junior, Harry Shibata, Antony Jorge Andrade de Christo, Paulo Sérgio Markun y Sérgio Gomes da Silva.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i w:val="0"/>
          <w:sz w:val="16"/>
          <w:szCs w:val="16"/>
          <w:lang w:val="pt-BR"/>
        </w:rPr>
        <w:t xml:space="preserve"> Federal - São Paulo, Volume 5, fls. 1002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Ação Declaratória</w:t>
      </w:r>
      <w:r w:rsidRPr="00B64BF5">
        <w:rPr>
          <w:rStyle w:val="Emphasis"/>
          <w:rFonts w:ascii="Cambria" w:hAnsi="Cambria" w:cs="Arial"/>
          <w:sz w:val="16"/>
          <w:szCs w:val="16"/>
          <w:lang w:val="pt-BR"/>
        </w:rPr>
        <w:t xml:space="preserve"> </w:t>
      </w:r>
      <w:r w:rsidRPr="00B64BF5">
        <w:rPr>
          <w:rFonts w:ascii="Cambria" w:hAnsi="Cambria"/>
          <w:sz w:val="16"/>
          <w:szCs w:val="16"/>
          <w:lang w:val="pt-BR"/>
        </w:rPr>
        <w:t>No. 136/76</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del 27 de octubre de 1978.</w:t>
      </w:r>
    </w:p>
  </w:footnote>
  <w:footnote w:id="176">
    <w:p w:rsidR="00D53806" w:rsidRPr="00B64BF5" w:rsidRDefault="00D53806" w:rsidP="00B64BF5">
      <w:pPr>
        <w:spacing w:after="0" w:line="240" w:lineRule="auto"/>
        <w:ind w:firstLine="720"/>
        <w:jc w:val="both"/>
        <w:rPr>
          <w:rFonts w:ascii="Cambria" w:hAnsi="Cambria" w:cs="Arial"/>
          <w:bCs/>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“[e]m nenhum local viu o corpo de Vladimir Herzog”.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2, fls. 441– Declaración de Harry Shibata en la Ação Declaratória No. 136/76, del 16 de mayo de 1978. </w:t>
      </w:r>
    </w:p>
  </w:footnote>
  <w:footnote w:id="17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“[n]o confirmava o depoimento prestado no inquérito policial militar; que o depoente declarou que havia sido torturado em dependências do DOI CODI; que declarou também ter visto outras pessoas parecendo torturadas; que essas declarações não foram reduzidas a terma sob alegação de que não eram importantes para esclarecimento dos fatos; que o Procurador Doutor Durval foi quem afirmou não ser importantes (sic) essas declarações para apuração dos fatos; […] que o depoente assinou o termo sob coação”. </w:t>
      </w:r>
      <w:r w:rsidRPr="00B64BF5">
        <w:rPr>
          <w:rStyle w:val="Emphasis"/>
          <w:rFonts w:ascii="Cambria" w:hAnsi="Cambria" w:cs="Arial"/>
          <w:i w:val="0"/>
          <w:sz w:val="16"/>
          <w:szCs w:val="16"/>
          <w:lang w:val="pt-BR"/>
        </w:rPr>
        <w:t>Proceso No. 2008.61.81.013434-2 Justiça Federal - São Paulo, Volume 2, fls. 445/446, Declaración de Anthony Christo en la Ação Declaratória No. 136/76, del 16 de mayo de 1978.</w:t>
      </w:r>
    </w:p>
  </w:footnote>
  <w:footnote w:id="17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 xml:space="preserve">original: “[d]urante o IPM foi perguntado ao depoente se ele tinha razoes para supor que [V]ladimir Herzog tinha sido torturado ao que o depoente afirmou que tinha pelo fato de ter sido torturado bem como sua esposa; ao que o Promotor respondeu que apresentava alegações subjetivas e que nenhuma dessas afirmações constou no termo de declarações”. </w:t>
      </w:r>
      <w:r w:rsidRPr="00B64BF5">
        <w:rPr>
          <w:rStyle w:val="Emphasis"/>
          <w:rFonts w:ascii="Cambria" w:hAnsi="Cambria" w:cs="Arial"/>
          <w:i w:val="0"/>
          <w:sz w:val="16"/>
          <w:szCs w:val="16"/>
          <w:lang w:val="pt-BR"/>
        </w:rPr>
        <w:t>Proceso No. 2008.61.81.013434-2 Justiça Federal - São Paulo, Volume 2, fls. 448, Declaración de Paulo Markun en la Ação Declaratória No. 136/76, del 16 de mayo de 1978.</w:t>
      </w:r>
    </w:p>
  </w:footnote>
  <w:footnote w:id="17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lang w:val="pt-BR"/>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“[c]onversou com [V]ladimir Herzog com um investigador que tinha uma tatuagem no braço em forma de ancora, que convocou o depoente e Rodolfo Oswaldo Konder para identificação de [V]ladimir Herzog; que [V]ladimir Herzog estava vestido com um macacão do Exercito Brasileiro e capuz preto na cabeça; que o corpo de Vladimir não tinha nenhum cinto; […] que o depoente e Rodolfo Oswaldo Konder foram retirados da sala e colocados em duas cadeiras em frente a porta que da acesso a sala do primeiro andar; que no lugar onde se achava o depoente podia ouvir os gritos que ele depoente atribuí aos investigadores e ao próprio [V]ladimir Herzog</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Proceso No. 2008.61.81.013434-2 Justiça Federal - São Paulo, Volume 2, fls. 434, Declaración de George Duque Estrada en la Ação Declaratória No. 136/76, del 16 de mayo de 1978.</w:t>
      </w:r>
    </w:p>
  </w:footnote>
  <w:footnote w:id="18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lang w:val="pt-BR"/>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“[d]epois da retirada do depoente começou o interrogatório de [V]ladimir Herzog […] e o depoente classifica esse período como um período de pancadaria porque as portas eram abertas […] e havia muitos gritos no interior</w:t>
      </w:r>
      <w:r w:rsidRPr="00B64BF5">
        <w:rPr>
          <w:rStyle w:val="Emphasis"/>
          <w:rFonts w:ascii="Cambria" w:hAnsi="Cambria" w:cs="Arial"/>
          <w:sz w:val="16"/>
          <w:szCs w:val="16"/>
          <w:lang w:val="pt-BR"/>
        </w:rPr>
        <w:t xml:space="preserve"> “. </w:t>
      </w:r>
      <w:r w:rsidRPr="00B64BF5">
        <w:rPr>
          <w:rStyle w:val="Emphasis"/>
          <w:rFonts w:ascii="Cambria" w:hAnsi="Cambria" w:cs="Arial"/>
          <w:i w:val="0"/>
          <w:sz w:val="16"/>
          <w:szCs w:val="16"/>
          <w:lang w:val="pt-BR"/>
        </w:rPr>
        <w:t>Proceso No. 2008.61.81.013434-2 Justiça Federal - São Paulo, Volume 2, fls. 434/435, Declaración de George Duque Estrada en la Ação Declaratória No. 136/76, del 16 de mayo de 1978.</w:t>
      </w:r>
    </w:p>
  </w:footnote>
  <w:footnote w:id="18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 xml:space="preserve">original: “[p]rovidências para interrupção do serviço a cargo do Sr. PEDRO ANTONIO MIRA GRANCIERI na área de MATO GROSS[O]”. Proceso No. 2008.61.81.013434-2, Justiça Federal – São Paulo, Volume 3, fls. 460, Oficio en la </w:t>
      </w:r>
      <w:r w:rsidRPr="00B64BF5">
        <w:rPr>
          <w:rStyle w:val="Emphasis"/>
          <w:rFonts w:ascii="Cambria" w:hAnsi="Cambria" w:cs="Arial"/>
          <w:i w:val="0"/>
          <w:sz w:val="16"/>
          <w:szCs w:val="16"/>
          <w:lang w:val="pt-BR"/>
        </w:rPr>
        <w:t>Ação Declaratória</w:t>
      </w:r>
      <w:r w:rsidRPr="00B64BF5">
        <w:rPr>
          <w:rStyle w:val="Emphasis"/>
          <w:rFonts w:ascii="Cambria" w:hAnsi="Cambria" w:cs="Arial"/>
          <w:sz w:val="16"/>
          <w:szCs w:val="16"/>
          <w:lang w:val="pt-BR"/>
        </w:rPr>
        <w:t xml:space="preserve"> </w:t>
      </w:r>
      <w:r w:rsidRPr="00B64BF5">
        <w:rPr>
          <w:rFonts w:ascii="Cambria" w:hAnsi="Cambria"/>
          <w:sz w:val="16"/>
          <w:szCs w:val="16"/>
          <w:lang w:val="pt-BR"/>
        </w:rPr>
        <w:t>No. 136/76, del Comandante del II Ejército, del 24 de mayo de 1978.</w:t>
      </w:r>
    </w:p>
  </w:footnote>
  <w:footnote w:id="18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“[p]ela autonomia do trabalho de que é incumbido, é totalmente impossível localizá-lo de momento, o que me impede de apresentá-lo”. </w:t>
      </w:r>
      <w:r w:rsidRPr="00B64BF5">
        <w:rPr>
          <w:rFonts w:ascii="Cambria" w:hAnsi="Cambria"/>
          <w:sz w:val="16"/>
          <w:szCs w:val="16"/>
          <w:lang w:val="pt-BR"/>
        </w:rPr>
        <w:t xml:space="preserve">Proceso No. 2008.61.81.013434-2, Justiça Federal – São Paulo, Volume 3, fls. 460, Oficio en la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 del Comandante del II Ejército, del 24 de mayo de 1978.</w:t>
      </w:r>
    </w:p>
  </w:footnote>
  <w:footnote w:id="18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“[o] levantamento de dados”. </w:t>
      </w:r>
      <w:r w:rsidRPr="00B64BF5">
        <w:rPr>
          <w:rFonts w:ascii="Cambria" w:hAnsi="Cambria"/>
          <w:sz w:val="16"/>
          <w:szCs w:val="16"/>
          <w:lang w:val="pt-BR"/>
        </w:rPr>
        <w:t xml:space="preserve">Proceso No. </w:t>
      </w:r>
      <w:r w:rsidRPr="00B64BF5">
        <w:rPr>
          <w:rFonts w:ascii="Cambria" w:hAnsi="Cambria"/>
          <w:sz w:val="16"/>
          <w:szCs w:val="16"/>
          <w:lang w:val="pt-BR"/>
        </w:rPr>
        <w:t xml:space="preserve">2008.61.81.013434-2, Justiça Federal – São Paulo, Volume 3, fls. 460, Oficio en la </w:t>
      </w:r>
      <w:r w:rsidRPr="00B64BF5">
        <w:rPr>
          <w:rStyle w:val="Emphasis"/>
          <w:rFonts w:ascii="Cambria" w:hAnsi="Cambria" w:cs="Arial"/>
          <w:i w:val="0"/>
          <w:sz w:val="16"/>
          <w:szCs w:val="16"/>
          <w:lang w:val="pt-BR"/>
        </w:rPr>
        <w:t>Ação Declaratória</w:t>
      </w:r>
      <w:r w:rsidRPr="00B64BF5">
        <w:rPr>
          <w:rStyle w:val="Emphasis"/>
          <w:rFonts w:ascii="Cambria" w:hAnsi="Cambria" w:cs="Arial"/>
          <w:sz w:val="16"/>
          <w:szCs w:val="16"/>
          <w:lang w:val="pt-BR"/>
        </w:rPr>
        <w:t xml:space="preserve"> </w:t>
      </w:r>
      <w:r w:rsidRPr="00B64BF5">
        <w:rPr>
          <w:rFonts w:ascii="Cambria" w:hAnsi="Cambria"/>
          <w:sz w:val="16"/>
          <w:szCs w:val="16"/>
          <w:lang w:val="pt-BR"/>
        </w:rPr>
        <w:t>No. 136/76, del Comandante del II Ejército, del 24 de mayo de 1978.</w:t>
      </w:r>
    </w:p>
  </w:footnote>
  <w:footnote w:id="18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“[a] preocupação de se ocultar os verdadeiros responsáveis pela </w:t>
      </w:r>
      <w:r w:rsidRPr="00B64BF5">
        <w:rPr>
          <w:rFonts w:ascii="Cambria" w:hAnsi="Cambria"/>
          <w:sz w:val="16"/>
          <w:szCs w:val="16"/>
          <w:lang w:val="pt-BR"/>
        </w:rPr>
        <w:t xml:space="preserve">morte de Vladimir Herzo[g]”. Proceso No. 2008.61.81.013434-2, Justiça Federal – São Paulo, Volume 3, fls. 464, Prosseguimento da audiência de instrução e julgamento en la </w:t>
      </w:r>
      <w:r w:rsidRPr="00B64BF5">
        <w:rPr>
          <w:rStyle w:val="Emphasis"/>
          <w:rFonts w:ascii="Cambria" w:hAnsi="Cambria" w:cs="Arial"/>
          <w:i w:val="0"/>
          <w:sz w:val="16"/>
          <w:szCs w:val="16"/>
          <w:lang w:val="pt-BR"/>
        </w:rPr>
        <w:t>Ação Declaratória</w:t>
      </w:r>
      <w:r w:rsidRPr="00B64BF5">
        <w:rPr>
          <w:rStyle w:val="Emphasis"/>
          <w:rFonts w:ascii="Cambria" w:hAnsi="Cambria" w:cs="Arial"/>
          <w:sz w:val="16"/>
          <w:szCs w:val="16"/>
          <w:lang w:val="pt-BR"/>
        </w:rPr>
        <w:t xml:space="preserve"> </w:t>
      </w:r>
      <w:r w:rsidRPr="00B64BF5">
        <w:rPr>
          <w:rFonts w:ascii="Cambria" w:hAnsi="Cambria"/>
          <w:sz w:val="16"/>
          <w:szCs w:val="16"/>
          <w:lang w:val="pt-BR"/>
        </w:rPr>
        <w:t>No. 136/76, del 26 de mayo de 1978.</w:t>
      </w:r>
    </w:p>
  </w:footnote>
  <w:footnote w:id="18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 xml:space="preserve">original: “[i]mprocedente, com a aplicação das considerações legais, já que o suicídio da suposta vitima não induz a nenhuma ação ou omissão das autoridades, capazes de caracterizar a responsabilidade da Pessoa Jurídica de Direito Publico”. Proceso No. 2008.61.81.013434-2, Justiça Federal – São Paulo, Volume 3, fls. 472/473, Memorial de la Unión Federal en la </w:t>
      </w:r>
      <w:r w:rsidRPr="00B64BF5">
        <w:rPr>
          <w:rStyle w:val="Emphasis"/>
          <w:rFonts w:ascii="Cambria" w:hAnsi="Cambria" w:cs="Arial"/>
          <w:i w:val="0"/>
          <w:sz w:val="16"/>
          <w:szCs w:val="16"/>
          <w:lang w:val="pt-BR"/>
        </w:rPr>
        <w:t>Ação Declaratória</w:t>
      </w:r>
      <w:r w:rsidRPr="00B64BF5">
        <w:rPr>
          <w:rStyle w:val="Emphasis"/>
          <w:rFonts w:ascii="Cambria" w:hAnsi="Cambria" w:cs="Arial"/>
          <w:sz w:val="16"/>
          <w:szCs w:val="16"/>
          <w:lang w:val="pt-BR"/>
        </w:rPr>
        <w:t xml:space="preserve"> </w:t>
      </w:r>
      <w:r w:rsidRPr="00B64BF5">
        <w:rPr>
          <w:rFonts w:ascii="Cambria" w:hAnsi="Cambria"/>
          <w:sz w:val="16"/>
          <w:szCs w:val="16"/>
          <w:lang w:val="pt-BR"/>
        </w:rPr>
        <w:t>No. 136/76, del 15 de junio de 1978.</w:t>
      </w:r>
    </w:p>
  </w:footnote>
  <w:footnote w:id="186">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1003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187">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1003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188">
    <w:p w:rsidR="00D53806" w:rsidRPr="00B64BF5" w:rsidRDefault="00D53806" w:rsidP="00B64BF5">
      <w:pPr>
        <w:spacing w:after="0" w:line="240" w:lineRule="auto"/>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“É fato incontroverso nos presentes autos que Vladimir Herzog, [...] </w:t>
      </w:r>
      <w:r w:rsidRPr="00B64BF5">
        <w:rPr>
          <w:rFonts w:ascii="Cambria" w:hAnsi="Cambria"/>
          <w:sz w:val="16"/>
          <w:szCs w:val="16"/>
          <w:lang w:val="pt-BR"/>
        </w:rPr>
        <w:t>sofreu morte não natural, quando se encontrava nas dependências do Destacamento de Operações de Informações do Centro de Defesa Interna (DOI/CODI), órgão subordinada e componente do II Exército”</w:t>
      </w:r>
      <w:r w:rsidRPr="00B64BF5">
        <w:rPr>
          <w:rStyle w:val="FootnoteReference"/>
          <w:rFonts w:ascii="Cambria" w:hAnsi="Cambria"/>
          <w:sz w:val="16"/>
          <w:szCs w:val="16"/>
          <w:lang w:val="pt-BR"/>
        </w:rPr>
        <w:footnoteRef/>
      </w:r>
      <w:r w:rsidRPr="00B64BF5">
        <w:rPr>
          <w:rFonts w:ascii="Cambria" w:hAnsi="Cambria"/>
          <w:sz w:val="16"/>
          <w:szCs w:val="16"/>
          <w:lang w:val="pt-BR"/>
        </w:rPr>
        <w:t xml:space="preserve">.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1004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189">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[f]ato incontroverso que Vladimir Herzog foi encontrado em sua cela em suspensão incompleta, enforcado por uma cinta de tecido verde, da mesma cor do macacão que trajava, vestimentas que lhe foram entregues pelos próprios agentes policiais encarregados de zelar pela sua integridade física”.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1132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19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“[n]ão havia qualquer motivo viável para que o detento portasse cinta, posto que o macacão que vestia quando foi encontrado morto, era inteiriç[o]”. Proceso No. 2008.61.81.013434-2 Justiça</w:t>
      </w:r>
      <w:r w:rsidRPr="00B64BF5">
        <w:rPr>
          <w:rStyle w:val="Emphasis"/>
          <w:rFonts w:ascii="Cambria" w:hAnsi="Cambria" w:cs="Arial"/>
          <w:sz w:val="16"/>
          <w:szCs w:val="16"/>
          <w:lang w:val="pt-BR"/>
        </w:rPr>
        <w:t xml:space="preserve"> F</w:t>
      </w:r>
      <w:r w:rsidRPr="00B64BF5">
        <w:rPr>
          <w:rStyle w:val="Emphasis"/>
          <w:rFonts w:ascii="Cambria" w:hAnsi="Cambria" w:cs="Arial"/>
          <w:i w:val="0"/>
          <w:sz w:val="16"/>
          <w:szCs w:val="16"/>
          <w:lang w:val="pt-BR"/>
        </w:rPr>
        <w:t>ederal - São Paulo, Volume 5, fls. 1132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del 27 de octubre de 1978.</w:t>
      </w:r>
    </w:p>
  </w:footnote>
  <w:footnote w:id="19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“[d]e forma coerente e sem que tivesse produzido nos autos qualquer prova em contrário, que os presos do DOI/CODI não portavam cintos, cadarços nos sapatos ou mesmo meias”.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1132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19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“[e]m nenhum lugar viu o corpo de Vladimir Herzog”.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1137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w:t>
      </w:r>
      <w:r w:rsidRPr="00B64BF5">
        <w:rPr>
          <w:rStyle w:val="Emphasis"/>
          <w:rFonts w:ascii="Cambria" w:hAnsi="Cambria" w:cs="Arial"/>
          <w:sz w:val="16"/>
          <w:szCs w:val="16"/>
          <w:lang w:val="pt-BR"/>
        </w:rPr>
        <w:t xml:space="preserve">Declaratória </w:t>
      </w:r>
      <w:r w:rsidRPr="00B64BF5">
        <w:rPr>
          <w:rFonts w:ascii="Cambria" w:hAnsi="Cambria"/>
          <w:sz w:val="16"/>
          <w:szCs w:val="16"/>
          <w:lang w:val="pt-BR"/>
        </w:rPr>
        <w:t>No.</w:t>
      </w:r>
      <w:r w:rsidRPr="00B64BF5">
        <w:rPr>
          <w:rFonts w:ascii="Cambria" w:hAnsi="Cambria"/>
          <w:i/>
          <w:sz w:val="16"/>
          <w:szCs w:val="16"/>
          <w:lang w:val="pt-BR"/>
        </w:rPr>
        <w:t xml:space="preserve"> </w:t>
      </w:r>
      <w:r w:rsidRPr="00B64BF5">
        <w:rPr>
          <w:rFonts w:ascii="Cambria" w:hAnsi="Cambria"/>
          <w:sz w:val="16"/>
          <w:szCs w:val="16"/>
          <w:lang w:val="pt-BR"/>
        </w:rPr>
        <w:t>136/76</w:t>
      </w:r>
      <w:r w:rsidRPr="00B64BF5">
        <w:rPr>
          <w:rStyle w:val="Emphasis"/>
          <w:rFonts w:ascii="Cambria" w:hAnsi="Cambria" w:cs="Arial"/>
          <w:i w:val="0"/>
          <w:sz w:val="16"/>
          <w:szCs w:val="16"/>
          <w:lang w:val="pt-BR"/>
        </w:rPr>
        <w:t>, del 27 de octubre de 1978.</w:t>
      </w:r>
    </w:p>
  </w:footnote>
  <w:footnote w:id="19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1140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19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“[é] meramente informativo, ou seja, as informações contidas em seu bojo dirigem-se ao Ministério Público e só adquirem valor probatório se repetidas em Juízo ou se tais informações forem coerentes com as provas produzidas judicialmente”.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1142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19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“[s]e contrapõem frontalmente a prova colhida sob a égide do principio do contraditório”.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1143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19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1143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Ação Declaratória</w:t>
      </w:r>
      <w:r w:rsidRPr="00B64BF5">
        <w:rPr>
          <w:rStyle w:val="Emphasis"/>
          <w:rFonts w:ascii="Cambria" w:hAnsi="Cambria" w:cs="Arial"/>
          <w:sz w:val="16"/>
          <w:szCs w:val="16"/>
          <w:lang w:val="pt-BR"/>
        </w:rPr>
        <w:t xml:space="preserve"> </w:t>
      </w:r>
      <w:r w:rsidRPr="00B64BF5">
        <w:rPr>
          <w:rFonts w:ascii="Cambria" w:hAnsi="Cambria"/>
          <w:sz w:val="16"/>
          <w:szCs w:val="16"/>
          <w:lang w:val="pt-BR"/>
        </w:rPr>
        <w:t>No. 136/76</w:t>
      </w:r>
      <w:r w:rsidRPr="00B64BF5">
        <w:rPr>
          <w:rStyle w:val="Emphasis"/>
          <w:rFonts w:ascii="Cambria" w:hAnsi="Cambria" w:cs="Arial"/>
          <w:i w:val="0"/>
          <w:sz w:val="16"/>
          <w:szCs w:val="16"/>
          <w:lang w:val="pt-BR"/>
        </w:rPr>
        <w:t>, del 27 de octubre de 1978.</w:t>
      </w:r>
    </w:p>
  </w:footnote>
  <w:footnote w:id="197">
    <w:p w:rsidR="00D53806" w:rsidRPr="00B64BF5" w:rsidRDefault="00D53806" w:rsidP="00B64BF5">
      <w:pPr>
        <w:spacing w:after="0" w:line="240" w:lineRule="auto"/>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“[n]ão </w:t>
      </w:r>
      <w:r w:rsidRPr="00B64BF5">
        <w:rPr>
          <w:rFonts w:ascii="Cambria" w:hAnsi="Cambria"/>
          <w:sz w:val="16"/>
          <w:szCs w:val="16"/>
          <w:lang w:val="pt-BR"/>
        </w:rPr>
        <w:t>ha qualquer menção a existência de inquérito em que Vladimir Herzog tenha sido indiciado, ou mandato de prisão, a autoridade competente que o tenha expedido e mesmo a comunicação de prisão ao juiz competente”.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1129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Ação Declaratória</w:t>
      </w:r>
      <w:r w:rsidRPr="00B64BF5">
        <w:rPr>
          <w:rStyle w:val="Emphasis"/>
          <w:rFonts w:ascii="Cambria" w:hAnsi="Cambria" w:cs="Arial"/>
          <w:sz w:val="16"/>
          <w:szCs w:val="16"/>
          <w:lang w:val="pt-BR"/>
        </w:rPr>
        <w:t xml:space="preserve"> </w:t>
      </w:r>
      <w:r w:rsidRPr="00B64BF5">
        <w:rPr>
          <w:rFonts w:ascii="Cambria" w:hAnsi="Cambria"/>
          <w:sz w:val="16"/>
          <w:szCs w:val="16"/>
          <w:lang w:val="pt-BR"/>
        </w:rPr>
        <w:t>No. 136/76</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del 27 de octubre de 1978.</w:t>
      </w:r>
    </w:p>
  </w:footnote>
  <w:footnote w:id="198">
    <w:p w:rsidR="00D53806" w:rsidRPr="00B64BF5" w:rsidRDefault="00D53806" w:rsidP="00B64BF5">
      <w:pPr>
        <w:spacing w:after="0" w:line="240" w:lineRule="auto"/>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“[a] partir do momento em que o marido e pai dos As. </w:t>
      </w:r>
      <w:r w:rsidRPr="00B64BF5">
        <w:rPr>
          <w:rFonts w:ascii="Cambria" w:hAnsi="Cambria"/>
          <w:sz w:val="16"/>
          <w:szCs w:val="16"/>
          <w:lang w:val="pt-BR"/>
        </w:rPr>
        <w:t xml:space="preserve">[autores] foi ilegalmente preso nas dependências do DOI/CODI do II Exército, é isento de dúvidas que a União Federal assumiu a responsabilidade pela sua integridade </w:t>
      </w:r>
      <w:r w:rsidRPr="00B64BF5">
        <w:rPr>
          <w:rFonts w:ascii="Cambria" w:hAnsi="Cambria"/>
          <w:sz w:val="16"/>
          <w:szCs w:val="16"/>
          <w:lang w:val="pt-BR"/>
        </w:rPr>
        <w:t>física e moral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1130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Ação Declaratória</w:t>
      </w:r>
      <w:r w:rsidRPr="00B64BF5">
        <w:rPr>
          <w:rFonts w:ascii="Cambria" w:hAnsi="Cambria"/>
          <w:i/>
          <w:sz w:val="16"/>
          <w:szCs w:val="16"/>
          <w:lang w:val="pt-BR"/>
        </w:rPr>
        <w:t xml:space="preserve">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19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“[e]xistência de relação jurídica entre os As. [autores] e a R. [ré], consistente na obrigação deste indenizar aqueles pelos danos materiais e morais decorrentes da morte do jornalista Vladimir Herzog”.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1148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w:t>
      </w:r>
      <w:r w:rsidRPr="00B64BF5">
        <w:rPr>
          <w:rFonts w:ascii="Cambria" w:hAnsi="Cambria"/>
          <w:i/>
          <w:sz w:val="16"/>
          <w:szCs w:val="16"/>
          <w:lang w:val="pt-BR"/>
        </w:rPr>
        <w:t xml:space="preserve">. </w:t>
      </w:r>
      <w:r w:rsidRPr="00B64BF5">
        <w:rPr>
          <w:rFonts w:ascii="Cambria" w:hAnsi="Cambria"/>
          <w:sz w:val="16"/>
          <w:szCs w:val="16"/>
          <w:lang w:val="pt-BR"/>
        </w:rPr>
        <w:t>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20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1149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Ação Declaratória</w:t>
      </w:r>
      <w:r w:rsidRPr="00B64BF5">
        <w:rPr>
          <w:rFonts w:ascii="Cambria" w:hAnsi="Cambria"/>
          <w:i/>
          <w:sz w:val="16"/>
          <w:szCs w:val="16"/>
          <w:lang w:val="pt-BR"/>
        </w:rPr>
        <w:t xml:space="preserve">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27 de octubre de 1978.</w:t>
      </w:r>
    </w:p>
  </w:footnote>
  <w:footnote w:id="20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“[n]ão só em Vladimir Herzog, como em outros presos políticos nas dependências do DOI/CODI do II Exército”.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1145 –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Ação Declaratória</w:t>
      </w:r>
      <w:r w:rsidRPr="00B64BF5">
        <w:rPr>
          <w:rFonts w:ascii="Cambria" w:hAnsi="Cambria"/>
          <w:i/>
          <w:sz w:val="16"/>
          <w:szCs w:val="16"/>
          <w:lang w:val="pt-BR"/>
        </w:rPr>
        <w:t xml:space="preserve"> No. 136/76</w:t>
      </w:r>
      <w:r w:rsidRPr="00B64BF5">
        <w:rPr>
          <w:rStyle w:val="Emphasis"/>
          <w:rFonts w:ascii="Cambria" w:hAnsi="Cambria" w:cs="Arial"/>
          <w:i w:val="0"/>
          <w:sz w:val="16"/>
          <w:szCs w:val="16"/>
          <w:lang w:val="pt-BR"/>
        </w:rPr>
        <w:t>, del 27 de octubre de 1978.</w:t>
      </w:r>
    </w:p>
  </w:footnote>
  <w:footnote w:id="20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“[f]ora do campo da responsabilidade civil da R. (demandada), tem este Juízo a obrigação de informar ao Ministério Publico quanto a existência de crimes que lhe cheguem ao conhecimento em razão do oficio”.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1145 – Sentencia proferida en la</w:t>
      </w:r>
      <w:r w:rsidRPr="00B64BF5">
        <w:rPr>
          <w:rFonts w:ascii="Cambria" w:hAnsi="Cambria"/>
          <w:i/>
          <w:sz w:val="16"/>
          <w:szCs w:val="16"/>
          <w:lang w:val="pt-BR"/>
        </w:rPr>
        <w:t xml:space="preserve"> A</w:t>
      </w:r>
      <w:r w:rsidRPr="00B64BF5">
        <w:rPr>
          <w:rStyle w:val="Emphasis"/>
          <w:rFonts w:ascii="Cambria" w:hAnsi="Cambria" w:cs="Arial"/>
          <w:i w:val="0"/>
          <w:sz w:val="16"/>
          <w:szCs w:val="16"/>
          <w:lang w:val="pt-BR"/>
        </w:rPr>
        <w:t>cción Declaratoria</w:t>
      </w:r>
      <w:r w:rsidRPr="00B64BF5">
        <w:rPr>
          <w:rFonts w:ascii="Cambria" w:hAnsi="Cambria"/>
          <w:i/>
          <w:sz w:val="16"/>
          <w:szCs w:val="16"/>
          <w:lang w:val="pt-BR"/>
        </w:rPr>
        <w:t xml:space="preserve"> </w:t>
      </w:r>
      <w:r w:rsidRPr="00B64BF5">
        <w:rPr>
          <w:rFonts w:ascii="Cambria" w:hAnsi="Cambria"/>
          <w:sz w:val="16"/>
          <w:szCs w:val="16"/>
          <w:lang w:val="pt-BR"/>
        </w:rPr>
        <w:t>No. 136/76</w:t>
      </w:r>
      <w:r w:rsidRPr="00B64BF5">
        <w:rPr>
          <w:rStyle w:val="Emphasis"/>
          <w:rFonts w:ascii="Cambria" w:hAnsi="Cambria" w:cs="Arial"/>
          <w:i w:val="0"/>
          <w:sz w:val="16"/>
          <w:szCs w:val="16"/>
          <w:lang w:val="pt-BR"/>
        </w:rPr>
        <w:t>, del 27 de octubre de 1978.</w:t>
      </w:r>
    </w:p>
  </w:footnote>
  <w:footnote w:id="20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1149 – Sentencia proferida en la</w:t>
      </w:r>
      <w:r w:rsidRPr="00B64BF5">
        <w:rPr>
          <w:rFonts w:ascii="Cambria" w:hAnsi="Cambria"/>
          <w:i/>
          <w:sz w:val="16"/>
          <w:szCs w:val="16"/>
          <w:lang w:val="pt-BR"/>
        </w:rPr>
        <w:t xml:space="preserve"> A</w:t>
      </w:r>
      <w:r w:rsidRPr="00B64BF5">
        <w:rPr>
          <w:rStyle w:val="Emphasis"/>
          <w:rFonts w:ascii="Cambria" w:hAnsi="Cambria" w:cs="Arial"/>
          <w:i w:val="0"/>
          <w:sz w:val="16"/>
          <w:szCs w:val="16"/>
          <w:lang w:val="pt-BR"/>
        </w:rPr>
        <w:t>cción Declaratoria</w:t>
      </w:r>
      <w:r w:rsidRPr="00B64BF5">
        <w:rPr>
          <w:rFonts w:ascii="Cambria" w:hAnsi="Cambria"/>
          <w:i/>
          <w:sz w:val="16"/>
          <w:szCs w:val="16"/>
          <w:lang w:val="pt-BR"/>
        </w:rPr>
        <w:t xml:space="preserve"> No. 136/76</w:t>
      </w:r>
      <w:r w:rsidRPr="00B64BF5">
        <w:rPr>
          <w:rStyle w:val="Emphasis"/>
          <w:rFonts w:ascii="Cambria" w:hAnsi="Cambria" w:cs="Arial"/>
          <w:i w:val="0"/>
          <w:sz w:val="16"/>
          <w:szCs w:val="16"/>
          <w:lang w:val="pt-BR"/>
        </w:rPr>
        <w:t>, del 27 de octubre de 1978.</w:t>
      </w:r>
    </w:p>
  </w:footnote>
  <w:footnote w:id="20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4, fls. 725-743 – Apelación de la Unión Federal contra la Sentencia proferida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sz w:val="16"/>
          <w:szCs w:val="16"/>
          <w:lang w:val="pt-BR"/>
        </w:rPr>
        <w:t>,</w:t>
      </w:r>
      <w:r w:rsidRPr="00B64BF5">
        <w:rPr>
          <w:rStyle w:val="Emphasis"/>
          <w:rFonts w:ascii="Cambria" w:hAnsi="Cambria" w:cs="Arial"/>
          <w:i w:val="0"/>
          <w:sz w:val="16"/>
          <w:szCs w:val="16"/>
          <w:lang w:val="pt-BR"/>
        </w:rPr>
        <w:t xml:space="preserve"> del 17 de noviembre de 1978.</w:t>
      </w:r>
    </w:p>
  </w:footnote>
  <w:footnote w:id="20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4, fls. 744-779 –Contrarrazões ao recurso de apelação en la</w:t>
      </w:r>
      <w:r w:rsidRPr="00B64BF5">
        <w:rPr>
          <w:rFonts w:ascii="Cambria" w:hAnsi="Cambria"/>
          <w:i/>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i/>
          <w:sz w:val="16"/>
          <w:szCs w:val="16"/>
          <w:lang w:val="pt-BR"/>
        </w:rPr>
        <w:t>No. 136/76</w:t>
      </w:r>
      <w:r w:rsidRPr="00B64BF5">
        <w:rPr>
          <w:rStyle w:val="Emphasis"/>
          <w:rFonts w:ascii="Cambria" w:hAnsi="Cambria" w:cs="Arial"/>
          <w:i w:val="0"/>
          <w:sz w:val="16"/>
          <w:szCs w:val="16"/>
          <w:lang w:val="pt-BR"/>
        </w:rPr>
        <w:t>, del 14 de febrero de 1978.</w:t>
      </w:r>
    </w:p>
  </w:footnote>
  <w:footnote w:id="20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 xml:space="preserve">original: “[c]onsistente na obrigação desta indenizar aqueles danos decorrentes da morte do jornalista”. Tribunal Regional Federal da </w:t>
      </w:r>
      <w:r w:rsidRPr="00B64BF5">
        <w:rPr>
          <w:rStyle w:val="st1"/>
          <w:rFonts w:ascii="Cambria" w:hAnsi="Cambria" w:cs="Arial"/>
          <w:sz w:val="16"/>
          <w:szCs w:val="16"/>
          <w:lang w:val="pt-BR"/>
        </w:rPr>
        <w:t>3ª Regi</w:t>
      </w:r>
      <w:r w:rsidRPr="00B64BF5">
        <w:rPr>
          <w:rFonts w:ascii="Cambria" w:hAnsi="Cambria"/>
          <w:sz w:val="16"/>
          <w:szCs w:val="16"/>
          <w:lang w:val="pt-BR"/>
        </w:rPr>
        <w:t>ão</w:t>
      </w:r>
      <w:r w:rsidRPr="00B64BF5">
        <w:rPr>
          <w:rStyle w:val="st1"/>
          <w:rFonts w:ascii="Cambria" w:hAnsi="Cambria" w:cs="Arial"/>
          <w:sz w:val="16"/>
          <w:szCs w:val="16"/>
          <w:lang w:val="pt-BR"/>
        </w:rPr>
        <w:t xml:space="preserve">, </w:t>
      </w:r>
      <w:r w:rsidRPr="00B64BF5">
        <w:rPr>
          <w:rFonts w:ascii="Cambria" w:hAnsi="Cambria"/>
          <w:sz w:val="16"/>
          <w:szCs w:val="16"/>
          <w:lang w:val="pt-BR"/>
        </w:rPr>
        <w:t xml:space="preserve">Sentencia de los Embargos infringentes No. 89.03.7264-2, fls. 923, del 18 de mayo de 1994. </w:t>
      </w:r>
    </w:p>
  </w:footnote>
  <w:footnote w:id="20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“[t]ais indagações estarão mais adequadas dentro de uma ação ordinária de indenização, se desejada pelos autores”. Tribunal Regional Federal da </w:t>
      </w:r>
      <w:r w:rsidRPr="00B64BF5">
        <w:rPr>
          <w:rStyle w:val="st1"/>
          <w:rFonts w:ascii="Cambria" w:hAnsi="Cambria" w:cs="Arial"/>
          <w:sz w:val="16"/>
          <w:szCs w:val="16"/>
          <w:lang w:val="pt-BR"/>
        </w:rPr>
        <w:t xml:space="preserve">3ª </w:t>
      </w:r>
      <w:r w:rsidRPr="00B64BF5">
        <w:rPr>
          <w:rStyle w:val="st1"/>
          <w:rFonts w:ascii="Cambria" w:hAnsi="Cambria" w:cs="Arial"/>
          <w:sz w:val="16"/>
          <w:szCs w:val="16"/>
          <w:lang w:val="pt-BR"/>
        </w:rPr>
        <w:t>Regi</w:t>
      </w:r>
      <w:r w:rsidRPr="00B64BF5">
        <w:rPr>
          <w:rFonts w:ascii="Cambria" w:hAnsi="Cambria"/>
          <w:sz w:val="16"/>
          <w:szCs w:val="16"/>
          <w:lang w:val="pt-BR"/>
        </w:rPr>
        <w:t>ão</w:t>
      </w:r>
      <w:r w:rsidRPr="00B64BF5">
        <w:rPr>
          <w:rStyle w:val="st1"/>
          <w:rFonts w:ascii="Cambria" w:hAnsi="Cambria" w:cs="Arial"/>
          <w:sz w:val="16"/>
          <w:szCs w:val="16"/>
          <w:lang w:val="pt-BR"/>
        </w:rPr>
        <w:t xml:space="preserve">, </w:t>
      </w:r>
      <w:r w:rsidRPr="00B64BF5">
        <w:rPr>
          <w:rFonts w:ascii="Cambria" w:hAnsi="Cambria"/>
          <w:sz w:val="16"/>
          <w:szCs w:val="16"/>
          <w:lang w:val="pt-BR"/>
        </w:rPr>
        <w:t xml:space="preserve">Sentencia de los Embargos infringentes No. 89.03.7264-2, fls. 923, del 18 de mayo de 1994. </w:t>
      </w:r>
    </w:p>
  </w:footnote>
  <w:footnote w:id="20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Tribunal Regional Federal da </w:t>
      </w:r>
      <w:r w:rsidRPr="00B64BF5">
        <w:rPr>
          <w:rStyle w:val="st1"/>
          <w:rFonts w:ascii="Cambria" w:hAnsi="Cambria" w:cs="Arial"/>
          <w:sz w:val="16"/>
          <w:szCs w:val="16"/>
          <w:lang w:val="pt-BR"/>
        </w:rPr>
        <w:t xml:space="preserve">3ª </w:t>
      </w:r>
      <w:r w:rsidRPr="00B64BF5">
        <w:rPr>
          <w:rStyle w:val="st1"/>
          <w:rFonts w:ascii="Cambria" w:hAnsi="Cambria" w:cs="Arial"/>
          <w:sz w:val="16"/>
          <w:szCs w:val="16"/>
          <w:lang w:val="pt-BR"/>
        </w:rPr>
        <w:t>Regi</w:t>
      </w:r>
      <w:r w:rsidRPr="00B64BF5">
        <w:rPr>
          <w:rFonts w:ascii="Cambria" w:hAnsi="Cambria"/>
          <w:sz w:val="16"/>
          <w:szCs w:val="16"/>
          <w:lang w:val="pt-BR"/>
        </w:rPr>
        <w:t>ão</w:t>
      </w:r>
      <w:r w:rsidRPr="00B64BF5">
        <w:rPr>
          <w:rStyle w:val="st1"/>
          <w:rFonts w:ascii="Cambria" w:hAnsi="Cambria" w:cs="Arial"/>
          <w:sz w:val="16"/>
          <w:szCs w:val="16"/>
          <w:lang w:val="pt-BR"/>
        </w:rPr>
        <w:t xml:space="preserve">, </w:t>
      </w:r>
      <w:r w:rsidRPr="00B64BF5">
        <w:rPr>
          <w:rFonts w:ascii="Cambria" w:hAnsi="Cambria"/>
          <w:sz w:val="16"/>
          <w:szCs w:val="16"/>
          <w:lang w:val="pt-BR"/>
        </w:rPr>
        <w:t xml:space="preserve">Sentencia de los Embargos infringentes No. 89.03.7264-2, fls. 932, del 18 de mayo de 1994. </w:t>
      </w:r>
    </w:p>
  </w:footnote>
  <w:footnote w:id="20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Tribunal Regional Federal da </w:t>
      </w:r>
      <w:r w:rsidRPr="00B64BF5">
        <w:rPr>
          <w:rStyle w:val="st1"/>
          <w:rFonts w:ascii="Cambria" w:hAnsi="Cambria" w:cs="Arial"/>
          <w:sz w:val="16"/>
          <w:szCs w:val="16"/>
          <w:lang w:val="pt-BR"/>
        </w:rPr>
        <w:t xml:space="preserve">3ª </w:t>
      </w:r>
      <w:r w:rsidRPr="00B64BF5">
        <w:rPr>
          <w:rStyle w:val="st1"/>
          <w:rFonts w:ascii="Cambria" w:hAnsi="Cambria" w:cs="Arial"/>
          <w:sz w:val="16"/>
          <w:szCs w:val="16"/>
          <w:lang w:val="pt-BR"/>
        </w:rPr>
        <w:t>Regi</w:t>
      </w:r>
      <w:r w:rsidRPr="00B64BF5">
        <w:rPr>
          <w:rFonts w:ascii="Cambria" w:hAnsi="Cambria"/>
          <w:sz w:val="16"/>
          <w:szCs w:val="16"/>
          <w:lang w:val="pt-BR"/>
        </w:rPr>
        <w:t>ão</w:t>
      </w:r>
      <w:r w:rsidRPr="00B64BF5">
        <w:rPr>
          <w:rStyle w:val="st1"/>
          <w:rFonts w:ascii="Cambria" w:hAnsi="Cambria" w:cs="Arial"/>
          <w:sz w:val="16"/>
          <w:szCs w:val="16"/>
          <w:lang w:val="pt-BR"/>
        </w:rPr>
        <w:t xml:space="preserve">, </w:t>
      </w:r>
      <w:r w:rsidRPr="00B64BF5">
        <w:rPr>
          <w:rFonts w:ascii="Cambria" w:hAnsi="Cambria"/>
          <w:sz w:val="16"/>
          <w:szCs w:val="16"/>
          <w:lang w:val="pt-BR"/>
        </w:rPr>
        <w:t xml:space="preserve">Sentencia de los Embargos infringentes No. 89.03.7264-2, fls 923, del 18 de mayo de 1994. </w:t>
      </w:r>
    </w:p>
  </w:footnote>
  <w:footnote w:id="210">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pt-BR"/>
        </w:rPr>
        <w:t xml:space="preserve"> Extrato de andamento processual disponível no Portal do Tribunal Regional Federal da </w:t>
      </w:r>
      <w:r w:rsidRPr="00B64BF5">
        <w:rPr>
          <w:rStyle w:val="st1"/>
          <w:rFonts w:ascii="Cambria" w:hAnsi="Cambria" w:cs="Arial"/>
          <w:sz w:val="16"/>
          <w:szCs w:val="16"/>
          <w:lang w:val="pt-BR"/>
        </w:rPr>
        <w:t>3ª Regi</w:t>
      </w:r>
      <w:r w:rsidRPr="00B64BF5">
        <w:rPr>
          <w:rFonts w:ascii="Cambria" w:hAnsi="Cambria"/>
          <w:sz w:val="16"/>
          <w:szCs w:val="16"/>
          <w:lang w:val="pt-BR"/>
        </w:rPr>
        <w:t xml:space="preserve">ão. </w:t>
      </w:r>
      <w:r w:rsidRPr="00B64BF5">
        <w:rPr>
          <w:rFonts w:ascii="Cambria" w:hAnsi="Cambria"/>
          <w:sz w:val="16"/>
          <w:szCs w:val="16"/>
          <w:lang w:val="es-ES"/>
        </w:rPr>
        <w:t xml:space="preserve">Proceso No. 89.03.7264-2. Disponible en: </w:t>
      </w:r>
      <w:hyperlink r:id="rId1" w:history="1">
        <w:r w:rsidRPr="00B64BF5">
          <w:rPr>
            <w:rStyle w:val="Hyperlink"/>
            <w:rFonts w:ascii="Cambria" w:hAnsi="Cambria"/>
            <w:sz w:val="16"/>
            <w:szCs w:val="16"/>
            <w:lang w:val="es-ES"/>
          </w:rPr>
          <w:t>www.trf3.jus.br</w:t>
        </w:r>
      </w:hyperlink>
      <w:r w:rsidRPr="00B64BF5">
        <w:rPr>
          <w:rFonts w:ascii="Cambria" w:hAnsi="Cambria"/>
          <w:sz w:val="16"/>
          <w:szCs w:val="16"/>
          <w:lang w:val="es-ES"/>
        </w:rPr>
        <w:t xml:space="preserve"> </w:t>
      </w:r>
    </w:p>
  </w:footnote>
  <w:footnote w:id="21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es-ES"/>
        </w:rPr>
        <w:t xml:space="preserve"> Registrado en la Sala Penal con el No. 704/92. </w:t>
      </w:r>
      <w:r w:rsidRPr="00B64BF5">
        <w:rPr>
          <w:rFonts w:ascii="Cambria" w:hAnsi="Cambria"/>
          <w:i/>
          <w:sz w:val="16"/>
          <w:szCs w:val="16"/>
          <w:lang w:val="pt-BR"/>
        </w:rPr>
        <w:t>Cf</w:t>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968.</w:t>
      </w:r>
      <w:r w:rsidRPr="00B64BF5">
        <w:rPr>
          <w:rStyle w:val="Emphasis"/>
          <w:rFonts w:ascii="Cambria" w:hAnsi="Cambria" w:cs="Arial"/>
          <w:sz w:val="16"/>
          <w:szCs w:val="16"/>
          <w:lang w:val="pt-BR"/>
        </w:rPr>
        <w:t xml:space="preserve"> </w:t>
      </w:r>
    </w:p>
  </w:footnote>
  <w:footnote w:id="212">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 xml:space="preserve">2008.61.81.013434-2, Justiça Federal – São Paulo, Volume 5, fls. 974, Representação de Hélio Bicudo, del 27 de abril de 1992; Revista “Isto é Senhor”, reportaje “Eu, </w:t>
      </w:r>
      <w:r w:rsidRPr="00B64BF5">
        <w:rPr>
          <w:rStyle w:val="Emphasis"/>
          <w:rFonts w:ascii="Cambria" w:hAnsi="Cambria" w:cs="Arial"/>
          <w:i w:val="0"/>
          <w:sz w:val="16"/>
          <w:szCs w:val="16"/>
          <w:lang w:val="pt-BR"/>
        </w:rPr>
        <w:t>Capitão Ramiro, interroguei Herzog”, edición del 25 de marzo de 1992.</w:t>
      </w:r>
    </w:p>
  </w:footnote>
  <w:footnote w:id="213">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Revista </w:t>
      </w:r>
      <w:r w:rsidRPr="00B64BF5">
        <w:rPr>
          <w:rFonts w:ascii="Cambria" w:hAnsi="Cambria"/>
          <w:sz w:val="16"/>
          <w:szCs w:val="16"/>
          <w:lang w:val="pt-BR"/>
        </w:rPr>
        <w:t xml:space="preserve">“Isto é Senhor”, reportaje “Eu, </w:t>
      </w:r>
      <w:r w:rsidRPr="00B64BF5">
        <w:rPr>
          <w:rStyle w:val="Emphasis"/>
          <w:rFonts w:ascii="Cambria" w:hAnsi="Cambria" w:cs="Arial"/>
          <w:i w:val="0"/>
          <w:sz w:val="16"/>
          <w:szCs w:val="16"/>
          <w:lang w:val="pt-BR"/>
        </w:rPr>
        <w:t xml:space="preserve">Capitão Ramiro, interroguei Herzog”, edición del 25 de marzo de 1992. </w:t>
      </w:r>
    </w:p>
  </w:footnote>
  <w:footnote w:id="214">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 xml:space="preserve">2008.61.81.013434-2, Justiça Federal – São Paulo, Volume 5, fls. 974/982, Representação de Hélio Bicudo, del 27 de abril de 1992; Revista “Isto é Senhor”, reportaje “Eu, </w:t>
      </w:r>
      <w:r w:rsidRPr="00B64BF5">
        <w:rPr>
          <w:rStyle w:val="Emphasis"/>
          <w:rFonts w:ascii="Cambria" w:hAnsi="Cambria" w:cs="Arial"/>
          <w:i w:val="0"/>
          <w:sz w:val="16"/>
          <w:szCs w:val="16"/>
          <w:lang w:val="pt-BR"/>
        </w:rPr>
        <w:t>Capitão Ramiro, interroguei Herzog”, edición del 25 de marzo de 1992.</w:t>
      </w:r>
    </w:p>
  </w:footnote>
  <w:footnote w:id="215">
    <w:p w:rsidR="00D53806" w:rsidRPr="00E7240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“[o] único policial </w:t>
      </w:r>
      <w:r w:rsidRPr="00B64BF5">
        <w:rPr>
          <w:rFonts w:ascii="Cambria" w:hAnsi="Cambria"/>
          <w:sz w:val="16"/>
          <w:szCs w:val="16"/>
          <w:lang w:val="pt-BR"/>
        </w:rPr>
        <w:t xml:space="preserve">que interrogou [V]ladimir Herzog no DOI-Codi, o único a conversar com ele naquele dia. Ninguém está mais forte e diretamente envolvido na morte de Herzog do que eu”. Revista “Isto é Senhor”, reportaje “Eu, </w:t>
      </w:r>
      <w:r w:rsidRPr="00B64BF5">
        <w:rPr>
          <w:rStyle w:val="Emphasis"/>
          <w:rFonts w:ascii="Cambria" w:hAnsi="Cambria" w:cs="Arial"/>
          <w:i w:val="0"/>
          <w:sz w:val="16"/>
          <w:szCs w:val="16"/>
          <w:lang w:val="pt-BR"/>
        </w:rPr>
        <w:t xml:space="preserve">Capitão Ramiro, interroguei Herzog”, edición del 25 </w:t>
      </w:r>
      <w:r w:rsidRPr="00E72405">
        <w:rPr>
          <w:rStyle w:val="Emphasis"/>
          <w:rFonts w:ascii="Cambria" w:hAnsi="Cambria" w:cs="Arial"/>
          <w:i w:val="0"/>
          <w:sz w:val="16"/>
          <w:szCs w:val="16"/>
          <w:lang w:val="pt-BR"/>
        </w:rPr>
        <w:t>de marzo de 1992.</w:t>
      </w:r>
    </w:p>
  </w:footnote>
  <w:footnote w:id="216">
    <w:p w:rsidR="00D53806" w:rsidRPr="00E72405" w:rsidRDefault="00D53806" w:rsidP="00B64BF5">
      <w:pPr>
        <w:pStyle w:val="FootnoteText"/>
        <w:ind w:firstLine="720"/>
        <w:jc w:val="both"/>
        <w:rPr>
          <w:rFonts w:ascii="Cambria" w:hAnsi="Cambria"/>
          <w:i/>
          <w:sz w:val="16"/>
          <w:szCs w:val="16"/>
          <w:lang w:val="pt-BR"/>
        </w:rPr>
      </w:pPr>
      <w:r w:rsidRPr="00E72405">
        <w:rPr>
          <w:rStyle w:val="FootnoteReference"/>
          <w:rFonts w:ascii="Cambria" w:hAnsi="Cambria"/>
          <w:sz w:val="16"/>
          <w:szCs w:val="16"/>
        </w:rPr>
        <w:footnoteRef/>
      </w:r>
      <w:r w:rsidRPr="00E72405">
        <w:rPr>
          <w:rFonts w:ascii="Cambria" w:hAnsi="Cambria"/>
          <w:sz w:val="16"/>
          <w:szCs w:val="16"/>
          <w:lang w:val="pt-BR"/>
        </w:rPr>
        <w:t xml:space="preserve"> Texto original: “[U]m dos melhores métodos de interrogatório é não deixar a pessoa dormir, estressa-la o tempo todo, porque assim ela perde a defesa (…). Modéstia a parte, eu sou muito bom nisso. Já escrevi apostilas sobre técnicas de interrogatório que foram distribuídas entre meus colegas. (...) A gente só partia para os conformes com os terroristas, porque também sem pressão não se tira nada de ninguém”. </w:t>
      </w:r>
      <w:r w:rsidRPr="00E72405">
        <w:rPr>
          <w:rFonts w:ascii="Cambria" w:hAnsi="Cambria"/>
          <w:sz w:val="16"/>
          <w:szCs w:val="16"/>
          <w:lang w:val="pt-BR"/>
        </w:rPr>
        <w:t xml:space="preserve">Revista </w:t>
      </w:r>
      <w:r w:rsidRPr="00E72405">
        <w:rPr>
          <w:rFonts w:ascii="Cambria" w:hAnsi="Cambria"/>
          <w:sz w:val="16"/>
          <w:szCs w:val="16"/>
          <w:lang w:val="pt-BR"/>
        </w:rPr>
        <w:t xml:space="preserve">“Isto é Senhor”, reportaje “Eu, </w:t>
      </w:r>
      <w:r w:rsidRPr="00E72405">
        <w:rPr>
          <w:rStyle w:val="Emphasis"/>
          <w:rFonts w:ascii="Cambria" w:hAnsi="Cambria" w:cs="Arial"/>
          <w:i w:val="0"/>
          <w:sz w:val="16"/>
          <w:szCs w:val="16"/>
          <w:lang w:val="pt-BR"/>
        </w:rPr>
        <w:t>Capitão Ramiro, interroguei Herzog”, edición del 25 de marzo de 1992.</w:t>
      </w:r>
      <w:r w:rsidRPr="00E72405">
        <w:rPr>
          <w:rFonts w:ascii="Cambria" w:hAnsi="Cambria"/>
          <w:i/>
          <w:sz w:val="16"/>
          <w:szCs w:val="16"/>
          <w:lang w:val="pt-BR"/>
        </w:rPr>
        <w:t xml:space="preserve"> </w:t>
      </w:r>
    </w:p>
  </w:footnote>
  <w:footnote w:id="217">
    <w:p w:rsidR="00D53806" w:rsidRPr="00B64BF5" w:rsidRDefault="00D53806" w:rsidP="00B64BF5">
      <w:pPr>
        <w:pStyle w:val="FootnoteText"/>
        <w:ind w:firstLine="720"/>
        <w:jc w:val="both"/>
        <w:rPr>
          <w:rFonts w:ascii="Cambria" w:hAnsi="Cambria"/>
          <w:sz w:val="16"/>
          <w:szCs w:val="16"/>
          <w:lang w:val="pt-BR"/>
        </w:rPr>
      </w:pPr>
      <w:r w:rsidRPr="00E72405">
        <w:rPr>
          <w:rStyle w:val="FootnoteReference"/>
          <w:rFonts w:ascii="Cambria" w:hAnsi="Cambria"/>
          <w:sz w:val="16"/>
          <w:szCs w:val="16"/>
        </w:rPr>
        <w:footnoteRef/>
      </w:r>
      <w:r w:rsidRPr="00E72405">
        <w:rPr>
          <w:rFonts w:ascii="Cambria" w:hAnsi="Cambria"/>
          <w:sz w:val="16"/>
          <w:szCs w:val="16"/>
          <w:lang w:val="pt-BR"/>
        </w:rPr>
        <w:t xml:space="preserve"> Proceso </w:t>
      </w:r>
      <w:r w:rsidRPr="00E72405">
        <w:rPr>
          <w:rFonts w:ascii="Cambria" w:hAnsi="Cambria"/>
          <w:sz w:val="16"/>
          <w:szCs w:val="16"/>
          <w:lang w:val="pt-BR"/>
        </w:rPr>
        <w:t xml:space="preserve">No. </w:t>
      </w:r>
      <w:r w:rsidRPr="00E72405">
        <w:rPr>
          <w:rFonts w:ascii="Cambria" w:hAnsi="Cambria"/>
          <w:sz w:val="16"/>
          <w:szCs w:val="16"/>
          <w:lang w:val="pt-BR"/>
        </w:rPr>
        <w:t>2008.61.81.013434-2, Justiça Federal – São Paulo, Volume 5, fls. 1150/1153, Requisição do Ministério Publico para abertura de Inquérito Policial, del 4 de mayo de 1992.</w:t>
      </w:r>
      <w:r w:rsidRPr="00B64BF5">
        <w:rPr>
          <w:rFonts w:ascii="Cambria" w:hAnsi="Cambria"/>
          <w:sz w:val="16"/>
          <w:szCs w:val="16"/>
          <w:lang w:val="pt-BR"/>
        </w:rPr>
        <w:t xml:space="preserve"> </w:t>
      </w:r>
    </w:p>
  </w:footnote>
  <w:footnote w:id="218">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5, fls. 874/875– Declaración de Clarice Herzog en el Inquérito Policial No 704/92, del 28 de mayo de 1992. </w:t>
      </w:r>
    </w:p>
  </w:footnote>
  <w:footnote w:id="219">
    <w:p w:rsidR="00D53806" w:rsidRPr="00B64BF5" w:rsidRDefault="00D53806" w:rsidP="00B64BF5">
      <w:pPr>
        <w:spacing w:after="0" w:line="240" w:lineRule="auto"/>
        <w:ind w:firstLine="720"/>
        <w:jc w:val="both"/>
        <w:rPr>
          <w:rFonts w:ascii="Cambria" w:hAnsi="Cambria" w:cs="Arial"/>
          <w:bCs/>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5, fls. 891– Declaración de George Benigno Jatahy Duque Estrada en el Inquérito Policial No 704/92, del 3 de junio de 1992. </w:t>
      </w:r>
    </w:p>
  </w:footnote>
  <w:footnote w:id="220">
    <w:p w:rsidR="00D53806" w:rsidRPr="00B64BF5" w:rsidRDefault="00D53806" w:rsidP="00B64BF5">
      <w:pPr>
        <w:spacing w:after="0" w:line="240" w:lineRule="auto"/>
        <w:ind w:firstLine="720"/>
        <w:jc w:val="both"/>
        <w:rPr>
          <w:rFonts w:ascii="Cambria" w:hAnsi="Cambria" w:cs="Arial"/>
          <w:bCs/>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889 – Declaración de Rodolfo Osvaldo Konder en el Inquérito Policial No 704/92, del 3 de junio de 1992.</w:t>
      </w:r>
    </w:p>
  </w:footnote>
  <w:footnote w:id="221">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918– Declaración de Anthony Jorge Andrade de Christo en el Inquérito Policial No 704/92, del 3 de junio de 1992.</w:t>
      </w:r>
    </w:p>
  </w:footnote>
  <w:footnote w:id="222">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901– Declaración de Luis Fernando Passo Correia de Sá en el Inquérito Policial No 704/92, del 9 de junio de 1992.</w:t>
      </w:r>
    </w:p>
  </w:footnote>
  <w:footnote w:id="223">
    <w:p w:rsidR="00D53806" w:rsidRPr="00B64BF5" w:rsidRDefault="00D53806" w:rsidP="00B64BF5">
      <w:pPr>
        <w:pStyle w:val="FootnoteText"/>
        <w:ind w:firstLine="720"/>
        <w:jc w:val="both"/>
        <w:rPr>
          <w:rFonts w:ascii="Cambria" w:hAnsi="Cambria"/>
          <w:i/>
          <w:sz w:val="16"/>
          <w:szCs w:val="16"/>
          <w:highlight w:val="cyan"/>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916– Declaración de Luiz Weis en el Inquérito Policial No 704/92, del 3 de junio de 1992.</w:t>
      </w:r>
    </w:p>
  </w:footnote>
  <w:footnote w:id="224">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898– Declaración de Antonio Carlos Prado Ribeiro en el Inquérito Policial No 704/92, del 9 de junio de 1992.</w:t>
      </w:r>
    </w:p>
  </w:footnote>
  <w:footnote w:id="225">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921, Declaración de Paulo Sergio Markun en el Inquérito Policial No 704/92, del 30 de junio de 1992.</w:t>
      </w:r>
    </w:p>
  </w:footnote>
  <w:footnote w:id="22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876/879 – Declaración de Maria Amélia de Almeida Teles e Ivan Akselrud de Seixas en el Inquérito Policial No 704/92, del 28 de mayo de 1992.</w:t>
      </w:r>
    </w:p>
  </w:footnote>
  <w:footnote w:id="227">
    <w:p w:rsidR="00D53806" w:rsidRPr="00B64BF5" w:rsidRDefault="00D53806" w:rsidP="00B64BF5">
      <w:pPr>
        <w:pStyle w:val="FootnoteText"/>
        <w:ind w:firstLine="720"/>
        <w:jc w:val="both"/>
        <w:rPr>
          <w:rFonts w:ascii="Cambria" w:hAnsi="Cambria"/>
          <w:i/>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“[s]ubmetido a reconhecimento pessoal por parte das mencionadas testemunhas”.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865 – Requisição de oitiva de Pedro Mira Grancieri en el Inquérito Policial No 704/92, del 11 de mayo de 1992.</w:t>
      </w:r>
    </w:p>
  </w:footnote>
  <w:footnote w:id="22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6, fls. 1168 – Certidão confirmando que Pedro Mira Grancieri no se presentaría a la policía para rendir declaraciones, del 24 de agosto de 1992.</w:t>
      </w:r>
    </w:p>
  </w:footnote>
  <w:footnote w:id="229">
    <w:p w:rsidR="00D53806" w:rsidRPr="00B64BF5" w:rsidRDefault="00D53806" w:rsidP="00B64BF5">
      <w:pPr>
        <w:pStyle w:val="FootnoteText"/>
        <w:ind w:firstLine="720"/>
        <w:jc w:val="both"/>
        <w:rPr>
          <w:rFonts w:ascii="Cambria" w:hAnsi="Cambria"/>
          <w:sz w:val="16"/>
          <w:szCs w:val="16"/>
          <w:highlight w:val="yellow"/>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5, fls. 968-969, Informaciones presentadas por el Juez Juvenal José Duarte, del 30 de julio de 1992.</w:t>
      </w:r>
      <w:r w:rsidRPr="00B64BF5">
        <w:rPr>
          <w:rStyle w:val="Emphasis"/>
          <w:rFonts w:ascii="Cambria" w:hAnsi="Cambria" w:cs="Arial"/>
          <w:sz w:val="16"/>
          <w:szCs w:val="16"/>
          <w:lang w:val="pt-BR"/>
        </w:rPr>
        <w:t xml:space="preserve"> </w:t>
      </w:r>
    </w:p>
  </w:footnote>
  <w:footnote w:id="23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Habeas Corpus a </w:t>
      </w:r>
      <w:r w:rsidRPr="00B64BF5">
        <w:rPr>
          <w:rFonts w:ascii="Cambria" w:hAnsi="Cambria"/>
          <w:sz w:val="16"/>
          <w:szCs w:val="16"/>
          <w:lang w:val="pt-BR"/>
        </w:rPr>
        <w:t xml:space="preserve">favor de Pedro Antonio Mira Grancieri No. </w:t>
      </w:r>
      <w:r w:rsidRPr="00B64BF5">
        <w:rPr>
          <w:rFonts w:ascii="Cambria" w:hAnsi="Cambria"/>
          <w:sz w:val="16"/>
          <w:szCs w:val="16"/>
          <w:lang w:val="pt-BR"/>
        </w:rPr>
        <w:t xml:space="preserve">131.798/3-4-SP, del 21 de julio de 1992. </w:t>
      </w:r>
    </w:p>
  </w:footnote>
  <w:footnote w:id="23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6, fls. 1191/1198, Sentencia en el juicio de habeas corpus No 131.798/3-4-SP, del 13 de octubre de 1992.</w:t>
      </w:r>
    </w:p>
  </w:footnote>
  <w:footnote w:id="23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6, fls. 1208, Recurso Especial contra la Sentencia en el juicio de habeas corpus, del 28 de enero de 1993</w:t>
      </w:r>
    </w:p>
  </w:footnote>
  <w:footnote w:id="23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6, fls. 1232/1242, Sentencia del Superior Tribunal de Justicia, en el Recurso Especial No. 33.782-7-SP, del 18 de agosto de 1993.</w:t>
      </w:r>
      <w:r w:rsidRPr="00B64BF5">
        <w:rPr>
          <w:rStyle w:val="Emphasis"/>
          <w:rFonts w:ascii="Cambria" w:hAnsi="Cambria" w:cs="Arial"/>
          <w:sz w:val="16"/>
          <w:szCs w:val="16"/>
          <w:lang w:val="pt-BR"/>
        </w:rPr>
        <w:t xml:space="preserve"> </w:t>
      </w:r>
    </w:p>
  </w:footnote>
  <w:footnote w:id="23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w:t>
      </w:r>
      <w:r w:rsidRPr="00B64BF5">
        <w:rPr>
          <w:rFonts w:ascii="Cambria" w:hAnsi="Cambria" w:cs="Arial"/>
          <w:sz w:val="16"/>
          <w:szCs w:val="16"/>
          <w:lang w:val="pt-BR"/>
        </w:rPr>
        <w:t xml:space="preserve">c]omo mortas pessoas desaparecidas em razão de participação, ou acusação de participação, em atividades políticas, no período de 2 de setembro de 1961 a 15 de agosto de 197[9]”. Brasil. </w:t>
      </w:r>
      <w:r w:rsidRPr="00B64BF5">
        <w:rPr>
          <w:rFonts w:ascii="Cambria" w:hAnsi="Cambria"/>
          <w:sz w:val="16"/>
          <w:szCs w:val="16"/>
          <w:lang w:val="pt-BR"/>
        </w:rPr>
        <w:t xml:space="preserve">Presidência da República. Ley No. 9.140 del 4 de diciembre de 1995. </w:t>
      </w:r>
    </w:p>
  </w:footnote>
  <w:footnote w:id="235">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del artículo 4</w:t>
      </w:r>
      <w:r w:rsidRPr="00B64BF5">
        <w:rPr>
          <w:rFonts w:ascii="Cambria" w:hAnsi="Cambria" w:cs="Arial"/>
          <w:sz w:val="16"/>
          <w:szCs w:val="16"/>
          <w:lang w:val="pt-BR"/>
        </w:rPr>
        <w:t>º</w:t>
      </w:r>
      <w:r w:rsidRPr="00B64BF5">
        <w:rPr>
          <w:rFonts w:ascii="Cambria" w:hAnsi="Cambria"/>
          <w:sz w:val="16"/>
          <w:szCs w:val="16"/>
          <w:lang w:val="pt-BR"/>
        </w:rPr>
        <w:t xml:space="preserve">, inciso I, alínea b, de la Ley 9.140/95: “I. Proceder ao reconhecimento de pessoas: [...] b) que, por terem participado, ou por terem sido acusadas de participação, em atividades politicas, no período de 2 de setembro de 1961 a 15 de agosto de 1979, tenham falecido, por causas não naturais, em dependências policiais ou assemelhadas.” </w:t>
      </w:r>
      <w:r w:rsidRPr="00B64BF5">
        <w:rPr>
          <w:rFonts w:ascii="Cambria" w:hAnsi="Cambria"/>
          <w:sz w:val="16"/>
          <w:szCs w:val="16"/>
          <w:lang w:val="es-CO"/>
        </w:rPr>
        <w:t xml:space="preserve">Brasil. </w:t>
      </w:r>
      <w:proofErr w:type="spellStart"/>
      <w:r w:rsidRPr="00B64BF5">
        <w:rPr>
          <w:rFonts w:ascii="Cambria" w:hAnsi="Cambria"/>
          <w:sz w:val="16"/>
          <w:szCs w:val="16"/>
          <w:lang w:val="es-CO"/>
        </w:rPr>
        <w:t>Presidência</w:t>
      </w:r>
      <w:proofErr w:type="spellEnd"/>
      <w:r w:rsidRPr="00B64BF5">
        <w:rPr>
          <w:rFonts w:ascii="Cambria" w:hAnsi="Cambria"/>
          <w:sz w:val="16"/>
          <w:szCs w:val="16"/>
          <w:lang w:val="es-CO"/>
        </w:rPr>
        <w:t xml:space="preserve"> da República. Ley No. 9.140, artículo 4</w:t>
      </w:r>
      <w:r w:rsidRPr="00B64BF5">
        <w:rPr>
          <w:rFonts w:ascii="Cambria" w:hAnsi="Cambria" w:cs="Arial"/>
          <w:sz w:val="16"/>
          <w:szCs w:val="16"/>
          <w:lang w:val="es-CO"/>
        </w:rPr>
        <w:t>º</w:t>
      </w:r>
      <w:r w:rsidRPr="00B64BF5">
        <w:rPr>
          <w:rFonts w:ascii="Cambria" w:hAnsi="Cambria"/>
          <w:sz w:val="16"/>
          <w:szCs w:val="16"/>
          <w:lang w:val="es-CO"/>
        </w:rPr>
        <w:t xml:space="preserve">, I, b, del 4 de diciembre de 1995. </w:t>
      </w:r>
      <w:r w:rsidRPr="00B64BF5">
        <w:rPr>
          <w:rFonts w:ascii="Cambria" w:hAnsi="Cambria"/>
          <w:sz w:val="16"/>
          <w:szCs w:val="16"/>
          <w:lang w:val="es-ES"/>
        </w:rPr>
        <w:t xml:space="preserve">Es pertinente mencionar que referida Ley posteriormente fue modificada por la Ley 10.536/2002 y por la Ley 10.875/2004. </w:t>
      </w:r>
    </w:p>
  </w:footnote>
  <w:footnote w:id="236">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“[p]ara fins de pagamento de indenização prevista no art. 11 da mesma Lei No. 9.140/95”. </w:t>
      </w:r>
      <w:r w:rsidRPr="00B64BF5">
        <w:rPr>
          <w:rFonts w:ascii="Cambria" w:hAnsi="Cambria"/>
          <w:sz w:val="16"/>
          <w:szCs w:val="16"/>
          <w:lang w:val="es-ES"/>
        </w:rPr>
        <w:t xml:space="preserve">Solicitud de </w:t>
      </w:r>
      <w:proofErr w:type="spellStart"/>
      <w:r w:rsidRPr="00B64BF5">
        <w:rPr>
          <w:rFonts w:ascii="Cambria" w:hAnsi="Cambria"/>
          <w:sz w:val="16"/>
          <w:szCs w:val="16"/>
          <w:lang w:val="es-ES"/>
        </w:rPr>
        <w:t>Clarice</w:t>
      </w:r>
      <w:proofErr w:type="spellEnd"/>
      <w:r w:rsidRPr="00B64BF5">
        <w:rPr>
          <w:rFonts w:ascii="Cambria" w:hAnsi="Cambria"/>
          <w:sz w:val="16"/>
          <w:szCs w:val="16"/>
          <w:lang w:val="es-ES"/>
        </w:rPr>
        <w:t xml:space="preserve"> </w:t>
      </w:r>
      <w:proofErr w:type="spellStart"/>
      <w:r w:rsidRPr="00B64BF5">
        <w:rPr>
          <w:rFonts w:ascii="Cambria" w:hAnsi="Cambria"/>
          <w:sz w:val="16"/>
          <w:szCs w:val="16"/>
          <w:lang w:val="es-ES"/>
        </w:rPr>
        <w:t>Herzog</w:t>
      </w:r>
      <w:proofErr w:type="spellEnd"/>
      <w:r w:rsidRPr="00B64BF5">
        <w:rPr>
          <w:rFonts w:ascii="Cambria" w:hAnsi="Cambria"/>
          <w:sz w:val="16"/>
          <w:szCs w:val="16"/>
          <w:lang w:val="es-ES"/>
        </w:rPr>
        <w:t xml:space="preserve"> ante la </w:t>
      </w:r>
      <w:proofErr w:type="spellStart"/>
      <w:r w:rsidRPr="00B64BF5">
        <w:rPr>
          <w:rFonts w:ascii="Cambria" w:hAnsi="Cambria"/>
          <w:sz w:val="16"/>
          <w:szCs w:val="16"/>
          <w:lang w:val="es-ES"/>
        </w:rPr>
        <w:t>Comissão</w:t>
      </w:r>
      <w:proofErr w:type="spellEnd"/>
      <w:r w:rsidRPr="00B64BF5">
        <w:rPr>
          <w:rFonts w:ascii="Cambria" w:hAnsi="Cambria"/>
          <w:sz w:val="16"/>
          <w:szCs w:val="16"/>
          <w:lang w:val="es-ES"/>
        </w:rPr>
        <w:t xml:space="preserve"> Especial sobre </w:t>
      </w:r>
      <w:proofErr w:type="spellStart"/>
      <w:r w:rsidRPr="00B64BF5">
        <w:rPr>
          <w:rFonts w:ascii="Cambria" w:hAnsi="Cambria"/>
          <w:sz w:val="16"/>
          <w:szCs w:val="16"/>
          <w:lang w:val="es-ES"/>
        </w:rPr>
        <w:t>Mortos</w:t>
      </w:r>
      <w:proofErr w:type="spellEnd"/>
      <w:r w:rsidRPr="00B64BF5">
        <w:rPr>
          <w:rFonts w:ascii="Cambria" w:hAnsi="Cambria"/>
          <w:sz w:val="16"/>
          <w:szCs w:val="16"/>
          <w:lang w:val="es-ES"/>
        </w:rPr>
        <w:t xml:space="preserve"> e Desaparecidos Políticos, </w:t>
      </w:r>
      <w:proofErr w:type="spellStart"/>
      <w:r w:rsidRPr="00B64BF5">
        <w:rPr>
          <w:rFonts w:ascii="Cambria" w:hAnsi="Cambria"/>
          <w:sz w:val="16"/>
          <w:szCs w:val="16"/>
          <w:lang w:val="es-ES"/>
        </w:rPr>
        <w:t>fls</w:t>
      </w:r>
      <w:proofErr w:type="spellEnd"/>
      <w:r w:rsidRPr="00B64BF5">
        <w:rPr>
          <w:rFonts w:ascii="Cambria" w:hAnsi="Cambria"/>
          <w:sz w:val="16"/>
          <w:szCs w:val="16"/>
          <w:lang w:val="es-ES"/>
        </w:rPr>
        <w:t xml:space="preserve">. 6, del 28 de febrero de 1996. </w:t>
      </w:r>
    </w:p>
  </w:footnote>
  <w:footnote w:id="237">
    <w:p w:rsidR="00D53806" w:rsidRPr="00B64BF5" w:rsidRDefault="00D53806" w:rsidP="00B64BF5">
      <w:pPr>
        <w:spacing w:after="0" w:line="240" w:lineRule="auto"/>
        <w:ind w:firstLine="720"/>
        <w:jc w:val="both"/>
        <w:rPr>
          <w:rFonts w:ascii="Cambria" w:hAnsi="Cambria" w:cs="Arial"/>
          <w:bCs/>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b/>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Verdade: Comissão Especial sobre Mortos e Desaparecidos Políticos. Brasília, Secretaria Especial dos Direitos Humanos, fls. 408, 2007.</w:t>
      </w:r>
      <w:r w:rsidRPr="00B64BF5">
        <w:rPr>
          <w:rStyle w:val="Emphasis"/>
          <w:rFonts w:ascii="Cambria" w:hAnsi="Cambria" w:cs="Arial"/>
          <w:sz w:val="16"/>
          <w:szCs w:val="16"/>
          <w:lang w:val="pt-BR"/>
        </w:rPr>
        <w:t xml:space="preserve"> </w:t>
      </w:r>
    </w:p>
  </w:footnote>
  <w:footnote w:id="23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D53806">
        <w:rPr>
          <w:rFonts w:ascii="Cambria" w:hAnsi="Cambria"/>
          <w:sz w:val="16"/>
          <w:szCs w:val="16"/>
          <w:lang w:val="pt-BR"/>
        </w:rPr>
        <w:t xml:space="preserve"> </w:t>
      </w:r>
      <w:r w:rsidRPr="00D53806">
        <w:rPr>
          <w:rFonts w:ascii="Cambria" w:hAnsi="Cambria"/>
          <w:sz w:val="16"/>
          <w:szCs w:val="16"/>
          <w:lang w:val="pt-BR"/>
        </w:rPr>
        <w:t xml:space="preserve">Comunicación del Estado brasileño de agosto de 2015, párr. </w:t>
      </w:r>
      <w:r w:rsidRPr="00B64BF5">
        <w:rPr>
          <w:rFonts w:ascii="Cambria" w:hAnsi="Cambria"/>
          <w:sz w:val="16"/>
          <w:szCs w:val="16"/>
          <w:lang w:val="pt-BR"/>
        </w:rPr>
        <w:t xml:space="preserve">10. </w:t>
      </w:r>
    </w:p>
  </w:footnote>
  <w:footnote w:id="239">
    <w:p w:rsidR="00D53806" w:rsidRPr="00E72405" w:rsidRDefault="00D53806" w:rsidP="00B64BF5">
      <w:pPr>
        <w:spacing w:after="0" w:line="240" w:lineRule="auto"/>
        <w:ind w:firstLine="720"/>
        <w:jc w:val="both"/>
        <w:rPr>
          <w:rFonts w:ascii="Cambria" w:hAnsi="Cambria" w:cs="Arial"/>
          <w:bCs/>
          <w:sz w:val="16"/>
          <w:szCs w:val="16"/>
          <w:lang w:val="pt-BR"/>
        </w:rPr>
      </w:pPr>
      <w:r w:rsidRPr="00B64BF5">
        <w:rPr>
          <w:rStyle w:val="FootnoteReference"/>
          <w:rFonts w:ascii="Cambria" w:hAnsi="Cambria"/>
          <w:sz w:val="16"/>
          <w:szCs w:val="16"/>
        </w:rPr>
        <w:footnoteRef/>
      </w:r>
      <w:r w:rsidRPr="00B64BF5">
        <w:rPr>
          <w:rStyle w:val="Emphasis"/>
          <w:rFonts w:ascii="Cambria" w:hAnsi="Cambria" w:cs="Arial"/>
          <w:i w:val="0"/>
          <w:sz w:val="16"/>
          <w:szCs w:val="16"/>
          <w:lang w:val="pt-BR"/>
        </w:rPr>
        <w:t>Brasil. Presidência da República. Secretaria Especial dos Direitos Humanos. Direito</w:t>
      </w:r>
      <w:r w:rsidRPr="00B64BF5">
        <w:rPr>
          <w:rStyle w:val="st1"/>
          <w:rFonts w:ascii="Cambria" w:hAnsi="Cambria" w:cs="Arial"/>
          <w:b/>
          <w:i/>
          <w:sz w:val="16"/>
          <w:szCs w:val="16"/>
          <w:lang w:val="pt-BR"/>
        </w:rPr>
        <w:t xml:space="preserve"> </w:t>
      </w:r>
      <w:r w:rsidRPr="00B64BF5">
        <w:rPr>
          <w:rStyle w:val="st1"/>
          <w:rFonts w:ascii="Cambria" w:hAnsi="Cambria" w:cs="Arial"/>
          <w:i/>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Memória e</w:t>
      </w:r>
      <w:r w:rsidRPr="00B64BF5">
        <w:rPr>
          <w:rStyle w:val="st1"/>
          <w:rFonts w:ascii="Cambria" w:hAnsi="Cambria" w:cs="Arial"/>
          <w:i/>
          <w:sz w:val="16"/>
          <w:szCs w:val="16"/>
          <w:lang w:val="pt-BR"/>
        </w:rPr>
        <w:t xml:space="preserve"> </w:t>
      </w:r>
      <w:r w:rsidRPr="00B64BF5">
        <w:rPr>
          <w:rStyle w:val="st1"/>
          <w:rFonts w:ascii="Cambria" w:hAnsi="Cambria" w:cs="Arial"/>
          <w:sz w:val="16"/>
          <w:szCs w:val="16"/>
          <w:lang w:val="pt-BR"/>
        </w:rPr>
        <w:t>à</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 xml:space="preserve">Verdade: Comissão Especial sobre Mortos e </w:t>
      </w:r>
      <w:r w:rsidRPr="00E72405">
        <w:rPr>
          <w:rStyle w:val="Emphasis"/>
          <w:rFonts w:ascii="Cambria" w:hAnsi="Cambria" w:cs="Arial"/>
          <w:i w:val="0"/>
          <w:sz w:val="16"/>
          <w:szCs w:val="16"/>
          <w:lang w:val="pt-BR"/>
        </w:rPr>
        <w:t>Desaparecidos Políticos. Brasília, Secretaria Especial dos Direitos Humanos, 2007.</w:t>
      </w:r>
      <w:r w:rsidRPr="00E72405">
        <w:rPr>
          <w:rStyle w:val="Emphasis"/>
          <w:rFonts w:ascii="Cambria" w:hAnsi="Cambria" w:cs="Arial"/>
          <w:sz w:val="16"/>
          <w:szCs w:val="16"/>
          <w:lang w:val="pt-BR"/>
        </w:rPr>
        <w:t xml:space="preserve"> </w:t>
      </w:r>
    </w:p>
  </w:footnote>
  <w:footnote w:id="240">
    <w:p w:rsidR="00D53806" w:rsidRPr="00E72405" w:rsidRDefault="00D53806" w:rsidP="00B64BF5">
      <w:pPr>
        <w:autoSpaceDE w:val="0"/>
        <w:autoSpaceDN w:val="0"/>
        <w:adjustRightInd w:val="0"/>
        <w:spacing w:after="0" w:line="240" w:lineRule="auto"/>
        <w:ind w:firstLine="720"/>
        <w:jc w:val="both"/>
        <w:rPr>
          <w:rFonts w:ascii="Cambria" w:hAnsi="Cambria" w:cs="AgfaRotisSansSerif"/>
          <w:sz w:val="16"/>
          <w:szCs w:val="16"/>
          <w:lang w:val="es-UY"/>
        </w:rPr>
      </w:pPr>
      <w:r w:rsidRPr="00E72405">
        <w:rPr>
          <w:rStyle w:val="FootnoteReference"/>
          <w:rFonts w:ascii="Cambria" w:hAnsi="Cambria"/>
          <w:sz w:val="16"/>
          <w:szCs w:val="16"/>
        </w:rPr>
        <w:footnoteRef/>
      </w:r>
      <w:r w:rsidRPr="00E72405">
        <w:rPr>
          <w:rFonts w:ascii="Cambria" w:hAnsi="Cambria"/>
          <w:sz w:val="16"/>
          <w:szCs w:val="16"/>
          <w:lang w:val="pt-BR"/>
        </w:rPr>
        <w:t xml:space="preserve"> </w:t>
      </w:r>
      <w:r w:rsidRPr="00E72405">
        <w:rPr>
          <w:rFonts w:ascii="Cambria" w:hAnsi="Cambria"/>
          <w:sz w:val="16"/>
          <w:szCs w:val="16"/>
          <w:lang w:val="pt-BR"/>
        </w:rPr>
        <w:t>Texto original: “</w:t>
      </w:r>
      <w:r w:rsidRPr="00E72405">
        <w:rPr>
          <w:rFonts w:ascii="Cambria" w:hAnsi="Cambria" w:cs="AgfaRotisSansSerif"/>
          <w:sz w:val="16"/>
          <w:szCs w:val="16"/>
          <w:lang w:val="pt-BR"/>
        </w:rPr>
        <w:t xml:space="preserve">Em 25 de outubro de 1975, o jornalista Vladimir Herzog foi assassinado sob torturas no DOI-CODI de São Paul[o]”. </w:t>
      </w:r>
      <w:r w:rsidRPr="00E72405">
        <w:rPr>
          <w:rStyle w:val="Emphasis"/>
          <w:rFonts w:ascii="Cambria" w:hAnsi="Cambria" w:cs="Arial"/>
          <w:i w:val="0"/>
          <w:sz w:val="16"/>
          <w:szCs w:val="16"/>
          <w:lang w:val="pt-BR"/>
        </w:rPr>
        <w:t>Brasil. Presidência da República. Secretaria Especial dos Direitos Humanos. Direito</w:t>
      </w:r>
      <w:r w:rsidRPr="00E72405">
        <w:rPr>
          <w:rStyle w:val="st1"/>
          <w:rFonts w:ascii="Cambria" w:hAnsi="Cambria" w:cs="Arial"/>
          <w:b/>
          <w:i/>
          <w:sz w:val="16"/>
          <w:szCs w:val="16"/>
          <w:lang w:val="pt-BR"/>
        </w:rPr>
        <w:t xml:space="preserve"> </w:t>
      </w:r>
      <w:r w:rsidRPr="00E72405">
        <w:rPr>
          <w:rStyle w:val="st1"/>
          <w:rFonts w:ascii="Cambria" w:hAnsi="Cambria" w:cs="Arial"/>
          <w:i/>
          <w:sz w:val="16"/>
          <w:szCs w:val="16"/>
          <w:lang w:val="pt-BR"/>
        </w:rPr>
        <w:t>à</w:t>
      </w:r>
      <w:r w:rsidRPr="00E72405">
        <w:rPr>
          <w:rStyle w:val="st1"/>
          <w:rFonts w:ascii="Cambria" w:hAnsi="Cambria" w:cs="Arial"/>
          <w:b/>
          <w:i/>
          <w:sz w:val="16"/>
          <w:szCs w:val="16"/>
          <w:lang w:val="pt-BR"/>
        </w:rPr>
        <w:t xml:space="preserve"> </w:t>
      </w:r>
      <w:r w:rsidRPr="00E72405">
        <w:rPr>
          <w:rStyle w:val="Emphasis"/>
          <w:rFonts w:ascii="Cambria" w:hAnsi="Cambria" w:cs="Arial"/>
          <w:i w:val="0"/>
          <w:sz w:val="16"/>
          <w:szCs w:val="16"/>
          <w:lang w:val="pt-BR"/>
        </w:rPr>
        <w:t>Memória e</w:t>
      </w:r>
      <w:r w:rsidRPr="00E72405">
        <w:rPr>
          <w:rStyle w:val="st1"/>
          <w:rFonts w:ascii="Cambria" w:hAnsi="Cambria" w:cs="Arial"/>
          <w:b/>
          <w:i/>
          <w:sz w:val="16"/>
          <w:szCs w:val="16"/>
          <w:lang w:val="pt-BR"/>
        </w:rPr>
        <w:t xml:space="preserve"> </w:t>
      </w:r>
      <w:r w:rsidRPr="00E72405">
        <w:rPr>
          <w:rStyle w:val="st1"/>
          <w:rFonts w:ascii="Cambria" w:hAnsi="Cambria" w:cs="Arial"/>
          <w:sz w:val="16"/>
          <w:szCs w:val="16"/>
          <w:lang w:val="pt-BR"/>
        </w:rPr>
        <w:t>à</w:t>
      </w:r>
      <w:r w:rsidRPr="00E72405">
        <w:rPr>
          <w:rStyle w:val="st1"/>
          <w:rFonts w:ascii="Cambria" w:hAnsi="Cambria" w:cs="Arial"/>
          <w:b/>
          <w:i/>
          <w:sz w:val="16"/>
          <w:szCs w:val="16"/>
          <w:lang w:val="pt-BR"/>
        </w:rPr>
        <w:t xml:space="preserve"> </w:t>
      </w:r>
      <w:r w:rsidRPr="00E72405">
        <w:rPr>
          <w:rStyle w:val="Emphasis"/>
          <w:rFonts w:ascii="Cambria" w:hAnsi="Cambria" w:cs="Arial"/>
          <w:i w:val="0"/>
          <w:sz w:val="16"/>
          <w:szCs w:val="16"/>
          <w:lang w:val="pt-BR"/>
        </w:rPr>
        <w:t xml:space="preserve">Verdade: Comissão Especial sobre Mortos e Desaparecidos Políticos. </w:t>
      </w:r>
      <w:proofErr w:type="spellStart"/>
      <w:r w:rsidRPr="00E72405">
        <w:rPr>
          <w:rStyle w:val="Emphasis"/>
          <w:rFonts w:ascii="Cambria" w:hAnsi="Cambria" w:cs="Arial"/>
          <w:i w:val="0"/>
          <w:sz w:val="16"/>
          <w:szCs w:val="16"/>
          <w:lang w:val="es-UY"/>
        </w:rPr>
        <w:t>Brasília</w:t>
      </w:r>
      <w:proofErr w:type="spellEnd"/>
      <w:r w:rsidRPr="00E72405">
        <w:rPr>
          <w:rStyle w:val="Emphasis"/>
          <w:rFonts w:ascii="Cambria" w:hAnsi="Cambria" w:cs="Arial"/>
          <w:i w:val="0"/>
          <w:sz w:val="16"/>
          <w:szCs w:val="16"/>
          <w:lang w:val="es-UY"/>
        </w:rPr>
        <w:t xml:space="preserve">, Secretaria Especial dos </w:t>
      </w:r>
      <w:proofErr w:type="spellStart"/>
      <w:r w:rsidRPr="00E72405">
        <w:rPr>
          <w:rStyle w:val="Emphasis"/>
          <w:rFonts w:ascii="Cambria" w:hAnsi="Cambria" w:cs="Arial"/>
          <w:i w:val="0"/>
          <w:sz w:val="16"/>
          <w:szCs w:val="16"/>
          <w:lang w:val="es-UY"/>
        </w:rPr>
        <w:t>Direitos</w:t>
      </w:r>
      <w:proofErr w:type="spellEnd"/>
      <w:r w:rsidRPr="00E72405">
        <w:rPr>
          <w:rStyle w:val="Emphasis"/>
          <w:rFonts w:ascii="Cambria" w:hAnsi="Cambria" w:cs="Arial"/>
          <w:i w:val="0"/>
          <w:sz w:val="16"/>
          <w:szCs w:val="16"/>
          <w:lang w:val="es-UY"/>
        </w:rPr>
        <w:t xml:space="preserve"> Humanos, </w:t>
      </w:r>
      <w:proofErr w:type="spellStart"/>
      <w:r w:rsidRPr="00E72405">
        <w:rPr>
          <w:rStyle w:val="Emphasis"/>
          <w:rFonts w:ascii="Cambria" w:hAnsi="Cambria" w:cs="Arial"/>
          <w:i w:val="0"/>
          <w:sz w:val="16"/>
          <w:szCs w:val="16"/>
          <w:lang w:val="es-UY"/>
        </w:rPr>
        <w:t>fls</w:t>
      </w:r>
      <w:proofErr w:type="spellEnd"/>
      <w:r w:rsidRPr="00E72405">
        <w:rPr>
          <w:rStyle w:val="Emphasis"/>
          <w:rFonts w:ascii="Cambria" w:hAnsi="Cambria" w:cs="Arial"/>
          <w:i w:val="0"/>
          <w:sz w:val="16"/>
          <w:szCs w:val="16"/>
          <w:lang w:val="es-UY"/>
        </w:rPr>
        <w:t>. 27, 2007.</w:t>
      </w:r>
    </w:p>
  </w:footnote>
  <w:footnote w:id="241">
    <w:p w:rsidR="00D53806" w:rsidRPr="00E72405" w:rsidRDefault="00D53806" w:rsidP="00B64BF5">
      <w:pPr>
        <w:pStyle w:val="FootnoteText"/>
        <w:ind w:firstLine="720"/>
        <w:jc w:val="both"/>
        <w:rPr>
          <w:rFonts w:ascii="Cambria" w:hAnsi="Cambria"/>
          <w:sz w:val="16"/>
          <w:szCs w:val="16"/>
          <w:lang w:val="es-UY"/>
        </w:rPr>
      </w:pPr>
      <w:r w:rsidRPr="00E72405">
        <w:rPr>
          <w:rStyle w:val="FootnoteReference"/>
          <w:rFonts w:ascii="Cambria" w:hAnsi="Cambria"/>
          <w:sz w:val="16"/>
          <w:szCs w:val="16"/>
        </w:rPr>
        <w:footnoteRef/>
      </w:r>
      <w:r w:rsidRPr="00E72405">
        <w:rPr>
          <w:rFonts w:ascii="Cambria" w:hAnsi="Cambria"/>
          <w:sz w:val="16"/>
          <w:szCs w:val="16"/>
          <w:lang w:val="es-UY"/>
        </w:rPr>
        <w:t xml:space="preserve"> El procedimiento fue inicialmente </w:t>
      </w:r>
      <w:proofErr w:type="spellStart"/>
      <w:r w:rsidRPr="00E72405">
        <w:rPr>
          <w:rFonts w:ascii="Cambria" w:hAnsi="Cambria"/>
          <w:sz w:val="16"/>
          <w:szCs w:val="16"/>
          <w:lang w:val="es-UY"/>
        </w:rPr>
        <w:t>autuado</w:t>
      </w:r>
      <w:proofErr w:type="spellEnd"/>
      <w:r w:rsidRPr="00E72405">
        <w:rPr>
          <w:rFonts w:ascii="Cambria" w:hAnsi="Cambria"/>
          <w:sz w:val="16"/>
          <w:szCs w:val="16"/>
          <w:lang w:val="es-UY"/>
        </w:rPr>
        <w:t xml:space="preserve"> en el Ministerio Público Federal como “</w:t>
      </w:r>
      <w:proofErr w:type="spellStart"/>
      <w:r w:rsidRPr="00E72405">
        <w:rPr>
          <w:rFonts w:ascii="Cambria" w:hAnsi="Cambria"/>
          <w:sz w:val="16"/>
          <w:szCs w:val="16"/>
          <w:lang w:val="es-UY"/>
        </w:rPr>
        <w:t>Peças</w:t>
      </w:r>
      <w:proofErr w:type="spellEnd"/>
      <w:r w:rsidRPr="00E72405">
        <w:rPr>
          <w:rFonts w:ascii="Cambria" w:hAnsi="Cambria"/>
          <w:sz w:val="16"/>
          <w:szCs w:val="16"/>
          <w:lang w:val="es-UY"/>
        </w:rPr>
        <w:t xml:space="preserve"> de </w:t>
      </w:r>
      <w:proofErr w:type="spellStart"/>
      <w:r w:rsidRPr="00E72405">
        <w:rPr>
          <w:rFonts w:ascii="Cambria" w:hAnsi="Cambria"/>
          <w:sz w:val="16"/>
          <w:szCs w:val="16"/>
          <w:lang w:val="es-UY"/>
        </w:rPr>
        <w:t>Informaç</w:t>
      </w:r>
      <w:r w:rsidRPr="00E72405">
        <w:rPr>
          <w:rStyle w:val="Emphasis"/>
          <w:rFonts w:ascii="Cambria" w:hAnsi="Cambria" w:cs="Arial"/>
          <w:sz w:val="16"/>
          <w:szCs w:val="16"/>
          <w:lang w:val="es-UY"/>
        </w:rPr>
        <w:t>ão</w:t>
      </w:r>
      <w:proofErr w:type="spellEnd"/>
      <w:r w:rsidRPr="00E72405">
        <w:rPr>
          <w:rFonts w:ascii="Cambria" w:hAnsi="Cambria"/>
          <w:sz w:val="16"/>
          <w:szCs w:val="16"/>
          <w:lang w:val="es-UY"/>
        </w:rPr>
        <w:t>” No. 1.34.001.001574/2008-17.</w:t>
      </w:r>
    </w:p>
  </w:footnote>
  <w:footnote w:id="242">
    <w:p w:rsidR="00D53806" w:rsidRPr="00E72405" w:rsidRDefault="00D53806" w:rsidP="00B64BF5">
      <w:pPr>
        <w:pStyle w:val="FootnoteText"/>
        <w:ind w:firstLine="720"/>
        <w:jc w:val="both"/>
        <w:rPr>
          <w:rFonts w:ascii="Cambria" w:hAnsi="Cambria" w:cs="Arial"/>
          <w:sz w:val="16"/>
          <w:szCs w:val="16"/>
          <w:lang w:val="es-ES"/>
        </w:rPr>
      </w:pPr>
      <w:r w:rsidRPr="00E72405">
        <w:rPr>
          <w:rStyle w:val="FootnoteReference"/>
          <w:rFonts w:ascii="Cambria" w:hAnsi="Cambria"/>
          <w:sz w:val="16"/>
          <w:szCs w:val="16"/>
        </w:rPr>
        <w:footnoteRef/>
      </w:r>
      <w:r w:rsidRPr="00E72405">
        <w:rPr>
          <w:rFonts w:ascii="Cambria" w:hAnsi="Cambria"/>
          <w:sz w:val="16"/>
          <w:szCs w:val="16"/>
          <w:lang w:val="es-ES"/>
        </w:rPr>
        <w:t xml:space="preserve"> </w:t>
      </w:r>
      <w:proofErr w:type="spellStart"/>
      <w:r w:rsidRPr="00E72405">
        <w:rPr>
          <w:rFonts w:ascii="Cambria" w:hAnsi="Cambria"/>
          <w:sz w:val="16"/>
          <w:szCs w:val="16"/>
          <w:lang w:val="es-ES"/>
        </w:rPr>
        <w:t>Representação</w:t>
      </w:r>
      <w:proofErr w:type="spellEnd"/>
      <w:r w:rsidRPr="00E72405">
        <w:rPr>
          <w:rFonts w:ascii="Cambria" w:hAnsi="Cambria"/>
          <w:sz w:val="16"/>
          <w:szCs w:val="16"/>
          <w:lang w:val="es-ES"/>
        </w:rPr>
        <w:t>: s</w:t>
      </w:r>
      <w:r w:rsidRPr="00E72405">
        <w:rPr>
          <w:rFonts w:ascii="Cambria" w:hAnsi="Cambria" w:cs="Arial"/>
          <w:sz w:val="16"/>
          <w:szCs w:val="16"/>
          <w:lang w:val="es-ES"/>
        </w:rPr>
        <w:t xml:space="preserve">ignifica dirigirse, por escrito, al </w:t>
      </w:r>
      <w:proofErr w:type="spellStart"/>
      <w:r w:rsidRPr="00E72405">
        <w:rPr>
          <w:rFonts w:ascii="Cambria" w:hAnsi="Cambria" w:cs="Arial"/>
          <w:sz w:val="16"/>
          <w:szCs w:val="16"/>
          <w:lang w:val="es-ES"/>
        </w:rPr>
        <w:t>Ministério</w:t>
      </w:r>
      <w:proofErr w:type="spellEnd"/>
      <w:r w:rsidRPr="00E72405">
        <w:rPr>
          <w:rFonts w:ascii="Cambria" w:hAnsi="Cambria" w:cs="Arial"/>
          <w:sz w:val="16"/>
          <w:szCs w:val="16"/>
          <w:lang w:val="es-ES"/>
        </w:rPr>
        <w:t xml:space="preserve"> Público (Procurador de Justicia, en los estados; Procurador de la Republica, en el ámbito del Ministerio Público Federal), con el objeto de denunciar hechos relacionados con el alcance de las actividades del Ministerio Publico, y solicitar el inicio de una investigación. </w:t>
      </w:r>
    </w:p>
  </w:footnote>
  <w:footnote w:id="243">
    <w:p w:rsidR="00D53806" w:rsidRPr="00B64BF5" w:rsidRDefault="00D53806" w:rsidP="00B64BF5">
      <w:pPr>
        <w:pStyle w:val="FootnoteText"/>
        <w:ind w:firstLine="720"/>
        <w:jc w:val="both"/>
        <w:rPr>
          <w:rFonts w:ascii="Cambria" w:hAnsi="Cambria"/>
          <w:sz w:val="16"/>
          <w:szCs w:val="16"/>
          <w:lang w:val="es-ES"/>
        </w:rPr>
      </w:pPr>
      <w:r w:rsidRPr="00E72405">
        <w:rPr>
          <w:rStyle w:val="FootnoteReference"/>
          <w:rFonts w:ascii="Cambria" w:hAnsi="Cambria"/>
          <w:sz w:val="16"/>
          <w:szCs w:val="16"/>
        </w:rPr>
        <w:footnoteRef/>
      </w:r>
      <w:r w:rsidRPr="00E72405">
        <w:rPr>
          <w:rFonts w:ascii="Cambria" w:hAnsi="Cambria"/>
          <w:sz w:val="16"/>
          <w:szCs w:val="16"/>
          <w:lang w:val="es-ES"/>
        </w:rPr>
        <w:t xml:space="preserve"> </w:t>
      </w:r>
      <w:proofErr w:type="spellStart"/>
      <w:r w:rsidRPr="00E72405">
        <w:rPr>
          <w:rFonts w:ascii="Cambria" w:hAnsi="Cambria"/>
          <w:sz w:val="16"/>
          <w:szCs w:val="16"/>
          <w:lang w:val="es-ES"/>
        </w:rPr>
        <w:t>Representação</w:t>
      </w:r>
      <w:proofErr w:type="spellEnd"/>
      <w:r w:rsidRPr="00E72405">
        <w:rPr>
          <w:rFonts w:ascii="Cambria" w:hAnsi="Cambria"/>
          <w:sz w:val="16"/>
          <w:szCs w:val="16"/>
          <w:lang w:val="es-ES"/>
        </w:rPr>
        <w:t xml:space="preserve"> de Fabio </w:t>
      </w:r>
      <w:proofErr w:type="spellStart"/>
      <w:r w:rsidRPr="00E72405">
        <w:rPr>
          <w:rFonts w:ascii="Cambria" w:hAnsi="Cambria"/>
          <w:sz w:val="16"/>
          <w:szCs w:val="16"/>
          <w:lang w:val="es-ES"/>
        </w:rPr>
        <w:t>Konder</w:t>
      </w:r>
      <w:proofErr w:type="spellEnd"/>
      <w:r w:rsidRPr="00E72405">
        <w:rPr>
          <w:rFonts w:ascii="Cambria" w:hAnsi="Cambria"/>
          <w:sz w:val="16"/>
          <w:szCs w:val="16"/>
          <w:lang w:val="es-ES"/>
        </w:rPr>
        <w:t xml:space="preserve"> </w:t>
      </w:r>
      <w:proofErr w:type="spellStart"/>
      <w:r w:rsidRPr="00E72405">
        <w:rPr>
          <w:rFonts w:ascii="Cambria" w:hAnsi="Cambria"/>
          <w:sz w:val="16"/>
          <w:szCs w:val="16"/>
          <w:lang w:val="es-ES"/>
        </w:rPr>
        <w:t>Comparato</w:t>
      </w:r>
      <w:proofErr w:type="spellEnd"/>
      <w:r w:rsidRPr="00E72405">
        <w:rPr>
          <w:rFonts w:ascii="Cambria" w:hAnsi="Cambria"/>
          <w:sz w:val="16"/>
          <w:szCs w:val="16"/>
          <w:lang w:val="es-ES"/>
        </w:rPr>
        <w:t xml:space="preserve"> a la Procuraduría de la Republica en </w:t>
      </w:r>
      <w:r w:rsidRPr="00E72405">
        <w:rPr>
          <w:rStyle w:val="Emphasis"/>
          <w:rFonts w:ascii="Cambria" w:hAnsi="Cambria" w:cs="Arial"/>
          <w:sz w:val="16"/>
          <w:szCs w:val="16"/>
          <w:lang w:val="es-ES"/>
        </w:rPr>
        <w:t xml:space="preserve">São Paulo, </w:t>
      </w:r>
      <w:r w:rsidRPr="00E72405">
        <w:rPr>
          <w:rFonts w:ascii="Cambria" w:hAnsi="Cambria"/>
          <w:sz w:val="16"/>
          <w:szCs w:val="16"/>
          <w:lang w:val="es-ES"/>
        </w:rPr>
        <w:t>de fecha 19 de noviembre de 2007.</w:t>
      </w:r>
      <w:r w:rsidRPr="00B64BF5">
        <w:rPr>
          <w:rFonts w:ascii="Cambria" w:hAnsi="Cambria"/>
          <w:sz w:val="16"/>
          <w:szCs w:val="16"/>
          <w:lang w:val="es-ES"/>
        </w:rPr>
        <w:t xml:space="preserve"> </w:t>
      </w:r>
    </w:p>
  </w:footnote>
  <w:footnote w:id="24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6B64E9">
        <w:rPr>
          <w:rFonts w:ascii="Cambria" w:hAnsi="Cambria"/>
          <w:sz w:val="16"/>
          <w:szCs w:val="16"/>
          <w:lang w:val="es-ES"/>
        </w:rPr>
        <w:t xml:space="preserve"> Texto original: “[a]</w:t>
      </w:r>
      <w:proofErr w:type="spellStart"/>
      <w:r w:rsidRPr="006B64E9">
        <w:rPr>
          <w:rFonts w:ascii="Cambria" w:hAnsi="Cambria"/>
          <w:sz w:val="16"/>
          <w:szCs w:val="16"/>
          <w:lang w:val="es-ES"/>
        </w:rPr>
        <w:t>busos</w:t>
      </w:r>
      <w:proofErr w:type="spellEnd"/>
      <w:r w:rsidRPr="006B64E9">
        <w:rPr>
          <w:rFonts w:ascii="Cambria" w:hAnsi="Cambria"/>
          <w:sz w:val="16"/>
          <w:szCs w:val="16"/>
          <w:lang w:val="es-ES"/>
        </w:rPr>
        <w:t xml:space="preserve"> e </w:t>
      </w:r>
      <w:proofErr w:type="spellStart"/>
      <w:r w:rsidRPr="006B64E9">
        <w:rPr>
          <w:rFonts w:ascii="Cambria" w:hAnsi="Cambria"/>
          <w:sz w:val="16"/>
          <w:szCs w:val="16"/>
          <w:lang w:val="es-ES"/>
        </w:rPr>
        <w:t>atos</w:t>
      </w:r>
      <w:proofErr w:type="spellEnd"/>
      <w:r w:rsidRPr="006B64E9">
        <w:rPr>
          <w:rFonts w:ascii="Cambria" w:hAnsi="Cambria"/>
          <w:sz w:val="16"/>
          <w:szCs w:val="16"/>
          <w:lang w:val="es-ES"/>
        </w:rPr>
        <w:t xml:space="preserve"> criminosos contra opositores políticos </w:t>
      </w:r>
      <w:proofErr w:type="spellStart"/>
      <w:r w:rsidRPr="006B64E9">
        <w:rPr>
          <w:rFonts w:ascii="Cambria" w:hAnsi="Cambria"/>
          <w:sz w:val="16"/>
          <w:szCs w:val="16"/>
          <w:lang w:val="es-ES"/>
        </w:rPr>
        <w:t>ao</w:t>
      </w:r>
      <w:proofErr w:type="spellEnd"/>
      <w:r w:rsidRPr="006B64E9">
        <w:rPr>
          <w:rFonts w:ascii="Cambria" w:hAnsi="Cambria"/>
          <w:sz w:val="16"/>
          <w:szCs w:val="16"/>
          <w:lang w:val="es-ES"/>
        </w:rPr>
        <w:t xml:space="preserve"> </w:t>
      </w:r>
      <w:proofErr w:type="spellStart"/>
      <w:r w:rsidRPr="006B64E9">
        <w:rPr>
          <w:rFonts w:ascii="Cambria" w:hAnsi="Cambria"/>
          <w:sz w:val="16"/>
          <w:szCs w:val="16"/>
          <w:lang w:val="es-ES"/>
        </w:rPr>
        <w:t>regim</w:t>
      </w:r>
      <w:proofErr w:type="spellEnd"/>
      <w:r w:rsidRPr="006B64E9">
        <w:rPr>
          <w:rFonts w:ascii="Cambria" w:hAnsi="Cambria"/>
          <w:sz w:val="16"/>
          <w:szCs w:val="16"/>
          <w:lang w:val="es-ES"/>
        </w:rPr>
        <w:t xml:space="preserve">[e]”.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p>
  </w:footnote>
  <w:footnote w:id="245">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pt-BR"/>
        </w:rPr>
        <w:t xml:space="preserve"> Proceso </w:t>
      </w:r>
      <w:r w:rsidRPr="00B64BF5">
        <w:rPr>
          <w:rFonts w:ascii="Cambria" w:hAnsi="Cambria"/>
          <w:sz w:val="16"/>
          <w:szCs w:val="16"/>
          <w:lang w:val="pt-BR"/>
        </w:rPr>
        <w:t xml:space="preserve">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7, fls. 1279, Oficio No GABPR12-EAGF/SP-000109/2008, del 5 de marzo de 2008.</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es-ES"/>
        </w:rPr>
        <w:t xml:space="preserve">Federal - São Paulo, </w:t>
      </w:r>
      <w:proofErr w:type="spellStart"/>
      <w:r w:rsidRPr="00B64BF5">
        <w:rPr>
          <w:rStyle w:val="Emphasis"/>
          <w:rFonts w:ascii="Cambria" w:hAnsi="Cambria" w:cs="Arial"/>
          <w:i w:val="0"/>
          <w:sz w:val="16"/>
          <w:szCs w:val="16"/>
          <w:lang w:val="es-ES"/>
        </w:rPr>
        <w:t>Volume</w:t>
      </w:r>
      <w:proofErr w:type="spellEnd"/>
      <w:r w:rsidRPr="00B64BF5">
        <w:rPr>
          <w:rStyle w:val="Emphasis"/>
          <w:rFonts w:ascii="Cambria" w:hAnsi="Cambria" w:cs="Arial"/>
          <w:i w:val="0"/>
          <w:sz w:val="16"/>
          <w:szCs w:val="16"/>
          <w:lang w:val="es-ES"/>
        </w:rPr>
        <w:t xml:space="preserve"> 7, </w:t>
      </w:r>
      <w:proofErr w:type="spellStart"/>
      <w:r w:rsidRPr="00B64BF5">
        <w:rPr>
          <w:rStyle w:val="Emphasis"/>
          <w:rFonts w:ascii="Cambria" w:hAnsi="Cambria" w:cs="Arial"/>
          <w:i w:val="0"/>
          <w:sz w:val="16"/>
          <w:szCs w:val="16"/>
          <w:lang w:val="es-ES"/>
        </w:rPr>
        <w:t>fls</w:t>
      </w:r>
      <w:proofErr w:type="spellEnd"/>
      <w:r w:rsidRPr="00B64BF5">
        <w:rPr>
          <w:rStyle w:val="Emphasis"/>
          <w:rFonts w:ascii="Cambria" w:hAnsi="Cambria" w:cs="Arial"/>
          <w:i w:val="0"/>
          <w:sz w:val="16"/>
          <w:szCs w:val="16"/>
          <w:lang w:val="es-ES"/>
        </w:rPr>
        <w:t>. 1279, Oficio No GABPR12-EAGF/SP-000109/2008, del 5 de marzo de 2008.</w:t>
      </w:r>
      <w:r w:rsidRPr="00B64BF5">
        <w:rPr>
          <w:rStyle w:val="Emphasis"/>
          <w:rFonts w:ascii="Cambria" w:hAnsi="Cambria" w:cs="Arial"/>
          <w:sz w:val="16"/>
          <w:szCs w:val="16"/>
          <w:lang w:val="es-ES"/>
        </w:rPr>
        <w:t xml:space="preserve"> </w:t>
      </w:r>
    </w:p>
  </w:footnote>
  <w:footnote w:id="246">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Es pertinente mencionar que dicha solicitud fue basada en extenso dictamen jurídico de fecha 3 de diciembre de 2007, del Procurador Regional de la Republica Marlon Alberto </w:t>
      </w:r>
      <w:proofErr w:type="spellStart"/>
      <w:r w:rsidRPr="00B64BF5">
        <w:rPr>
          <w:rFonts w:ascii="Cambria" w:hAnsi="Cambria"/>
          <w:sz w:val="16"/>
          <w:szCs w:val="16"/>
          <w:lang w:val="es-ES"/>
        </w:rPr>
        <w:t>Weichert</w:t>
      </w:r>
      <w:proofErr w:type="spellEnd"/>
      <w:r w:rsidRPr="00B64BF5">
        <w:rPr>
          <w:rFonts w:ascii="Cambria" w:hAnsi="Cambria"/>
          <w:sz w:val="16"/>
          <w:szCs w:val="16"/>
          <w:lang w:val="es-ES"/>
        </w:rPr>
        <w:t xml:space="preserve">. </w:t>
      </w:r>
    </w:p>
  </w:footnote>
  <w:footnote w:id="247">
    <w:p w:rsidR="00D53806" w:rsidRPr="00B64BF5" w:rsidRDefault="00D53806" w:rsidP="00B64BF5">
      <w:pPr>
        <w:spacing w:after="0" w:line="240" w:lineRule="auto"/>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 crimes de homicídio, lesão corporal (torturas) e sequestro (desaparecimento forçado) perpetrados pelos órgãos de repressão a dissidência política durante o regime de ditadura militar no Brasil, no período de 1964 a 1985, podem ser reputados crimes contra a humanidade, conforme parâmetros da Organização das Nações Unidas, da Corte Internacional de Justiça e da Corte Interamericana de Direitos Humanos.</w:t>
      </w:r>
    </w:p>
    <w:p w:rsidR="00D53806" w:rsidRPr="00B64BF5" w:rsidRDefault="00D53806" w:rsidP="00B64BF5">
      <w:pPr>
        <w:spacing w:after="0" w:line="240" w:lineRule="auto"/>
        <w:ind w:firstLine="720"/>
        <w:jc w:val="both"/>
        <w:rPr>
          <w:rFonts w:ascii="Cambria" w:hAnsi="Cambria"/>
          <w:sz w:val="16"/>
          <w:szCs w:val="16"/>
          <w:lang w:val="pt-BR"/>
        </w:rPr>
      </w:pPr>
      <w:r w:rsidRPr="00B64BF5">
        <w:rPr>
          <w:rFonts w:ascii="Cambria" w:hAnsi="Cambria"/>
          <w:sz w:val="16"/>
          <w:szCs w:val="16"/>
          <w:lang w:val="pt-BR"/>
        </w:rPr>
        <w:t>Esses crimes ainda devem ser objeto de investigação e persecução penal pelas autoridades do Ministério Publico brasileiro, e submetidos ao Poder Judiciário, pois não são passiveis de serem considerados prescritos ou anistiados.</w:t>
      </w:r>
    </w:p>
    <w:p w:rsidR="00D53806" w:rsidRPr="00B64BF5" w:rsidRDefault="00D53806" w:rsidP="00B64BF5">
      <w:pPr>
        <w:spacing w:after="0" w:line="240" w:lineRule="auto"/>
        <w:ind w:firstLine="720"/>
        <w:jc w:val="both"/>
        <w:rPr>
          <w:rFonts w:ascii="Cambria" w:hAnsi="Cambria"/>
          <w:sz w:val="16"/>
          <w:szCs w:val="16"/>
          <w:lang w:val="pt-BR"/>
        </w:rPr>
      </w:pPr>
      <w:r w:rsidRPr="00B64BF5">
        <w:rPr>
          <w:rFonts w:ascii="Cambria" w:hAnsi="Cambria"/>
          <w:sz w:val="16"/>
          <w:szCs w:val="16"/>
          <w:lang w:val="pt-BR"/>
        </w:rPr>
        <w:t>A aplicação da Lei de Anistia aos agentes estatais da repressão e a omissão em investigar e processar os autores desses crimes viola as obrigações que o Brasil assumiu perante a comunidade internacional, e submeterá o País a uma provável responsabilização da Corte Interamericana de Direitos Humanos.</w:t>
      </w:r>
    </w:p>
    <w:p w:rsidR="00D53806" w:rsidRPr="00B64BF5" w:rsidRDefault="00D53806" w:rsidP="00B64BF5">
      <w:pPr>
        <w:pStyle w:val="FootnoteText"/>
        <w:ind w:firstLine="720"/>
        <w:jc w:val="both"/>
        <w:rPr>
          <w:rFonts w:ascii="Cambria" w:hAnsi="Cambria"/>
          <w:sz w:val="16"/>
          <w:szCs w:val="16"/>
          <w:lang w:val="pt-BR"/>
        </w:rPr>
      </w:pP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7, fls. 1280, Oficio No GABPR12-EAGF/SP-000109/2008, del 5 de marzo de 2008.</w:t>
      </w:r>
      <w:r w:rsidRPr="00B64BF5">
        <w:rPr>
          <w:rStyle w:val="Emphasis"/>
          <w:rFonts w:ascii="Cambria" w:hAnsi="Cambria" w:cs="Arial"/>
          <w:sz w:val="16"/>
          <w:szCs w:val="16"/>
          <w:lang w:val="pt-BR"/>
        </w:rPr>
        <w:t xml:space="preserve"> </w:t>
      </w:r>
    </w:p>
  </w:footnote>
  <w:footnote w:id="24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“O assassinato de VLADIMIR HERZOG é um dos casos para os quais se impõe a imediata persecução penal”.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7, fls. 1280, Oficio No GABPR12-EAGF/SP-000109/2008, del 5 de marzo </w:t>
      </w:r>
      <w:r w:rsidRPr="00B64BF5">
        <w:rPr>
          <w:rStyle w:val="Emphasis"/>
          <w:rFonts w:ascii="Cambria" w:hAnsi="Cambria" w:cs="Arial"/>
          <w:sz w:val="16"/>
          <w:szCs w:val="16"/>
          <w:lang w:val="pt-BR"/>
        </w:rPr>
        <w:t xml:space="preserve">de 2008. </w:t>
      </w:r>
    </w:p>
  </w:footnote>
  <w:footnote w:id="249">
    <w:p w:rsidR="00D53806" w:rsidRPr="00B64BF5" w:rsidRDefault="00D53806" w:rsidP="00B64BF5">
      <w:pPr>
        <w:pStyle w:val="FootnoteText"/>
        <w:ind w:firstLine="720"/>
        <w:jc w:val="both"/>
        <w:rPr>
          <w:rFonts w:ascii="Cambria" w:hAnsi="Cambria"/>
          <w:b/>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7, fls. 1280, Oficio No GABPR12-EAGF/SP-000109/2008, del 5 de marzo de 2008. </w:t>
      </w:r>
    </w:p>
  </w:footnote>
  <w:footnote w:id="250">
    <w:p w:rsidR="00D53806" w:rsidRPr="00B64BF5" w:rsidRDefault="00D53806" w:rsidP="00B64BF5">
      <w:pPr>
        <w:pStyle w:val="FootnoteText"/>
        <w:ind w:firstLine="720"/>
        <w:jc w:val="both"/>
        <w:rPr>
          <w:rFonts w:ascii="Cambria" w:hAnsi="Cambria"/>
          <w:b/>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7, fls. 1280, Oficio No GABPR12-EAGF/SP-000109/2008, del 5 de marzo de 2008</w:t>
      </w:r>
      <w:r w:rsidRPr="00B64BF5">
        <w:rPr>
          <w:rStyle w:val="Emphasis"/>
          <w:rFonts w:ascii="Cambria" w:hAnsi="Cambria" w:cs="Arial"/>
          <w:sz w:val="16"/>
          <w:szCs w:val="16"/>
          <w:lang w:val="pt-BR"/>
        </w:rPr>
        <w:t xml:space="preserve">. </w:t>
      </w:r>
    </w:p>
  </w:footnote>
  <w:footnote w:id="251">
    <w:p w:rsidR="00D53806" w:rsidRPr="00B64BF5" w:rsidRDefault="00D53806" w:rsidP="00B64BF5">
      <w:pPr>
        <w:pStyle w:val="FootnoteText"/>
        <w:ind w:firstLine="720"/>
        <w:jc w:val="both"/>
        <w:rPr>
          <w:rFonts w:ascii="Cambria" w:hAnsi="Cambria"/>
          <w:b/>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“[i]ndícios de autoria de prisão ilícita, torturas e homicídio por parte de PEDRO ANTONIO MIRA GRANCIERI (vulgo Capitão Ramiro), sob comando do então Tenente-Coronel AUDIR SANTOS MACIEL, que chefiava o DOI/CODI a época”. 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7, fls. 1280, Oficio No GABPR12-EAGF/SP-000109/2008, del 5 de marzo de 2008. </w:t>
      </w:r>
    </w:p>
  </w:footnote>
  <w:footnote w:id="252">
    <w:p w:rsidR="00D53806" w:rsidRPr="00B64BF5" w:rsidRDefault="00D53806" w:rsidP="00B64BF5">
      <w:pPr>
        <w:pStyle w:val="FootnoteText"/>
        <w:ind w:firstLine="720"/>
        <w:jc w:val="both"/>
        <w:rPr>
          <w:rFonts w:ascii="Cambria" w:hAnsi="Cambria"/>
          <w:b/>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“[p]ara a persecução penal dos responsáveis pelos crimes praticados contra Vladimir Herzog”. </w:t>
      </w:r>
      <w:r w:rsidRPr="00B64BF5">
        <w:rPr>
          <w:rFonts w:ascii="Cambria" w:hAnsi="Cambria"/>
          <w:sz w:val="16"/>
          <w:szCs w:val="16"/>
          <w:lang w:val="pt-BR"/>
        </w:rPr>
        <w:t>Proceso No.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7, fls. 1281, Oficio No GABPR12-EAGF/SP-000109/2008, del 5 de marzo de 2008.</w:t>
      </w:r>
      <w:r w:rsidRPr="00B64BF5">
        <w:rPr>
          <w:rStyle w:val="Emphasis"/>
          <w:rFonts w:ascii="Cambria" w:hAnsi="Cambria" w:cs="Arial"/>
          <w:sz w:val="16"/>
          <w:szCs w:val="16"/>
          <w:lang w:val="pt-BR"/>
        </w:rPr>
        <w:t xml:space="preserve"> </w:t>
      </w:r>
    </w:p>
  </w:footnote>
  <w:footnote w:id="253">
    <w:p w:rsidR="00D53806" w:rsidRPr="00B64BF5" w:rsidRDefault="00D53806" w:rsidP="00B64BF5">
      <w:pPr>
        <w:pStyle w:val="FootnoteText"/>
        <w:ind w:firstLine="720"/>
        <w:jc w:val="both"/>
        <w:rPr>
          <w:rFonts w:ascii="Cambria" w:hAnsi="Cambria"/>
          <w:b/>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“[n]ão teve sua punibilidade extinta pela anistia”.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1, fls. 26, Solicitud de promoción de archivamiento del Procurador de la Republica Fabio Elizeu Gaspar, del 12 de septiembre de 2008.</w:t>
      </w:r>
    </w:p>
  </w:footnote>
  <w:footnote w:id="25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w:t>
      </w:r>
      <w:r w:rsidRPr="00B64BF5">
        <w:rPr>
          <w:rFonts w:ascii="Cambria" w:hAnsi="Cambria"/>
          <w:b/>
          <w:i/>
          <w:sz w:val="16"/>
          <w:szCs w:val="16"/>
          <w:lang w:val="pt-BR"/>
        </w:rPr>
        <w:t>“</w:t>
      </w:r>
      <w:r w:rsidRPr="00B64BF5">
        <w:rPr>
          <w:rStyle w:val="Emphasis"/>
          <w:rFonts w:ascii="Cambria" w:hAnsi="Cambria" w:cs="Arial"/>
          <w:i w:val="0"/>
          <w:sz w:val="16"/>
          <w:szCs w:val="16"/>
          <w:lang w:val="pt-BR"/>
        </w:rPr>
        <w:t xml:space="preserve">[s]em maiores dificuldades, é possível concluir que o homicídio de Vladimir Herzog preenche todos as características dos chamados crimes contra a humanidade, como tal podendo perfeitamente ser caracterizado”. </w:t>
      </w:r>
      <w:r w:rsidRPr="00B64BF5">
        <w:rPr>
          <w:rStyle w:val="Emphasis"/>
          <w:rFonts w:ascii="Cambria" w:hAnsi="Cambria" w:cs="Arial"/>
          <w:i w:val="0"/>
          <w:sz w:val="16"/>
          <w:szCs w:val="16"/>
          <w:lang w:val="pt-BR"/>
        </w:rPr>
        <w:t xml:space="preserve">Proceso </w:t>
      </w:r>
      <w:r w:rsidRPr="00B64BF5">
        <w:rPr>
          <w:rFonts w:ascii="Cambria" w:hAnsi="Cambria"/>
          <w:sz w:val="16"/>
          <w:szCs w:val="16"/>
          <w:lang w:val="pt-BR"/>
        </w:rPr>
        <w:t>2008.61.81.013434-2 Justiça</w:t>
      </w:r>
      <w:r w:rsidRPr="00B64BF5">
        <w:rPr>
          <w:rStyle w:val="Emphasis"/>
          <w:rFonts w:ascii="Cambria" w:hAnsi="Cambria" w:cs="Arial"/>
          <w:i w:val="0"/>
          <w:sz w:val="16"/>
          <w:szCs w:val="16"/>
          <w:lang w:val="pt-BR"/>
        </w:rPr>
        <w:t xml:space="preserve"> Federal - São Paulo, Volume 1, fls. 28, Solicitud de promoción de archivamiento del Procurador de la Republica Fabio Elizeu Gaspar, del 12 de septiembre de 2008.</w:t>
      </w:r>
    </w:p>
  </w:footnote>
  <w:footnote w:id="25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w:t>
      </w:r>
      <w:r w:rsidRPr="00B64BF5">
        <w:rPr>
          <w:rStyle w:val="Emphasis"/>
          <w:rFonts w:ascii="Cambria" w:hAnsi="Cambria" w:cs="Arial"/>
          <w:i w:val="0"/>
          <w:sz w:val="16"/>
          <w:szCs w:val="16"/>
          <w:lang w:val="pt-BR"/>
        </w:rPr>
        <w:t xml:space="preserve">“[o] reconhecimento anterior da anistia pela Justiça do Estado de São Paulo produziu coisa julgada material e não mais pode ser modificado”. </w:t>
      </w:r>
      <w:r w:rsidRPr="00B64BF5">
        <w:rPr>
          <w:rStyle w:val="Emphasis"/>
          <w:rFonts w:ascii="Cambria" w:hAnsi="Cambria" w:cs="Arial"/>
          <w:i w:val="0"/>
          <w:sz w:val="16"/>
          <w:szCs w:val="16"/>
          <w:lang w:val="pt-BR"/>
        </w:rPr>
        <w:t xml:space="preserve">Proceso </w:t>
      </w:r>
      <w:r w:rsidRPr="00B64BF5">
        <w:rPr>
          <w:rFonts w:ascii="Cambria" w:hAnsi="Cambria"/>
          <w:sz w:val="16"/>
          <w:szCs w:val="16"/>
          <w:lang w:val="pt-BR"/>
        </w:rPr>
        <w:t>2008.61.81.013434-2 Justiça</w:t>
      </w:r>
      <w:r w:rsidRPr="00B64BF5">
        <w:rPr>
          <w:rStyle w:val="Emphasis"/>
          <w:rFonts w:ascii="Cambria" w:hAnsi="Cambria" w:cs="Arial"/>
          <w:i w:val="0"/>
          <w:sz w:val="16"/>
          <w:szCs w:val="16"/>
          <w:lang w:val="pt-BR"/>
        </w:rPr>
        <w:t xml:space="preserve"> Federal - São Paulo, Volume 1, fls. 26, Solicitud de promoción de archivamiento del Procurador de la Republica Fabio Elizeu Gaspar, del 12 de septiembre de 2008.</w:t>
      </w:r>
    </w:p>
  </w:footnote>
  <w:footnote w:id="256">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w:t>
      </w:r>
      <w:r w:rsidRPr="00B64BF5">
        <w:rPr>
          <w:rStyle w:val="Emphasis"/>
          <w:rFonts w:ascii="Cambria" w:hAnsi="Cambria"/>
          <w:i w:val="0"/>
          <w:sz w:val="16"/>
          <w:szCs w:val="16"/>
          <w:lang w:val="pt-BR"/>
        </w:rPr>
        <w:t xml:space="preserve">“[a] decisão do Tribunal de Justiça do Estado de São Paulo que reconheceu a anistia em relação ao delito praticado contra Vladimir Herzog transitou em julgado e não mais pode ser modificada, o que justifica o pedido de arquivamento destas peças informativas”. </w:t>
      </w:r>
      <w:r w:rsidRPr="00B64BF5">
        <w:rPr>
          <w:rStyle w:val="Emphasis"/>
          <w:rFonts w:ascii="Cambria" w:hAnsi="Cambria"/>
          <w:i w:val="0"/>
          <w:sz w:val="16"/>
          <w:szCs w:val="16"/>
          <w:lang w:val="pt-BR"/>
        </w:rPr>
        <w:t xml:space="preserve">Proceso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Federal -</w:t>
      </w:r>
      <w:r w:rsidRPr="00B64BF5">
        <w:rPr>
          <w:rStyle w:val="Emphasis"/>
          <w:rFonts w:ascii="Cambria" w:hAnsi="Cambria" w:cs="Arial"/>
          <w:i w:val="0"/>
          <w:sz w:val="16"/>
          <w:szCs w:val="16"/>
          <w:lang w:val="pt-BR"/>
        </w:rPr>
        <w:t xml:space="preserve"> São Paulo, Volume 1, fls. 23, Solicitud de promoción de archivamiento del Procurador de la Republica Fabio Elizeu Gaspar, del 12 de septiembre de 2008.</w:t>
      </w:r>
    </w:p>
  </w:footnote>
  <w:footnote w:id="257">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“[c]ostume não pode ser fonte de Direito Penal no Brasil para criar regras contra o investigado ou réu”. Proceso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1, fls. 45, Solicitud de promoción de archivamiento del Procurador de la Republica Fabio Elizeu Gaspar, del 12 de septiembre de 2008.</w:t>
      </w:r>
    </w:p>
  </w:footnote>
  <w:footnote w:id="25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“[i]mpossibilidade de punição do autor de homicídio contra Vladimir Herzog no âmbito de uma persecução penal a ser conduzida por órgãos internos brasileiros”. Proceso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1, fls. 49/50, Solicitud de promoción de archivamiento del Procurador de la Republica Fabio Elizeu Gaspar, del 12 de septiembre de 2008.</w:t>
      </w:r>
    </w:p>
  </w:footnote>
  <w:footnote w:id="25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“[p]ela ocorrência de coisa julgada material ou, não adotado esse entendimento, pela consumação da prescrição da pretensão punitiva”. </w:t>
      </w:r>
      <w:r w:rsidRPr="00B64BF5">
        <w:rPr>
          <w:rFonts w:ascii="Cambria" w:hAnsi="Cambria"/>
          <w:sz w:val="16"/>
          <w:szCs w:val="16"/>
          <w:lang w:val="pt-BR"/>
        </w:rPr>
        <w:t>Proceso 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1, fls. 50, Solicitud de promoción de archivamiento del Procurador de la Republica Fabio Elizeu Gaspar, del 12 de septiembre de 2008.</w:t>
      </w:r>
    </w:p>
  </w:footnote>
  <w:footnote w:id="26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Federal - São Paulo, Volume 7, fls. 1381 y 1385, Decisión de la Juez Federal sustituta Paula Mantovani Avelino, del 9 de enero de 2009.</w:t>
      </w:r>
      <w:r w:rsidRPr="00B64BF5">
        <w:rPr>
          <w:rStyle w:val="Emphasis"/>
          <w:rFonts w:ascii="Cambria" w:hAnsi="Cambria" w:cs="Arial"/>
          <w:sz w:val="16"/>
          <w:szCs w:val="16"/>
          <w:lang w:val="pt-BR"/>
        </w:rPr>
        <w:t xml:space="preserve"> </w:t>
      </w:r>
    </w:p>
  </w:footnote>
  <w:footnote w:id="261">
    <w:p w:rsidR="00D53806" w:rsidRPr="00B64BF5" w:rsidRDefault="00D53806" w:rsidP="00B64BF5">
      <w:pPr>
        <w:pStyle w:val="FootnoteText"/>
        <w:ind w:firstLine="720"/>
        <w:jc w:val="both"/>
        <w:rPr>
          <w:rFonts w:ascii="Cambria" w:eastAsia="PMingLiU" w:hAnsi="Cambria"/>
          <w:sz w:val="16"/>
          <w:szCs w:val="16"/>
          <w:lang w:val="pt-BR" w:eastAsia="zh-TW"/>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w:t>
      </w:r>
      <w:r w:rsidRPr="00B64BF5">
        <w:rPr>
          <w:rFonts w:ascii="Cambria" w:hAnsi="Cambria"/>
          <w:sz w:val="16"/>
          <w:szCs w:val="16"/>
          <w:lang w:val="pt-BR"/>
        </w:rPr>
        <w:t>2008.61.81.013434-2 Justiça</w:t>
      </w:r>
      <w:r w:rsidRPr="00B64BF5">
        <w:rPr>
          <w:rStyle w:val="Emphasis"/>
          <w:rFonts w:ascii="Cambria" w:hAnsi="Cambria" w:cs="Arial"/>
          <w:i w:val="0"/>
          <w:sz w:val="16"/>
          <w:szCs w:val="16"/>
          <w:lang w:val="pt-BR"/>
        </w:rPr>
        <w:t xml:space="preserve"> Federal - São Paulo, Volume 7, fls. 1381 y 1385, Decisión de la Juez Federal sustituta Paula Mantovani Avelino, del 9 de enero de 2009.</w:t>
      </w:r>
    </w:p>
  </w:footnote>
  <w:footnote w:id="26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i w:val="0"/>
          <w:sz w:val="16"/>
          <w:szCs w:val="16"/>
          <w:lang w:val="pt-BR"/>
        </w:rPr>
        <w:t xml:space="preserve">Proceso </w:t>
      </w:r>
      <w:r w:rsidRPr="00B64BF5">
        <w:rPr>
          <w:rFonts w:ascii="Cambria" w:hAnsi="Cambria"/>
          <w:sz w:val="16"/>
          <w:szCs w:val="16"/>
          <w:lang w:val="pt-BR"/>
        </w:rPr>
        <w:t>2008.61.81.013434-2 Justiça</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 xml:space="preserve">Federal - São Paulo, Volume 7, fls. 1394, Decisión de la Juez Federal sustituta Paula Mantovani Avelino, del 9 de enero de 2009. </w:t>
      </w:r>
    </w:p>
  </w:footnote>
  <w:footnote w:id="263">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Petición Inicial de la </w:t>
      </w:r>
      <w:proofErr w:type="spellStart"/>
      <w:r w:rsidRPr="00B64BF5">
        <w:rPr>
          <w:rFonts w:ascii="Cambria" w:hAnsi="Cambria"/>
          <w:sz w:val="16"/>
          <w:szCs w:val="16"/>
          <w:lang w:val="es-ES"/>
        </w:rPr>
        <w:t>Ação</w:t>
      </w:r>
      <w:proofErr w:type="spellEnd"/>
      <w:r w:rsidRPr="00B64BF5">
        <w:rPr>
          <w:rFonts w:ascii="Cambria" w:hAnsi="Cambria"/>
          <w:sz w:val="16"/>
          <w:szCs w:val="16"/>
          <w:lang w:val="es-ES"/>
        </w:rPr>
        <w:t xml:space="preserve"> Civil Pública No. 2008.61.00.011414-5, del 14 de mayo de 2008. </w:t>
      </w:r>
    </w:p>
  </w:footnote>
  <w:footnote w:id="264">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“[s]e caracterizou por ter sido um dos principais locais de prática de tortura e perpetração de homicídios e desaparecimentos forçados por agentes estatais na historia do país”. </w:t>
      </w:r>
      <w:r w:rsidRPr="00B64BF5">
        <w:rPr>
          <w:rFonts w:ascii="Cambria" w:hAnsi="Cambria"/>
          <w:sz w:val="16"/>
          <w:szCs w:val="16"/>
          <w:lang w:val="es-ES"/>
        </w:rPr>
        <w:t xml:space="preserve">Petición Inicial de la Acción Civil Pública No. 2008.61.00.011414-5, </w:t>
      </w:r>
      <w:proofErr w:type="spellStart"/>
      <w:r w:rsidRPr="00B64BF5">
        <w:rPr>
          <w:rFonts w:ascii="Cambria" w:hAnsi="Cambria"/>
          <w:sz w:val="16"/>
          <w:szCs w:val="16"/>
          <w:lang w:val="es-ES"/>
        </w:rPr>
        <w:t>fls</w:t>
      </w:r>
      <w:proofErr w:type="spellEnd"/>
      <w:r w:rsidRPr="00B64BF5">
        <w:rPr>
          <w:rFonts w:ascii="Cambria" w:hAnsi="Cambria"/>
          <w:sz w:val="16"/>
          <w:szCs w:val="16"/>
          <w:lang w:val="es-ES"/>
        </w:rPr>
        <w:t>. 5, del 14 de mayo de 2008</w:t>
      </w:r>
    </w:p>
  </w:footnote>
  <w:footnote w:id="265">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original: “[s]uportadas pelo Tesouro Nacional na forma da Lei No. 9.140/9[5]”. </w:t>
      </w:r>
      <w:r w:rsidRPr="00B64BF5">
        <w:rPr>
          <w:rFonts w:ascii="Cambria" w:hAnsi="Cambria"/>
          <w:sz w:val="16"/>
          <w:szCs w:val="16"/>
          <w:lang w:val="es-ES"/>
        </w:rPr>
        <w:t xml:space="preserve">Petición Inicial de la </w:t>
      </w:r>
      <w:proofErr w:type="spellStart"/>
      <w:r w:rsidRPr="00B64BF5">
        <w:rPr>
          <w:rFonts w:ascii="Cambria" w:hAnsi="Cambria"/>
          <w:sz w:val="16"/>
          <w:szCs w:val="16"/>
          <w:lang w:val="es-ES"/>
        </w:rPr>
        <w:t>Ação</w:t>
      </w:r>
      <w:proofErr w:type="spellEnd"/>
      <w:r w:rsidRPr="00B64BF5">
        <w:rPr>
          <w:rFonts w:ascii="Cambria" w:hAnsi="Cambria"/>
          <w:sz w:val="16"/>
          <w:szCs w:val="16"/>
          <w:lang w:val="es-ES"/>
        </w:rPr>
        <w:t xml:space="preserve"> Civil Pública No. 2008.61.00.011414-5, </w:t>
      </w:r>
      <w:proofErr w:type="spellStart"/>
      <w:r w:rsidRPr="00B64BF5">
        <w:rPr>
          <w:rFonts w:ascii="Cambria" w:hAnsi="Cambria"/>
          <w:sz w:val="16"/>
          <w:szCs w:val="16"/>
          <w:lang w:val="es-ES"/>
        </w:rPr>
        <w:t>fls</w:t>
      </w:r>
      <w:proofErr w:type="spellEnd"/>
      <w:r w:rsidRPr="00B64BF5">
        <w:rPr>
          <w:rFonts w:ascii="Cambria" w:hAnsi="Cambria"/>
          <w:sz w:val="16"/>
          <w:szCs w:val="16"/>
          <w:lang w:val="es-ES"/>
        </w:rPr>
        <w:t>. 73, del 14 de mayo de 2008.</w:t>
      </w:r>
    </w:p>
  </w:footnote>
  <w:footnote w:id="266">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Petición Inicial de la Acción Civil Pública No. 2008.61.00.011414-5, </w:t>
      </w:r>
      <w:proofErr w:type="spellStart"/>
      <w:r w:rsidRPr="00B64BF5">
        <w:rPr>
          <w:rFonts w:ascii="Cambria" w:hAnsi="Cambria"/>
          <w:sz w:val="16"/>
          <w:szCs w:val="16"/>
          <w:lang w:val="es-ES"/>
        </w:rPr>
        <w:t>fls</w:t>
      </w:r>
      <w:proofErr w:type="spellEnd"/>
      <w:r w:rsidRPr="00B64BF5">
        <w:rPr>
          <w:rFonts w:ascii="Cambria" w:hAnsi="Cambria"/>
          <w:sz w:val="16"/>
          <w:szCs w:val="16"/>
          <w:lang w:val="es-ES"/>
        </w:rPr>
        <w:t>. 73, del 14 de mayo de 2008.</w:t>
      </w:r>
    </w:p>
  </w:footnote>
  <w:footnote w:id="267">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No. 2008.61.00.011414-5. </w:t>
      </w:r>
      <w:r w:rsidRPr="00B64BF5">
        <w:rPr>
          <w:rStyle w:val="Emphasis"/>
          <w:rFonts w:ascii="Cambria" w:hAnsi="Cambria" w:cs="Arial"/>
          <w:i w:val="0"/>
          <w:sz w:val="16"/>
          <w:szCs w:val="16"/>
          <w:lang w:val="pt-BR"/>
        </w:rPr>
        <w:t xml:space="preserve">8ª Vara da Justiça Federal </w:t>
      </w:r>
      <w:r w:rsidRPr="00B64BF5">
        <w:rPr>
          <w:rStyle w:val="st1"/>
          <w:rFonts w:ascii="Cambria" w:hAnsi="Cambria" w:cs="Arial"/>
          <w:sz w:val="16"/>
          <w:szCs w:val="16"/>
          <w:lang w:val="pt-BR"/>
        </w:rPr>
        <w:t>em</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São Paulo</w:t>
      </w:r>
      <w:r w:rsidRPr="00B64BF5">
        <w:rPr>
          <w:rFonts w:ascii="Cambria" w:hAnsi="Cambria"/>
          <w:i/>
          <w:sz w:val="16"/>
          <w:szCs w:val="16"/>
          <w:lang w:val="pt-BR"/>
        </w:rPr>
        <w:t>.</w:t>
      </w:r>
      <w:r w:rsidRPr="00B64BF5">
        <w:rPr>
          <w:rFonts w:ascii="Cambria" w:hAnsi="Cambria"/>
          <w:b/>
          <w:i/>
          <w:sz w:val="16"/>
          <w:szCs w:val="16"/>
          <w:lang w:val="pt-BR"/>
        </w:rPr>
        <w:t xml:space="preserve"> </w:t>
      </w:r>
      <w:r w:rsidRPr="00B64BF5">
        <w:rPr>
          <w:rFonts w:ascii="Cambria" w:hAnsi="Cambria"/>
          <w:sz w:val="16"/>
          <w:szCs w:val="16"/>
          <w:lang w:val="es-ES"/>
        </w:rPr>
        <w:t xml:space="preserve">Sentencia del 5 de mayo de 2010, </w:t>
      </w:r>
      <w:proofErr w:type="spellStart"/>
      <w:r w:rsidRPr="00B64BF5">
        <w:rPr>
          <w:rFonts w:ascii="Cambria" w:hAnsi="Cambria"/>
          <w:sz w:val="16"/>
          <w:szCs w:val="16"/>
          <w:lang w:val="es-ES"/>
        </w:rPr>
        <w:t>fls</w:t>
      </w:r>
      <w:proofErr w:type="spellEnd"/>
      <w:r w:rsidRPr="00B64BF5">
        <w:rPr>
          <w:rFonts w:ascii="Cambria" w:hAnsi="Cambria"/>
          <w:sz w:val="16"/>
          <w:szCs w:val="16"/>
          <w:lang w:val="es-ES"/>
        </w:rPr>
        <w:t xml:space="preserve">. 18 y 20. </w:t>
      </w:r>
    </w:p>
  </w:footnote>
  <w:footnote w:id="268">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Recurso de apelación No. 0011414-28.2008.4.03.6100 del 17 de enero de 2011. Disponible para consulta en: </w:t>
      </w:r>
      <w:r w:rsidR="002A0E3E">
        <w:fldChar w:fldCharType="begin"/>
      </w:r>
      <w:r w:rsidR="002A0E3E" w:rsidRPr="000367BD">
        <w:rPr>
          <w:lang w:val="es-UY"/>
        </w:rPr>
        <w:instrText xml:space="preserve"> HYPERLINK "http://www.trf3.jus.br" </w:instrText>
      </w:r>
      <w:r w:rsidR="002A0E3E">
        <w:fldChar w:fldCharType="separate"/>
      </w:r>
      <w:r w:rsidRPr="00B64BF5">
        <w:rPr>
          <w:rStyle w:val="Hyperlink"/>
          <w:rFonts w:ascii="Cambria" w:hAnsi="Cambria"/>
          <w:sz w:val="16"/>
          <w:szCs w:val="16"/>
          <w:lang w:val="es-ES"/>
        </w:rPr>
        <w:t>www.trf3.jus.br</w:t>
      </w:r>
      <w:r w:rsidR="002A0E3E">
        <w:rPr>
          <w:rStyle w:val="Hyperlink"/>
          <w:rFonts w:ascii="Cambria" w:hAnsi="Cambria"/>
          <w:sz w:val="16"/>
          <w:szCs w:val="16"/>
          <w:lang w:val="es-ES"/>
        </w:rPr>
        <w:fldChar w:fldCharType="end"/>
      </w:r>
      <w:r w:rsidRPr="00B64BF5">
        <w:rPr>
          <w:rFonts w:ascii="Cambria" w:hAnsi="Cambria"/>
          <w:sz w:val="16"/>
          <w:szCs w:val="16"/>
          <w:lang w:val="es-ES"/>
        </w:rPr>
        <w:t xml:space="preserve"> </w:t>
      </w:r>
    </w:p>
  </w:footnote>
  <w:footnote w:id="269">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Brasil. </w:t>
      </w:r>
      <w:proofErr w:type="spellStart"/>
      <w:r w:rsidRPr="00B64BF5">
        <w:rPr>
          <w:rFonts w:ascii="Cambria" w:hAnsi="Cambria"/>
          <w:sz w:val="16"/>
          <w:szCs w:val="16"/>
          <w:lang w:val="es-ES"/>
        </w:rPr>
        <w:t>Presidência</w:t>
      </w:r>
      <w:proofErr w:type="spellEnd"/>
      <w:r w:rsidRPr="00B64BF5">
        <w:rPr>
          <w:rFonts w:ascii="Cambria" w:hAnsi="Cambria"/>
          <w:sz w:val="16"/>
          <w:szCs w:val="16"/>
          <w:lang w:val="es-ES"/>
        </w:rPr>
        <w:t xml:space="preserve"> da República. Ley No. 12.528, del 18 de noviembre de 2011.</w:t>
      </w:r>
    </w:p>
  </w:footnote>
  <w:footnote w:id="270">
    <w:p w:rsidR="00D53806" w:rsidRPr="00B64BF5" w:rsidRDefault="00D53806" w:rsidP="00B64BF5">
      <w:pPr>
        <w:spacing w:after="0" w:line="240" w:lineRule="auto"/>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lang w:val="es-ES"/>
        </w:rPr>
        <w:t xml:space="preserve"> De acuerdo con el artículo 3 de la Ley No. 12.528/2011, los objetivos de su trabajo fueron: i) aclarar los hechos y las circunstancias de graves violaciones de derechos humanos en el periodo delimitado por su artículo 1; ii) promover el esclarecimiento circunstanciado de los casos de torturas, muertes, desapariciones forzadas, ocultación de cadáveres y su autoría, aunque ocurridos en el exterior; iii) identificar y hacer público las estructuras, lugares, instituciones y circunstancias relacionadas con la práctica de violaciones de derechos humanos mencionados en el </w:t>
      </w:r>
      <w:proofErr w:type="spellStart"/>
      <w:r w:rsidRPr="00B64BF5">
        <w:rPr>
          <w:rFonts w:ascii="Cambria" w:hAnsi="Cambria"/>
          <w:i/>
          <w:sz w:val="16"/>
          <w:szCs w:val="16"/>
          <w:lang w:val="es-ES"/>
        </w:rPr>
        <w:t>caput</w:t>
      </w:r>
      <w:proofErr w:type="spellEnd"/>
      <w:r w:rsidRPr="00B64BF5">
        <w:rPr>
          <w:rFonts w:ascii="Cambria" w:hAnsi="Cambria"/>
          <w:sz w:val="16"/>
          <w:szCs w:val="16"/>
          <w:lang w:val="es-ES"/>
        </w:rPr>
        <w:t xml:space="preserve"> del art. 1 y sus posibles ramificaciones en los diversos aparatos estatales y en la sociedad; iv) transmitir a las autoridades públicas toda y cualquier información obtenida que pueda auxiliar en la localización e identificación de cadáveres y restos de los desaparecidos de conformidad con el artículo 1 de la Ley No. 9.140/95; v) colaborar con todas las instancias del poder público para la investigación de violación de derechos humanos; vi) recomendar la adopción de medidas y políticas públicas para prevenir la violación de derechos humanos, garantizar su no repetición y promover la efectiva reconciliación nacional; y vii) promover, basado en los informes obtenidos, la reconstrucción de la historia de los casos de graves violaciones de derechos humanos, así como contribuir para que sea prestada asistencia a las víctimas de dichas violaciones. </w:t>
      </w:r>
    </w:p>
  </w:footnote>
  <w:footnote w:id="27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w:t>
      </w:r>
      <w:r w:rsidRPr="00B64BF5">
        <w:rPr>
          <w:rFonts w:ascii="Cambria" w:hAnsi="Cambria" w:cs="Arial"/>
          <w:sz w:val="16"/>
          <w:szCs w:val="16"/>
          <w:lang w:val="pt-BR"/>
        </w:rPr>
        <w:t xml:space="preserve">[a] fim de efetivar o direito à memória e à verdade histórica e promover a reconciliação nacional”. </w:t>
      </w:r>
      <w:r w:rsidRPr="00B64BF5">
        <w:rPr>
          <w:rFonts w:ascii="Cambria" w:hAnsi="Cambria"/>
          <w:sz w:val="16"/>
          <w:szCs w:val="16"/>
          <w:lang w:val="pt-BR"/>
        </w:rPr>
        <w:t xml:space="preserve">Brasil. Presidência da República. </w:t>
      </w:r>
      <w:r w:rsidRPr="00B64BF5">
        <w:rPr>
          <w:rFonts w:ascii="Cambria" w:hAnsi="Cambria"/>
          <w:sz w:val="16"/>
          <w:szCs w:val="16"/>
          <w:lang w:val="pt-BR"/>
        </w:rPr>
        <w:t xml:space="preserve">Ley No. </w:t>
      </w:r>
      <w:r w:rsidRPr="00B64BF5">
        <w:rPr>
          <w:rFonts w:ascii="Cambria" w:hAnsi="Cambria"/>
          <w:sz w:val="16"/>
          <w:szCs w:val="16"/>
          <w:lang w:val="pt-BR"/>
        </w:rPr>
        <w:t>12.528, artículo 1</w:t>
      </w:r>
      <w:r w:rsidRPr="00B64BF5">
        <w:rPr>
          <w:rFonts w:ascii="Cambria" w:hAnsi="Cambria" w:cs="Arial"/>
          <w:sz w:val="16"/>
          <w:szCs w:val="16"/>
          <w:lang w:val="pt-BR"/>
        </w:rPr>
        <w:t>º</w:t>
      </w:r>
      <w:r w:rsidRPr="00B64BF5">
        <w:rPr>
          <w:rFonts w:ascii="Cambria" w:hAnsi="Cambria"/>
          <w:sz w:val="16"/>
          <w:szCs w:val="16"/>
          <w:lang w:val="pt-BR"/>
        </w:rPr>
        <w:t xml:space="preserve">, del 18 de noviembre de 2011;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Parte I, “A</w:t>
      </w:r>
      <w:r w:rsidRPr="00B64BF5">
        <w:rPr>
          <w:rStyle w:val="Emphasis"/>
          <w:rFonts w:ascii="Cambria" w:hAnsi="Cambria" w:cs="Arial"/>
          <w:sz w:val="16"/>
          <w:szCs w:val="16"/>
          <w:lang w:val="pt-BR"/>
        </w:rPr>
        <w:t xml:space="preserve"> </w:t>
      </w:r>
      <w:r w:rsidRPr="00B64BF5">
        <w:rPr>
          <w:rStyle w:val="Strong"/>
          <w:rFonts w:ascii="Cambria" w:hAnsi="Cambria"/>
          <w:b w:val="0"/>
          <w:color w:val="222222"/>
          <w:sz w:val="16"/>
          <w:szCs w:val="16"/>
          <w:lang w:val="pt-BR"/>
        </w:rPr>
        <w:t>Comissão Nacional da Verdade”,</w:t>
      </w:r>
      <w:r w:rsidRPr="00B64BF5">
        <w:rPr>
          <w:rStyle w:val="Strong"/>
          <w:rFonts w:ascii="Cambria" w:hAnsi="Cambria"/>
          <w:color w:val="222222"/>
          <w:sz w:val="16"/>
          <w:szCs w:val="16"/>
          <w:lang w:val="pt-BR"/>
        </w:rPr>
        <w:t xml:space="preserve"> </w:t>
      </w:r>
      <w:r w:rsidRPr="00B64BF5">
        <w:rPr>
          <w:rFonts w:ascii="Cambria" w:hAnsi="Cambria"/>
          <w:color w:val="222222"/>
          <w:sz w:val="16"/>
          <w:szCs w:val="16"/>
          <w:lang w:val="pt-BR"/>
        </w:rPr>
        <w:t>Capítulo 1 – A criação da Comissão Nacional da Verdade,</w:t>
      </w:r>
      <w:r w:rsidRPr="00B64BF5">
        <w:rPr>
          <w:rFonts w:ascii="Cambria" w:hAnsi="Cambria"/>
          <w:sz w:val="16"/>
          <w:szCs w:val="16"/>
          <w:lang w:val="pt-BR"/>
        </w:rPr>
        <w:t xml:space="preserve"> </w:t>
      </w:r>
      <w:r w:rsidRPr="00B64BF5">
        <w:rPr>
          <w:rFonts w:ascii="Cambria" w:eastAsiaTheme="minorHAnsi" w:hAnsi="Cambria" w:cs="AGaramondPro-Italic-SC700"/>
          <w:i/>
          <w:iCs/>
          <w:sz w:val="16"/>
          <w:szCs w:val="16"/>
          <w:lang w:val="pt-BR" w:eastAsia="en-US"/>
        </w:rPr>
        <w:t xml:space="preserve">fls </w:t>
      </w:r>
      <w:r w:rsidRPr="00B64BF5">
        <w:rPr>
          <w:rFonts w:ascii="Cambria" w:hAnsi="Cambria"/>
          <w:sz w:val="16"/>
          <w:szCs w:val="16"/>
          <w:lang w:val="pt-BR"/>
        </w:rPr>
        <w:t xml:space="preserve">22, párr. 8,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7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 Parte I, “A</w:t>
      </w:r>
      <w:r w:rsidRPr="00B64BF5">
        <w:rPr>
          <w:rStyle w:val="Emphasis"/>
          <w:rFonts w:ascii="Cambria" w:hAnsi="Cambria" w:cs="Arial"/>
          <w:sz w:val="16"/>
          <w:szCs w:val="16"/>
          <w:lang w:val="pt-BR"/>
        </w:rPr>
        <w:t xml:space="preserve"> </w:t>
      </w:r>
      <w:r w:rsidRPr="00B64BF5">
        <w:rPr>
          <w:rStyle w:val="Strong"/>
          <w:rFonts w:ascii="Cambria" w:hAnsi="Cambria"/>
          <w:b w:val="0"/>
          <w:color w:val="222222"/>
          <w:sz w:val="16"/>
          <w:szCs w:val="16"/>
          <w:lang w:val="pt-BR"/>
        </w:rPr>
        <w:t>Comissão Nacional da Verdade”,</w:t>
      </w:r>
      <w:r w:rsidRPr="00B64BF5">
        <w:rPr>
          <w:rStyle w:val="Strong"/>
          <w:rFonts w:ascii="Cambria" w:hAnsi="Cambria"/>
          <w:color w:val="222222"/>
          <w:sz w:val="16"/>
          <w:szCs w:val="16"/>
          <w:lang w:val="pt-BR"/>
        </w:rPr>
        <w:t xml:space="preserve"> </w:t>
      </w:r>
      <w:r w:rsidRPr="00B64BF5">
        <w:rPr>
          <w:rFonts w:ascii="Cambria" w:hAnsi="Cambria"/>
          <w:color w:val="222222"/>
          <w:sz w:val="16"/>
          <w:szCs w:val="16"/>
          <w:lang w:val="pt-BR"/>
        </w:rPr>
        <w:t xml:space="preserve">Capítulo 1 – A criação da Comissão </w:t>
      </w:r>
      <w:r w:rsidRPr="00B64BF5">
        <w:rPr>
          <w:rFonts w:ascii="Cambria" w:hAnsi="Cambria"/>
          <w:color w:val="222222"/>
          <w:sz w:val="16"/>
          <w:szCs w:val="16"/>
          <w:lang w:val="pt-BR"/>
        </w:rPr>
        <w:t>Nacional da Verdade,</w:t>
      </w:r>
      <w:r w:rsidRPr="00B64BF5">
        <w:rPr>
          <w:rFonts w:ascii="Cambria" w:hAnsi="Cambria"/>
          <w:sz w:val="16"/>
          <w:szCs w:val="16"/>
          <w:lang w:val="pt-BR"/>
        </w:rPr>
        <w:t xml:space="preserve"> </w:t>
      </w:r>
      <w:r w:rsidRPr="00B64BF5">
        <w:rPr>
          <w:rFonts w:ascii="Cambria" w:eastAsiaTheme="minorHAnsi" w:hAnsi="Cambria" w:cs="AGaramondPro-Italic-SC700"/>
          <w:i/>
          <w:iCs/>
          <w:sz w:val="16"/>
          <w:szCs w:val="16"/>
          <w:lang w:val="pt-BR" w:eastAsia="en-US"/>
        </w:rPr>
        <w:t xml:space="preserve">fls </w:t>
      </w:r>
      <w:r w:rsidRPr="00B64BF5">
        <w:rPr>
          <w:rFonts w:ascii="Cambria" w:hAnsi="Cambria"/>
          <w:sz w:val="16"/>
          <w:szCs w:val="16"/>
          <w:lang w:val="pt-BR"/>
        </w:rPr>
        <w:t xml:space="preserve">21, párr. </w:t>
      </w:r>
      <w:r w:rsidRPr="00B64BF5">
        <w:rPr>
          <w:rFonts w:ascii="Cambria" w:hAnsi="Cambria"/>
          <w:sz w:val="16"/>
          <w:szCs w:val="16"/>
          <w:lang w:val="pt-BR"/>
        </w:rPr>
        <w:t xml:space="preserve">4,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73">
    <w:p w:rsidR="00D53806" w:rsidRPr="00D53806"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Brasil. Presidência da República. </w:t>
      </w:r>
      <w:r w:rsidRPr="00D53806">
        <w:rPr>
          <w:rFonts w:ascii="Cambria" w:hAnsi="Cambria"/>
          <w:sz w:val="16"/>
          <w:szCs w:val="16"/>
          <w:lang w:val="pt-BR"/>
        </w:rPr>
        <w:t xml:space="preserve">Ley No. </w:t>
      </w:r>
      <w:r w:rsidRPr="00D53806">
        <w:rPr>
          <w:rFonts w:ascii="Cambria" w:hAnsi="Cambria"/>
          <w:sz w:val="16"/>
          <w:szCs w:val="16"/>
          <w:lang w:val="pt-BR"/>
        </w:rPr>
        <w:t xml:space="preserve">12.528, artículo </w:t>
      </w:r>
      <w:r w:rsidRPr="00D53806">
        <w:rPr>
          <w:rFonts w:ascii="Cambria" w:hAnsi="Cambria" w:cs="Arial"/>
          <w:sz w:val="16"/>
          <w:szCs w:val="16"/>
          <w:lang w:val="pt-BR"/>
        </w:rPr>
        <w:t>4</w:t>
      </w:r>
      <w:r w:rsidRPr="00D53806">
        <w:rPr>
          <w:rFonts w:ascii="Cambria" w:hAnsi="Cambria"/>
          <w:sz w:val="16"/>
          <w:szCs w:val="16"/>
          <w:lang w:val="pt-BR"/>
        </w:rPr>
        <w:t>, del 18 de noviembre de 2011.</w:t>
      </w:r>
    </w:p>
  </w:footnote>
  <w:footnote w:id="274">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Processo No. 0046690-64.2012.8.26.0100. 2</w:t>
      </w:r>
      <w:r w:rsidRPr="00B64BF5">
        <w:rPr>
          <w:rStyle w:val="st1"/>
          <w:rFonts w:ascii="Cambria" w:hAnsi="Cambria" w:cs="Arial"/>
          <w:color w:val="545454"/>
          <w:sz w:val="16"/>
          <w:szCs w:val="16"/>
          <w:lang w:val="pt-BR"/>
        </w:rPr>
        <w:t>ª</w:t>
      </w:r>
      <w:r w:rsidRPr="00B64BF5">
        <w:rPr>
          <w:rFonts w:ascii="Cambria" w:hAnsi="Cambria"/>
          <w:sz w:val="16"/>
          <w:szCs w:val="16"/>
          <w:lang w:val="pt-BR"/>
        </w:rPr>
        <w:t xml:space="preserve"> Vara de Registros Públicos da Comarca de São Paulo. </w:t>
      </w:r>
    </w:p>
  </w:footnote>
  <w:footnote w:id="275">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Processo No. 0046690-64.2012.8.26.0100. 2</w:t>
      </w:r>
      <w:r w:rsidRPr="00B64BF5">
        <w:rPr>
          <w:rStyle w:val="st1"/>
          <w:rFonts w:ascii="Cambria" w:hAnsi="Cambria" w:cs="Arial"/>
          <w:color w:val="545454"/>
          <w:sz w:val="16"/>
          <w:szCs w:val="16"/>
          <w:lang w:val="pt-BR"/>
        </w:rPr>
        <w:t>ª</w:t>
      </w:r>
      <w:r w:rsidRPr="00B64BF5">
        <w:rPr>
          <w:rFonts w:ascii="Cambria" w:hAnsi="Cambria"/>
          <w:sz w:val="16"/>
          <w:szCs w:val="16"/>
          <w:lang w:val="pt-BR"/>
        </w:rPr>
        <w:t xml:space="preserve"> Vara de Registros Públicos da Comarca de São Paulo. </w:t>
      </w:r>
      <w:r w:rsidRPr="00B64BF5">
        <w:rPr>
          <w:rFonts w:ascii="Cambria" w:hAnsi="Cambria"/>
          <w:sz w:val="16"/>
          <w:szCs w:val="16"/>
          <w:lang w:val="pt-BR"/>
        </w:rPr>
        <w:t xml:space="preserve">Sentencia del 24 de septiembre de 2012, fls. 4. </w:t>
      </w:r>
    </w:p>
  </w:footnote>
  <w:footnote w:id="276">
    <w:p w:rsidR="00D53806" w:rsidRPr="00B64BF5" w:rsidRDefault="00D53806" w:rsidP="00B64BF5">
      <w:pPr>
        <w:autoSpaceDE w:val="0"/>
        <w:autoSpaceDN w:val="0"/>
        <w:adjustRightInd w:val="0"/>
        <w:spacing w:after="0" w:line="240" w:lineRule="auto"/>
        <w:ind w:firstLine="720"/>
        <w:jc w:val="both"/>
        <w:rPr>
          <w:rFonts w:ascii="Cambria" w:eastAsiaTheme="minorHAnsi" w:hAnsi="Cambria" w:cs="AGaramondPro-Regular"/>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Texto </w:t>
      </w:r>
      <w:r w:rsidRPr="00B64BF5">
        <w:rPr>
          <w:rFonts w:ascii="Cambria" w:hAnsi="Cambria"/>
          <w:sz w:val="16"/>
          <w:szCs w:val="16"/>
          <w:lang w:val="pt-BR"/>
        </w:rPr>
        <w:t>original: “[</w:t>
      </w:r>
      <w:r w:rsidRPr="00B64BF5">
        <w:rPr>
          <w:rFonts w:ascii="Cambria" w:eastAsiaTheme="minorHAnsi" w:hAnsi="Cambria" w:cs="AGaramondPro-Regular"/>
          <w:sz w:val="16"/>
          <w:szCs w:val="16"/>
          <w:lang w:val="pt-BR"/>
        </w:rPr>
        <w:t xml:space="preserve">i]dentificaram a existência de dois sulcos, ambos com reações vitais, no pescoço do jornalista”.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 xml:space="preserve">Comissão Nacional da Verdade. Volume III “Mortos e desaparecidos políticos”, Maio de 1974 – outubro de 1985, Parte I, </w:t>
      </w:r>
      <w:r w:rsidRPr="00B64BF5">
        <w:rPr>
          <w:rFonts w:ascii="Cambria" w:eastAsiaTheme="minorHAnsi" w:hAnsi="Cambria" w:cs="AGaramondPro-Italic-SC700"/>
          <w:iCs/>
          <w:sz w:val="16"/>
          <w:szCs w:val="16"/>
          <w:lang w:val="pt-BR"/>
        </w:rPr>
        <w:t xml:space="preserve">fls </w:t>
      </w:r>
      <w:r w:rsidRPr="00B64BF5">
        <w:rPr>
          <w:rFonts w:ascii="Cambria" w:hAnsi="Cambria"/>
          <w:sz w:val="16"/>
          <w:szCs w:val="16"/>
          <w:lang w:val="pt-BR"/>
        </w:rPr>
        <w:t>1796</w:t>
      </w:r>
      <w:r w:rsidRPr="00B64BF5">
        <w:rPr>
          <w:rFonts w:ascii="Cambria" w:hAnsi="Cambria"/>
          <w:i/>
          <w:sz w:val="16"/>
          <w:szCs w:val="16"/>
          <w:lang w:val="pt-BR"/>
        </w:rPr>
        <w:t>,</w:t>
      </w:r>
      <w:r w:rsidRPr="00B64BF5">
        <w:rPr>
          <w:rFonts w:ascii="Cambria" w:hAnsi="Cambria"/>
          <w:sz w:val="16"/>
          <w:szCs w:val="16"/>
          <w:lang w:val="pt-BR"/>
        </w:rPr>
        <w:t xml:space="preserve">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77">
    <w:p w:rsidR="00D53806" w:rsidRPr="00B64BF5" w:rsidRDefault="00D53806" w:rsidP="00B64BF5">
      <w:pPr>
        <w:autoSpaceDE w:val="0"/>
        <w:autoSpaceDN w:val="0"/>
        <w:adjustRightInd w:val="0"/>
        <w:spacing w:after="0" w:line="240" w:lineRule="auto"/>
        <w:ind w:firstLine="720"/>
        <w:jc w:val="both"/>
        <w:rPr>
          <w:rFonts w:ascii="Cambria" w:eastAsiaTheme="minorHAnsi" w:hAnsi="Cambria" w:cs="AGaramondPro-Regular"/>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Texto original: “</w:t>
      </w:r>
      <w:r w:rsidRPr="00B64BF5">
        <w:rPr>
          <w:rFonts w:ascii="Cambria" w:eastAsiaTheme="minorHAnsi" w:hAnsi="Cambria" w:cs="AGaramondPro-Regular"/>
          <w:sz w:val="16"/>
          <w:szCs w:val="16"/>
          <w:lang w:val="pt-BR"/>
        </w:rPr>
        <w:t xml:space="preserve">foi inicialmente estrangulado, provavelmente com a cinta citada pelo perito criminal, e, em ato contínuo, foi montado um sistema de forca, onde uma das extremidades [da cinta] foi fixada a grade metálica de proteção da janela e, a outra, envolvida ao redor do pescoço de Vladimir Herzog, [..]. Após, o corpo foi colocado em suspensão incompleta de forma a simular um enforcamento”. </w:t>
      </w:r>
      <w:r w:rsidRPr="00B64BF5">
        <w:rPr>
          <w:rStyle w:val="Emphasis"/>
          <w:rFonts w:ascii="Cambria" w:hAnsi="Cambria" w:cs="Arial"/>
          <w:sz w:val="16"/>
          <w:szCs w:val="16"/>
          <w:lang w:val="pt-BR"/>
        </w:rPr>
        <w:t>Relatório da</w:t>
      </w:r>
      <w:r w:rsidRPr="00B64BF5">
        <w:rPr>
          <w:rStyle w:val="st1"/>
          <w:rFonts w:ascii="Cambria" w:hAnsi="Cambria" w:cs="Arial"/>
          <w:b/>
          <w:sz w:val="16"/>
          <w:szCs w:val="16"/>
          <w:lang w:val="pt-BR"/>
        </w:rPr>
        <w:t xml:space="preserve"> </w:t>
      </w:r>
      <w:r w:rsidRPr="00B64BF5">
        <w:rPr>
          <w:rStyle w:val="Emphasis"/>
          <w:rFonts w:ascii="Cambria" w:hAnsi="Cambria" w:cs="Arial"/>
          <w:sz w:val="16"/>
          <w:szCs w:val="16"/>
          <w:lang w:val="pt-BR"/>
        </w:rPr>
        <w:t xml:space="preserve">Comissão Nacional da Verdade. Volume III “Mortos e desaparecidos políticos”, Maio de 1974 – outubro de </w:t>
      </w:r>
      <w:r w:rsidRPr="00B64BF5">
        <w:rPr>
          <w:rStyle w:val="Emphasis"/>
          <w:rFonts w:ascii="Cambria" w:hAnsi="Cambria" w:cs="Arial"/>
          <w:sz w:val="16"/>
          <w:szCs w:val="16"/>
          <w:lang w:val="pt-BR"/>
        </w:rPr>
        <w:t xml:space="preserve">1985,  Parte I, </w:t>
      </w:r>
      <w:r w:rsidRPr="00B64BF5">
        <w:rPr>
          <w:rFonts w:ascii="Cambria" w:eastAsiaTheme="minorHAnsi" w:hAnsi="Cambria" w:cs="AGaramondPro-Italic-SC700"/>
          <w:i/>
          <w:iCs/>
          <w:sz w:val="16"/>
          <w:szCs w:val="16"/>
          <w:lang w:val="pt-BR"/>
        </w:rPr>
        <w:t xml:space="preserve">fls </w:t>
      </w:r>
      <w:r w:rsidRPr="00B64BF5">
        <w:rPr>
          <w:rFonts w:ascii="Cambria" w:hAnsi="Cambria"/>
          <w:sz w:val="16"/>
          <w:szCs w:val="16"/>
          <w:lang w:val="pt-BR"/>
        </w:rPr>
        <w:t xml:space="preserve">1796,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78">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“não existir mais qualquer dúvida acerca das circunstâncias da morte de Vladimir Herzog, detido ilegalmente, torturado e assassinado por agentes do Estado nas dependências do DOI-CODI do II Exército, em São Paulo, em outubro de 1975”.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 xml:space="preserve">Comissão Nacional da Verdade. </w:t>
      </w:r>
      <w:r w:rsidRPr="00B64BF5">
        <w:rPr>
          <w:rStyle w:val="Emphasis"/>
          <w:rFonts w:ascii="Cambria" w:hAnsi="Cambria" w:cs="Arial"/>
          <w:i w:val="0"/>
          <w:sz w:val="16"/>
          <w:szCs w:val="16"/>
          <w:lang w:val="pt-BR"/>
        </w:rPr>
        <w:t xml:space="preserve">Volume III “Mortos e desaparecidos políticos”, Maio de 1974 – outubro de </w:t>
      </w:r>
      <w:r w:rsidRPr="00B64BF5">
        <w:rPr>
          <w:rStyle w:val="Emphasis"/>
          <w:rFonts w:ascii="Cambria" w:hAnsi="Cambria" w:cs="Arial"/>
          <w:i w:val="0"/>
          <w:sz w:val="16"/>
          <w:szCs w:val="16"/>
          <w:lang w:val="pt-BR"/>
        </w:rPr>
        <w:t xml:space="preserve">1985,  Parte I, </w:t>
      </w:r>
      <w:r w:rsidRPr="00B64BF5">
        <w:rPr>
          <w:rFonts w:ascii="Cambria" w:eastAsiaTheme="minorHAnsi" w:hAnsi="Cambria" w:cs="AGaramondPro-Italic-SC700"/>
          <w:i/>
          <w:iCs/>
          <w:sz w:val="16"/>
          <w:szCs w:val="16"/>
          <w:lang w:val="pt-BR" w:eastAsia="en-US"/>
        </w:rPr>
        <w:t xml:space="preserve">fls </w:t>
      </w:r>
      <w:r w:rsidRPr="00B64BF5">
        <w:rPr>
          <w:rFonts w:ascii="Cambria" w:hAnsi="Cambria"/>
          <w:sz w:val="16"/>
          <w:szCs w:val="16"/>
          <w:lang w:val="pt-BR"/>
        </w:rPr>
        <w:t xml:space="preserve">1796,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79">
    <w:p w:rsidR="00D53806" w:rsidRPr="00B64BF5" w:rsidRDefault="00D53806" w:rsidP="00B64BF5">
      <w:pPr>
        <w:autoSpaceDE w:val="0"/>
        <w:autoSpaceDN w:val="0"/>
        <w:adjustRightInd w:val="0"/>
        <w:spacing w:after="0" w:line="240" w:lineRule="auto"/>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Texto original: “Diante das investigações realizadas, conclui-se que Vladimir Herzog morreu em decorrência de ação perpetrada por agentes do Estado brasileiro, em contexto de sistemáticas violações de direitos humanos promovidas pela ditadura militar implantada no país a partir de abril de 1964, restando desconstruída a versão de suicídio divulgada à época dos fatos. </w:t>
      </w:r>
      <w:r w:rsidRPr="00B64BF5">
        <w:rPr>
          <w:rFonts w:ascii="Cambria" w:hAnsi="Cambria"/>
          <w:sz w:val="16"/>
          <w:szCs w:val="16"/>
          <w:lang w:val="pt-BR"/>
        </w:rPr>
        <w:t>As inciativas da CNV, tanto em entregar à família a certidão de óbito retificada, quanto em concluir análise pericial que evidencia o homicídio de Vladimir Herzog, foram passos concretos na luta pela elucidação [das] graves [violações] de direitos humanos ocorridas durante a ditadura militar. Recomenda-se a continuidade das investigações sobre as circunstâncias do caso para a identificação e responsabilização dos demais agentes envolvidos</w:t>
      </w:r>
      <w:r w:rsidRPr="00B64BF5">
        <w:rPr>
          <w:rFonts w:ascii="Cambria" w:hAnsi="Cambria" w:cs="AGaramondPro-Regular"/>
          <w:sz w:val="16"/>
          <w:szCs w:val="16"/>
          <w:lang w:val="pt-BR"/>
        </w:rPr>
        <w:t>”.</w:t>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 xml:space="preserve">Comissão Nacional da Verdade. Volume III “Mortos e desaparecidos políticos”, Maio de 1974 – outubro de </w:t>
      </w:r>
      <w:r w:rsidRPr="00B64BF5">
        <w:rPr>
          <w:rStyle w:val="Emphasis"/>
          <w:rFonts w:ascii="Cambria" w:hAnsi="Cambria" w:cs="Arial"/>
          <w:i w:val="0"/>
          <w:sz w:val="16"/>
          <w:szCs w:val="16"/>
          <w:lang w:val="pt-BR"/>
        </w:rPr>
        <w:t xml:space="preserve">1985, Parte I, </w:t>
      </w:r>
      <w:r w:rsidRPr="00B64BF5">
        <w:rPr>
          <w:rFonts w:ascii="Cambria" w:eastAsiaTheme="minorHAnsi" w:hAnsi="Cambria" w:cs="AGaramondPro-Italic-SC700"/>
          <w:i/>
          <w:iCs/>
          <w:sz w:val="16"/>
          <w:szCs w:val="16"/>
          <w:lang w:val="pt-BR"/>
        </w:rPr>
        <w:t xml:space="preserve">fls </w:t>
      </w:r>
      <w:r w:rsidRPr="00B64BF5">
        <w:rPr>
          <w:rFonts w:ascii="Cambria" w:hAnsi="Cambria"/>
          <w:sz w:val="16"/>
          <w:szCs w:val="16"/>
          <w:lang w:val="pt-BR"/>
        </w:rPr>
        <w:t xml:space="preserve">1799,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8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w:t>
      </w:r>
      <w:r w:rsidRPr="00B64BF5">
        <w:rPr>
          <w:rStyle w:val="Emphasis"/>
          <w:rFonts w:ascii="Cambria" w:hAnsi="Cambria" w:cs="Arial"/>
          <w:sz w:val="16"/>
          <w:szCs w:val="16"/>
          <w:lang w:val="pt-BR"/>
        </w:rPr>
        <w:t xml:space="preserve"> </w:t>
      </w:r>
      <w:r w:rsidRPr="00B64BF5">
        <w:rPr>
          <w:rStyle w:val="Emphasis"/>
          <w:rFonts w:ascii="Cambria" w:hAnsi="Cambria" w:cs="Arial"/>
          <w:i w:val="0"/>
          <w:sz w:val="16"/>
          <w:szCs w:val="16"/>
          <w:lang w:val="pt-BR"/>
        </w:rPr>
        <w:t>Parte V,</w:t>
      </w:r>
      <w:r w:rsidRPr="00B64BF5">
        <w:rPr>
          <w:rStyle w:val="Emphasis"/>
          <w:rFonts w:ascii="Cambria" w:hAnsi="Cambria" w:cs="Arial"/>
          <w:sz w:val="16"/>
          <w:szCs w:val="16"/>
          <w:lang w:val="pt-BR"/>
        </w:rPr>
        <w:t xml:space="preserve"> “</w:t>
      </w:r>
      <w:r w:rsidRPr="00B64BF5">
        <w:rPr>
          <w:rStyle w:val="Strong"/>
          <w:rFonts w:ascii="Cambria" w:hAnsi="Cambria"/>
          <w:b w:val="0"/>
          <w:color w:val="222222"/>
          <w:sz w:val="16"/>
          <w:szCs w:val="16"/>
          <w:lang w:val="pt-BR"/>
        </w:rPr>
        <w:t>Conclusões e recomendações</w:t>
      </w:r>
      <w:r w:rsidRPr="00B64BF5">
        <w:rPr>
          <w:rStyle w:val="Emphasis"/>
          <w:rFonts w:ascii="Cambria" w:hAnsi="Cambria" w:cs="Arial"/>
          <w:sz w:val="16"/>
          <w:szCs w:val="16"/>
          <w:lang w:val="pt-BR"/>
        </w:rPr>
        <w:t xml:space="preserve">”, </w:t>
      </w:r>
      <w:r w:rsidRPr="00B64BF5">
        <w:rPr>
          <w:rFonts w:ascii="Cambria" w:hAnsi="Cambria"/>
          <w:color w:val="222222"/>
          <w:sz w:val="16"/>
          <w:szCs w:val="16"/>
          <w:lang w:val="pt-BR"/>
        </w:rPr>
        <w:t xml:space="preserve">Capítulo 18 – Conclusões e recomendações, II RECOMENDAÇÕES – (A) Medidas Institucionais. </w:t>
      </w:r>
      <w:r w:rsidRPr="00B64BF5">
        <w:rPr>
          <w:rFonts w:ascii="Cambria" w:eastAsiaTheme="minorHAnsi" w:hAnsi="Cambria" w:cs="AGaramondPro-Italic-SC700"/>
          <w:iCs/>
          <w:sz w:val="16"/>
          <w:szCs w:val="16"/>
          <w:lang w:val="pt-BR" w:eastAsia="en-US"/>
        </w:rPr>
        <w:t xml:space="preserve">fls </w:t>
      </w:r>
      <w:r w:rsidRPr="00B64BF5">
        <w:rPr>
          <w:rFonts w:ascii="Cambria" w:hAnsi="Cambria"/>
          <w:sz w:val="16"/>
          <w:szCs w:val="16"/>
          <w:lang w:val="pt-BR"/>
        </w:rPr>
        <w:t xml:space="preserve">964-975,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8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i/>
          <w:sz w:val="16"/>
          <w:szCs w:val="16"/>
          <w:lang w:val="pt-BR"/>
        </w:rPr>
        <w:t xml:space="preserve"> </w:t>
      </w:r>
      <w:r w:rsidRPr="00B64BF5">
        <w:rPr>
          <w:rStyle w:val="Emphasis"/>
          <w:rFonts w:ascii="Cambria" w:hAnsi="Cambria" w:cs="Arial"/>
          <w:i w:val="0"/>
          <w:sz w:val="16"/>
          <w:szCs w:val="16"/>
          <w:lang w:val="pt-BR"/>
        </w:rPr>
        <w:t>Comissão Nacional da Verdade. Volume I, Parte V</w:t>
      </w:r>
      <w:r w:rsidRPr="00B64BF5">
        <w:rPr>
          <w:rStyle w:val="Emphasis"/>
          <w:rFonts w:ascii="Cambria" w:hAnsi="Cambria" w:cs="Arial"/>
          <w:sz w:val="16"/>
          <w:szCs w:val="16"/>
          <w:lang w:val="pt-BR"/>
        </w:rPr>
        <w:t>, “</w:t>
      </w:r>
      <w:r w:rsidRPr="00B64BF5">
        <w:rPr>
          <w:rStyle w:val="Strong"/>
          <w:rFonts w:ascii="Cambria" w:hAnsi="Cambria"/>
          <w:b w:val="0"/>
          <w:color w:val="222222"/>
          <w:sz w:val="16"/>
          <w:szCs w:val="16"/>
          <w:lang w:val="pt-BR"/>
        </w:rPr>
        <w:t>Conclusões e recomendações</w:t>
      </w:r>
      <w:r w:rsidRPr="00B64BF5">
        <w:rPr>
          <w:rStyle w:val="Emphasis"/>
          <w:rFonts w:ascii="Cambria" w:hAnsi="Cambria" w:cs="Arial"/>
          <w:sz w:val="16"/>
          <w:szCs w:val="16"/>
          <w:lang w:val="pt-BR"/>
        </w:rPr>
        <w:t xml:space="preserve">”, </w:t>
      </w:r>
      <w:r w:rsidRPr="00B64BF5">
        <w:rPr>
          <w:rFonts w:ascii="Cambria" w:hAnsi="Cambria"/>
          <w:color w:val="222222"/>
          <w:sz w:val="16"/>
          <w:szCs w:val="16"/>
          <w:lang w:val="pt-BR"/>
        </w:rPr>
        <w:t xml:space="preserve">Capítulo 18 – Conclusões e recomendações, II RECOMENDAÇÕES – (A) Medidas Institucionais. </w:t>
      </w:r>
      <w:r w:rsidRPr="00B64BF5">
        <w:rPr>
          <w:rFonts w:ascii="Cambria" w:eastAsiaTheme="minorHAnsi" w:hAnsi="Cambria" w:cs="AGaramondPro-Italic-SC700"/>
          <w:iCs/>
          <w:sz w:val="16"/>
          <w:szCs w:val="16"/>
          <w:lang w:val="pt-BR" w:eastAsia="en-US"/>
        </w:rPr>
        <w:t xml:space="preserve">fls </w:t>
      </w:r>
      <w:r w:rsidRPr="00B64BF5">
        <w:rPr>
          <w:rFonts w:ascii="Cambria" w:hAnsi="Cambria"/>
          <w:sz w:val="16"/>
          <w:szCs w:val="16"/>
          <w:lang w:val="pt-BR"/>
        </w:rPr>
        <w:t xml:space="preserve">965, </w:t>
      </w:r>
      <w:r w:rsidRPr="00B64BF5">
        <w:rPr>
          <w:rFonts w:ascii="Cambria" w:hAnsi="Cambria"/>
          <w:color w:val="222222"/>
          <w:sz w:val="16"/>
          <w:szCs w:val="16"/>
          <w:lang w:val="pt-BR"/>
        </w:rPr>
        <w:t xml:space="preserve">del 10 de diciembre de 2014. </w:t>
      </w:r>
      <w:r w:rsidRPr="00B64BF5">
        <w:rPr>
          <w:rFonts w:ascii="Cambria" w:hAnsi="Cambria"/>
          <w:sz w:val="16"/>
          <w:szCs w:val="16"/>
          <w:lang w:val="pt-BR"/>
        </w:rPr>
        <w:t xml:space="preserve"> </w:t>
      </w:r>
    </w:p>
  </w:footnote>
  <w:footnote w:id="282">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IACHR.</w:t>
      </w:r>
      <w:proofErr w:type="gramEnd"/>
      <w:r w:rsidRPr="00B64BF5">
        <w:rPr>
          <w:rFonts w:ascii="Cambria" w:hAnsi="Cambria"/>
          <w:sz w:val="16"/>
          <w:szCs w:val="16"/>
        </w:rPr>
        <w:t xml:space="preserve"> Report No. 80/12. </w:t>
      </w:r>
      <w:proofErr w:type="gramStart"/>
      <w:r w:rsidRPr="00B64BF5">
        <w:rPr>
          <w:rFonts w:ascii="Cambria" w:hAnsi="Cambria"/>
          <w:sz w:val="16"/>
          <w:szCs w:val="16"/>
        </w:rPr>
        <w:t>Petition P-859-09.</w:t>
      </w:r>
      <w:proofErr w:type="gramEnd"/>
      <w:r w:rsidRPr="00B64BF5">
        <w:rPr>
          <w:rFonts w:ascii="Cambria" w:hAnsi="Cambria"/>
          <w:sz w:val="16"/>
          <w:szCs w:val="16"/>
        </w:rPr>
        <w:t xml:space="preserve"> </w:t>
      </w:r>
      <w:proofErr w:type="gramStart"/>
      <w:r w:rsidRPr="00B64BF5">
        <w:rPr>
          <w:rFonts w:ascii="Cambria" w:hAnsi="Cambria"/>
          <w:sz w:val="16"/>
          <w:szCs w:val="16"/>
        </w:rPr>
        <w:t>Vladimir Herzog et al. Admissibility.</w:t>
      </w:r>
      <w:proofErr w:type="gramEnd"/>
      <w:r w:rsidRPr="00B64BF5">
        <w:rPr>
          <w:rFonts w:ascii="Cambria" w:hAnsi="Cambria"/>
          <w:sz w:val="16"/>
          <w:szCs w:val="16"/>
        </w:rPr>
        <w:t xml:space="preserve"> Brazil. November 8, 2012. </w:t>
      </w:r>
      <w:proofErr w:type="gramStart"/>
      <w:r w:rsidRPr="00B64BF5">
        <w:rPr>
          <w:rFonts w:ascii="Cambria" w:hAnsi="Cambria"/>
          <w:sz w:val="16"/>
          <w:szCs w:val="16"/>
        </w:rPr>
        <w:t>Para.</w:t>
      </w:r>
      <w:proofErr w:type="gramEnd"/>
      <w:r w:rsidRPr="00B64BF5">
        <w:rPr>
          <w:rFonts w:ascii="Cambria" w:hAnsi="Cambria"/>
          <w:sz w:val="16"/>
          <w:szCs w:val="16"/>
        </w:rPr>
        <w:t xml:space="preserve"> 25.</w:t>
      </w:r>
    </w:p>
  </w:footnote>
  <w:footnote w:id="283">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lang w:val="es-UY"/>
        </w:rPr>
        <w:footnoteRef/>
      </w:r>
      <w:r w:rsidRPr="00B64BF5">
        <w:rPr>
          <w:rFonts w:ascii="Cambria" w:hAnsi="Cambria"/>
          <w:sz w:val="16"/>
          <w:szCs w:val="16"/>
        </w:rPr>
        <w:t xml:space="preserve"> </w:t>
      </w:r>
      <w:r w:rsidRPr="00B64BF5">
        <w:rPr>
          <w:rFonts w:ascii="Cambria" w:hAnsi="Cambria"/>
          <w:iCs/>
          <w:sz w:val="16"/>
          <w:szCs w:val="16"/>
        </w:rPr>
        <w:t>I/A Court H.R</w:t>
      </w:r>
      <w:r w:rsidRPr="00B64BF5">
        <w:rPr>
          <w:rFonts w:ascii="Cambria" w:hAnsi="Cambria"/>
          <w:sz w:val="16"/>
          <w:szCs w:val="16"/>
        </w:rPr>
        <w:t>., Advisory Opinion</w:t>
      </w:r>
      <w:r w:rsidRPr="00B64BF5">
        <w:rPr>
          <w:rFonts w:ascii="Cambria" w:hAnsi="Cambria"/>
          <w:iCs/>
          <w:sz w:val="16"/>
          <w:szCs w:val="16"/>
        </w:rPr>
        <w:t xml:space="preserve"> OC-10/89 "</w:t>
      </w:r>
      <w:r w:rsidRPr="00B64BF5">
        <w:rPr>
          <w:rFonts w:ascii="Cambria" w:hAnsi="Cambria"/>
          <w:bCs/>
          <w:iCs/>
          <w:sz w:val="16"/>
          <w:szCs w:val="16"/>
        </w:rPr>
        <w:t xml:space="preserve">Interpretation of the American Declaration of the Rights and Duties of Man </w:t>
      </w:r>
      <w:proofErr w:type="gramStart"/>
      <w:r w:rsidRPr="00B64BF5">
        <w:rPr>
          <w:rFonts w:ascii="Cambria" w:hAnsi="Cambria"/>
          <w:bCs/>
          <w:iCs/>
          <w:sz w:val="16"/>
          <w:szCs w:val="16"/>
        </w:rPr>
        <w:t>Within</w:t>
      </w:r>
      <w:proofErr w:type="gramEnd"/>
      <w:r w:rsidRPr="00B64BF5">
        <w:rPr>
          <w:rFonts w:ascii="Cambria" w:hAnsi="Cambria"/>
          <w:bCs/>
          <w:iCs/>
          <w:sz w:val="16"/>
          <w:szCs w:val="16"/>
        </w:rPr>
        <w:t xml:space="preserve"> the Framework of </w:t>
      </w:r>
      <w:proofErr w:type="spellStart"/>
      <w:r w:rsidRPr="00B64BF5">
        <w:rPr>
          <w:rFonts w:ascii="Cambria" w:hAnsi="Cambria"/>
          <w:bCs/>
          <w:iCs/>
          <w:sz w:val="16"/>
          <w:szCs w:val="16"/>
        </w:rPr>
        <w:t>Arcticle</w:t>
      </w:r>
      <w:proofErr w:type="spellEnd"/>
      <w:r w:rsidRPr="00B64BF5">
        <w:rPr>
          <w:rFonts w:ascii="Cambria" w:hAnsi="Cambria"/>
          <w:bCs/>
          <w:iCs/>
          <w:sz w:val="16"/>
          <w:szCs w:val="16"/>
        </w:rPr>
        <w:t xml:space="preserve"> 64 of the American Convention on Human Rights</w:t>
      </w:r>
      <w:r w:rsidRPr="00B64BF5">
        <w:rPr>
          <w:rFonts w:ascii="Cambria" w:hAnsi="Cambria"/>
          <w:iCs/>
          <w:sz w:val="16"/>
          <w:szCs w:val="16"/>
        </w:rPr>
        <w:t>”</w:t>
      </w:r>
      <w:r w:rsidRPr="00B64BF5">
        <w:rPr>
          <w:rFonts w:ascii="Cambria" w:hAnsi="Cambria"/>
          <w:sz w:val="16"/>
          <w:szCs w:val="16"/>
        </w:rPr>
        <w:t xml:space="preserve">, July 14, 1989, Ser. </w:t>
      </w:r>
      <w:proofErr w:type="gramStart"/>
      <w:r w:rsidRPr="00B64BF5">
        <w:rPr>
          <w:rFonts w:ascii="Cambria" w:hAnsi="Cambria"/>
          <w:sz w:val="16"/>
          <w:szCs w:val="16"/>
        </w:rPr>
        <w:t>A</w:t>
      </w:r>
      <w:proofErr w:type="gramEnd"/>
      <w:r w:rsidRPr="00B64BF5">
        <w:rPr>
          <w:rFonts w:ascii="Cambria" w:hAnsi="Cambria"/>
          <w:sz w:val="16"/>
          <w:szCs w:val="16"/>
        </w:rPr>
        <w:t xml:space="preserve"> Nº 10 (1989), para. 45 (The Court held that, “for the member states of the Organization, the Declaration is the text that defines the human rights referred to in the Charter”).</w:t>
      </w:r>
    </w:p>
  </w:footnote>
  <w:footnote w:id="284">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IACHR.</w:t>
      </w:r>
      <w:proofErr w:type="gramEnd"/>
      <w:r w:rsidRPr="00B64BF5">
        <w:rPr>
          <w:rFonts w:ascii="Cambria" w:hAnsi="Cambria"/>
          <w:sz w:val="16"/>
          <w:szCs w:val="16"/>
        </w:rPr>
        <w:t xml:space="preserve"> Report No. 80/11</w:t>
      </w:r>
      <w:proofErr w:type="gramStart"/>
      <w:r w:rsidRPr="00B64BF5">
        <w:rPr>
          <w:rFonts w:ascii="Cambria" w:hAnsi="Cambria"/>
          <w:sz w:val="16"/>
          <w:szCs w:val="16"/>
        </w:rPr>
        <w:t>,  Case</w:t>
      </w:r>
      <w:proofErr w:type="gramEnd"/>
      <w:r w:rsidRPr="00B64BF5">
        <w:rPr>
          <w:rFonts w:ascii="Cambria" w:hAnsi="Cambria"/>
          <w:sz w:val="16"/>
          <w:szCs w:val="16"/>
        </w:rPr>
        <w:t xml:space="preserve"> 12.626,  Merits,  Jessica </w:t>
      </w:r>
      <w:proofErr w:type="spellStart"/>
      <w:r w:rsidRPr="00B64BF5">
        <w:rPr>
          <w:rFonts w:ascii="Cambria" w:hAnsi="Cambria"/>
          <w:sz w:val="16"/>
          <w:szCs w:val="16"/>
        </w:rPr>
        <w:t>Lenahan</w:t>
      </w:r>
      <w:proofErr w:type="spellEnd"/>
      <w:r w:rsidRPr="00B64BF5">
        <w:rPr>
          <w:rFonts w:ascii="Cambria" w:hAnsi="Cambria"/>
          <w:sz w:val="16"/>
          <w:szCs w:val="16"/>
        </w:rPr>
        <w:t xml:space="preserve"> (Gonzales) et al. United States. July 21, 2011. </w:t>
      </w:r>
      <w:proofErr w:type="gramStart"/>
      <w:r w:rsidRPr="00B64BF5">
        <w:rPr>
          <w:rFonts w:ascii="Cambria" w:hAnsi="Cambria"/>
          <w:sz w:val="16"/>
          <w:szCs w:val="16"/>
        </w:rPr>
        <w:t>Para.</w:t>
      </w:r>
      <w:proofErr w:type="gramEnd"/>
      <w:r w:rsidRPr="00B64BF5">
        <w:rPr>
          <w:rFonts w:ascii="Cambria" w:hAnsi="Cambria"/>
          <w:sz w:val="16"/>
          <w:szCs w:val="16"/>
        </w:rPr>
        <w:t xml:space="preserve"> 118.</w:t>
      </w:r>
    </w:p>
    <w:p w:rsidR="00D53806" w:rsidRPr="00B64BF5" w:rsidRDefault="00D53806" w:rsidP="00B64BF5">
      <w:pPr>
        <w:spacing w:after="0" w:line="240" w:lineRule="auto"/>
        <w:ind w:firstLine="720"/>
        <w:jc w:val="both"/>
        <w:rPr>
          <w:rFonts w:ascii="Cambria" w:hAnsi="Cambria"/>
          <w:sz w:val="16"/>
          <w:szCs w:val="16"/>
        </w:rPr>
      </w:pPr>
    </w:p>
  </w:footnote>
  <w:footnote w:id="285">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IACHR, Report on Terrorism and Human Rights, OEA/</w:t>
      </w:r>
      <w:proofErr w:type="spellStart"/>
      <w:r w:rsidRPr="00B64BF5">
        <w:rPr>
          <w:rFonts w:ascii="Cambria" w:hAnsi="Cambria"/>
          <w:sz w:val="16"/>
          <w:szCs w:val="16"/>
        </w:rPr>
        <w:t>Ser.L</w:t>
      </w:r>
      <w:proofErr w:type="spellEnd"/>
      <w:r w:rsidRPr="00B64BF5">
        <w:rPr>
          <w:rFonts w:ascii="Cambria" w:hAnsi="Cambria"/>
          <w:sz w:val="16"/>
          <w:szCs w:val="16"/>
        </w:rPr>
        <w:t>/V/II.116.Doc.5 rev.1, October 22, 2002,</w:t>
      </w:r>
    </w:p>
    <w:p w:rsidR="00D53806" w:rsidRPr="00B64BF5" w:rsidRDefault="00D53806" w:rsidP="00B64BF5">
      <w:pPr>
        <w:pStyle w:val="FootnoteText"/>
        <w:ind w:firstLine="720"/>
        <w:jc w:val="both"/>
        <w:rPr>
          <w:rFonts w:ascii="Cambria" w:hAnsi="Cambria"/>
          <w:sz w:val="16"/>
          <w:szCs w:val="16"/>
        </w:rPr>
      </w:pPr>
      <w:proofErr w:type="gramStart"/>
      <w:r w:rsidRPr="00B64BF5">
        <w:rPr>
          <w:rFonts w:ascii="Cambria" w:hAnsi="Cambria"/>
          <w:sz w:val="16"/>
          <w:szCs w:val="16"/>
        </w:rPr>
        <w:t>para</w:t>
      </w:r>
      <w:proofErr w:type="gramEnd"/>
      <w:r w:rsidRPr="00B64BF5">
        <w:rPr>
          <w:rFonts w:ascii="Cambria" w:hAnsi="Cambria"/>
          <w:sz w:val="16"/>
          <w:szCs w:val="16"/>
        </w:rPr>
        <w:t>. 120.</w:t>
      </w:r>
    </w:p>
  </w:footnote>
  <w:footnote w:id="286">
    <w:p w:rsidR="00D53806" w:rsidRPr="00B64BF5" w:rsidRDefault="00D53806" w:rsidP="00B64BF5">
      <w:pPr>
        <w:spacing w:after="0" w:line="240" w:lineRule="auto"/>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r w:rsidRPr="00B64BF5">
        <w:rPr>
          <w:rFonts w:ascii="Cambria" w:hAnsi="Cambria"/>
          <w:color w:val="000000"/>
          <w:sz w:val="16"/>
          <w:szCs w:val="16"/>
        </w:rPr>
        <w:t xml:space="preserve"> </w:t>
      </w:r>
      <w:proofErr w:type="gramStart"/>
      <w:r w:rsidRPr="00B64BF5">
        <w:rPr>
          <w:rFonts w:ascii="Cambria" w:hAnsi="Cambria"/>
          <w:color w:val="000000"/>
          <w:sz w:val="16"/>
          <w:szCs w:val="16"/>
        </w:rPr>
        <w:t>I/A Court H.R.</w:t>
      </w:r>
      <w:r w:rsidRPr="00B64BF5">
        <w:rPr>
          <w:rFonts w:ascii="Cambria" w:hAnsi="Cambria"/>
          <w:sz w:val="16"/>
          <w:szCs w:val="16"/>
        </w:rPr>
        <w:t xml:space="preserve"> </w:t>
      </w:r>
      <w:r w:rsidRPr="00B64BF5">
        <w:rPr>
          <w:rFonts w:ascii="Cambria" w:hAnsi="Cambria"/>
          <w:bCs/>
          <w:color w:val="000000"/>
          <w:sz w:val="16"/>
          <w:szCs w:val="16"/>
        </w:rPr>
        <w:t xml:space="preserve">Case of </w:t>
      </w:r>
      <w:proofErr w:type="spellStart"/>
      <w:r w:rsidRPr="00B64BF5">
        <w:rPr>
          <w:rFonts w:ascii="Cambria" w:hAnsi="Cambria"/>
          <w:bCs/>
          <w:color w:val="000000"/>
          <w:sz w:val="16"/>
          <w:szCs w:val="16"/>
        </w:rPr>
        <w:t>Chaparro</w:t>
      </w:r>
      <w:proofErr w:type="spellEnd"/>
      <w:r w:rsidRPr="00B64BF5">
        <w:rPr>
          <w:rFonts w:ascii="Cambria" w:hAnsi="Cambria"/>
          <w:bCs/>
          <w:color w:val="000000"/>
          <w:sz w:val="16"/>
          <w:szCs w:val="16"/>
        </w:rPr>
        <w:t xml:space="preserve"> </w:t>
      </w:r>
      <w:proofErr w:type="spellStart"/>
      <w:r w:rsidRPr="00B64BF5">
        <w:rPr>
          <w:rFonts w:ascii="Cambria" w:hAnsi="Cambria"/>
          <w:bCs/>
          <w:color w:val="000000"/>
          <w:sz w:val="16"/>
          <w:szCs w:val="16"/>
        </w:rPr>
        <w:t>Álvarez</w:t>
      </w:r>
      <w:proofErr w:type="spellEnd"/>
      <w:r w:rsidRPr="00B64BF5">
        <w:rPr>
          <w:rFonts w:ascii="Cambria" w:hAnsi="Cambria"/>
          <w:bCs/>
          <w:color w:val="000000"/>
          <w:sz w:val="16"/>
          <w:szCs w:val="16"/>
        </w:rPr>
        <w:t xml:space="preserve"> and </w:t>
      </w:r>
      <w:proofErr w:type="spellStart"/>
      <w:r w:rsidRPr="00B64BF5">
        <w:rPr>
          <w:rFonts w:ascii="Cambria" w:hAnsi="Cambria"/>
          <w:bCs/>
          <w:color w:val="000000"/>
          <w:sz w:val="16"/>
          <w:szCs w:val="16"/>
        </w:rPr>
        <w:t>Lapo</w:t>
      </w:r>
      <w:proofErr w:type="spellEnd"/>
      <w:r w:rsidRPr="00B64BF5">
        <w:rPr>
          <w:rFonts w:ascii="Cambria" w:hAnsi="Cambria"/>
          <w:bCs/>
          <w:color w:val="000000"/>
          <w:sz w:val="16"/>
          <w:szCs w:val="16"/>
        </w:rPr>
        <w:t xml:space="preserve"> </w:t>
      </w:r>
      <w:proofErr w:type="spellStart"/>
      <w:r w:rsidRPr="00B64BF5">
        <w:rPr>
          <w:rFonts w:ascii="Cambria" w:hAnsi="Cambria"/>
          <w:bCs/>
          <w:color w:val="000000"/>
          <w:sz w:val="16"/>
          <w:szCs w:val="16"/>
        </w:rPr>
        <w:t>Íñiguez</w:t>
      </w:r>
      <w:proofErr w:type="spellEnd"/>
      <w:r w:rsidRPr="00B64BF5">
        <w:rPr>
          <w:rFonts w:ascii="Cambria" w:hAnsi="Cambria"/>
          <w:bCs/>
          <w:color w:val="000000"/>
          <w:sz w:val="16"/>
          <w:szCs w:val="16"/>
        </w:rPr>
        <w:t xml:space="preserve"> v. Ecuador.</w:t>
      </w:r>
      <w:proofErr w:type="gramEnd"/>
      <w:r w:rsidRPr="00B64BF5">
        <w:rPr>
          <w:rFonts w:ascii="Cambria" w:hAnsi="Cambria"/>
          <w:b/>
          <w:bCs/>
          <w:color w:val="000000"/>
          <w:sz w:val="16"/>
          <w:szCs w:val="16"/>
        </w:rPr>
        <w:t xml:space="preserve"> </w:t>
      </w:r>
      <w:proofErr w:type="gramStart"/>
      <w:r w:rsidRPr="00B64BF5">
        <w:rPr>
          <w:rFonts w:ascii="Cambria" w:hAnsi="Cambria"/>
          <w:color w:val="000000"/>
          <w:sz w:val="16"/>
          <w:szCs w:val="16"/>
        </w:rPr>
        <w:t>Preliminary Objections, Merits, Reparations, and Costs.</w:t>
      </w:r>
      <w:proofErr w:type="gramEnd"/>
      <w:r w:rsidRPr="00B64BF5">
        <w:rPr>
          <w:rFonts w:ascii="Cambria" w:hAnsi="Cambria"/>
          <w:color w:val="000000"/>
          <w:sz w:val="16"/>
          <w:szCs w:val="16"/>
        </w:rPr>
        <w:t xml:space="preserve"> Judgment of November 21, 2007. </w:t>
      </w:r>
      <w:proofErr w:type="spellStart"/>
      <w:r w:rsidRPr="00B64BF5">
        <w:rPr>
          <w:rFonts w:ascii="Cambria" w:hAnsi="Cambria"/>
          <w:color w:val="000000"/>
          <w:sz w:val="16"/>
          <w:szCs w:val="16"/>
        </w:rPr>
        <w:t>Serie</w:t>
      </w:r>
      <w:proofErr w:type="spellEnd"/>
      <w:r w:rsidRPr="00B64BF5">
        <w:rPr>
          <w:rFonts w:ascii="Cambria" w:hAnsi="Cambria"/>
          <w:color w:val="000000"/>
          <w:sz w:val="16"/>
          <w:szCs w:val="16"/>
        </w:rPr>
        <w:t xml:space="preserve"> C No. 170.</w:t>
      </w:r>
    </w:p>
  </w:footnote>
  <w:footnote w:id="287">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w:t>
      </w:r>
      <w:r w:rsidRPr="00B64BF5">
        <w:rPr>
          <w:rFonts w:ascii="Cambria" w:hAnsi="Cambria"/>
          <w:bCs/>
          <w:sz w:val="16"/>
          <w:szCs w:val="16"/>
        </w:rPr>
        <w:t xml:space="preserve">Case of </w:t>
      </w:r>
      <w:proofErr w:type="spellStart"/>
      <w:r w:rsidRPr="00B64BF5">
        <w:rPr>
          <w:rFonts w:ascii="Cambria" w:hAnsi="Cambria"/>
          <w:bCs/>
          <w:sz w:val="16"/>
          <w:szCs w:val="16"/>
        </w:rPr>
        <w:t>Chaparro</w:t>
      </w:r>
      <w:proofErr w:type="spellEnd"/>
      <w:r w:rsidRPr="00B64BF5">
        <w:rPr>
          <w:rFonts w:ascii="Cambria" w:hAnsi="Cambria"/>
          <w:bCs/>
          <w:sz w:val="16"/>
          <w:szCs w:val="16"/>
        </w:rPr>
        <w:t xml:space="preserve"> </w:t>
      </w:r>
      <w:proofErr w:type="spellStart"/>
      <w:r w:rsidRPr="00B64BF5">
        <w:rPr>
          <w:rFonts w:ascii="Cambria" w:hAnsi="Cambria"/>
          <w:bCs/>
          <w:sz w:val="16"/>
          <w:szCs w:val="16"/>
        </w:rPr>
        <w:t>Álvarez</w:t>
      </w:r>
      <w:proofErr w:type="spellEnd"/>
      <w:r w:rsidRPr="00B64BF5">
        <w:rPr>
          <w:rFonts w:ascii="Cambria" w:hAnsi="Cambria"/>
          <w:bCs/>
          <w:sz w:val="16"/>
          <w:szCs w:val="16"/>
        </w:rPr>
        <w:t xml:space="preserve"> and </w:t>
      </w:r>
      <w:proofErr w:type="spellStart"/>
      <w:r w:rsidRPr="00B64BF5">
        <w:rPr>
          <w:rFonts w:ascii="Cambria" w:hAnsi="Cambria"/>
          <w:bCs/>
          <w:sz w:val="16"/>
          <w:szCs w:val="16"/>
        </w:rPr>
        <w:t>Lapo</w:t>
      </w:r>
      <w:proofErr w:type="spellEnd"/>
      <w:r w:rsidRPr="00B64BF5">
        <w:rPr>
          <w:rFonts w:ascii="Cambria" w:hAnsi="Cambria"/>
          <w:bCs/>
          <w:sz w:val="16"/>
          <w:szCs w:val="16"/>
        </w:rPr>
        <w:t xml:space="preserve"> </w:t>
      </w:r>
      <w:proofErr w:type="spellStart"/>
      <w:r w:rsidRPr="00B64BF5">
        <w:rPr>
          <w:rFonts w:ascii="Cambria" w:hAnsi="Cambria"/>
          <w:bCs/>
          <w:sz w:val="16"/>
          <w:szCs w:val="16"/>
        </w:rPr>
        <w:t>Íñiguez</w:t>
      </w:r>
      <w:proofErr w:type="spellEnd"/>
      <w:r w:rsidRPr="00B64BF5">
        <w:rPr>
          <w:rFonts w:ascii="Cambria" w:hAnsi="Cambria"/>
          <w:bCs/>
          <w:sz w:val="16"/>
          <w:szCs w:val="16"/>
        </w:rPr>
        <w:t xml:space="preserve"> v. Ecuador.</w:t>
      </w:r>
      <w:proofErr w:type="gramEnd"/>
      <w:r w:rsidRPr="00B64BF5">
        <w:rPr>
          <w:rFonts w:ascii="Cambria" w:hAnsi="Cambria"/>
          <w:b/>
          <w:bCs/>
          <w:sz w:val="16"/>
          <w:szCs w:val="16"/>
        </w:rPr>
        <w:t xml:space="preserve"> </w:t>
      </w:r>
      <w:proofErr w:type="gramStart"/>
      <w:r w:rsidRPr="00B64BF5">
        <w:rPr>
          <w:rFonts w:ascii="Cambria" w:hAnsi="Cambria"/>
          <w:sz w:val="16"/>
          <w:szCs w:val="16"/>
        </w:rPr>
        <w:t>Preliminary Objections, Merits, Reparations, and Costs.</w:t>
      </w:r>
      <w:proofErr w:type="gramEnd"/>
      <w:r w:rsidRPr="00B64BF5">
        <w:rPr>
          <w:rFonts w:ascii="Cambria" w:hAnsi="Cambria"/>
          <w:sz w:val="16"/>
          <w:szCs w:val="16"/>
        </w:rPr>
        <w:t xml:space="preserve"> Judgment of November 21, 2007. </w:t>
      </w:r>
      <w:proofErr w:type="spellStart"/>
      <w:r w:rsidRPr="00B64BF5">
        <w:rPr>
          <w:rFonts w:ascii="Cambria" w:hAnsi="Cambria"/>
          <w:sz w:val="16"/>
          <w:szCs w:val="16"/>
        </w:rPr>
        <w:t>Serie</w:t>
      </w:r>
      <w:proofErr w:type="spellEnd"/>
      <w:r w:rsidRPr="00B64BF5">
        <w:rPr>
          <w:rFonts w:ascii="Cambria" w:hAnsi="Cambria"/>
          <w:sz w:val="16"/>
          <w:szCs w:val="16"/>
        </w:rPr>
        <w:t xml:space="preserve"> C No. 170.</w:t>
      </w:r>
    </w:p>
  </w:footnote>
  <w:footnote w:id="288">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IACHR, Report on Terrorism and Human Rights, OEA/</w:t>
      </w:r>
      <w:proofErr w:type="spellStart"/>
      <w:r w:rsidRPr="00B64BF5">
        <w:rPr>
          <w:rFonts w:ascii="Cambria" w:hAnsi="Cambria"/>
          <w:sz w:val="16"/>
          <w:szCs w:val="16"/>
        </w:rPr>
        <w:t>Ser.L</w:t>
      </w:r>
      <w:proofErr w:type="spellEnd"/>
      <w:r w:rsidRPr="00B64BF5">
        <w:rPr>
          <w:rFonts w:ascii="Cambria" w:hAnsi="Cambria"/>
          <w:sz w:val="16"/>
          <w:szCs w:val="16"/>
        </w:rPr>
        <w:t>/V/II.116.Doc.5 rev.1, October 22, 2002, para. 184.</w:t>
      </w:r>
    </w:p>
  </w:footnote>
  <w:footnote w:id="289">
    <w:p w:rsidR="00D53806" w:rsidRPr="00B64BF5" w:rsidRDefault="00D53806" w:rsidP="00B64BF5">
      <w:pPr>
        <w:spacing w:after="0" w:line="240" w:lineRule="auto"/>
        <w:ind w:firstLine="720"/>
        <w:jc w:val="both"/>
        <w:rPr>
          <w:rFonts w:ascii="Cambria" w:hAnsi="Cambria"/>
          <w:sz w:val="16"/>
          <w:szCs w:val="16"/>
        </w:rPr>
      </w:pPr>
      <w:r w:rsidRPr="00B64BF5">
        <w:rPr>
          <w:rStyle w:val="FootnoteReference"/>
          <w:rFonts w:ascii="Cambria" w:hAnsi="Cambria"/>
          <w:color w:val="000000"/>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Case of Maritza </w:t>
      </w:r>
      <w:proofErr w:type="spellStart"/>
      <w:r w:rsidRPr="00B64BF5">
        <w:rPr>
          <w:rFonts w:ascii="Cambria" w:hAnsi="Cambria"/>
          <w:sz w:val="16"/>
          <w:szCs w:val="16"/>
        </w:rPr>
        <w:t>Urrutia</w:t>
      </w:r>
      <w:proofErr w:type="spellEnd"/>
      <w:r w:rsidRPr="00B64BF5">
        <w:rPr>
          <w:rFonts w:ascii="Cambria" w:hAnsi="Cambria"/>
          <w:sz w:val="16"/>
          <w:szCs w:val="16"/>
        </w:rPr>
        <w:t xml:space="preserve"> v. Guatemala.</w:t>
      </w:r>
      <w:proofErr w:type="gramEnd"/>
      <w:r w:rsidRPr="00B64BF5">
        <w:rPr>
          <w:rFonts w:ascii="Cambria" w:hAnsi="Cambria"/>
          <w:sz w:val="16"/>
          <w:szCs w:val="16"/>
        </w:rPr>
        <w:t xml:space="preserve"> </w:t>
      </w:r>
      <w:proofErr w:type="gramStart"/>
      <w:r w:rsidRPr="00B64BF5">
        <w:rPr>
          <w:rFonts w:ascii="Cambria" w:hAnsi="Cambria"/>
          <w:sz w:val="16"/>
          <w:szCs w:val="16"/>
        </w:rPr>
        <w:t>Merits, Reparations, and Costs.</w:t>
      </w:r>
      <w:proofErr w:type="gramEnd"/>
      <w:r w:rsidRPr="00B64BF5">
        <w:rPr>
          <w:rFonts w:ascii="Cambria" w:hAnsi="Cambria"/>
          <w:sz w:val="16"/>
          <w:szCs w:val="16"/>
        </w:rPr>
        <w:t xml:space="preserve"> Judgment of November 27, 2003. </w:t>
      </w:r>
      <w:proofErr w:type="spellStart"/>
      <w:r w:rsidRPr="00B64BF5">
        <w:rPr>
          <w:rFonts w:ascii="Cambria" w:hAnsi="Cambria"/>
          <w:sz w:val="16"/>
          <w:szCs w:val="16"/>
        </w:rPr>
        <w:t>Serie</w:t>
      </w:r>
      <w:proofErr w:type="spellEnd"/>
      <w:r w:rsidRPr="00B64BF5">
        <w:rPr>
          <w:rFonts w:ascii="Cambria" w:hAnsi="Cambria"/>
          <w:sz w:val="16"/>
          <w:szCs w:val="16"/>
        </w:rPr>
        <w:t xml:space="preserve"> C No. 103, para. 92</w:t>
      </w:r>
      <w:proofErr w:type="gramStart"/>
      <w:r w:rsidRPr="00B64BF5">
        <w:rPr>
          <w:rFonts w:ascii="Cambria" w:hAnsi="Cambria"/>
          <w:sz w:val="16"/>
          <w:szCs w:val="16"/>
        </w:rPr>
        <w:t>;  I</w:t>
      </w:r>
      <w:proofErr w:type="gramEnd"/>
      <w:r w:rsidRPr="00B64BF5">
        <w:rPr>
          <w:rFonts w:ascii="Cambria" w:hAnsi="Cambria"/>
          <w:sz w:val="16"/>
          <w:szCs w:val="16"/>
        </w:rPr>
        <w:t xml:space="preserve">/A Court H.R. </w:t>
      </w:r>
      <w:r w:rsidRPr="00B64BF5">
        <w:rPr>
          <w:rFonts w:ascii="Cambria" w:hAnsi="Cambria"/>
          <w:bCs/>
          <w:color w:val="000000"/>
          <w:sz w:val="16"/>
          <w:szCs w:val="16"/>
        </w:rPr>
        <w:t xml:space="preserve">Case of Miguel Castro </w:t>
      </w:r>
      <w:proofErr w:type="spellStart"/>
      <w:r w:rsidRPr="00B64BF5">
        <w:rPr>
          <w:rFonts w:ascii="Cambria" w:hAnsi="Cambria"/>
          <w:bCs/>
          <w:color w:val="000000"/>
          <w:sz w:val="16"/>
          <w:szCs w:val="16"/>
        </w:rPr>
        <w:t>Castro</w:t>
      </w:r>
      <w:proofErr w:type="spellEnd"/>
      <w:r w:rsidRPr="00B64BF5">
        <w:rPr>
          <w:rFonts w:ascii="Cambria" w:hAnsi="Cambria"/>
          <w:bCs/>
          <w:color w:val="000000"/>
          <w:sz w:val="16"/>
          <w:szCs w:val="16"/>
        </w:rPr>
        <w:t xml:space="preserve"> Prison v. Peru</w:t>
      </w:r>
      <w:r w:rsidRPr="00B64BF5">
        <w:rPr>
          <w:rFonts w:ascii="Cambria" w:hAnsi="Cambria"/>
          <w:b/>
          <w:bCs/>
          <w:color w:val="000000"/>
          <w:sz w:val="16"/>
          <w:szCs w:val="16"/>
        </w:rPr>
        <w:t xml:space="preserve">. </w:t>
      </w:r>
      <w:r w:rsidRPr="00B64BF5">
        <w:rPr>
          <w:rFonts w:ascii="Cambria" w:hAnsi="Cambria"/>
          <w:color w:val="000000"/>
          <w:sz w:val="16"/>
          <w:szCs w:val="16"/>
        </w:rPr>
        <w:t xml:space="preserve">Judgment of November 25, 2006. </w:t>
      </w:r>
      <w:proofErr w:type="spellStart"/>
      <w:r w:rsidRPr="00B64BF5">
        <w:rPr>
          <w:rFonts w:ascii="Cambria" w:hAnsi="Cambria"/>
          <w:color w:val="000000"/>
          <w:sz w:val="16"/>
          <w:szCs w:val="16"/>
        </w:rPr>
        <w:t>Serie</w:t>
      </w:r>
      <w:proofErr w:type="spellEnd"/>
      <w:r w:rsidRPr="00B64BF5">
        <w:rPr>
          <w:rFonts w:ascii="Cambria" w:hAnsi="Cambria"/>
          <w:color w:val="000000"/>
          <w:sz w:val="16"/>
          <w:szCs w:val="16"/>
        </w:rPr>
        <w:t xml:space="preserve"> C No. 160, </w:t>
      </w:r>
      <w:r w:rsidRPr="00B64BF5">
        <w:rPr>
          <w:rFonts w:ascii="Cambria" w:hAnsi="Cambria"/>
          <w:bCs/>
          <w:sz w:val="16"/>
          <w:szCs w:val="16"/>
          <w:lang w:bidi="en-US"/>
        </w:rPr>
        <w:t xml:space="preserve">para. </w:t>
      </w:r>
      <w:proofErr w:type="gramStart"/>
      <w:r w:rsidRPr="00B64BF5">
        <w:rPr>
          <w:rFonts w:ascii="Cambria" w:hAnsi="Cambria"/>
          <w:bCs/>
          <w:sz w:val="16"/>
          <w:szCs w:val="16"/>
          <w:lang w:bidi="en-US"/>
        </w:rPr>
        <w:t>271</w:t>
      </w:r>
      <w:r w:rsidRPr="00B64BF5">
        <w:rPr>
          <w:rFonts w:ascii="Cambria" w:hAnsi="Cambria"/>
          <w:sz w:val="16"/>
          <w:szCs w:val="16"/>
          <w:lang w:bidi="en-US"/>
        </w:rPr>
        <w:t xml:space="preserve">; and, </w:t>
      </w:r>
      <w:r w:rsidRPr="00B64BF5">
        <w:rPr>
          <w:rFonts w:ascii="Cambria" w:hAnsi="Cambria"/>
          <w:sz w:val="16"/>
          <w:szCs w:val="16"/>
        </w:rPr>
        <w:t>Case of Bueno Alves v. Argentina.</w:t>
      </w:r>
      <w:proofErr w:type="gramEnd"/>
      <w:r w:rsidRPr="00B64BF5">
        <w:rPr>
          <w:rFonts w:ascii="Cambria" w:hAnsi="Cambria"/>
          <w:sz w:val="16"/>
          <w:szCs w:val="16"/>
        </w:rPr>
        <w:t xml:space="preserve"> </w:t>
      </w:r>
      <w:proofErr w:type="gramStart"/>
      <w:r w:rsidRPr="00B64BF5">
        <w:rPr>
          <w:rFonts w:ascii="Cambria" w:hAnsi="Cambria"/>
          <w:sz w:val="16"/>
          <w:szCs w:val="16"/>
        </w:rPr>
        <w:t>Merits, Reparations, and Costs.</w:t>
      </w:r>
      <w:proofErr w:type="gramEnd"/>
      <w:r w:rsidRPr="00B64BF5">
        <w:rPr>
          <w:rFonts w:ascii="Cambria" w:hAnsi="Cambria"/>
          <w:sz w:val="16"/>
          <w:szCs w:val="16"/>
        </w:rPr>
        <w:t xml:space="preserve"> Judgment of May 11, 2007. </w:t>
      </w:r>
      <w:proofErr w:type="spellStart"/>
      <w:r w:rsidRPr="00B64BF5">
        <w:rPr>
          <w:rFonts w:ascii="Cambria" w:hAnsi="Cambria"/>
          <w:sz w:val="16"/>
          <w:szCs w:val="16"/>
        </w:rPr>
        <w:t>Serie</w:t>
      </w:r>
      <w:proofErr w:type="spellEnd"/>
      <w:r w:rsidRPr="00B64BF5">
        <w:rPr>
          <w:rFonts w:ascii="Cambria" w:hAnsi="Cambria"/>
          <w:sz w:val="16"/>
          <w:szCs w:val="16"/>
        </w:rPr>
        <w:t xml:space="preserve"> C No.164, para. 76. </w:t>
      </w:r>
    </w:p>
  </w:footnote>
  <w:footnote w:id="290">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IACHR.</w:t>
      </w:r>
      <w:proofErr w:type="gramEnd"/>
      <w:r w:rsidRPr="00B64BF5">
        <w:rPr>
          <w:rFonts w:ascii="Cambria" w:hAnsi="Cambria"/>
          <w:sz w:val="16"/>
          <w:szCs w:val="16"/>
        </w:rPr>
        <w:t xml:space="preserve"> Report on the Human Rights of Persons Deprived of Liberty in the Americas. OEA/</w:t>
      </w:r>
      <w:proofErr w:type="spellStart"/>
      <w:r w:rsidRPr="00B64BF5">
        <w:rPr>
          <w:rFonts w:ascii="Cambria" w:hAnsi="Cambria"/>
          <w:sz w:val="16"/>
          <w:szCs w:val="16"/>
        </w:rPr>
        <w:t>Ser.L</w:t>
      </w:r>
      <w:proofErr w:type="spellEnd"/>
      <w:r w:rsidRPr="00B64BF5">
        <w:rPr>
          <w:rFonts w:ascii="Cambria" w:hAnsi="Cambria"/>
          <w:sz w:val="16"/>
          <w:szCs w:val="16"/>
        </w:rPr>
        <w:t xml:space="preserve">/V/II. Doc.64. December 31, 201. </w:t>
      </w:r>
      <w:proofErr w:type="gramStart"/>
      <w:r w:rsidRPr="00B64BF5">
        <w:rPr>
          <w:rFonts w:ascii="Cambria" w:hAnsi="Cambria"/>
          <w:sz w:val="16"/>
          <w:szCs w:val="16"/>
        </w:rPr>
        <w:t>Para.</w:t>
      </w:r>
      <w:proofErr w:type="gramEnd"/>
      <w:r w:rsidRPr="00B64BF5">
        <w:rPr>
          <w:rFonts w:ascii="Cambria" w:hAnsi="Cambria"/>
          <w:sz w:val="16"/>
          <w:szCs w:val="16"/>
        </w:rPr>
        <w:t xml:space="preserve"> 335.</w:t>
      </w:r>
    </w:p>
  </w:footnote>
  <w:footnote w:id="291">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I/A Court H.R. Case of Bueno Alves v. Argentina, Merits, Reparations, and Costs.</w:t>
      </w:r>
      <w:proofErr w:type="gramEnd"/>
      <w:r w:rsidRPr="00B64BF5">
        <w:rPr>
          <w:rFonts w:ascii="Cambria" w:hAnsi="Cambria"/>
          <w:sz w:val="16"/>
          <w:szCs w:val="16"/>
        </w:rPr>
        <w:t xml:space="preserve"> Judgment of May 11, 2007. </w:t>
      </w:r>
      <w:proofErr w:type="spellStart"/>
      <w:r w:rsidRPr="00B64BF5">
        <w:rPr>
          <w:rFonts w:ascii="Cambria" w:hAnsi="Cambria"/>
          <w:sz w:val="16"/>
          <w:szCs w:val="16"/>
        </w:rPr>
        <w:t>Serie</w:t>
      </w:r>
      <w:proofErr w:type="spellEnd"/>
      <w:r w:rsidRPr="00B64BF5">
        <w:rPr>
          <w:rFonts w:ascii="Cambria" w:hAnsi="Cambria"/>
          <w:sz w:val="16"/>
          <w:szCs w:val="16"/>
        </w:rPr>
        <w:t xml:space="preserve"> C No.164. </w:t>
      </w:r>
      <w:proofErr w:type="gramStart"/>
      <w:r w:rsidRPr="00B64BF5">
        <w:rPr>
          <w:rFonts w:ascii="Cambria" w:hAnsi="Cambria"/>
          <w:sz w:val="16"/>
          <w:szCs w:val="16"/>
        </w:rPr>
        <w:t>Para.</w:t>
      </w:r>
      <w:proofErr w:type="gramEnd"/>
      <w:r w:rsidRPr="00B64BF5">
        <w:rPr>
          <w:rFonts w:ascii="Cambria" w:hAnsi="Cambria"/>
          <w:sz w:val="16"/>
          <w:szCs w:val="16"/>
        </w:rPr>
        <w:t xml:space="preserve"> 79.</w:t>
      </w:r>
    </w:p>
    <w:p w:rsidR="00D53806" w:rsidRPr="00B64BF5" w:rsidRDefault="00D53806" w:rsidP="00B64BF5">
      <w:pPr>
        <w:pStyle w:val="FootnoteText"/>
        <w:ind w:firstLine="720"/>
        <w:jc w:val="both"/>
        <w:rPr>
          <w:rFonts w:ascii="Cambria" w:hAnsi="Cambria"/>
          <w:sz w:val="16"/>
          <w:szCs w:val="16"/>
        </w:rPr>
      </w:pPr>
    </w:p>
  </w:footnote>
  <w:footnote w:id="292">
    <w:p w:rsidR="00D53806" w:rsidRPr="00B64BF5" w:rsidRDefault="00D53806" w:rsidP="00B64BF5">
      <w:pPr>
        <w:spacing w:after="0" w:line="240" w:lineRule="auto"/>
        <w:ind w:firstLine="720"/>
        <w:jc w:val="both"/>
        <w:rPr>
          <w:rStyle w:val="FootnoteReference"/>
          <w:rFonts w:ascii="Cambria" w:eastAsia="Times New Roman" w:hAnsi="Cambria"/>
          <w:sz w:val="16"/>
          <w:szCs w:val="16"/>
        </w:rPr>
      </w:pPr>
      <w:r w:rsidRPr="00B64BF5">
        <w:rPr>
          <w:rStyle w:val="FootnoteReference"/>
          <w:rFonts w:ascii="Cambria" w:hAnsi="Cambria" w:cs="Arial"/>
          <w:sz w:val="16"/>
          <w:szCs w:val="16"/>
        </w:rPr>
        <w:footnoteRef/>
      </w:r>
      <w:r w:rsidRPr="00B64BF5">
        <w:rPr>
          <w:rFonts w:ascii="Cambria" w:hAnsi="Cambria" w:cs="Arial"/>
          <w:sz w:val="16"/>
          <w:szCs w:val="16"/>
        </w:rPr>
        <w:t xml:space="preserve"> </w:t>
      </w:r>
      <w:r w:rsidRPr="00B64BF5">
        <w:rPr>
          <w:rFonts w:ascii="Cambria" w:hAnsi="Cambria" w:cs="Arial"/>
          <w:sz w:val="16"/>
          <w:szCs w:val="16"/>
        </w:rPr>
        <w:tab/>
      </w:r>
      <w:proofErr w:type="gramStart"/>
      <w:r w:rsidRPr="00B64BF5">
        <w:rPr>
          <w:rFonts w:ascii="Cambria" w:hAnsi="Cambria" w:cs="Arial"/>
          <w:sz w:val="16"/>
          <w:szCs w:val="16"/>
        </w:rPr>
        <w:t>IACHR.</w:t>
      </w:r>
      <w:proofErr w:type="gramEnd"/>
      <w:r w:rsidRPr="00B64BF5">
        <w:rPr>
          <w:rFonts w:ascii="Cambria" w:hAnsi="Cambria" w:cs="Arial"/>
          <w:sz w:val="16"/>
          <w:szCs w:val="16"/>
        </w:rPr>
        <w:t xml:space="preserve"> </w:t>
      </w:r>
      <w:proofErr w:type="gramStart"/>
      <w:r w:rsidRPr="00B64BF5">
        <w:rPr>
          <w:rFonts w:ascii="Cambria" w:hAnsi="Cambria" w:cs="Arial"/>
          <w:sz w:val="16"/>
          <w:szCs w:val="16"/>
        </w:rPr>
        <w:t>Annual Report 2009.</w:t>
      </w:r>
      <w:proofErr w:type="gramEnd"/>
      <w:r w:rsidRPr="00B64BF5">
        <w:rPr>
          <w:rFonts w:ascii="Cambria" w:hAnsi="Cambria" w:cs="Arial"/>
          <w:sz w:val="16"/>
          <w:szCs w:val="16"/>
        </w:rPr>
        <w:t xml:space="preserve"> </w:t>
      </w:r>
      <w:proofErr w:type="gramStart"/>
      <w:r w:rsidRPr="00B64BF5">
        <w:rPr>
          <w:rFonts w:ascii="Cambria" w:hAnsi="Cambria" w:cs="Arial"/>
          <w:sz w:val="16"/>
          <w:szCs w:val="16"/>
        </w:rPr>
        <w:t>Report of the Office of the Special Rapporteur for Freedom of Expression.</w:t>
      </w:r>
      <w:proofErr w:type="gramEnd"/>
      <w:r w:rsidRPr="00B64BF5">
        <w:rPr>
          <w:rFonts w:ascii="Cambria" w:hAnsi="Cambria" w:cs="Arial"/>
          <w:sz w:val="16"/>
          <w:szCs w:val="16"/>
        </w:rPr>
        <w:t xml:space="preserve"> Chapter III (Inter-American Legal Framework of the Right to Freedom </w:t>
      </w:r>
      <w:proofErr w:type="gramStart"/>
      <w:r w:rsidRPr="00B64BF5">
        <w:rPr>
          <w:rFonts w:ascii="Cambria" w:hAnsi="Cambria" w:cs="Arial"/>
          <w:sz w:val="16"/>
          <w:szCs w:val="16"/>
        </w:rPr>
        <w:t>Of</w:t>
      </w:r>
      <w:proofErr w:type="gramEnd"/>
      <w:r w:rsidRPr="00B64BF5">
        <w:rPr>
          <w:rFonts w:ascii="Cambria" w:hAnsi="Cambria" w:cs="Arial"/>
          <w:sz w:val="16"/>
          <w:szCs w:val="16"/>
        </w:rPr>
        <w:t xml:space="preserve"> Expression). OEA/</w:t>
      </w:r>
      <w:proofErr w:type="spellStart"/>
      <w:r w:rsidRPr="00B64BF5">
        <w:rPr>
          <w:rFonts w:ascii="Cambria" w:hAnsi="Cambria" w:cs="Arial"/>
          <w:sz w:val="16"/>
          <w:szCs w:val="16"/>
        </w:rPr>
        <w:t>Ser.L</w:t>
      </w:r>
      <w:proofErr w:type="spellEnd"/>
      <w:r w:rsidRPr="00B64BF5">
        <w:rPr>
          <w:rFonts w:ascii="Cambria" w:hAnsi="Cambria" w:cs="Arial"/>
          <w:sz w:val="16"/>
          <w:szCs w:val="16"/>
        </w:rPr>
        <w:t xml:space="preserve">/V/II. </w:t>
      </w:r>
      <w:proofErr w:type="gramStart"/>
      <w:r w:rsidRPr="00B64BF5">
        <w:rPr>
          <w:rFonts w:ascii="Cambria" w:hAnsi="Cambria" w:cs="Arial"/>
          <w:sz w:val="16"/>
          <w:szCs w:val="16"/>
        </w:rPr>
        <w:t>Doc. 51.</w:t>
      </w:r>
      <w:proofErr w:type="gramEnd"/>
      <w:r w:rsidRPr="00B64BF5">
        <w:rPr>
          <w:rFonts w:ascii="Cambria" w:hAnsi="Cambria" w:cs="Arial"/>
          <w:sz w:val="16"/>
          <w:szCs w:val="16"/>
        </w:rPr>
        <w:t xml:space="preserve"> December 30, 2009. </w:t>
      </w:r>
      <w:proofErr w:type="gramStart"/>
      <w:r w:rsidRPr="00B64BF5">
        <w:rPr>
          <w:rFonts w:ascii="Cambria" w:hAnsi="Cambria" w:cs="Arial"/>
          <w:sz w:val="16"/>
          <w:szCs w:val="16"/>
        </w:rPr>
        <w:t>Para.</w:t>
      </w:r>
      <w:proofErr w:type="gramEnd"/>
      <w:r w:rsidRPr="00B64BF5">
        <w:rPr>
          <w:rFonts w:ascii="Cambria" w:hAnsi="Cambria" w:cs="Arial"/>
          <w:sz w:val="16"/>
          <w:szCs w:val="16"/>
        </w:rPr>
        <w:t xml:space="preserve"> 179</w:t>
      </w:r>
      <w:proofErr w:type="gramStart"/>
      <w:r w:rsidRPr="00B64BF5">
        <w:rPr>
          <w:rFonts w:ascii="Cambria" w:hAnsi="Cambria" w:cs="Arial"/>
          <w:sz w:val="16"/>
          <w:szCs w:val="16"/>
        </w:rPr>
        <w:t xml:space="preserve">; </w:t>
      </w:r>
      <w:r w:rsidRPr="00B64BF5">
        <w:rPr>
          <w:rFonts w:ascii="Cambria" w:hAnsi="Cambria"/>
          <w:noProof/>
          <w:sz w:val="16"/>
          <w:szCs w:val="16"/>
        </w:rPr>
        <w:t xml:space="preserve"> I</w:t>
      </w:r>
      <w:proofErr w:type="gramEnd"/>
      <w:r w:rsidRPr="00B64BF5">
        <w:rPr>
          <w:rFonts w:ascii="Cambria" w:hAnsi="Cambria"/>
          <w:noProof/>
          <w:sz w:val="16"/>
          <w:szCs w:val="16"/>
        </w:rPr>
        <w:t>/A Court H.R. Case of Ríos et al. v. Venezuela. Preliminary Objections, Merits, Reparations, and Costs. Judgment of January 28, 2009. Serie C No. 194</w:t>
      </w:r>
      <w:r w:rsidRPr="00B64BF5">
        <w:rPr>
          <w:rFonts w:ascii="Cambria" w:hAnsi="Cambria"/>
          <w:sz w:val="16"/>
          <w:szCs w:val="16"/>
        </w:rPr>
        <w:t xml:space="preserve">; </w:t>
      </w:r>
    </w:p>
  </w:footnote>
  <w:footnote w:id="293">
    <w:p w:rsidR="00D53806" w:rsidRPr="00B64BF5" w:rsidRDefault="00D53806" w:rsidP="00B64BF5">
      <w:pPr>
        <w:pStyle w:val="FootnoteText"/>
        <w:tabs>
          <w:tab w:val="left" w:pos="426"/>
        </w:tabs>
        <w:ind w:firstLine="720"/>
        <w:jc w:val="both"/>
        <w:rPr>
          <w:rFonts w:ascii="Cambria" w:hAnsi="Cambria" w:cs="Arial"/>
          <w:sz w:val="16"/>
          <w:szCs w:val="16"/>
        </w:rPr>
      </w:pPr>
      <w:r w:rsidRPr="00B64BF5">
        <w:rPr>
          <w:rStyle w:val="FootnoteReference"/>
          <w:rFonts w:ascii="Cambria" w:hAnsi="Cambria" w:cs="Arial"/>
          <w:sz w:val="16"/>
          <w:szCs w:val="16"/>
        </w:rPr>
        <w:footnoteRef/>
      </w:r>
      <w:r w:rsidRPr="00B64BF5">
        <w:rPr>
          <w:rFonts w:ascii="Cambria" w:hAnsi="Cambria" w:cs="Arial"/>
          <w:sz w:val="16"/>
          <w:szCs w:val="16"/>
        </w:rPr>
        <w:t xml:space="preserve"> </w:t>
      </w:r>
      <w:proofErr w:type="gramStart"/>
      <w:r w:rsidRPr="00B64BF5">
        <w:rPr>
          <w:rFonts w:ascii="Cambria" w:hAnsi="Cambria"/>
          <w:sz w:val="16"/>
          <w:szCs w:val="16"/>
        </w:rPr>
        <w:t xml:space="preserve">I/A Court H.R. Case of Manuel </w:t>
      </w:r>
      <w:proofErr w:type="spellStart"/>
      <w:r w:rsidRPr="00B64BF5">
        <w:rPr>
          <w:rFonts w:ascii="Cambria" w:hAnsi="Cambria"/>
          <w:sz w:val="16"/>
          <w:szCs w:val="16"/>
        </w:rPr>
        <w:t>Cepeda</w:t>
      </w:r>
      <w:proofErr w:type="spellEnd"/>
      <w:r w:rsidRPr="00B64BF5">
        <w:rPr>
          <w:rFonts w:ascii="Cambria" w:hAnsi="Cambria"/>
          <w:sz w:val="16"/>
          <w:szCs w:val="16"/>
        </w:rPr>
        <w:t xml:space="preserve"> Vargas v. Colombia.</w:t>
      </w:r>
      <w:proofErr w:type="gramEnd"/>
      <w:r w:rsidRPr="00B64BF5">
        <w:rPr>
          <w:rFonts w:ascii="Cambria" w:hAnsi="Cambria"/>
          <w:sz w:val="16"/>
          <w:szCs w:val="16"/>
        </w:rPr>
        <w:t xml:space="preserve"> </w:t>
      </w:r>
      <w:proofErr w:type="gramStart"/>
      <w:r w:rsidRPr="00B64BF5">
        <w:rPr>
          <w:rFonts w:ascii="Cambria" w:hAnsi="Cambria"/>
          <w:sz w:val="16"/>
          <w:szCs w:val="16"/>
        </w:rPr>
        <w:t>Preliminary Objections, Merits, Reparations, and Costs.</w:t>
      </w:r>
      <w:proofErr w:type="gramEnd"/>
      <w:r w:rsidRPr="00B64BF5">
        <w:rPr>
          <w:rFonts w:ascii="Cambria" w:hAnsi="Cambria"/>
          <w:sz w:val="16"/>
          <w:szCs w:val="16"/>
        </w:rPr>
        <w:t xml:space="preserve"> Judgment of May 26, 2010. </w:t>
      </w:r>
      <w:proofErr w:type="spellStart"/>
      <w:r w:rsidRPr="00B64BF5">
        <w:rPr>
          <w:rFonts w:ascii="Cambria" w:hAnsi="Cambria"/>
          <w:sz w:val="16"/>
          <w:szCs w:val="16"/>
        </w:rPr>
        <w:t>Serie</w:t>
      </w:r>
      <w:proofErr w:type="spellEnd"/>
      <w:r w:rsidRPr="00B64BF5">
        <w:rPr>
          <w:rFonts w:ascii="Cambria" w:hAnsi="Cambria"/>
          <w:sz w:val="16"/>
          <w:szCs w:val="16"/>
        </w:rPr>
        <w:t xml:space="preserve"> C No. 213. </w:t>
      </w:r>
    </w:p>
  </w:footnote>
  <w:footnote w:id="294">
    <w:p w:rsidR="00D53806" w:rsidRPr="00E72405" w:rsidRDefault="00D53806" w:rsidP="00B64BF5">
      <w:pPr>
        <w:spacing w:after="0" w:line="240" w:lineRule="auto"/>
        <w:ind w:firstLine="720"/>
        <w:jc w:val="both"/>
        <w:rPr>
          <w:rFonts w:ascii="Cambria" w:hAnsi="Cambria"/>
          <w:sz w:val="16"/>
          <w:szCs w:val="16"/>
        </w:rPr>
      </w:pPr>
      <w:r w:rsidRPr="00B64BF5">
        <w:rPr>
          <w:rStyle w:val="FootnoteReference"/>
          <w:rFonts w:ascii="Cambria" w:hAnsi="Cambria" w:cs="Arial"/>
          <w:sz w:val="16"/>
          <w:szCs w:val="16"/>
        </w:rPr>
        <w:footnoteRef/>
      </w:r>
      <w:r w:rsidRPr="00B64BF5">
        <w:rPr>
          <w:rFonts w:ascii="Cambria" w:hAnsi="Cambria" w:cs="Arial"/>
          <w:sz w:val="16"/>
          <w:szCs w:val="16"/>
        </w:rPr>
        <w:t xml:space="preserve"> </w:t>
      </w:r>
      <w:proofErr w:type="gramStart"/>
      <w:r w:rsidRPr="00B64BF5">
        <w:rPr>
          <w:rFonts w:ascii="Cambria" w:hAnsi="Cambria"/>
          <w:color w:val="000000"/>
          <w:sz w:val="16"/>
          <w:szCs w:val="16"/>
        </w:rPr>
        <w:t>I/A Court H.R.</w:t>
      </w:r>
      <w:r w:rsidRPr="00B64BF5">
        <w:rPr>
          <w:rFonts w:ascii="Cambria" w:hAnsi="Cambria"/>
          <w:sz w:val="16"/>
          <w:szCs w:val="16"/>
        </w:rPr>
        <w:t xml:space="preserve"> </w:t>
      </w:r>
      <w:r w:rsidRPr="00B64BF5">
        <w:rPr>
          <w:rFonts w:ascii="Cambria" w:hAnsi="Cambria"/>
          <w:bCs/>
          <w:color w:val="000000"/>
          <w:sz w:val="16"/>
          <w:szCs w:val="16"/>
        </w:rPr>
        <w:t xml:space="preserve">Case of </w:t>
      </w:r>
      <w:proofErr w:type="spellStart"/>
      <w:r w:rsidRPr="00B64BF5">
        <w:rPr>
          <w:rFonts w:ascii="Cambria" w:hAnsi="Cambria"/>
          <w:bCs/>
          <w:color w:val="000000"/>
          <w:sz w:val="16"/>
          <w:szCs w:val="16"/>
        </w:rPr>
        <w:t>Cantoral</w:t>
      </w:r>
      <w:proofErr w:type="spellEnd"/>
      <w:r w:rsidRPr="00B64BF5">
        <w:rPr>
          <w:rFonts w:ascii="Cambria" w:hAnsi="Cambria"/>
          <w:bCs/>
          <w:color w:val="000000"/>
          <w:sz w:val="16"/>
          <w:szCs w:val="16"/>
        </w:rPr>
        <w:t xml:space="preserve"> </w:t>
      </w:r>
      <w:proofErr w:type="spellStart"/>
      <w:r w:rsidRPr="00B64BF5">
        <w:rPr>
          <w:rFonts w:ascii="Cambria" w:hAnsi="Cambria"/>
          <w:bCs/>
          <w:color w:val="000000"/>
          <w:sz w:val="16"/>
          <w:szCs w:val="16"/>
        </w:rPr>
        <w:t>Huamaní</w:t>
      </w:r>
      <w:proofErr w:type="spellEnd"/>
      <w:r w:rsidRPr="00B64BF5">
        <w:rPr>
          <w:rFonts w:ascii="Cambria" w:hAnsi="Cambria"/>
          <w:bCs/>
          <w:color w:val="000000"/>
          <w:sz w:val="16"/>
          <w:szCs w:val="16"/>
        </w:rPr>
        <w:t xml:space="preserve"> and </w:t>
      </w:r>
      <w:proofErr w:type="spellStart"/>
      <w:r w:rsidRPr="00B64BF5">
        <w:rPr>
          <w:rFonts w:ascii="Cambria" w:hAnsi="Cambria"/>
          <w:bCs/>
          <w:color w:val="000000"/>
          <w:sz w:val="16"/>
          <w:szCs w:val="16"/>
        </w:rPr>
        <w:t>García</w:t>
      </w:r>
      <w:proofErr w:type="spellEnd"/>
      <w:r w:rsidRPr="00B64BF5">
        <w:rPr>
          <w:rFonts w:ascii="Cambria" w:hAnsi="Cambria"/>
          <w:bCs/>
          <w:color w:val="000000"/>
          <w:sz w:val="16"/>
          <w:szCs w:val="16"/>
        </w:rPr>
        <w:t xml:space="preserve"> Santa Cruz v. Peru.</w:t>
      </w:r>
      <w:proofErr w:type="gramEnd"/>
      <w:r w:rsidRPr="00B64BF5">
        <w:rPr>
          <w:rFonts w:ascii="Cambria" w:hAnsi="Cambria"/>
          <w:b/>
          <w:bCs/>
          <w:color w:val="000000"/>
          <w:sz w:val="16"/>
          <w:szCs w:val="16"/>
        </w:rPr>
        <w:t xml:space="preserve"> </w:t>
      </w:r>
      <w:proofErr w:type="gramStart"/>
      <w:r w:rsidRPr="00B64BF5">
        <w:rPr>
          <w:rFonts w:ascii="Cambria" w:hAnsi="Cambria"/>
          <w:color w:val="000000"/>
          <w:sz w:val="16"/>
          <w:szCs w:val="16"/>
        </w:rPr>
        <w:t>Preliminary Objection, Merits, Reparations, and Costs.</w:t>
      </w:r>
      <w:proofErr w:type="gramEnd"/>
      <w:r w:rsidRPr="00B64BF5">
        <w:rPr>
          <w:rFonts w:ascii="Cambria" w:hAnsi="Cambria"/>
          <w:color w:val="000000"/>
          <w:sz w:val="16"/>
          <w:szCs w:val="16"/>
        </w:rPr>
        <w:t xml:space="preserve"> Judgment of July 10, 2007. </w:t>
      </w:r>
      <w:proofErr w:type="spellStart"/>
      <w:r w:rsidRPr="00B64BF5">
        <w:rPr>
          <w:rFonts w:ascii="Cambria" w:hAnsi="Cambria"/>
          <w:color w:val="000000"/>
          <w:sz w:val="16"/>
          <w:szCs w:val="16"/>
        </w:rPr>
        <w:t>Serie</w:t>
      </w:r>
      <w:proofErr w:type="spellEnd"/>
      <w:r w:rsidRPr="00B64BF5">
        <w:rPr>
          <w:rFonts w:ascii="Cambria" w:hAnsi="Cambria"/>
          <w:color w:val="000000"/>
          <w:sz w:val="16"/>
          <w:szCs w:val="16"/>
        </w:rPr>
        <w:t xml:space="preserve"> C No. 167, </w:t>
      </w:r>
      <w:r w:rsidRPr="00B64BF5">
        <w:rPr>
          <w:rFonts w:ascii="Cambria" w:hAnsi="Cambria" w:cs="Arial"/>
          <w:sz w:val="16"/>
          <w:szCs w:val="16"/>
          <w:lang w:bidi="en-US"/>
        </w:rPr>
        <w:t>para.</w:t>
      </w:r>
      <w:r w:rsidRPr="00B64BF5">
        <w:rPr>
          <w:rFonts w:ascii="Cambria" w:hAnsi="Cambria" w:cs="Arial"/>
          <w:sz w:val="16"/>
          <w:szCs w:val="16"/>
        </w:rPr>
        <w:t xml:space="preserve"> </w:t>
      </w:r>
      <w:proofErr w:type="gramStart"/>
      <w:r w:rsidRPr="00B64BF5">
        <w:rPr>
          <w:rFonts w:ascii="Cambria" w:hAnsi="Cambria" w:cs="Arial"/>
          <w:sz w:val="16"/>
          <w:szCs w:val="16"/>
        </w:rPr>
        <w:t xml:space="preserve">147; </w:t>
      </w:r>
      <w:hyperlink r:id="rId2" w:history="1">
        <w:r w:rsidRPr="00E72405">
          <w:rPr>
            <w:rFonts w:ascii="Cambria" w:hAnsi="Cambria"/>
            <w:color w:val="000000"/>
            <w:sz w:val="16"/>
            <w:szCs w:val="16"/>
          </w:rPr>
          <w:t xml:space="preserve">I/A Court H.R. Case of </w:t>
        </w:r>
        <w:proofErr w:type="spellStart"/>
        <w:r w:rsidRPr="00E72405">
          <w:rPr>
            <w:rFonts w:ascii="Cambria" w:hAnsi="Cambria"/>
            <w:color w:val="000000"/>
            <w:sz w:val="16"/>
            <w:szCs w:val="16"/>
          </w:rPr>
          <w:t>Vélez</w:t>
        </w:r>
        <w:proofErr w:type="spellEnd"/>
        <w:r w:rsidRPr="00E72405">
          <w:rPr>
            <w:rFonts w:ascii="Cambria" w:hAnsi="Cambria"/>
            <w:color w:val="000000"/>
            <w:sz w:val="16"/>
            <w:szCs w:val="16"/>
          </w:rPr>
          <w:t xml:space="preserve"> </w:t>
        </w:r>
        <w:proofErr w:type="spellStart"/>
        <w:r w:rsidRPr="00E72405">
          <w:rPr>
            <w:rFonts w:ascii="Cambria" w:hAnsi="Cambria"/>
            <w:color w:val="000000"/>
            <w:sz w:val="16"/>
            <w:szCs w:val="16"/>
          </w:rPr>
          <w:t>Restrepo</w:t>
        </w:r>
        <w:proofErr w:type="spellEnd"/>
        <w:r w:rsidRPr="00E72405">
          <w:rPr>
            <w:rFonts w:ascii="Cambria" w:hAnsi="Cambria"/>
            <w:color w:val="000000"/>
            <w:sz w:val="16"/>
            <w:szCs w:val="16"/>
          </w:rPr>
          <w:t xml:space="preserve"> and Family v. Colombia.</w:t>
        </w:r>
        <w:proofErr w:type="gramEnd"/>
        <w:r w:rsidRPr="00E72405">
          <w:rPr>
            <w:rFonts w:ascii="Cambria" w:hAnsi="Cambria"/>
            <w:color w:val="000000"/>
            <w:sz w:val="16"/>
            <w:szCs w:val="16"/>
          </w:rPr>
          <w:t xml:space="preserve"> </w:t>
        </w:r>
        <w:proofErr w:type="gramStart"/>
        <w:r w:rsidRPr="00E72405">
          <w:rPr>
            <w:rFonts w:ascii="Cambria" w:hAnsi="Cambria"/>
            <w:color w:val="000000"/>
            <w:sz w:val="16"/>
            <w:szCs w:val="16"/>
          </w:rPr>
          <w:t>Preliminary Objection, Merits, Reparations, and Costs.</w:t>
        </w:r>
        <w:proofErr w:type="gramEnd"/>
        <w:r w:rsidRPr="00E72405">
          <w:rPr>
            <w:rFonts w:ascii="Cambria" w:hAnsi="Cambria"/>
            <w:color w:val="000000"/>
            <w:sz w:val="16"/>
            <w:szCs w:val="16"/>
          </w:rPr>
          <w:t xml:space="preserve"> </w:t>
        </w:r>
        <w:proofErr w:type="gramStart"/>
        <w:r w:rsidRPr="00E72405">
          <w:rPr>
            <w:rFonts w:ascii="Cambria" w:hAnsi="Cambria"/>
            <w:color w:val="000000"/>
            <w:sz w:val="16"/>
            <w:szCs w:val="16"/>
          </w:rPr>
          <w:t xml:space="preserve">Judgment of September 3, 2012 </w:t>
        </w:r>
        <w:proofErr w:type="spellStart"/>
        <w:r w:rsidRPr="00E72405">
          <w:rPr>
            <w:rFonts w:ascii="Cambria" w:hAnsi="Cambria"/>
            <w:color w:val="000000"/>
            <w:sz w:val="16"/>
            <w:szCs w:val="16"/>
          </w:rPr>
          <w:t>Serie</w:t>
        </w:r>
        <w:proofErr w:type="spellEnd"/>
        <w:r w:rsidRPr="00E72405">
          <w:rPr>
            <w:rFonts w:ascii="Cambria" w:hAnsi="Cambria"/>
            <w:color w:val="000000"/>
            <w:sz w:val="16"/>
            <w:szCs w:val="16"/>
          </w:rPr>
          <w:t xml:space="preserve"> C No. 248</w:t>
        </w:r>
      </w:hyperlink>
      <w:r w:rsidRPr="00E72405">
        <w:rPr>
          <w:rFonts w:ascii="Cambria" w:hAnsi="Cambria"/>
          <w:color w:val="000000"/>
          <w:sz w:val="16"/>
          <w:szCs w:val="16"/>
        </w:rPr>
        <w:t>.</w:t>
      </w:r>
      <w:proofErr w:type="gramEnd"/>
      <w:r w:rsidRPr="00E72405">
        <w:rPr>
          <w:rFonts w:ascii="Cambria" w:hAnsi="Cambria"/>
          <w:color w:val="000000"/>
          <w:sz w:val="16"/>
          <w:szCs w:val="16"/>
        </w:rPr>
        <w:t xml:space="preserve"> </w:t>
      </w:r>
      <w:proofErr w:type="gramStart"/>
      <w:r w:rsidR="009C66AC">
        <w:rPr>
          <w:rFonts w:ascii="Cambria" w:hAnsi="Cambria"/>
          <w:color w:val="000000"/>
          <w:sz w:val="16"/>
          <w:szCs w:val="16"/>
        </w:rPr>
        <w:t>Paras.</w:t>
      </w:r>
      <w:proofErr w:type="gramEnd"/>
      <w:r w:rsidR="009C66AC">
        <w:rPr>
          <w:rFonts w:ascii="Cambria" w:hAnsi="Cambria"/>
          <w:color w:val="000000"/>
          <w:sz w:val="16"/>
          <w:szCs w:val="16"/>
        </w:rPr>
        <w:t xml:space="preserve"> </w:t>
      </w:r>
      <w:proofErr w:type="gramStart"/>
      <w:r w:rsidR="009C66AC">
        <w:rPr>
          <w:rFonts w:ascii="Cambria" w:hAnsi="Cambria"/>
          <w:color w:val="000000"/>
          <w:sz w:val="16"/>
          <w:szCs w:val="16"/>
        </w:rPr>
        <w:t>142-149</w:t>
      </w:r>
      <w:r w:rsidRPr="00E72405">
        <w:rPr>
          <w:rFonts w:ascii="Cambria" w:hAnsi="Cambria"/>
          <w:color w:val="000000"/>
          <w:sz w:val="16"/>
          <w:szCs w:val="16"/>
        </w:rPr>
        <w:t xml:space="preserve">; </w:t>
      </w:r>
      <w:r w:rsidRPr="00E72405">
        <w:rPr>
          <w:rFonts w:ascii="Cambria" w:hAnsi="Cambria"/>
          <w:sz w:val="16"/>
          <w:szCs w:val="16"/>
        </w:rPr>
        <w:t xml:space="preserve">I/A Court H.R. Case of Manuel </w:t>
      </w:r>
      <w:proofErr w:type="spellStart"/>
      <w:r w:rsidRPr="00E72405">
        <w:rPr>
          <w:rFonts w:ascii="Cambria" w:hAnsi="Cambria"/>
          <w:sz w:val="16"/>
          <w:szCs w:val="16"/>
        </w:rPr>
        <w:t>Cepeda</w:t>
      </w:r>
      <w:proofErr w:type="spellEnd"/>
      <w:r w:rsidRPr="00E72405">
        <w:rPr>
          <w:rFonts w:ascii="Cambria" w:hAnsi="Cambria"/>
          <w:sz w:val="16"/>
          <w:szCs w:val="16"/>
        </w:rPr>
        <w:t xml:space="preserve"> Vargas v. Colombia.</w:t>
      </w:r>
      <w:proofErr w:type="gramEnd"/>
      <w:r w:rsidRPr="00E72405">
        <w:rPr>
          <w:rFonts w:ascii="Cambria" w:hAnsi="Cambria"/>
          <w:sz w:val="16"/>
          <w:szCs w:val="16"/>
        </w:rPr>
        <w:t xml:space="preserve"> </w:t>
      </w:r>
      <w:proofErr w:type="gramStart"/>
      <w:r w:rsidRPr="00E72405">
        <w:rPr>
          <w:rFonts w:ascii="Cambria" w:hAnsi="Cambria"/>
          <w:sz w:val="16"/>
          <w:szCs w:val="16"/>
        </w:rPr>
        <w:t>Preliminary Objections, Merits, Reparations, and Costs.</w:t>
      </w:r>
      <w:proofErr w:type="gramEnd"/>
      <w:r w:rsidRPr="00E72405">
        <w:rPr>
          <w:rFonts w:ascii="Cambria" w:hAnsi="Cambria"/>
          <w:sz w:val="16"/>
          <w:szCs w:val="16"/>
        </w:rPr>
        <w:t xml:space="preserve"> Judgment of May 26, 2010. </w:t>
      </w:r>
      <w:proofErr w:type="spellStart"/>
      <w:r w:rsidRPr="00E72405">
        <w:rPr>
          <w:rFonts w:ascii="Cambria" w:hAnsi="Cambria"/>
          <w:sz w:val="16"/>
          <w:szCs w:val="16"/>
        </w:rPr>
        <w:t>Serie</w:t>
      </w:r>
      <w:proofErr w:type="spellEnd"/>
      <w:r w:rsidRPr="00E72405">
        <w:rPr>
          <w:rFonts w:ascii="Cambria" w:hAnsi="Cambria"/>
          <w:sz w:val="16"/>
          <w:szCs w:val="16"/>
        </w:rPr>
        <w:t xml:space="preserve"> C No. 213.</w:t>
      </w:r>
    </w:p>
  </w:footnote>
  <w:footnote w:id="295">
    <w:p w:rsidR="00D53806" w:rsidRPr="00E72405" w:rsidRDefault="00D53806" w:rsidP="00B64BF5">
      <w:pPr>
        <w:pStyle w:val="FootnoteText"/>
        <w:ind w:firstLine="720"/>
        <w:jc w:val="both"/>
        <w:rPr>
          <w:rFonts w:ascii="Cambria" w:hAnsi="Cambria"/>
          <w:sz w:val="16"/>
          <w:szCs w:val="16"/>
        </w:rPr>
      </w:pPr>
      <w:r w:rsidRPr="00E72405">
        <w:rPr>
          <w:rStyle w:val="FootnoteReference"/>
          <w:rFonts w:ascii="Cambria" w:hAnsi="Cambria"/>
          <w:sz w:val="16"/>
          <w:szCs w:val="16"/>
        </w:rPr>
        <w:footnoteRef/>
      </w:r>
      <w:r w:rsidRPr="00E72405">
        <w:rPr>
          <w:rFonts w:ascii="Cambria" w:hAnsi="Cambria"/>
          <w:sz w:val="16"/>
          <w:szCs w:val="16"/>
        </w:rPr>
        <w:t xml:space="preserve"> </w:t>
      </w:r>
      <w:proofErr w:type="gramStart"/>
      <w:r w:rsidRPr="00E72405">
        <w:rPr>
          <w:rFonts w:ascii="Cambria" w:hAnsi="Cambria"/>
          <w:sz w:val="16"/>
          <w:szCs w:val="16"/>
        </w:rPr>
        <w:t>IACHR.</w:t>
      </w:r>
      <w:proofErr w:type="gramEnd"/>
      <w:r w:rsidRPr="00E72405">
        <w:rPr>
          <w:rFonts w:ascii="Cambria" w:hAnsi="Cambria"/>
          <w:sz w:val="16"/>
          <w:szCs w:val="16"/>
        </w:rPr>
        <w:t xml:space="preserve"> </w:t>
      </w:r>
      <w:proofErr w:type="gramStart"/>
      <w:r w:rsidRPr="00E72405">
        <w:rPr>
          <w:rFonts w:ascii="Cambria" w:hAnsi="Cambria"/>
          <w:sz w:val="16"/>
          <w:szCs w:val="16"/>
        </w:rPr>
        <w:t>Annual Report 2013.</w:t>
      </w:r>
      <w:proofErr w:type="gramEnd"/>
      <w:r w:rsidRPr="00E72405">
        <w:rPr>
          <w:rFonts w:ascii="Cambria" w:hAnsi="Cambria"/>
          <w:sz w:val="16"/>
          <w:szCs w:val="16"/>
        </w:rPr>
        <w:t xml:space="preserve"> </w:t>
      </w:r>
      <w:proofErr w:type="gramStart"/>
      <w:r w:rsidRPr="00E72405">
        <w:rPr>
          <w:rFonts w:ascii="Cambria" w:hAnsi="Cambria"/>
          <w:sz w:val="16"/>
          <w:szCs w:val="16"/>
        </w:rPr>
        <w:t>Report of the Office of the Special Rapporteur for Freedom of Expression.</w:t>
      </w:r>
      <w:proofErr w:type="gramEnd"/>
      <w:r w:rsidRPr="00E72405">
        <w:rPr>
          <w:rFonts w:ascii="Cambria" w:hAnsi="Cambria"/>
          <w:sz w:val="16"/>
          <w:szCs w:val="16"/>
        </w:rPr>
        <w:t xml:space="preserve"> Chapter III (Violence </w:t>
      </w:r>
      <w:proofErr w:type="gramStart"/>
      <w:r w:rsidRPr="00E72405">
        <w:rPr>
          <w:rFonts w:ascii="Cambria" w:hAnsi="Cambria"/>
          <w:sz w:val="16"/>
          <w:szCs w:val="16"/>
        </w:rPr>
        <w:t>Against</w:t>
      </w:r>
      <w:proofErr w:type="gramEnd"/>
      <w:r w:rsidRPr="00E72405">
        <w:rPr>
          <w:rFonts w:ascii="Cambria" w:hAnsi="Cambria"/>
          <w:sz w:val="16"/>
          <w:szCs w:val="16"/>
        </w:rPr>
        <w:t xml:space="preserve"> Journalists and Media Workers: Inter-American standards and national practices on prevention, protection and prosecution of perpetrators). OEA/</w:t>
      </w:r>
      <w:proofErr w:type="spellStart"/>
      <w:r w:rsidRPr="00E72405">
        <w:rPr>
          <w:rFonts w:ascii="Cambria" w:hAnsi="Cambria"/>
          <w:sz w:val="16"/>
          <w:szCs w:val="16"/>
        </w:rPr>
        <w:t>Ser.L</w:t>
      </w:r>
      <w:proofErr w:type="spellEnd"/>
      <w:r w:rsidRPr="00E72405">
        <w:rPr>
          <w:rFonts w:ascii="Cambria" w:hAnsi="Cambria"/>
          <w:sz w:val="16"/>
          <w:szCs w:val="16"/>
        </w:rPr>
        <w:t xml:space="preserve">/V/II.149. </w:t>
      </w:r>
      <w:proofErr w:type="gramStart"/>
      <w:r w:rsidRPr="00E72405">
        <w:rPr>
          <w:rFonts w:ascii="Cambria" w:hAnsi="Cambria"/>
          <w:sz w:val="16"/>
          <w:szCs w:val="16"/>
        </w:rPr>
        <w:t>Doc. 50.</w:t>
      </w:r>
      <w:proofErr w:type="gramEnd"/>
      <w:r w:rsidRPr="00E72405">
        <w:rPr>
          <w:rFonts w:ascii="Cambria" w:hAnsi="Cambria"/>
          <w:sz w:val="16"/>
          <w:szCs w:val="16"/>
        </w:rPr>
        <w:t xml:space="preserve"> December 31, 2013. </w:t>
      </w:r>
      <w:proofErr w:type="gramStart"/>
      <w:r w:rsidRPr="00E72405">
        <w:rPr>
          <w:rFonts w:ascii="Cambria" w:hAnsi="Cambria"/>
          <w:sz w:val="16"/>
          <w:szCs w:val="16"/>
        </w:rPr>
        <w:t>Para.</w:t>
      </w:r>
      <w:proofErr w:type="gramEnd"/>
      <w:r w:rsidRPr="00E72405">
        <w:rPr>
          <w:rFonts w:ascii="Cambria" w:hAnsi="Cambria"/>
          <w:sz w:val="16"/>
          <w:szCs w:val="16"/>
        </w:rPr>
        <w:t xml:space="preserve"> 1.</w:t>
      </w:r>
    </w:p>
  </w:footnote>
  <w:footnote w:id="296">
    <w:p w:rsidR="00D53806" w:rsidRPr="00E72405" w:rsidRDefault="00D53806" w:rsidP="00B64BF5">
      <w:pPr>
        <w:pStyle w:val="FootnoteText"/>
        <w:ind w:firstLine="720"/>
        <w:jc w:val="both"/>
        <w:rPr>
          <w:rFonts w:ascii="Cambria" w:hAnsi="Cambria"/>
          <w:sz w:val="16"/>
          <w:szCs w:val="16"/>
        </w:rPr>
      </w:pPr>
      <w:r w:rsidRPr="00E72405">
        <w:rPr>
          <w:rStyle w:val="FootnoteReference"/>
          <w:rFonts w:ascii="Cambria" w:hAnsi="Cambria"/>
          <w:sz w:val="16"/>
          <w:szCs w:val="16"/>
        </w:rPr>
        <w:footnoteRef/>
      </w:r>
      <w:r w:rsidRPr="00E72405">
        <w:rPr>
          <w:rFonts w:ascii="Cambria" w:hAnsi="Cambria"/>
          <w:sz w:val="16"/>
          <w:szCs w:val="16"/>
        </w:rPr>
        <w:t xml:space="preserve"> </w:t>
      </w:r>
      <w:proofErr w:type="gramStart"/>
      <w:r w:rsidRPr="00E72405">
        <w:rPr>
          <w:rFonts w:ascii="Cambria" w:hAnsi="Cambria"/>
          <w:sz w:val="16"/>
          <w:szCs w:val="16"/>
        </w:rPr>
        <w:t xml:space="preserve">I/A Court H.R. Case of Manuel </w:t>
      </w:r>
      <w:proofErr w:type="spellStart"/>
      <w:r w:rsidRPr="00E72405">
        <w:rPr>
          <w:rFonts w:ascii="Cambria" w:hAnsi="Cambria"/>
          <w:sz w:val="16"/>
          <w:szCs w:val="16"/>
        </w:rPr>
        <w:t>Cepeda</w:t>
      </w:r>
      <w:proofErr w:type="spellEnd"/>
      <w:r w:rsidRPr="00E72405">
        <w:rPr>
          <w:rFonts w:ascii="Cambria" w:hAnsi="Cambria"/>
          <w:sz w:val="16"/>
          <w:szCs w:val="16"/>
        </w:rPr>
        <w:t xml:space="preserve"> Vargas v. Colombia.</w:t>
      </w:r>
      <w:proofErr w:type="gramEnd"/>
      <w:r w:rsidRPr="00E72405">
        <w:rPr>
          <w:rFonts w:ascii="Cambria" w:hAnsi="Cambria"/>
          <w:sz w:val="16"/>
          <w:szCs w:val="16"/>
        </w:rPr>
        <w:t xml:space="preserve"> </w:t>
      </w:r>
      <w:proofErr w:type="gramStart"/>
      <w:r w:rsidRPr="00E72405">
        <w:rPr>
          <w:rFonts w:ascii="Cambria" w:hAnsi="Cambria"/>
          <w:sz w:val="16"/>
          <w:szCs w:val="16"/>
        </w:rPr>
        <w:t>Preliminary Objections, Merits, Reparations, and Costs.</w:t>
      </w:r>
      <w:proofErr w:type="gramEnd"/>
      <w:r w:rsidRPr="00E72405">
        <w:rPr>
          <w:rFonts w:ascii="Cambria" w:hAnsi="Cambria"/>
          <w:sz w:val="16"/>
          <w:szCs w:val="16"/>
        </w:rPr>
        <w:t xml:space="preserve"> Judgment of May 26, 2010. </w:t>
      </w:r>
      <w:proofErr w:type="spellStart"/>
      <w:r w:rsidRPr="00E72405">
        <w:rPr>
          <w:rFonts w:ascii="Cambria" w:hAnsi="Cambria"/>
          <w:sz w:val="16"/>
          <w:szCs w:val="16"/>
        </w:rPr>
        <w:t>Serie</w:t>
      </w:r>
      <w:proofErr w:type="spellEnd"/>
      <w:r w:rsidRPr="00E72405">
        <w:rPr>
          <w:rFonts w:ascii="Cambria" w:hAnsi="Cambria"/>
          <w:sz w:val="16"/>
          <w:szCs w:val="16"/>
        </w:rPr>
        <w:t xml:space="preserve"> C No. 213.</w:t>
      </w:r>
    </w:p>
  </w:footnote>
  <w:footnote w:id="297">
    <w:p w:rsidR="00D53806" w:rsidRPr="00B64BF5" w:rsidRDefault="00D53806" w:rsidP="00B64BF5">
      <w:pPr>
        <w:pStyle w:val="FootnoteText"/>
        <w:ind w:firstLine="720"/>
        <w:jc w:val="both"/>
        <w:rPr>
          <w:rFonts w:ascii="Cambria" w:hAnsi="Cambria"/>
          <w:sz w:val="16"/>
          <w:szCs w:val="16"/>
        </w:rPr>
      </w:pPr>
      <w:r w:rsidRPr="00E72405">
        <w:rPr>
          <w:rStyle w:val="FootnoteReference"/>
          <w:rFonts w:ascii="Cambria" w:hAnsi="Cambria"/>
          <w:sz w:val="16"/>
          <w:szCs w:val="16"/>
        </w:rPr>
        <w:footnoteRef/>
      </w:r>
      <w:r w:rsidRPr="00E72405">
        <w:rPr>
          <w:rFonts w:ascii="Cambria" w:hAnsi="Cambria"/>
          <w:sz w:val="16"/>
          <w:szCs w:val="16"/>
        </w:rPr>
        <w:t xml:space="preserve"> </w:t>
      </w:r>
      <w:proofErr w:type="gramStart"/>
      <w:r w:rsidRPr="00E72405">
        <w:rPr>
          <w:rFonts w:ascii="Cambria" w:hAnsi="Cambria"/>
          <w:sz w:val="16"/>
          <w:szCs w:val="16"/>
        </w:rPr>
        <w:t xml:space="preserve">I/A Court H.R. Case of Manuel </w:t>
      </w:r>
      <w:proofErr w:type="spellStart"/>
      <w:r w:rsidRPr="00E72405">
        <w:rPr>
          <w:rFonts w:ascii="Cambria" w:hAnsi="Cambria"/>
          <w:sz w:val="16"/>
          <w:szCs w:val="16"/>
        </w:rPr>
        <w:t>Cepeda</w:t>
      </w:r>
      <w:proofErr w:type="spellEnd"/>
      <w:r w:rsidRPr="00E72405">
        <w:rPr>
          <w:rFonts w:ascii="Cambria" w:hAnsi="Cambria"/>
          <w:sz w:val="16"/>
          <w:szCs w:val="16"/>
        </w:rPr>
        <w:t xml:space="preserve"> Vargas v. Colombia</w:t>
      </w:r>
      <w:r w:rsidRPr="00B64BF5">
        <w:rPr>
          <w:rFonts w:ascii="Cambria" w:hAnsi="Cambria"/>
          <w:sz w:val="16"/>
          <w:szCs w:val="16"/>
        </w:rPr>
        <w:t>.</w:t>
      </w:r>
      <w:proofErr w:type="gramEnd"/>
      <w:r w:rsidRPr="00B64BF5">
        <w:rPr>
          <w:rFonts w:ascii="Cambria" w:hAnsi="Cambria"/>
          <w:sz w:val="16"/>
          <w:szCs w:val="16"/>
        </w:rPr>
        <w:t xml:space="preserve"> </w:t>
      </w:r>
      <w:proofErr w:type="gramStart"/>
      <w:r w:rsidRPr="00B64BF5">
        <w:rPr>
          <w:rFonts w:ascii="Cambria" w:hAnsi="Cambria"/>
          <w:sz w:val="16"/>
          <w:szCs w:val="16"/>
        </w:rPr>
        <w:t>Preliminary Objections, Merits, Reparations, and Costs.</w:t>
      </w:r>
      <w:proofErr w:type="gramEnd"/>
      <w:r w:rsidRPr="00B64BF5">
        <w:rPr>
          <w:rFonts w:ascii="Cambria" w:hAnsi="Cambria"/>
          <w:sz w:val="16"/>
          <w:szCs w:val="16"/>
        </w:rPr>
        <w:t xml:space="preserve"> Judgment of May 26, 2010. </w:t>
      </w:r>
      <w:proofErr w:type="spellStart"/>
      <w:r w:rsidRPr="00B64BF5">
        <w:rPr>
          <w:rFonts w:ascii="Cambria" w:hAnsi="Cambria"/>
          <w:sz w:val="16"/>
          <w:szCs w:val="16"/>
        </w:rPr>
        <w:t>Serie</w:t>
      </w:r>
      <w:proofErr w:type="spellEnd"/>
      <w:r w:rsidRPr="00B64BF5">
        <w:rPr>
          <w:rFonts w:ascii="Cambria" w:hAnsi="Cambria"/>
          <w:sz w:val="16"/>
          <w:szCs w:val="16"/>
        </w:rPr>
        <w:t xml:space="preserve"> C No. 213.</w:t>
      </w:r>
    </w:p>
  </w:footnote>
  <w:footnote w:id="298">
    <w:p w:rsidR="00D53806" w:rsidRPr="00B64BF5" w:rsidRDefault="00D53806" w:rsidP="00B64BF5">
      <w:pPr>
        <w:spacing w:after="0" w:line="240" w:lineRule="auto"/>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In the merits </w:t>
      </w:r>
      <w:r w:rsidRPr="009C66AC">
        <w:rPr>
          <w:rFonts w:ascii="Cambria" w:hAnsi="Cambria"/>
          <w:sz w:val="16"/>
          <w:szCs w:val="16"/>
        </w:rPr>
        <w:t>stage the petitioners also alleged that the arbitrary detention, torture and execution of Vladimir Herzog was a violation of the right to peaceful assembly, recognized in Article XXI of the American Declaration, which states that “[e]very person has the right to assemble peaceably with others in a formal public meeting or an informal gathering, in connection with matters of common interest of any nature.”</w:t>
      </w:r>
    </w:p>
  </w:footnote>
  <w:footnote w:id="299">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w:t>
      </w:r>
      <w:r w:rsidRPr="00B64BF5">
        <w:rPr>
          <w:rFonts w:ascii="Cambria" w:hAnsi="Cambria"/>
          <w:bCs/>
          <w:sz w:val="16"/>
          <w:szCs w:val="16"/>
        </w:rPr>
        <w:t xml:space="preserve">Case of Miguel Castro </w:t>
      </w:r>
      <w:proofErr w:type="spellStart"/>
      <w:r w:rsidRPr="00B64BF5">
        <w:rPr>
          <w:rFonts w:ascii="Cambria" w:hAnsi="Cambria"/>
          <w:bCs/>
          <w:sz w:val="16"/>
          <w:szCs w:val="16"/>
        </w:rPr>
        <w:t>Castro</w:t>
      </w:r>
      <w:proofErr w:type="spellEnd"/>
      <w:r w:rsidRPr="00B64BF5">
        <w:rPr>
          <w:rFonts w:ascii="Cambria" w:hAnsi="Cambria"/>
          <w:bCs/>
          <w:sz w:val="16"/>
          <w:szCs w:val="16"/>
        </w:rPr>
        <w:t xml:space="preserve"> Prison v. Peru</w:t>
      </w:r>
      <w:r w:rsidRPr="00B64BF5">
        <w:rPr>
          <w:rFonts w:ascii="Cambria" w:hAnsi="Cambria"/>
          <w:b/>
          <w:bCs/>
          <w:sz w:val="16"/>
          <w:szCs w:val="16"/>
        </w:rPr>
        <w:t>.</w:t>
      </w:r>
      <w:proofErr w:type="gramEnd"/>
      <w:r w:rsidRPr="00B64BF5">
        <w:rPr>
          <w:rFonts w:ascii="Cambria" w:hAnsi="Cambria"/>
          <w:b/>
          <w:bCs/>
          <w:sz w:val="16"/>
          <w:szCs w:val="16"/>
        </w:rPr>
        <w:t xml:space="preserve"> </w:t>
      </w:r>
      <w:r w:rsidRPr="00B64BF5">
        <w:rPr>
          <w:rFonts w:ascii="Cambria" w:hAnsi="Cambria"/>
          <w:sz w:val="16"/>
          <w:szCs w:val="16"/>
        </w:rPr>
        <w:t xml:space="preserve">Judgment of November 25, 2006. </w:t>
      </w:r>
      <w:proofErr w:type="spellStart"/>
      <w:r w:rsidRPr="00B64BF5">
        <w:rPr>
          <w:rFonts w:ascii="Cambria" w:hAnsi="Cambria"/>
          <w:sz w:val="16"/>
          <w:szCs w:val="16"/>
        </w:rPr>
        <w:t>Serie</w:t>
      </w:r>
      <w:proofErr w:type="spellEnd"/>
      <w:r w:rsidRPr="00B64BF5">
        <w:rPr>
          <w:rFonts w:ascii="Cambria" w:hAnsi="Cambria"/>
          <w:sz w:val="16"/>
          <w:szCs w:val="16"/>
        </w:rPr>
        <w:t xml:space="preserve"> C No. 160, para. </w:t>
      </w:r>
      <w:proofErr w:type="gramStart"/>
      <w:r w:rsidRPr="00B64BF5">
        <w:rPr>
          <w:rFonts w:ascii="Cambria" w:hAnsi="Cambria"/>
          <w:sz w:val="16"/>
          <w:szCs w:val="16"/>
        </w:rPr>
        <w:t>344</w:t>
      </w:r>
      <w:r w:rsidRPr="00B64BF5">
        <w:rPr>
          <w:rFonts w:ascii="Cambria" w:hAnsi="Cambria"/>
          <w:sz w:val="16"/>
          <w:szCs w:val="16"/>
          <w:lang w:bidi="en-US"/>
        </w:rPr>
        <w:t xml:space="preserve">; and, </w:t>
      </w:r>
      <w:r w:rsidRPr="00B64BF5">
        <w:rPr>
          <w:rFonts w:ascii="Cambria" w:hAnsi="Cambria"/>
          <w:sz w:val="16"/>
          <w:szCs w:val="16"/>
        </w:rPr>
        <w:t>Case of Bueno Alves v. Argentina.</w:t>
      </w:r>
      <w:proofErr w:type="gramEnd"/>
      <w:r w:rsidRPr="00B64BF5">
        <w:rPr>
          <w:rFonts w:ascii="Cambria" w:hAnsi="Cambria"/>
          <w:sz w:val="16"/>
          <w:szCs w:val="16"/>
        </w:rPr>
        <w:t xml:space="preserve"> </w:t>
      </w:r>
      <w:proofErr w:type="gramStart"/>
      <w:r w:rsidRPr="00B64BF5">
        <w:rPr>
          <w:rFonts w:ascii="Cambria" w:hAnsi="Cambria"/>
          <w:sz w:val="16"/>
          <w:szCs w:val="16"/>
        </w:rPr>
        <w:t>Merits, Reparations, and Costs.</w:t>
      </w:r>
      <w:proofErr w:type="gramEnd"/>
      <w:r w:rsidRPr="00B64BF5">
        <w:rPr>
          <w:rFonts w:ascii="Cambria" w:hAnsi="Cambria"/>
          <w:sz w:val="16"/>
          <w:szCs w:val="16"/>
        </w:rPr>
        <w:t xml:space="preserve"> Judgment of May 11, 2007. </w:t>
      </w:r>
      <w:proofErr w:type="spellStart"/>
      <w:r w:rsidRPr="00B64BF5">
        <w:rPr>
          <w:rFonts w:ascii="Cambria" w:hAnsi="Cambria"/>
          <w:sz w:val="16"/>
          <w:szCs w:val="16"/>
        </w:rPr>
        <w:t>Serie</w:t>
      </w:r>
      <w:proofErr w:type="spellEnd"/>
      <w:r w:rsidRPr="00B64BF5">
        <w:rPr>
          <w:rFonts w:ascii="Cambria" w:hAnsi="Cambria"/>
          <w:sz w:val="16"/>
          <w:szCs w:val="16"/>
        </w:rPr>
        <w:t xml:space="preserve"> C No.164, para. 88.</w:t>
      </w:r>
    </w:p>
  </w:footnote>
  <w:footnote w:id="300">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Case of </w:t>
      </w:r>
      <w:proofErr w:type="spellStart"/>
      <w:r w:rsidRPr="00B64BF5">
        <w:rPr>
          <w:rFonts w:ascii="Cambria" w:hAnsi="Cambria"/>
          <w:sz w:val="16"/>
          <w:szCs w:val="16"/>
        </w:rPr>
        <w:t>Bulacio</w:t>
      </w:r>
      <w:proofErr w:type="spellEnd"/>
      <w:r w:rsidRPr="00B64BF5">
        <w:rPr>
          <w:rFonts w:ascii="Cambria" w:hAnsi="Cambria"/>
          <w:sz w:val="16"/>
          <w:szCs w:val="16"/>
        </w:rPr>
        <w:t xml:space="preserve"> v. Argentina.</w:t>
      </w:r>
      <w:proofErr w:type="gramEnd"/>
      <w:r w:rsidRPr="00B64BF5">
        <w:rPr>
          <w:rFonts w:ascii="Cambria" w:hAnsi="Cambria"/>
          <w:sz w:val="16"/>
          <w:szCs w:val="16"/>
        </w:rPr>
        <w:t xml:space="preserve"> Judgment of September 18, 2003. </w:t>
      </w:r>
      <w:proofErr w:type="spellStart"/>
      <w:proofErr w:type="gramStart"/>
      <w:r w:rsidRPr="00B64BF5">
        <w:rPr>
          <w:rFonts w:ascii="Cambria" w:hAnsi="Cambria"/>
          <w:sz w:val="16"/>
          <w:szCs w:val="16"/>
        </w:rPr>
        <w:t>Serie</w:t>
      </w:r>
      <w:proofErr w:type="spellEnd"/>
      <w:r w:rsidRPr="00B64BF5">
        <w:rPr>
          <w:rFonts w:ascii="Cambria" w:hAnsi="Cambria"/>
          <w:sz w:val="16"/>
          <w:szCs w:val="16"/>
        </w:rPr>
        <w:t xml:space="preserve"> C No. 100; I/A Court H.R. Case of </w:t>
      </w:r>
      <w:proofErr w:type="spellStart"/>
      <w:r w:rsidRPr="00B64BF5">
        <w:rPr>
          <w:rFonts w:ascii="Cambria" w:hAnsi="Cambria"/>
          <w:sz w:val="16"/>
          <w:szCs w:val="16"/>
        </w:rPr>
        <w:t>Ximenes</w:t>
      </w:r>
      <w:proofErr w:type="spellEnd"/>
      <w:r w:rsidRPr="00B64BF5">
        <w:rPr>
          <w:rFonts w:ascii="Cambria" w:hAnsi="Cambria"/>
          <w:sz w:val="16"/>
          <w:szCs w:val="16"/>
        </w:rPr>
        <w:t xml:space="preserve"> Lopes v. Brazil.</w:t>
      </w:r>
      <w:proofErr w:type="gramEnd"/>
      <w:r w:rsidRPr="00B64BF5">
        <w:rPr>
          <w:rFonts w:ascii="Cambria" w:hAnsi="Cambria"/>
          <w:sz w:val="16"/>
          <w:szCs w:val="16"/>
        </w:rPr>
        <w:t xml:space="preserve"> </w:t>
      </w:r>
      <w:proofErr w:type="gramStart"/>
      <w:r w:rsidRPr="00B64BF5">
        <w:rPr>
          <w:rFonts w:ascii="Cambria" w:hAnsi="Cambria"/>
          <w:sz w:val="16"/>
          <w:szCs w:val="16"/>
        </w:rPr>
        <w:t>Merits, Reparations, and Costs.</w:t>
      </w:r>
      <w:proofErr w:type="gramEnd"/>
      <w:r w:rsidRPr="00B64BF5">
        <w:rPr>
          <w:rFonts w:ascii="Cambria" w:hAnsi="Cambria"/>
          <w:sz w:val="16"/>
          <w:szCs w:val="16"/>
        </w:rPr>
        <w:t xml:space="preserve"> Judgment </w:t>
      </w:r>
      <w:proofErr w:type="gramStart"/>
      <w:r w:rsidRPr="00B64BF5">
        <w:rPr>
          <w:rFonts w:ascii="Cambria" w:hAnsi="Cambria"/>
          <w:sz w:val="16"/>
          <w:szCs w:val="16"/>
        </w:rPr>
        <w:t>of  July</w:t>
      </w:r>
      <w:proofErr w:type="gramEnd"/>
      <w:r w:rsidRPr="00B64BF5">
        <w:rPr>
          <w:rFonts w:ascii="Cambria" w:hAnsi="Cambria"/>
          <w:sz w:val="16"/>
          <w:szCs w:val="16"/>
        </w:rPr>
        <w:t xml:space="preserve"> 4, 2006. </w:t>
      </w:r>
      <w:proofErr w:type="spellStart"/>
      <w:r w:rsidRPr="00B64BF5">
        <w:rPr>
          <w:rFonts w:ascii="Cambria" w:hAnsi="Cambria"/>
          <w:sz w:val="16"/>
          <w:szCs w:val="16"/>
        </w:rPr>
        <w:t>Serie</w:t>
      </w:r>
      <w:proofErr w:type="spellEnd"/>
      <w:r w:rsidRPr="00B64BF5">
        <w:rPr>
          <w:rFonts w:ascii="Cambria" w:hAnsi="Cambria"/>
          <w:sz w:val="16"/>
          <w:szCs w:val="16"/>
        </w:rPr>
        <w:t xml:space="preserve"> C No. 149, para. 147ñ I/A Court H.R. Case of Mendoza et al. v. Argentina. </w:t>
      </w:r>
      <w:proofErr w:type="gramStart"/>
      <w:r w:rsidRPr="00B64BF5">
        <w:rPr>
          <w:rFonts w:ascii="Cambria" w:hAnsi="Cambria"/>
          <w:sz w:val="16"/>
          <w:szCs w:val="16"/>
        </w:rPr>
        <w:t>Preliminary Objections, Merits and Reparations.</w:t>
      </w:r>
      <w:proofErr w:type="gramEnd"/>
      <w:r w:rsidRPr="00B64BF5">
        <w:rPr>
          <w:rFonts w:ascii="Cambria" w:hAnsi="Cambria"/>
          <w:sz w:val="16"/>
          <w:szCs w:val="16"/>
        </w:rPr>
        <w:t xml:space="preserve"> </w:t>
      </w:r>
      <w:proofErr w:type="gramStart"/>
      <w:r w:rsidRPr="00B64BF5">
        <w:rPr>
          <w:rFonts w:ascii="Cambria" w:hAnsi="Cambria"/>
          <w:sz w:val="16"/>
          <w:szCs w:val="16"/>
        </w:rPr>
        <w:t xml:space="preserve">Judgment of May 14, 2013 </w:t>
      </w:r>
      <w:proofErr w:type="spellStart"/>
      <w:r w:rsidRPr="00B64BF5">
        <w:rPr>
          <w:rFonts w:ascii="Cambria" w:hAnsi="Cambria"/>
          <w:sz w:val="16"/>
          <w:szCs w:val="16"/>
        </w:rPr>
        <w:t>Serie</w:t>
      </w:r>
      <w:proofErr w:type="spellEnd"/>
      <w:r w:rsidRPr="00B64BF5">
        <w:rPr>
          <w:rFonts w:ascii="Cambria" w:hAnsi="Cambria"/>
          <w:sz w:val="16"/>
          <w:szCs w:val="16"/>
        </w:rPr>
        <w:t xml:space="preserve"> C No. 260.</w:t>
      </w:r>
      <w:proofErr w:type="gramEnd"/>
      <w:r w:rsidRPr="00B64BF5">
        <w:rPr>
          <w:rFonts w:ascii="Cambria" w:hAnsi="Cambria"/>
          <w:sz w:val="16"/>
          <w:szCs w:val="16"/>
        </w:rPr>
        <w:t xml:space="preserve"> </w:t>
      </w:r>
      <w:proofErr w:type="gramStart"/>
      <w:r w:rsidRPr="00B64BF5">
        <w:rPr>
          <w:rFonts w:ascii="Cambria" w:hAnsi="Cambria"/>
          <w:sz w:val="16"/>
          <w:szCs w:val="16"/>
        </w:rPr>
        <w:t>Para.</w:t>
      </w:r>
      <w:proofErr w:type="gramEnd"/>
      <w:r w:rsidRPr="00B64BF5">
        <w:rPr>
          <w:rFonts w:ascii="Cambria" w:hAnsi="Cambria"/>
          <w:sz w:val="16"/>
          <w:szCs w:val="16"/>
        </w:rPr>
        <w:t xml:space="preserve"> </w:t>
      </w:r>
      <w:proofErr w:type="gramStart"/>
      <w:r w:rsidRPr="00B64BF5">
        <w:rPr>
          <w:rFonts w:ascii="Cambria" w:hAnsi="Cambria"/>
          <w:sz w:val="16"/>
          <w:szCs w:val="16"/>
        </w:rPr>
        <w:t>218; European Court.</w:t>
      </w:r>
      <w:proofErr w:type="gramEnd"/>
      <w:r w:rsidRPr="00B64BF5">
        <w:rPr>
          <w:rFonts w:ascii="Cambria" w:hAnsi="Cambria"/>
          <w:sz w:val="16"/>
          <w:szCs w:val="16"/>
        </w:rPr>
        <w:t xml:space="preserve"> Salman v. Turkey, cited above, at § 99; Keenan v. the United Kingdom, no. 27229/95, § 91, ECHR 2001</w:t>
      </w:r>
      <w:r w:rsidRPr="00B64BF5">
        <w:rPr>
          <w:rFonts w:ascii="MS Mincho" w:eastAsia="MS Mincho" w:hAnsi="MS Mincho" w:cs="MS Mincho" w:hint="eastAsia"/>
          <w:sz w:val="16"/>
          <w:szCs w:val="16"/>
        </w:rPr>
        <w:t>‑</w:t>
      </w:r>
      <w:r w:rsidRPr="00B64BF5">
        <w:rPr>
          <w:rFonts w:ascii="Cambria" w:hAnsi="Cambria"/>
          <w:sz w:val="16"/>
          <w:szCs w:val="16"/>
        </w:rPr>
        <w:t>III.</w:t>
      </w:r>
    </w:p>
  </w:footnote>
  <w:footnote w:id="301">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IACHR.</w:t>
      </w:r>
      <w:proofErr w:type="gramEnd"/>
      <w:r w:rsidRPr="00B64BF5">
        <w:rPr>
          <w:rFonts w:ascii="Cambria" w:hAnsi="Cambria"/>
          <w:sz w:val="16"/>
          <w:szCs w:val="16"/>
        </w:rPr>
        <w:t xml:space="preserve"> Report on the Human Rights of Persons Deprived of Liberty in the Americas. OEA/</w:t>
      </w:r>
      <w:proofErr w:type="spellStart"/>
      <w:r w:rsidRPr="00B64BF5">
        <w:rPr>
          <w:rFonts w:ascii="Cambria" w:hAnsi="Cambria"/>
          <w:sz w:val="16"/>
          <w:szCs w:val="16"/>
        </w:rPr>
        <w:t>Ser.L</w:t>
      </w:r>
      <w:proofErr w:type="spellEnd"/>
      <w:r w:rsidRPr="00B64BF5">
        <w:rPr>
          <w:rFonts w:ascii="Cambria" w:hAnsi="Cambria"/>
          <w:sz w:val="16"/>
          <w:szCs w:val="16"/>
        </w:rPr>
        <w:t xml:space="preserve">/V/II. Doc.64. December 31, 2011. </w:t>
      </w:r>
      <w:proofErr w:type="gramStart"/>
      <w:r w:rsidRPr="00B64BF5">
        <w:rPr>
          <w:rFonts w:ascii="Cambria" w:hAnsi="Cambria"/>
          <w:sz w:val="16"/>
          <w:szCs w:val="16"/>
        </w:rPr>
        <w:t>Para.</w:t>
      </w:r>
      <w:proofErr w:type="gramEnd"/>
      <w:r w:rsidRPr="00B64BF5">
        <w:rPr>
          <w:rFonts w:ascii="Cambria" w:hAnsi="Cambria"/>
          <w:sz w:val="16"/>
          <w:szCs w:val="16"/>
        </w:rPr>
        <w:t xml:space="preserve"> 270.</w:t>
      </w:r>
    </w:p>
  </w:footnote>
  <w:footnote w:id="302">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w:t>
      </w:r>
      <w:r w:rsidRPr="00B64BF5">
        <w:rPr>
          <w:rFonts w:ascii="Cambria" w:hAnsi="Cambria"/>
          <w:iCs/>
          <w:sz w:val="16"/>
          <w:szCs w:val="16"/>
        </w:rPr>
        <w:t xml:space="preserve">Case of Miguel Castro </w:t>
      </w:r>
      <w:proofErr w:type="spellStart"/>
      <w:r w:rsidRPr="00B64BF5">
        <w:rPr>
          <w:rFonts w:ascii="Cambria" w:hAnsi="Cambria"/>
          <w:iCs/>
          <w:sz w:val="16"/>
          <w:szCs w:val="16"/>
        </w:rPr>
        <w:t>Castro</w:t>
      </w:r>
      <w:proofErr w:type="spellEnd"/>
      <w:r w:rsidRPr="00B64BF5">
        <w:rPr>
          <w:rFonts w:ascii="Cambria" w:hAnsi="Cambria"/>
          <w:iCs/>
          <w:sz w:val="16"/>
          <w:szCs w:val="16"/>
        </w:rPr>
        <w:t xml:space="preserve"> Prison</w:t>
      </w:r>
      <w:r w:rsidRPr="00B64BF5">
        <w:rPr>
          <w:rFonts w:ascii="Cambria" w:hAnsi="Cambria"/>
          <w:sz w:val="16"/>
          <w:szCs w:val="16"/>
        </w:rPr>
        <w:t>.</w:t>
      </w:r>
      <w:proofErr w:type="gramEnd"/>
      <w:r w:rsidRPr="00B64BF5">
        <w:rPr>
          <w:rFonts w:ascii="Cambria" w:hAnsi="Cambria"/>
          <w:sz w:val="16"/>
          <w:szCs w:val="16"/>
        </w:rPr>
        <w:t xml:space="preserve"> Judgment of November 25, 2006. </w:t>
      </w:r>
      <w:proofErr w:type="spellStart"/>
      <w:r w:rsidRPr="00B64BF5">
        <w:rPr>
          <w:rFonts w:ascii="Cambria" w:hAnsi="Cambria"/>
          <w:sz w:val="16"/>
          <w:szCs w:val="16"/>
        </w:rPr>
        <w:t>Serie</w:t>
      </w:r>
      <w:proofErr w:type="spellEnd"/>
      <w:r w:rsidRPr="00B64BF5">
        <w:rPr>
          <w:rFonts w:ascii="Cambria" w:hAnsi="Cambria"/>
          <w:sz w:val="16"/>
          <w:szCs w:val="16"/>
        </w:rPr>
        <w:t xml:space="preserve"> C No. 160, para. 253. See also, </w:t>
      </w:r>
      <w:proofErr w:type="gramStart"/>
      <w:r w:rsidRPr="00B64BF5">
        <w:rPr>
          <w:rFonts w:ascii="Cambria" w:hAnsi="Cambria"/>
          <w:sz w:val="16"/>
          <w:szCs w:val="16"/>
        </w:rPr>
        <w:t>I/A</w:t>
      </w:r>
      <w:proofErr w:type="gramEnd"/>
      <w:r w:rsidRPr="00B64BF5">
        <w:rPr>
          <w:rFonts w:ascii="Cambria" w:hAnsi="Cambria"/>
          <w:sz w:val="16"/>
          <w:szCs w:val="16"/>
        </w:rPr>
        <w:t xml:space="preserve"> Court H.R. </w:t>
      </w:r>
      <w:r w:rsidRPr="00B64BF5">
        <w:rPr>
          <w:rFonts w:ascii="Cambria" w:hAnsi="Cambria"/>
          <w:iCs/>
          <w:sz w:val="16"/>
          <w:szCs w:val="16"/>
        </w:rPr>
        <w:t xml:space="preserve">Case of </w:t>
      </w:r>
      <w:proofErr w:type="spellStart"/>
      <w:r w:rsidRPr="00B64BF5">
        <w:rPr>
          <w:rFonts w:ascii="Cambria" w:hAnsi="Cambria"/>
          <w:iCs/>
          <w:sz w:val="16"/>
          <w:szCs w:val="16"/>
        </w:rPr>
        <w:t>Servellón</w:t>
      </w:r>
      <w:proofErr w:type="spellEnd"/>
      <w:r w:rsidRPr="00B64BF5">
        <w:rPr>
          <w:rFonts w:ascii="Cambria" w:hAnsi="Cambria"/>
          <w:iCs/>
          <w:sz w:val="16"/>
          <w:szCs w:val="16"/>
        </w:rPr>
        <w:t xml:space="preserve"> </w:t>
      </w:r>
      <w:proofErr w:type="spellStart"/>
      <w:r w:rsidRPr="00B64BF5">
        <w:rPr>
          <w:rFonts w:ascii="Cambria" w:hAnsi="Cambria"/>
          <w:iCs/>
          <w:sz w:val="16"/>
          <w:szCs w:val="16"/>
        </w:rPr>
        <w:t>García</w:t>
      </w:r>
      <w:proofErr w:type="spellEnd"/>
      <w:r w:rsidRPr="00B64BF5">
        <w:rPr>
          <w:rFonts w:ascii="Cambria" w:hAnsi="Cambria"/>
          <w:iCs/>
          <w:sz w:val="16"/>
          <w:szCs w:val="16"/>
        </w:rPr>
        <w:t xml:space="preserve"> et al</w:t>
      </w:r>
      <w:r w:rsidRPr="00B64BF5">
        <w:rPr>
          <w:rFonts w:ascii="Cambria" w:hAnsi="Cambria"/>
          <w:sz w:val="16"/>
          <w:szCs w:val="16"/>
        </w:rPr>
        <w:t xml:space="preserve">. Judgment of September 21, 2006. </w:t>
      </w:r>
      <w:proofErr w:type="spellStart"/>
      <w:r w:rsidRPr="00B64BF5">
        <w:rPr>
          <w:rFonts w:ascii="Cambria" w:hAnsi="Cambria"/>
          <w:sz w:val="16"/>
          <w:szCs w:val="16"/>
        </w:rPr>
        <w:t>Serie</w:t>
      </w:r>
      <w:proofErr w:type="spellEnd"/>
      <w:r w:rsidRPr="00B64BF5">
        <w:rPr>
          <w:rFonts w:ascii="Cambria" w:hAnsi="Cambria"/>
          <w:sz w:val="16"/>
          <w:szCs w:val="16"/>
        </w:rPr>
        <w:t xml:space="preserve"> C No. 152, para. </w:t>
      </w:r>
      <w:proofErr w:type="gramStart"/>
      <w:r w:rsidRPr="00B64BF5">
        <w:rPr>
          <w:rFonts w:ascii="Cambria" w:hAnsi="Cambria"/>
          <w:sz w:val="16"/>
          <w:szCs w:val="16"/>
        </w:rPr>
        <w:t xml:space="preserve">119; </w:t>
      </w:r>
      <w:r w:rsidRPr="00B64BF5">
        <w:rPr>
          <w:rFonts w:ascii="Cambria" w:hAnsi="Cambria"/>
          <w:iCs/>
          <w:sz w:val="16"/>
          <w:szCs w:val="16"/>
        </w:rPr>
        <w:t xml:space="preserve">Case of </w:t>
      </w:r>
      <w:proofErr w:type="spellStart"/>
      <w:r w:rsidRPr="00B64BF5">
        <w:rPr>
          <w:rFonts w:ascii="Cambria" w:hAnsi="Cambria"/>
          <w:iCs/>
          <w:sz w:val="16"/>
          <w:szCs w:val="16"/>
        </w:rPr>
        <w:t>Ximenes</w:t>
      </w:r>
      <w:proofErr w:type="spellEnd"/>
      <w:r w:rsidRPr="00B64BF5">
        <w:rPr>
          <w:rFonts w:ascii="Cambria" w:hAnsi="Cambria"/>
          <w:iCs/>
          <w:sz w:val="16"/>
          <w:szCs w:val="16"/>
        </w:rPr>
        <w:t xml:space="preserve"> Lopes</w:t>
      </w:r>
      <w:r w:rsidRPr="00B64BF5">
        <w:rPr>
          <w:rFonts w:ascii="Cambria" w:hAnsi="Cambria"/>
          <w:sz w:val="16"/>
          <w:szCs w:val="16"/>
        </w:rPr>
        <w:t>.</w:t>
      </w:r>
      <w:proofErr w:type="gramEnd"/>
      <w:r w:rsidRPr="00B64BF5">
        <w:rPr>
          <w:rFonts w:ascii="Cambria" w:hAnsi="Cambria"/>
          <w:sz w:val="16"/>
          <w:szCs w:val="16"/>
        </w:rPr>
        <w:t xml:space="preserve"> Judgment of July 4, 2006. </w:t>
      </w:r>
      <w:proofErr w:type="spellStart"/>
      <w:r w:rsidRPr="00B64BF5">
        <w:rPr>
          <w:rFonts w:ascii="Cambria" w:hAnsi="Cambria"/>
          <w:sz w:val="16"/>
          <w:szCs w:val="16"/>
        </w:rPr>
        <w:t>Serie</w:t>
      </w:r>
      <w:proofErr w:type="spellEnd"/>
      <w:r w:rsidRPr="00B64BF5">
        <w:rPr>
          <w:rFonts w:ascii="Cambria" w:hAnsi="Cambria"/>
          <w:sz w:val="16"/>
          <w:szCs w:val="16"/>
        </w:rPr>
        <w:t xml:space="preserve"> C No. 149, para. </w:t>
      </w:r>
      <w:proofErr w:type="gramStart"/>
      <w:r w:rsidRPr="00B64BF5">
        <w:rPr>
          <w:rFonts w:ascii="Cambria" w:hAnsi="Cambria"/>
          <w:sz w:val="16"/>
          <w:szCs w:val="16"/>
        </w:rPr>
        <w:t xml:space="preserve">147; </w:t>
      </w:r>
      <w:r w:rsidRPr="00B64BF5">
        <w:rPr>
          <w:rFonts w:ascii="Cambria" w:hAnsi="Cambria"/>
          <w:iCs/>
          <w:sz w:val="16"/>
          <w:szCs w:val="16"/>
        </w:rPr>
        <w:t xml:space="preserve">Case of the </w:t>
      </w:r>
      <w:proofErr w:type="spellStart"/>
      <w:r w:rsidRPr="00B64BF5">
        <w:rPr>
          <w:rFonts w:ascii="Cambria" w:hAnsi="Cambria"/>
          <w:iCs/>
          <w:sz w:val="16"/>
          <w:szCs w:val="16"/>
        </w:rPr>
        <w:t>Ituango</w:t>
      </w:r>
      <w:proofErr w:type="spellEnd"/>
      <w:r w:rsidRPr="00B64BF5">
        <w:rPr>
          <w:rFonts w:ascii="Cambria" w:hAnsi="Cambria"/>
          <w:iCs/>
          <w:sz w:val="16"/>
          <w:szCs w:val="16"/>
        </w:rPr>
        <w:t xml:space="preserve"> Massacres</w:t>
      </w:r>
      <w:r w:rsidRPr="00B64BF5">
        <w:rPr>
          <w:rFonts w:ascii="Cambria" w:hAnsi="Cambria"/>
          <w:sz w:val="16"/>
          <w:szCs w:val="16"/>
        </w:rPr>
        <w:t>.</w:t>
      </w:r>
      <w:proofErr w:type="gramEnd"/>
      <w:r w:rsidRPr="00B64BF5">
        <w:rPr>
          <w:rFonts w:ascii="Cambria" w:hAnsi="Cambria"/>
          <w:sz w:val="16"/>
          <w:szCs w:val="16"/>
        </w:rPr>
        <w:t xml:space="preserve"> </w:t>
      </w:r>
      <w:proofErr w:type="gramStart"/>
      <w:r w:rsidRPr="00B64BF5">
        <w:rPr>
          <w:rFonts w:ascii="Cambria" w:hAnsi="Cambria"/>
          <w:sz w:val="16"/>
          <w:szCs w:val="16"/>
        </w:rPr>
        <w:t xml:space="preserve">Judgment of July 1, 2006 </w:t>
      </w:r>
      <w:proofErr w:type="spellStart"/>
      <w:r w:rsidRPr="00B64BF5">
        <w:rPr>
          <w:rFonts w:ascii="Cambria" w:hAnsi="Cambria"/>
          <w:sz w:val="16"/>
          <w:szCs w:val="16"/>
        </w:rPr>
        <w:t>Serie</w:t>
      </w:r>
      <w:proofErr w:type="spellEnd"/>
      <w:r w:rsidRPr="00B64BF5">
        <w:rPr>
          <w:rFonts w:ascii="Cambria" w:hAnsi="Cambria"/>
          <w:sz w:val="16"/>
          <w:szCs w:val="16"/>
        </w:rPr>
        <w:t xml:space="preserve"> C No. 148, para.</w:t>
      </w:r>
      <w:proofErr w:type="gramEnd"/>
      <w:r w:rsidRPr="00B64BF5">
        <w:rPr>
          <w:rFonts w:ascii="Cambria" w:hAnsi="Cambria"/>
          <w:sz w:val="16"/>
          <w:szCs w:val="16"/>
        </w:rPr>
        <w:t xml:space="preserve"> </w:t>
      </w:r>
      <w:proofErr w:type="gramStart"/>
      <w:r w:rsidRPr="00B64BF5">
        <w:rPr>
          <w:rFonts w:ascii="Cambria" w:hAnsi="Cambria"/>
          <w:sz w:val="16"/>
          <w:szCs w:val="16"/>
        </w:rPr>
        <w:t xml:space="preserve">297; and </w:t>
      </w:r>
      <w:r w:rsidRPr="00B64BF5">
        <w:rPr>
          <w:rFonts w:ascii="Cambria" w:hAnsi="Cambria"/>
          <w:iCs/>
          <w:sz w:val="16"/>
          <w:szCs w:val="16"/>
        </w:rPr>
        <w:t xml:space="preserve">Case of </w:t>
      </w:r>
      <w:proofErr w:type="spellStart"/>
      <w:r w:rsidRPr="00B64BF5">
        <w:rPr>
          <w:rFonts w:ascii="Cambria" w:hAnsi="Cambria"/>
          <w:iCs/>
          <w:sz w:val="16"/>
          <w:szCs w:val="16"/>
        </w:rPr>
        <w:t>Cantoral</w:t>
      </w:r>
      <w:proofErr w:type="spellEnd"/>
      <w:r w:rsidRPr="00B64BF5">
        <w:rPr>
          <w:rFonts w:ascii="Cambria" w:hAnsi="Cambria"/>
          <w:iCs/>
          <w:sz w:val="16"/>
          <w:szCs w:val="16"/>
        </w:rPr>
        <w:t xml:space="preserve"> </w:t>
      </w:r>
      <w:proofErr w:type="spellStart"/>
      <w:r w:rsidRPr="00B64BF5">
        <w:rPr>
          <w:rFonts w:ascii="Cambria" w:hAnsi="Cambria"/>
          <w:iCs/>
          <w:sz w:val="16"/>
          <w:szCs w:val="16"/>
        </w:rPr>
        <w:t>Huamaní</w:t>
      </w:r>
      <w:proofErr w:type="spellEnd"/>
      <w:r w:rsidRPr="00B64BF5">
        <w:rPr>
          <w:rFonts w:ascii="Cambria" w:hAnsi="Cambria"/>
          <w:iCs/>
          <w:sz w:val="16"/>
          <w:szCs w:val="16"/>
        </w:rPr>
        <w:t xml:space="preserve"> and </w:t>
      </w:r>
      <w:proofErr w:type="spellStart"/>
      <w:r w:rsidRPr="00B64BF5">
        <w:rPr>
          <w:rFonts w:ascii="Cambria" w:hAnsi="Cambria"/>
          <w:iCs/>
          <w:sz w:val="16"/>
          <w:szCs w:val="16"/>
        </w:rPr>
        <w:t>García</w:t>
      </w:r>
      <w:proofErr w:type="spellEnd"/>
      <w:r w:rsidRPr="00B64BF5">
        <w:rPr>
          <w:rFonts w:ascii="Cambria" w:hAnsi="Cambria"/>
          <w:iCs/>
          <w:sz w:val="16"/>
          <w:szCs w:val="16"/>
        </w:rPr>
        <w:t xml:space="preserve"> Santa Cruz</w:t>
      </w:r>
      <w:r w:rsidRPr="00B64BF5">
        <w:rPr>
          <w:rFonts w:ascii="Cambria" w:hAnsi="Cambria"/>
          <w:b/>
          <w:bCs/>
          <w:sz w:val="16"/>
          <w:szCs w:val="16"/>
        </w:rPr>
        <w:t>.</w:t>
      </w:r>
      <w:proofErr w:type="gramEnd"/>
      <w:r w:rsidRPr="00B64BF5">
        <w:rPr>
          <w:rFonts w:ascii="Cambria" w:hAnsi="Cambria"/>
          <w:b/>
          <w:bCs/>
          <w:sz w:val="16"/>
          <w:szCs w:val="16"/>
        </w:rPr>
        <w:t xml:space="preserve"> </w:t>
      </w:r>
      <w:r w:rsidRPr="00B64BF5">
        <w:rPr>
          <w:rFonts w:ascii="Cambria" w:hAnsi="Cambria"/>
          <w:sz w:val="16"/>
          <w:szCs w:val="16"/>
        </w:rPr>
        <w:t xml:space="preserve">Judgment of July 10, 2007. </w:t>
      </w:r>
      <w:proofErr w:type="spellStart"/>
      <w:r w:rsidRPr="00B64BF5">
        <w:rPr>
          <w:rFonts w:ascii="Cambria" w:hAnsi="Cambria"/>
          <w:sz w:val="16"/>
          <w:szCs w:val="16"/>
        </w:rPr>
        <w:t>Serie</w:t>
      </w:r>
      <w:proofErr w:type="spellEnd"/>
      <w:r w:rsidRPr="00B64BF5">
        <w:rPr>
          <w:rFonts w:ascii="Cambria" w:hAnsi="Cambria"/>
          <w:sz w:val="16"/>
          <w:szCs w:val="16"/>
        </w:rPr>
        <w:t xml:space="preserve"> C No. 167, para. 100.  </w:t>
      </w:r>
    </w:p>
  </w:footnote>
  <w:footnote w:id="303">
    <w:p w:rsidR="00D53806" w:rsidRPr="00B64BF5" w:rsidRDefault="00D53806" w:rsidP="00B64BF5">
      <w:pPr>
        <w:spacing w:after="0" w:line="240" w:lineRule="auto"/>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spellStart"/>
      <w:proofErr w:type="gramStart"/>
      <w:r w:rsidRPr="00B64BF5">
        <w:rPr>
          <w:rFonts w:ascii="Cambria" w:hAnsi="Cambria"/>
          <w:sz w:val="16"/>
          <w:szCs w:val="16"/>
        </w:rPr>
        <w:t>Ramsahai</w:t>
      </w:r>
      <w:proofErr w:type="spellEnd"/>
      <w:r w:rsidRPr="00B64BF5">
        <w:rPr>
          <w:rFonts w:ascii="Cambria" w:hAnsi="Cambria"/>
          <w:sz w:val="16"/>
          <w:szCs w:val="16"/>
        </w:rPr>
        <w:t xml:space="preserve"> et al. v.</w:t>
      </w:r>
      <w:proofErr w:type="gramEnd"/>
      <w:r w:rsidRPr="00B64BF5">
        <w:rPr>
          <w:rFonts w:ascii="Cambria" w:hAnsi="Cambria"/>
          <w:sz w:val="16"/>
          <w:szCs w:val="16"/>
        </w:rPr>
        <w:t xml:space="preserve"> </w:t>
      </w:r>
      <w:proofErr w:type="gramStart"/>
      <w:r w:rsidRPr="00B64BF5">
        <w:rPr>
          <w:rFonts w:ascii="Cambria" w:hAnsi="Cambria"/>
          <w:sz w:val="16"/>
          <w:szCs w:val="16"/>
        </w:rPr>
        <w:t xml:space="preserve">The Netherlands [GC], no. 52391/99, § 325, CEDH 2007 -..., </w:t>
      </w:r>
      <w:proofErr w:type="spellStart"/>
      <w:r w:rsidRPr="00B64BF5">
        <w:rPr>
          <w:rFonts w:ascii="Cambria" w:hAnsi="Cambria"/>
          <w:sz w:val="16"/>
          <w:szCs w:val="16"/>
        </w:rPr>
        <w:t>Güleç</w:t>
      </w:r>
      <w:proofErr w:type="spellEnd"/>
      <w:r w:rsidRPr="00B64BF5">
        <w:rPr>
          <w:rFonts w:ascii="Cambria" w:hAnsi="Cambria"/>
          <w:sz w:val="16"/>
          <w:szCs w:val="16"/>
        </w:rPr>
        <w:t xml:space="preserve"> v. Turkey, Judgment of July 27, 1998, Reports 1998-IV, p. 1733, §§ 81- 82, and </w:t>
      </w:r>
      <w:proofErr w:type="spellStart"/>
      <w:r w:rsidRPr="00B64BF5">
        <w:rPr>
          <w:rFonts w:ascii="Cambria" w:hAnsi="Cambria"/>
          <w:sz w:val="16"/>
          <w:szCs w:val="16"/>
        </w:rPr>
        <w:t>Ogur</w:t>
      </w:r>
      <w:proofErr w:type="spellEnd"/>
      <w:r w:rsidRPr="00B64BF5">
        <w:rPr>
          <w:rFonts w:ascii="Cambria" w:hAnsi="Cambria"/>
          <w:sz w:val="16"/>
          <w:szCs w:val="16"/>
        </w:rPr>
        <w:t xml:space="preserve"> v. Turkey [GC], no. 21954/93, §§ 91 to 92, CEDH 1999-III).</w:t>
      </w:r>
      <w:proofErr w:type="gramEnd"/>
    </w:p>
  </w:footnote>
  <w:footnote w:id="304">
    <w:p w:rsidR="00D53806" w:rsidRPr="00511E01"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IACHR.</w:t>
      </w:r>
      <w:proofErr w:type="gramEnd"/>
      <w:r w:rsidRPr="00B64BF5">
        <w:rPr>
          <w:rFonts w:ascii="Cambria" w:hAnsi="Cambria"/>
          <w:sz w:val="16"/>
          <w:szCs w:val="16"/>
        </w:rPr>
        <w:t xml:space="preserve"> </w:t>
      </w:r>
      <w:proofErr w:type="gramStart"/>
      <w:r w:rsidRPr="00B64BF5">
        <w:rPr>
          <w:rFonts w:ascii="Cambria" w:hAnsi="Cambria"/>
          <w:sz w:val="16"/>
          <w:szCs w:val="16"/>
        </w:rPr>
        <w:t>Annual Report 2013.</w:t>
      </w:r>
      <w:proofErr w:type="gramEnd"/>
      <w:r w:rsidRPr="00B64BF5">
        <w:rPr>
          <w:rFonts w:ascii="Cambria" w:hAnsi="Cambria"/>
          <w:sz w:val="16"/>
          <w:szCs w:val="16"/>
        </w:rPr>
        <w:t xml:space="preserve"> </w:t>
      </w:r>
      <w:proofErr w:type="gramStart"/>
      <w:r w:rsidRPr="00B64BF5">
        <w:rPr>
          <w:rFonts w:ascii="Cambria" w:hAnsi="Cambria"/>
          <w:sz w:val="16"/>
          <w:szCs w:val="16"/>
        </w:rPr>
        <w:t>Report of the Office of the Special Rapporteur for Freedom of Expression.</w:t>
      </w:r>
      <w:proofErr w:type="gramEnd"/>
      <w:r w:rsidRPr="00B64BF5">
        <w:rPr>
          <w:rFonts w:ascii="Cambria" w:hAnsi="Cambria"/>
          <w:sz w:val="16"/>
          <w:szCs w:val="16"/>
        </w:rPr>
        <w:t xml:space="preserve"> Chapter III (Violence </w:t>
      </w:r>
      <w:proofErr w:type="gramStart"/>
      <w:r w:rsidRPr="00B64BF5">
        <w:rPr>
          <w:rFonts w:ascii="Cambria" w:hAnsi="Cambria"/>
          <w:sz w:val="16"/>
          <w:szCs w:val="16"/>
        </w:rPr>
        <w:t>Against</w:t>
      </w:r>
      <w:proofErr w:type="gramEnd"/>
      <w:r w:rsidRPr="00B64BF5">
        <w:rPr>
          <w:rFonts w:ascii="Cambria" w:hAnsi="Cambria"/>
          <w:sz w:val="16"/>
          <w:szCs w:val="16"/>
        </w:rPr>
        <w:t xml:space="preserve"> </w:t>
      </w:r>
      <w:r w:rsidRPr="00511E01">
        <w:rPr>
          <w:rFonts w:ascii="Cambria" w:hAnsi="Cambria"/>
          <w:sz w:val="16"/>
          <w:szCs w:val="16"/>
        </w:rPr>
        <w:t>Journalists and Media Workers: Inter-American standards and national practices on prevention, protection and prosecution of perpetrators). OEA/</w:t>
      </w:r>
      <w:proofErr w:type="spellStart"/>
      <w:r w:rsidRPr="00511E01">
        <w:rPr>
          <w:rFonts w:ascii="Cambria" w:hAnsi="Cambria"/>
          <w:sz w:val="16"/>
          <w:szCs w:val="16"/>
        </w:rPr>
        <w:t>Ser.L</w:t>
      </w:r>
      <w:proofErr w:type="spellEnd"/>
      <w:r w:rsidRPr="00511E01">
        <w:rPr>
          <w:rFonts w:ascii="Cambria" w:hAnsi="Cambria"/>
          <w:sz w:val="16"/>
          <w:szCs w:val="16"/>
        </w:rPr>
        <w:t xml:space="preserve">/V/II.149. </w:t>
      </w:r>
      <w:proofErr w:type="gramStart"/>
      <w:r w:rsidRPr="00511E01">
        <w:rPr>
          <w:rFonts w:ascii="Cambria" w:hAnsi="Cambria"/>
          <w:sz w:val="16"/>
          <w:szCs w:val="16"/>
        </w:rPr>
        <w:t>Doc. 50.</w:t>
      </w:r>
      <w:proofErr w:type="gramEnd"/>
      <w:r w:rsidRPr="00511E01">
        <w:rPr>
          <w:rFonts w:ascii="Cambria" w:hAnsi="Cambria"/>
          <w:sz w:val="16"/>
          <w:szCs w:val="16"/>
        </w:rPr>
        <w:t xml:space="preserve"> December 31</w:t>
      </w:r>
      <w:proofErr w:type="gramStart"/>
      <w:r w:rsidRPr="00511E01">
        <w:rPr>
          <w:rFonts w:ascii="Cambria" w:hAnsi="Cambria"/>
          <w:sz w:val="16"/>
          <w:szCs w:val="16"/>
        </w:rPr>
        <w:t>,2013</w:t>
      </w:r>
      <w:proofErr w:type="gramEnd"/>
      <w:r w:rsidRPr="00511E01">
        <w:rPr>
          <w:rFonts w:ascii="Cambria" w:hAnsi="Cambria"/>
          <w:sz w:val="16"/>
          <w:szCs w:val="16"/>
        </w:rPr>
        <w:t xml:space="preserve">. </w:t>
      </w:r>
      <w:proofErr w:type="gramStart"/>
      <w:r w:rsidRPr="00511E01">
        <w:rPr>
          <w:rFonts w:ascii="Cambria" w:hAnsi="Cambria"/>
          <w:sz w:val="16"/>
          <w:szCs w:val="16"/>
        </w:rPr>
        <w:t>Para.</w:t>
      </w:r>
      <w:proofErr w:type="gramEnd"/>
      <w:r w:rsidRPr="00511E01">
        <w:rPr>
          <w:rFonts w:ascii="Cambria" w:hAnsi="Cambria"/>
          <w:sz w:val="16"/>
          <w:szCs w:val="16"/>
        </w:rPr>
        <w:t xml:space="preserve"> 1.</w:t>
      </w:r>
    </w:p>
  </w:footnote>
  <w:footnote w:id="305">
    <w:p w:rsidR="00D53806" w:rsidRPr="00511E01" w:rsidRDefault="00D53806" w:rsidP="00B64BF5">
      <w:pPr>
        <w:pStyle w:val="FootnoteText"/>
        <w:ind w:firstLine="720"/>
        <w:jc w:val="both"/>
        <w:rPr>
          <w:rFonts w:ascii="Cambria" w:hAnsi="Cambria"/>
          <w:sz w:val="16"/>
          <w:szCs w:val="16"/>
        </w:rPr>
      </w:pPr>
      <w:r w:rsidRPr="00511E01">
        <w:rPr>
          <w:rStyle w:val="FootnoteReference"/>
          <w:rFonts w:ascii="Cambria" w:hAnsi="Cambria"/>
          <w:sz w:val="16"/>
          <w:szCs w:val="16"/>
        </w:rPr>
        <w:footnoteRef/>
      </w:r>
      <w:r w:rsidRPr="00511E01">
        <w:rPr>
          <w:rFonts w:ascii="Cambria" w:hAnsi="Cambria"/>
          <w:sz w:val="16"/>
          <w:szCs w:val="16"/>
        </w:rPr>
        <w:t xml:space="preserve"> </w:t>
      </w:r>
      <w:proofErr w:type="gramStart"/>
      <w:r w:rsidRPr="00511E01">
        <w:rPr>
          <w:rFonts w:ascii="Cambria" w:hAnsi="Cambria"/>
          <w:sz w:val="16"/>
          <w:szCs w:val="16"/>
        </w:rPr>
        <w:t>IACHR.</w:t>
      </w:r>
      <w:proofErr w:type="gramEnd"/>
      <w:r w:rsidRPr="00511E01">
        <w:rPr>
          <w:rFonts w:ascii="Cambria" w:hAnsi="Cambria"/>
          <w:sz w:val="16"/>
          <w:szCs w:val="16"/>
        </w:rPr>
        <w:t xml:space="preserve"> </w:t>
      </w:r>
      <w:proofErr w:type="gramStart"/>
      <w:r w:rsidRPr="00511E01">
        <w:rPr>
          <w:rFonts w:ascii="Cambria" w:hAnsi="Cambria"/>
          <w:sz w:val="16"/>
          <w:szCs w:val="16"/>
        </w:rPr>
        <w:t>The Right to Truth in the Americas.</w:t>
      </w:r>
      <w:proofErr w:type="gramEnd"/>
      <w:r w:rsidRPr="00511E01">
        <w:rPr>
          <w:rFonts w:ascii="Cambria" w:hAnsi="Cambria"/>
          <w:sz w:val="16"/>
          <w:szCs w:val="16"/>
        </w:rPr>
        <w:t xml:space="preserve"> </w:t>
      </w:r>
      <w:r w:rsidRPr="00511E01">
        <w:rPr>
          <w:rFonts w:ascii="Cambria" w:hAnsi="Cambria"/>
          <w:sz w:val="16"/>
          <w:szCs w:val="16"/>
          <w:lang w:val="pt-BR"/>
        </w:rPr>
        <w:t xml:space="preserve">OEA/Ser.L/V/II.152. Doc. 2.  </w:t>
      </w:r>
      <w:r w:rsidRPr="00511E01">
        <w:rPr>
          <w:rFonts w:ascii="Cambria" w:hAnsi="Cambria"/>
          <w:sz w:val="16"/>
          <w:szCs w:val="16"/>
        </w:rPr>
        <w:t xml:space="preserve">August 13, 2014. </w:t>
      </w:r>
      <w:proofErr w:type="gramStart"/>
      <w:r w:rsidRPr="00511E01">
        <w:rPr>
          <w:rFonts w:ascii="Cambria" w:hAnsi="Cambria"/>
          <w:sz w:val="16"/>
          <w:szCs w:val="16"/>
        </w:rPr>
        <w:t>Para.</w:t>
      </w:r>
      <w:proofErr w:type="gramEnd"/>
      <w:r w:rsidRPr="00511E01">
        <w:rPr>
          <w:rFonts w:ascii="Cambria" w:hAnsi="Cambria"/>
          <w:sz w:val="16"/>
          <w:szCs w:val="16"/>
        </w:rPr>
        <w:t xml:space="preserve"> 106</w:t>
      </w:r>
    </w:p>
  </w:footnote>
  <w:footnote w:id="306">
    <w:p w:rsidR="00D53806" w:rsidRPr="00B64BF5" w:rsidRDefault="00D53806" w:rsidP="00B64BF5">
      <w:pPr>
        <w:pStyle w:val="FootnoteText"/>
        <w:ind w:firstLine="720"/>
        <w:jc w:val="both"/>
        <w:rPr>
          <w:rFonts w:ascii="Cambria" w:hAnsi="Cambria"/>
          <w:sz w:val="16"/>
          <w:szCs w:val="16"/>
        </w:rPr>
      </w:pPr>
      <w:r w:rsidRPr="00511E01">
        <w:rPr>
          <w:rStyle w:val="FootnoteReference"/>
          <w:rFonts w:ascii="Cambria" w:hAnsi="Cambria"/>
          <w:sz w:val="16"/>
          <w:szCs w:val="16"/>
        </w:rPr>
        <w:footnoteRef/>
      </w:r>
      <w:r w:rsidRPr="00511E01">
        <w:rPr>
          <w:rFonts w:ascii="Cambria" w:hAnsi="Cambria"/>
          <w:sz w:val="16"/>
          <w:szCs w:val="16"/>
        </w:rPr>
        <w:t xml:space="preserve"> </w:t>
      </w:r>
      <w:proofErr w:type="gramStart"/>
      <w:r w:rsidRPr="00511E01">
        <w:rPr>
          <w:rFonts w:ascii="Cambria" w:hAnsi="Cambria"/>
          <w:sz w:val="16"/>
          <w:szCs w:val="16"/>
        </w:rPr>
        <w:t xml:space="preserve">I/A Court H.R. Case of </w:t>
      </w:r>
      <w:proofErr w:type="spellStart"/>
      <w:r w:rsidRPr="00511E01">
        <w:rPr>
          <w:rFonts w:ascii="Cambria" w:hAnsi="Cambria"/>
          <w:sz w:val="16"/>
          <w:szCs w:val="16"/>
        </w:rPr>
        <w:t>Radilla</w:t>
      </w:r>
      <w:proofErr w:type="spellEnd"/>
      <w:r w:rsidRPr="00511E01">
        <w:rPr>
          <w:rFonts w:ascii="Cambria" w:hAnsi="Cambria"/>
          <w:sz w:val="16"/>
          <w:szCs w:val="16"/>
        </w:rPr>
        <w:t xml:space="preserve"> Pacheco v. Mexico.</w:t>
      </w:r>
      <w:proofErr w:type="gramEnd"/>
      <w:r w:rsidRPr="00511E01">
        <w:rPr>
          <w:rFonts w:ascii="Cambria" w:hAnsi="Cambria"/>
          <w:sz w:val="16"/>
          <w:szCs w:val="16"/>
        </w:rPr>
        <w:t xml:space="preserve"> </w:t>
      </w:r>
      <w:proofErr w:type="gramStart"/>
      <w:r w:rsidRPr="00511E01">
        <w:rPr>
          <w:rFonts w:ascii="Cambria" w:hAnsi="Cambria"/>
          <w:sz w:val="16"/>
          <w:szCs w:val="16"/>
        </w:rPr>
        <w:t>Preliminary Objections, Merits, Reparations, and Costs.</w:t>
      </w:r>
      <w:proofErr w:type="gramEnd"/>
      <w:r w:rsidRPr="00511E01">
        <w:rPr>
          <w:rFonts w:ascii="Cambria" w:hAnsi="Cambria"/>
          <w:sz w:val="16"/>
          <w:szCs w:val="16"/>
        </w:rPr>
        <w:t xml:space="preserve"> Judgment of November 23, 2009. </w:t>
      </w:r>
      <w:proofErr w:type="spellStart"/>
      <w:r w:rsidRPr="00511E01">
        <w:rPr>
          <w:rFonts w:ascii="Cambria" w:hAnsi="Cambria"/>
          <w:sz w:val="16"/>
          <w:szCs w:val="16"/>
        </w:rPr>
        <w:t>Serie</w:t>
      </w:r>
      <w:proofErr w:type="spellEnd"/>
      <w:r w:rsidRPr="00511E01">
        <w:rPr>
          <w:rFonts w:ascii="Cambria" w:hAnsi="Cambria"/>
          <w:sz w:val="16"/>
          <w:szCs w:val="16"/>
        </w:rPr>
        <w:t xml:space="preserve"> C No. 209. </w:t>
      </w:r>
      <w:proofErr w:type="gramStart"/>
      <w:r w:rsidR="00511E01" w:rsidRPr="00511E01">
        <w:rPr>
          <w:rFonts w:ascii="Cambria" w:hAnsi="Cambria"/>
          <w:sz w:val="16"/>
          <w:szCs w:val="16"/>
        </w:rPr>
        <w:t>Paras.</w:t>
      </w:r>
      <w:proofErr w:type="gramEnd"/>
      <w:r w:rsidR="00511E01" w:rsidRPr="00511E01">
        <w:rPr>
          <w:rFonts w:ascii="Cambria" w:hAnsi="Cambria"/>
          <w:sz w:val="16"/>
          <w:szCs w:val="16"/>
        </w:rPr>
        <w:t xml:space="preserve"> </w:t>
      </w:r>
      <w:proofErr w:type="gramStart"/>
      <w:r w:rsidR="00511E01" w:rsidRPr="00511E01">
        <w:rPr>
          <w:rFonts w:ascii="Cambria" w:hAnsi="Cambria"/>
          <w:sz w:val="16"/>
          <w:szCs w:val="16"/>
        </w:rPr>
        <w:t>272-278</w:t>
      </w:r>
      <w:r w:rsidRPr="00511E01">
        <w:rPr>
          <w:rFonts w:ascii="Cambria" w:hAnsi="Cambria"/>
          <w:sz w:val="16"/>
          <w:szCs w:val="16"/>
        </w:rPr>
        <w:t>; IACHR, Report on Terrorism and Human Rights, OEA/</w:t>
      </w:r>
      <w:proofErr w:type="spellStart"/>
      <w:r w:rsidRPr="00511E01">
        <w:rPr>
          <w:rFonts w:ascii="Cambria" w:hAnsi="Cambria"/>
          <w:sz w:val="16"/>
          <w:szCs w:val="16"/>
        </w:rPr>
        <w:t>Ser.L</w:t>
      </w:r>
      <w:proofErr w:type="spellEnd"/>
      <w:r w:rsidRPr="00511E01">
        <w:rPr>
          <w:rFonts w:ascii="Cambria" w:hAnsi="Cambria"/>
          <w:sz w:val="16"/>
          <w:szCs w:val="16"/>
        </w:rPr>
        <w:t>/V/II.116.Doc.5 rev.1, October 22, 2002, para.</w:t>
      </w:r>
      <w:proofErr w:type="gramEnd"/>
      <w:r w:rsidRPr="00511E01">
        <w:rPr>
          <w:rFonts w:ascii="Cambria" w:hAnsi="Cambria"/>
          <w:sz w:val="16"/>
          <w:szCs w:val="16"/>
        </w:rPr>
        <w:t xml:space="preserve"> </w:t>
      </w:r>
      <w:proofErr w:type="gramStart"/>
      <w:r w:rsidRPr="00511E01">
        <w:rPr>
          <w:rFonts w:ascii="Cambria" w:hAnsi="Cambria"/>
          <w:sz w:val="16"/>
          <w:szCs w:val="16"/>
        </w:rPr>
        <w:t>230; IACHR.</w:t>
      </w:r>
      <w:proofErr w:type="gramEnd"/>
      <w:r w:rsidRPr="00511E01">
        <w:rPr>
          <w:rFonts w:ascii="Cambria" w:hAnsi="Cambria"/>
          <w:sz w:val="16"/>
          <w:szCs w:val="16"/>
        </w:rPr>
        <w:t xml:space="preserve"> Report on Citizen Security and Human Rights. OEA/</w:t>
      </w:r>
      <w:proofErr w:type="spellStart"/>
      <w:r w:rsidRPr="00511E01">
        <w:rPr>
          <w:rFonts w:ascii="Cambria" w:hAnsi="Cambria"/>
          <w:sz w:val="16"/>
          <w:szCs w:val="16"/>
        </w:rPr>
        <w:t>Ser.L</w:t>
      </w:r>
      <w:proofErr w:type="spellEnd"/>
      <w:r w:rsidRPr="00511E01">
        <w:rPr>
          <w:rFonts w:ascii="Cambria" w:hAnsi="Cambria"/>
          <w:sz w:val="16"/>
          <w:szCs w:val="16"/>
        </w:rPr>
        <w:t xml:space="preserve">/V/II. </w:t>
      </w:r>
      <w:proofErr w:type="gramStart"/>
      <w:r w:rsidRPr="00511E01">
        <w:rPr>
          <w:rFonts w:ascii="Cambria" w:hAnsi="Cambria"/>
          <w:sz w:val="16"/>
          <w:szCs w:val="16"/>
        </w:rPr>
        <w:t>Doc. 57.</w:t>
      </w:r>
      <w:proofErr w:type="gramEnd"/>
      <w:r w:rsidRPr="00511E01">
        <w:rPr>
          <w:rFonts w:ascii="Cambria" w:hAnsi="Cambria"/>
          <w:sz w:val="16"/>
          <w:szCs w:val="16"/>
        </w:rPr>
        <w:t xml:space="preserve"> December 31, 2009. </w:t>
      </w:r>
      <w:proofErr w:type="gramStart"/>
      <w:r w:rsidRPr="00511E01">
        <w:rPr>
          <w:rFonts w:ascii="Cambria" w:hAnsi="Cambria"/>
          <w:sz w:val="16"/>
          <w:szCs w:val="16"/>
        </w:rPr>
        <w:t>Para.</w:t>
      </w:r>
      <w:proofErr w:type="gramEnd"/>
      <w:r w:rsidRPr="00511E01">
        <w:rPr>
          <w:rFonts w:ascii="Cambria" w:hAnsi="Cambria"/>
          <w:sz w:val="16"/>
          <w:szCs w:val="16"/>
        </w:rPr>
        <w:t xml:space="preserve"> 162.</w:t>
      </w:r>
    </w:p>
  </w:footnote>
  <w:footnote w:id="307">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IACHR.</w:t>
      </w:r>
      <w:proofErr w:type="gramEnd"/>
      <w:r w:rsidRPr="00B64BF5">
        <w:rPr>
          <w:rFonts w:ascii="Cambria" w:hAnsi="Cambria"/>
          <w:sz w:val="16"/>
          <w:szCs w:val="16"/>
        </w:rPr>
        <w:t xml:space="preserve"> </w:t>
      </w:r>
      <w:proofErr w:type="gramStart"/>
      <w:r w:rsidRPr="00B64BF5">
        <w:rPr>
          <w:rFonts w:ascii="Cambria" w:hAnsi="Cambria"/>
          <w:sz w:val="16"/>
          <w:szCs w:val="16"/>
        </w:rPr>
        <w:t>The Right to Truth in the Americas.</w:t>
      </w:r>
      <w:proofErr w:type="gramEnd"/>
      <w:r w:rsidRPr="00B64BF5">
        <w:rPr>
          <w:rFonts w:ascii="Cambria" w:hAnsi="Cambria"/>
          <w:sz w:val="16"/>
          <w:szCs w:val="16"/>
        </w:rPr>
        <w:t xml:space="preserve"> </w:t>
      </w:r>
      <w:r w:rsidRPr="00B64BF5">
        <w:rPr>
          <w:rFonts w:ascii="Cambria" w:hAnsi="Cambria"/>
          <w:sz w:val="16"/>
          <w:szCs w:val="16"/>
          <w:lang w:val="pt-BR"/>
        </w:rPr>
        <w:t xml:space="preserve">OEA/Ser.L/V/II.152. Doc. 2.  </w:t>
      </w:r>
      <w:r w:rsidRPr="00B64BF5">
        <w:rPr>
          <w:rFonts w:ascii="Cambria" w:hAnsi="Cambria"/>
          <w:sz w:val="16"/>
          <w:szCs w:val="16"/>
        </w:rPr>
        <w:t xml:space="preserve">August 13, 2014. </w:t>
      </w:r>
      <w:proofErr w:type="gramStart"/>
      <w:r w:rsidRPr="00B64BF5">
        <w:rPr>
          <w:rFonts w:ascii="Cambria" w:hAnsi="Cambria"/>
          <w:sz w:val="16"/>
          <w:szCs w:val="16"/>
        </w:rPr>
        <w:t>Para.</w:t>
      </w:r>
      <w:proofErr w:type="gramEnd"/>
      <w:r w:rsidRPr="00B64BF5">
        <w:rPr>
          <w:rFonts w:ascii="Cambria" w:hAnsi="Cambria"/>
          <w:sz w:val="16"/>
          <w:szCs w:val="16"/>
        </w:rPr>
        <w:t xml:space="preserve"> 103.</w:t>
      </w:r>
    </w:p>
  </w:footnote>
  <w:footnote w:id="308">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Case of Gomes Lund et al. </w:t>
      </w:r>
      <w:proofErr w:type="gramEnd"/>
      <w:r w:rsidRPr="000367BD">
        <w:rPr>
          <w:rFonts w:ascii="Cambria" w:hAnsi="Cambria"/>
          <w:sz w:val="16"/>
          <w:szCs w:val="16"/>
          <w:lang w:val="es-UY"/>
        </w:rPr>
        <w:t xml:space="preserve">(“Guerrilha do Araguaia”) v. Brazil. </w:t>
      </w:r>
      <w:proofErr w:type="gramStart"/>
      <w:r w:rsidRPr="00B64BF5">
        <w:rPr>
          <w:rFonts w:ascii="Cambria" w:hAnsi="Cambria"/>
          <w:sz w:val="16"/>
          <w:szCs w:val="16"/>
        </w:rPr>
        <w:t>Preliminary Objections, Merits, Reparations, and Costs.</w:t>
      </w:r>
      <w:proofErr w:type="gramEnd"/>
      <w:r w:rsidRPr="00B64BF5">
        <w:rPr>
          <w:rFonts w:ascii="Cambria" w:hAnsi="Cambria"/>
          <w:sz w:val="16"/>
          <w:szCs w:val="16"/>
        </w:rPr>
        <w:t xml:space="preserve"> Judgment of November 24, 2010. </w:t>
      </w:r>
      <w:proofErr w:type="spellStart"/>
      <w:r w:rsidRPr="00B64BF5">
        <w:rPr>
          <w:rFonts w:ascii="Cambria" w:hAnsi="Cambria"/>
          <w:sz w:val="16"/>
          <w:szCs w:val="16"/>
        </w:rPr>
        <w:t>Serie</w:t>
      </w:r>
      <w:proofErr w:type="spellEnd"/>
      <w:r w:rsidRPr="00B64BF5">
        <w:rPr>
          <w:rFonts w:ascii="Cambria" w:hAnsi="Cambria"/>
          <w:sz w:val="16"/>
          <w:szCs w:val="16"/>
        </w:rPr>
        <w:t xml:space="preserve"> C No. 219, para. 257.</w:t>
      </w:r>
    </w:p>
  </w:footnote>
  <w:footnote w:id="309">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0367BD">
        <w:rPr>
          <w:rFonts w:ascii="Cambria" w:hAnsi="Cambria"/>
          <w:sz w:val="16"/>
          <w:szCs w:val="16"/>
          <w:lang w:val="es-UY"/>
        </w:rPr>
        <w:t xml:space="preserve"> </w:t>
      </w:r>
      <w:r w:rsidRPr="000367BD">
        <w:rPr>
          <w:rFonts w:ascii="Cambria" w:hAnsi="Cambria"/>
          <w:sz w:val="16"/>
          <w:szCs w:val="16"/>
          <w:lang w:val="es-UY"/>
        </w:rPr>
        <w:t xml:space="preserve">IACHR, Report No. 2/06, Case 12.130, Miguel Orlando Muñoz Guzmán, Mexico, February 28, 2006, para. </w:t>
      </w:r>
      <w:proofErr w:type="gramStart"/>
      <w:r w:rsidRPr="00B64BF5">
        <w:rPr>
          <w:rFonts w:ascii="Cambria" w:hAnsi="Cambria"/>
          <w:sz w:val="16"/>
          <w:szCs w:val="16"/>
        </w:rPr>
        <w:t>83, 84, in IACHR.</w:t>
      </w:r>
      <w:proofErr w:type="gramEnd"/>
      <w:r w:rsidRPr="00B64BF5">
        <w:rPr>
          <w:rFonts w:ascii="Cambria" w:hAnsi="Cambria"/>
          <w:sz w:val="16"/>
          <w:szCs w:val="16"/>
        </w:rPr>
        <w:t xml:space="preserve"> </w:t>
      </w:r>
      <w:proofErr w:type="gramStart"/>
      <w:r w:rsidRPr="00B64BF5">
        <w:rPr>
          <w:rFonts w:ascii="Cambria" w:hAnsi="Cambria"/>
          <w:sz w:val="16"/>
          <w:szCs w:val="16"/>
        </w:rPr>
        <w:t>The Right to Truth in the Americas.</w:t>
      </w:r>
      <w:proofErr w:type="gramEnd"/>
      <w:r w:rsidRPr="00B64BF5">
        <w:rPr>
          <w:rFonts w:ascii="Cambria" w:hAnsi="Cambria"/>
          <w:sz w:val="16"/>
          <w:szCs w:val="16"/>
        </w:rPr>
        <w:t xml:space="preserve"> OEA/</w:t>
      </w:r>
      <w:proofErr w:type="spellStart"/>
      <w:r w:rsidRPr="00B64BF5">
        <w:rPr>
          <w:rFonts w:ascii="Cambria" w:hAnsi="Cambria"/>
          <w:sz w:val="16"/>
          <w:szCs w:val="16"/>
        </w:rPr>
        <w:t>Ser.L</w:t>
      </w:r>
      <w:proofErr w:type="spellEnd"/>
      <w:r w:rsidRPr="00B64BF5">
        <w:rPr>
          <w:rFonts w:ascii="Cambria" w:hAnsi="Cambria"/>
          <w:sz w:val="16"/>
          <w:szCs w:val="16"/>
        </w:rPr>
        <w:t xml:space="preserve">/V/II.152. </w:t>
      </w:r>
      <w:proofErr w:type="gramStart"/>
      <w:r w:rsidRPr="00B64BF5">
        <w:rPr>
          <w:rFonts w:ascii="Cambria" w:hAnsi="Cambria"/>
          <w:sz w:val="16"/>
          <w:szCs w:val="16"/>
        </w:rPr>
        <w:t>Doc. 2.</w:t>
      </w:r>
      <w:proofErr w:type="gramEnd"/>
      <w:r w:rsidRPr="00B64BF5">
        <w:rPr>
          <w:rFonts w:ascii="Cambria" w:hAnsi="Cambria"/>
          <w:sz w:val="16"/>
          <w:szCs w:val="16"/>
        </w:rPr>
        <w:t xml:space="preserve"> August 13, 2014. </w:t>
      </w:r>
      <w:proofErr w:type="gramStart"/>
      <w:r w:rsidRPr="00B64BF5">
        <w:rPr>
          <w:rFonts w:ascii="Cambria" w:hAnsi="Cambria"/>
          <w:sz w:val="16"/>
          <w:szCs w:val="16"/>
        </w:rPr>
        <w:t>Para.</w:t>
      </w:r>
      <w:proofErr w:type="gramEnd"/>
      <w:r w:rsidRPr="00B64BF5">
        <w:rPr>
          <w:rFonts w:ascii="Cambria" w:hAnsi="Cambria"/>
          <w:sz w:val="16"/>
          <w:szCs w:val="16"/>
        </w:rPr>
        <w:t xml:space="preserve"> 103.</w:t>
      </w:r>
    </w:p>
  </w:footnote>
  <w:footnote w:id="310">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I/A Court H.R. Case of Mendoza et al. v. Argentina.</w:t>
      </w:r>
      <w:proofErr w:type="gramEnd"/>
      <w:r w:rsidRPr="00B64BF5">
        <w:rPr>
          <w:rFonts w:ascii="Cambria" w:hAnsi="Cambria"/>
          <w:sz w:val="16"/>
          <w:szCs w:val="16"/>
        </w:rPr>
        <w:t xml:space="preserve"> </w:t>
      </w:r>
      <w:proofErr w:type="gramStart"/>
      <w:r w:rsidRPr="00B64BF5">
        <w:rPr>
          <w:rFonts w:ascii="Cambria" w:hAnsi="Cambria"/>
          <w:sz w:val="16"/>
          <w:szCs w:val="16"/>
        </w:rPr>
        <w:t>Preliminary Objections, Merits and Reparations.</w:t>
      </w:r>
      <w:proofErr w:type="gramEnd"/>
      <w:r w:rsidRPr="00B64BF5">
        <w:rPr>
          <w:rFonts w:ascii="Cambria" w:hAnsi="Cambria"/>
          <w:sz w:val="16"/>
          <w:szCs w:val="16"/>
        </w:rPr>
        <w:t xml:space="preserve"> </w:t>
      </w:r>
      <w:proofErr w:type="gramStart"/>
      <w:r w:rsidRPr="00B64BF5">
        <w:rPr>
          <w:rFonts w:ascii="Cambria" w:hAnsi="Cambria"/>
          <w:sz w:val="16"/>
          <w:szCs w:val="16"/>
        </w:rPr>
        <w:t xml:space="preserve">Judgment of May 14, 2013 </w:t>
      </w:r>
      <w:proofErr w:type="spellStart"/>
      <w:r w:rsidRPr="00B64BF5">
        <w:rPr>
          <w:rFonts w:ascii="Cambria" w:hAnsi="Cambria"/>
          <w:sz w:val="16"/>
          <w:szCs w:val="16"/>
        </w:rPr>
        <w:t>Serie</w:t>
      </w:r>
      <w:proofErr w:type="spellEnd"/>
      <w:r w:rsidRPr="00B64BF5">
        <w:rPr>
          <w:rFonts w:ascii="Cambria" w:hAnsi="Cambria"/>
          <w:sz w:val="16"/>
          <w:szCs w:val="16"/>
        </w:rPr>
        <w:t xml:space="preserve"> C No. 260.</w:t>
      </w:r>
      <w:proofErr w:type="gramEnd"/>
      <w:r w:rsidRPr="00B64BF5">
        <w:rPr>
          <w:rFonts w:ascii="Cambria" w:hAnsi="Cambria"/>
          <w:sz w:val="16"/>
          <w:szCs w:val="16"/>
        </w:rPr>
        <w:t xml:space="preserve"> </w:t>
      </w:r>
      <w:proofErr w:type="gramStart"/>
      <w:r w:rsidRPr="00B64BF5">
        <w:rPr>
          <w:rFonts w:ascii="Cambria" w:hAnsi="Cambria"/>
          <w:sz w:val="16"/>
          <w:szCs w:val="16"/>
        </w:rPr>
        <w:t>Para.</w:t>
      </w:r>
      <w:proofErr w:type="gramEnd"/>
      <w:r w:rsidRPr="00B64BF5">
        <w:rPr>
          <w:rFonts w:ascii="Cambria" w:hAnsi="Cambria"/>
          <w:sz w:val="16"/>
          <w:szCs w:val="16"/>
        </w:rPr>
        <w:t xml:space="preserve"> 218.</w:t>
      </w:r>
    </w:p>
  </w:footnote>
  <w:footnote w:id="311">
    <w:p w:rsidR="00D53806" w:rsidRPr="00B64BF5" w:rsidRDefault="00D53806" w:rsidP="00B64BF5">
      <w:pPr>
        <w:spacing w:after="0" w:line="240" w:lineRule="auto"/>
        <w:ind w:firstLine="720"/>
        <w:jc w:val="both"/>
        <w:rPr>
          <w:rFonts w:ascii="Cambria" w:hAnsi="Cambria" w:cs="Arial"/>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The inter-American system has referred to the Principles on the effective prevention and investigation of extra-legal, arbitrary and summary executions, adopted by the United Nations Economic and Social Council in its resolution 1989/65, as guidelines that should be observed in the investigation into a violent death. These principles require that in such cases the investigation of the suspicious death shall have the following objectives: to identify the victim; to recover and analyze all physical and documentary evidence; to identify possible witnesses and collect their testimony; to determine the cause, manner and time of death, as well as the procedure, practice or instruments that may have caused the death; to distinguish between natural death, accidental death, suicide and homicide; and to identify and arrest the person or persons who may have been involved in the execution. United Nations, Principles on the effective prevention and investigation of extra-legal, arbitrary and summary executions, adopted by</w:t>
      </w:r>
      <w:r w:rsidRPr="00B64BF5">
        <w:rPr>
          <w:rFonts w:ascii="Cambria" w:hAnsi="Cambria"/>
          <w:bCs/>
          <w:sz w:val="16"/>
          <w:szCs w:val="16"/>
        </w:rPr>
        <w:t xml:space="preserve"> the </w:t>
      </w:r>
      <w:r w:rsidRPr="00B64BF5">
        <w:rPr>
          <w:rFonts w:ascii="Cambria" w:hAnsi="Cambria"/>
          <w:sz w:val="16"/>
          <w:szCs w:val="16"/>
        </w:rPr>
        <w:t>Economic and Social Council in its resolution 1989/65.</w:t>
      </w:r>
      <w:r w:rsidRPr="00B64BF5">
        <w:rPr>
          <w:rFonts w:ascii="Cambria" w:hAnsi="Cambria" w:cs="Arial"/>
          <w:sz w:val="16"/>
          <w:szCs w:val="16"/>
        </w:rPr>
        <w:t xml:space="preserve"> The regional system has also referred to the guidelines set forth i</w:t>
      </w:r>
      <w:r w:rsidRPr="00B64BF5">
        <w:rPr>
          <w:rFonts w:ascii="Cambria" w:hAnsi="Cambria"/>
          <w:sz w:val="16"/>
          <w:szCs w:val="16"/>
        </w:rPr>
        <w:t xml:space="preserve">n the </w:t>
      </w:r>
      <w:r w:rsidRPr="00B64BF5">
        <w:rPr>
          <w:rFonts w:ascii="Cambria" w:hAnsi="Cambria"/>
          <w:bCs/>
          <w:sz w:val="16"/>
          <w:szCs w:val="16"/>
        </w:rPr>
        <w:t>United Nations Manual on the Effective Prevention and Investigation of Extra-Legal, Arbitrary and Summary Executions</w:t>
      </w:r>
      <w:r w:rsidRPr="00B64BF5">
        <w:rPr>
          <w:rFonts w:ascii="Cambria" w:hAnsi="Cambria"/>
          <w:sz w:val="16"/>
          <w:szCs w:val="16"/>
        </w:rPr>
        <w:t>, noting that one of the most important aspects of a "thorough and impartial" investigation into an extrajudicial, arbitrary or summary execution is the collection and analysis of evidence in a suspicious death.</w:t>
      </w:r>
      <w:r w:rsidRPr="00B64BF5">
        <w:rPr>
          <w:rStyle w:val="FootnoteReference"/>
          <w:rFonts w:ascii="Cambria" w:hAnsi="Cambria"/>
          <w:sz w:val="16"/>
          <w:szCs w:val="16"/>
        </w:rPr>
        <w:footnoteRef/>
      </w:r>
      <w:r w:rsidRPr="00B64BF5">
        <w:rPr>
          <w:rFonts w:ascii="Cambria" w:hAnsi="Cambria"/>
          <w:sz w:val="16"/>
          <w:szCs w:val="16"/>
        </w:rPr>
        <w:t xml:space="preserve"> Therefore, the Manual sets forth that, in relation to the crime scene, investigators must at least photograph the scene, any other physical evidence and the body as was found and once moved; collect and preserve all samples of blood, hair, fibers, threads and other clues; examine the area for traces of shoes or other evidence; and prepare a report detailing every observation of the scene, the actions of the investigators and the fate of all the evidence collected. In addition, it is necessary to thoroughly investigate the scene of the crime, and an autopsy should be performed, as well as a rigorous analysis of human remains by competent professionals. </w:t>
      </w:r>
      <w:proofErr w:type="gramStart"/>
      <w:r w:rsidRPr="00B64BF5">
        <w:rPr>
          <w:rFonts w:ascii="Cambria" w:hAnsi="Cambria"/>
          <w:bCs/>
          <w:sz w:val="16"/>
          <w:szCs w:val="16"/>
        </w:rPr>
        <w:t>United Nations Manual on the Effective Prevention and Investigation of Extra-Legal, Arbitrary and Summary Executions.</w:t>
      </w:r>
      <w:proofErr w:type="gramEnd"/>
      <w:r w:rsidRPr="00B64BF5">
        <w:rPr>
          <w:rFonts w:ascii="Cambria" w:hAnsi="Cambria"/>
          <w:sz w:val="16"/>
          <w:szCs w:val="16"/>
        </w:rPr>
        <w:t xml:space="preserve"> </w:t>
      </w:r>
      <w:proofErr w:type="gramStart"/>
      <w:r w:rsidRPr="00B64BF5">
        <w:rPr>
          <w:rFonts w:ascii="Cambria" w:hAnsi="Cambria"/>
          <w:sz w:val="16"/>
          <w:szCs w:val="16"/>
        </w:rPr>
        <w:t>Doc. E/ST/CSDHA/12 (1991).</w:t>
      </w:r>
      <w:proofErr w:type="gramEnd"/>
      <w:r w:rsidRPr="00B64BF5">
        <w:rPr>
          <w:rFonts w:ascii="Cambria" w:hAnsi="Cambria"/>
          <w:sz w:val="16"/>
          <w:szCs w:val="16"/>
        </w:rPr>
        <w:t xml:space="preserve">  </w:t>
      </w:r>
    </w:p>
  </w:footnote>
  <w:footnote w:id="312">
    <w:p w:rsidR="00D53806" w:rsidRPr="009C66AC"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In this regard, see United Nations. </w:t>
      </w:r>
      <w:proofErr w:type="gramStart"/>
      <w:r w:rsidRPr="00B64BF5">
        <w:rPr>
          <w:rFonts w:ascii="Cambria" w:hAnsi="Cambria"/>
          <w:sz w:val="16"/>
          <w:szCs w:val="16"/>
        </w:rPr>
        <w:t>Istanbul Protocol.</w:t>
      </w:r>
      <w:proofErr w:type="gramEnd"/>
      <w:r w:rsidRPr="00B64BF5">
        <w:rPr>
          <w:rFonts w:ascii="Cambria" w:hAnsi="Cambria"/>
          <w:color w:val="auto"/>
          <w:sz w:val="16"/>
          <w:szCs w:val="16"/>
          <w:bdr w:val="none" w:sz="0" w:space="0" w:color="auto"/>
          <w:lang w:eastAsia="en-US"/>
        </w:rPr>
        <w:t xml:space="preserve"> </w:t>
      </w:r>
      <w:r w:rsidRPr="00B64BF5">
        <w:rPr>
          <w:rFonts w:ascii="Cambria" w:hAnsi="Cambria"/>
          <w:sz w:val="16"/>
          <w:szCs w:val="16"/>
        </w:rPr>
        <w:t xml:space="preserve">Manual on the Effective Investigation and Documentation of Torture and Other Cruel, Inhuman or Degrading </w:t>
      </w:r>
      <w:r w:rsidRPr="009C66AC">
        <w:rPr>
          <w:rFonts w:ascii="Cambria" w:hAnsi="Cambria"/>
          <w:sz w:val="16"/>
          <w:szCs w:val="16"/>
        </w:rPr>
        <w:t xml:space="preserve">Treatment or Punishment, August 9, 1999, para. </w:t>
      </w:r>
      <w:proofErr w:type="gramStart"/>
      <w:r w:rsidRPr="009C66AC">
        <w:rPr>
          <w:rFonts w:ascii="Cambria" w:hAnsi="Cambria"/>
          <w:sz w:val="16"/>
          <w:szCs w:val="16"/>
        </w:rPr>
        <w:t>56, 60, 65 and 66.</w:t>
      </w:r>
      <w:proofErr w:type="gramEnd"/>
    </w:p>
  </w:footnote>
  <w:footnote w:id="313">
    <w:p w:rsidR="00D53806" w:rsidRPr="009C66AC" w:rsidRDefault="00D53806" w:rsidP="00B64BF5">
      <w:pPr>
        <w:pStyle w:val="FootnoteText"/>
        <w:ind w:firstLine="720"/>
        <w:jc w:val="both"/>
        <w:rPr>
          <w:rFonts w:ascii="Cambria" w:hAnsi="Cambria"/>
          <w:sz w:val="16"/>
          <w:szCs w:val="16"/>
        </w:rPr>
      </w:pPr>
      <w:r w:rsidRPr="009C66AC">
        <w:rPr>
          <w:rStyle w:val="FootnoteReference"/>
          <w:rFonts w:ascii="Cambria" w:hAnsi="Cambria"/>
          <w:sz w:val="16"/>
          <w:szCs w:val="16"/>
        </w:rPr>
        <w:footnoteRef/>
      </w:r>
      <w:r w:rsidRPr="009C66AC">
        <w:rPr>
          <w:rFonts w:ascii="Cambria" w:hAnsi="Cambria"/>
          <w:sz w:val="16"/>
          <w:szCs w:val="16"/>
        </w:rPr>
        <w:t xml:space="preserve"> </w:t>
      </w:r>
      <w:proofErr w:type="gramStart"/>
      <w:r w:rsidRPr="009C66AC">
        <w:rPr>
          <w:rFonts w:ascii="Cambria" w:hAnsi="Cambria"/>
          <w:sz w:val="16"/>
          <w:szCs w:val="16"/>
        </w:rPr>
        <w:t>IACHR.</w:t>
      </w:r>
      <w:proofErr w:type="gramEnd"/>
      <w:r w:rsidRPr="009C66AC">
        <w:rPr>
          <w:rFonts w:ascii="Cambria" w:hAnsi="Cambria"/>
          <w:sz w:val="16"/>
          <w:szCs w:val="16"/>
        </w:rPr>
        <w:t xml:space="preserve"> </w:t>
      </w:r>
      <w:proofErr w:type="gramStart"/>
      <w:r w:rsidRPr="009C66AC">
        <w:rPr>
          <w:rFonts w:ascii="Cambria" w:hAnsi="Cambria"/>
          <w:sz w:val="16"/>
          <w:szCs w:val="16"/>
        </w:rPr>
        <w:t>Annual Report 2013.</w:t>
      </w:r>
      <w:proofErr w:type="gramEnd"/>
      <w:r w:rsidRPr="009C66AC">
        <w:rPr>
          <w:rFonts w:ascii="Cambria" w:hAnsi="Cambria"/>
          <w:sz w:val="16"/>
          <w:szCs w:val="16"/>
        </w:rPr>
        <w:t xml:space="preserve"> </w:t>
      </w:r>
      <w:proofErr w:type="gramStart"/>
      <w:r w:rsidRPr="009C66AC">
        <w:rPr>
          <w:rFonts w:ascii="Cambria" w:hAnsi="Cambria"/>
          <w:sz w:val="16"/>
          <w:szCs w:val="16"/>
        </w:rPr>
        <w:t>Report of the Office of the Special Rapporteur for Freedom of Expression.</w:t>
      </w:r>
      <w:proofErr w:type="gramEnd"/>
      <w:r w:rsidRPr="009C66AC">
        <w:rPr>
          <w:rFonts w:ascii="Cambria" w:hAnsi="Cambria"/>
          <w:sz w:val="16"/>
          <w:szCs w:val="16"/>
        </w:rPr>
        <w:t xml:space="preserve"> Chapter III (Violence </w:t>
      </w:r>
      <w:proofErr w:type="gramStart"/>
      <w:r w:rsidRPr="009C66AC">
        <w:rPr>
          <w:rFonts w:ascii="Cambria" w:hAnsi="Cambria"/>
          <w:sz w:val="16"/>
          <w:szCs w:val="16"/>
        </w:rPr>
        <w:t>Against</w:t>
      </w:r>
      <w:proofErr w:type="gramEnd"/>
      <w:r w:rsidRPr="009C66AC">
        <w:rPr>
          <w:rFonts w:ascii="Cambria" w:hAnsi="Cambria"/>
          <w:sz w:val="16"/>
          <w:szCs w:val="16"/>
        </w:rPr>
        <w:t xml:space="preserve"> Journalists and Media Workers: Inter-American standards and national practices on prevention, protection and prosecution of perpetrators). OEA/</w:t>
      </w:r>
      <w:proofErr w:type="spellStart"/>
      <w:r w:rsidRPr="009C66AC">
        <w:rPr>
          <w:rFonts w:ascii="Cambria" w:hAnsi="Cambria"/>
          <w:sz w:val="16"/>
          <w:szCs w:val="16"/>
        </w:rPr>
        <w:t>Ser.L</w:t>
      </w:r>
      <w:proofErr w:type="spellEnd"/>
      <w:r w:rsidRPr="009C66AC">
        <w:rPr>
          <w:rFonts w:ascii="Cambria" w:hAnsi="Cambria"/>
          <w:sz w:val="16"/>
          <w:szCs w:val="16"/>
        </w:rPr>
        <w:t xml:space="preserve">/V/II.149. </w:t>
      </w:r>
      <w:proofErr w:type="gramStart"/>
      <w:r w:rsidRPr="009C66AC">
        <w:rPr>
          <w:rFonts w:ascii="Cambria" w:hAnsi="Cambria"/>
          <w:sz w:val="16"/>
          <w:szCs w:val="16"/>
        </w:rPr>
        <w:t>Doc. 50.</w:t>
      </w:r>
      <w:proofErr w:type="gramEnd"/>
      <w:r w:rsidRPr="009C66AC">
        <w:rPr>
          <w:rFonts w:ascii="Cambria" w:hAnsi="Cambria"/>
          <w:sz w:val="16"/>
          <w:szCs w:val="16"/>
        </w:rPr>
        <w:t xml:space="preserve"> December 31</w:t>
      </w:r>
      <w:proofErr w:type="gramStart"/>
      <w:r w:rsidRPr="009C66AC">
        <w:rPr>
          <w:rFonts w:ascii="Cambria" w:hAnsi="Cambria"/>
          <w:sz w:val="16"/>
          <w:szCs w:val="16"/>
        </w:rPr>
        <w:t>,2013</w:t>
      </w:r>
      <w:proofErr w:type="gramEnd"/>
      <w:r w:rsidRPr="009C66AC">
        <w:rPr>
          <w:rFonts w:ascii="Cambria" w:hAnsi="Cambria"/>
          <w:sz w:val="16"/>
          <w:szCs w:val="16"/>
        </w:rPr>
        <w:t xml:space="preserve">. </w:t>
      </w:r>
      <w:proofErr w:type="gramStart"/>
      <w:r w:rsidRPr="009C66AC">
        <w:rPr>
          <w:rFonts w:ascii="Cambria" w:hAnsi="Cambria"/>
          <w:sz w:val="16"/>
          <w:szCs w:val="16"/>
        </w:rPr>
        <w:t>Para.</w:t>
      </w:r>
      <w:proofErr w:type="gramEnd"/>
      <w:r w:rsidRPr="009C66AC">
        <w:rPr>
          <w:rFonts w:ascii="Cambria" w:hAnsi="Cambria"/>
          <w:sz w:val="16"/>
          <w:szCs w:val="16"/>
        </w:rPr>
        <w:t xml:space="preserve"> 1.</w:t>
      </w:r>
    </w:p>
  </w:footnote>
  <w:footnote w:id="314">
    <w:p w:rsidR="00D53806" w:rsidRPr="00B64BF5" w:rsidRDefault="00D53806" w:rsidP="00B64BF5">
      <w:pPr>
        <w:pStyle w:val="FootnoteText"/>
        <w:ind w:firstLine="720"/>
        <w:jc w:val="both"/>
        <w:rPr>
          <w:rFonts w:ascii="Cambria" w:hAnsi="Cambria"/>
          <w:sz w:val="16"/>
          <w:szCs w:val="16"/>
        </w:rPr>
      </w:pPr>
      <w:r w:rsidRPr="009C66AC">
        <w:rPr>
          <w:rStyle w:val="FootnoteReference"/>
          <w:rFonts w:ascii="Cambria" w:hAnsi="Cambria"/>
          <w:sz w:val="16"/>
          <w:szCs w:val="16"/>
        </w:rPr>
        <w:footnoteRef/>
      </w:r>
      <w:r w:rsidRPr="009C66AC">
        <w:rPr>
          <w:rFonts w:ascii="Cambria" w:hAnsi="Cambria"/>
          <w:sz w:val="16"/>
          <w:szCs w:val="16"/>
        </w:rPr>
        <w:t xml:space="preserve"> See </w:t>
      </w:r>
      <w:proofErr w:type="spellStart"/>
      <w:r w:rsidRPr="009C66AC">
        <w:rPr>
          <w:rFonts w:ascii="Cambria" w:hAnsi="Cambria"/>
          <w:sz w:val="16"/>
          <w:szCs w:val="16"/>
        </w:rPr>
        <w:t>Güleç</w:t>
      </w:r>
      <w:proofErr w:type="spellEnd"/>
      <w:r w:rsidRPr="009C66AC">
        <w:rPr>
          <w:rFonts w:ascii="Cambria" w:hAnsi="Cambria"/>
          <w:sz w:val="16"/>
          <w:szCs w:val="16"/>
        </w:rPr>
        <w:t>, op. cit., p 1733, § 82</w:t>
      </w:r>
      <w:proofErr w:type="gramStart"/>
      <w:r w:rsidRPr="009C66AC">
        <w:rPr>
          <w:rFonts w:ascii="Cambria" w:hAnsi="Cambria"/>
          <w:sz w:val="16"/>
          <w:szCs w:val="16"/>
        </w:rPr>
        <w:t>;.</w:t>
      </w:r>
      <w:proofErr w:type="gramEnd"/>
      <w:r w:rsidRPr="009C66AC">
        <w:rPr>
          <w:rFonts w:ascii="Cambria" w:hAnsi="Cambria"/>
          <w:sz w:val="16"/>
          <w:szCs w:val="16"/>
        </w:rPr>
        <w:t xml:space="preserve"> </w:t>
      </w:r>
      <w:proofErr w:type="spellStart"/>
      <w:r w:rsidRPr="009C66AC">
        <w:rPr>
          <w:rFonts w:ascii="Cambria" w:hAnsi="Cambria"/>
          <w:sz w:val="16"/>
          <w:szCs w:val="16"/>
        </w:rPr>
        <w:t>Ogur</w:t>
      </w:r>
      <w:proofErr w:type="spellEnd"/>
      <w:r w:rsidRPr="009C66AC">
        <w:rPr>
          <w:rFonts w:ascii="Cambria" w:hAnsi="Cambria"/>
          <w:sz w:val="16"/>
          <w:szCs w:val="16"/>
        </w:rPr>
        <w:t xml:space="preserve">, op. cit., § 92; </w:t>
      </w:r>
      <w:proofErr w:type="spellStart"/>
      <w:r w:rsidRPr="009C66AC">
        <w:rPr>
          <w:rFonts w:ascii="Cambria" w:hAnsi="Cambria"/>
          <w:sz w:val="16"/>
          <w:szCs w:val="16"/>
        </w:rPr>
        <w:t>Gül</w:t>
      </w:r>
      <w:proofErr w:type="spellEnd"/>
      <w:r w:rsidRPr="009C66AC">
        <w:rPr>
          <w:rFonts w:ascii="Cambria" w:hAnsi="Cambria"/>
          <w:sz w:val="16"/>
          <w:szCs w:val="16"/>
        </w:rPr>
        <w:t xml:space="preserve">, op. cit., § </w:t>
      </w:r>
      <w:proofErr w:type="gramStart"/>
      <w:r w:rsidRPr="009C66AC">
        <w:rPr>
          <w:rFonts w:ascii="Cambria" w:hAnsi="Cambria"/>
          <w:sz w:val="16"/>
          <w:szCs w:val="16"/>
        </w:rPr>
        <w:t>93;..</w:t>
      </w:r>
      <w:proofErr w:type="gramEnd"/>
      <w:r w:rsidRPr="009C66AC">
        <w:rPr>
          <w:rFonts w:ascii="Cambria" w:hAnsi="Cambria"/>
          <w:sz w:val="16"/>
          <w:szCs w:val="16"/>
        </w:rPr>
        <w:t xml:space="preserve"> and the trials of Northern Ireland, e.g., </w:t>
      </w:r>
      <w:proofErr w:type="spellStart"/>
      <w:r w:rsidRPr="009C66AC">
        <w:rPr>
          <w:rFonts w:ascii="Cambria" w:hAnsi="Cambria"/>
          <w:sz w:val="16"/>
          <w:szCs w:val="16"/>
        </w:rPr>
        <w:t>McKerr</w:t>
      </w:r>
      <w:proofErr w:type="spellEnd"/>
      <w:r w:rsidRPr="009C66AC">
        <w:rPr>
          <w:rFonts w:ascii="Cambria" w:hAnsi="Cambria"/>
          <w:sz w:val="16"/>
          <w:szCs w:val="16"/>
        </w:rPr>
        <w:t xml:space="preserve"> v. United Kingdom, no 28883/95, § 148, CEDH 2001-III)</w:t>
      </w:r>
    </w:p>
  </w:footnote>
  <w:footnote w:id="315">
    <w:p w:rsidR="00343DD3" w:rsidRPr="00343DD3" w:rsidRDefault="00343DD3" w:rsidP="00343DD3">
      <w:pPr>
        <w:pStyle w:val="FootnoteText"/>
        <w:ind w:firstLine="720"/>
        <w:jc w:val="both"/>
        <w:rPr>
          <w:rFonts w:ascii="Cambria" w:hAnsi="Cambria"/>
          <w:sz w:val="16"/>
          <w:szCs w:val="16"/>
          <w:lang w:val="es-ES"/>
        </w:rPr>
      </w:pPr>
      <w:r w:rsidRPr="00343DD3">
        <w:rPr>
          <w:rStyle w:val="FootnoteReference"/>
          <w:rFonts w:ascii="Cambria" w:hAnsi="Cambria"/>
          <w:sz w:val="16"/>
          <w:szCs w:val="16"/>
        </w:rPr>
        <w:footnoteRef/>
      </w:r>
      <w:r w:rsidRPr="00343DD3">
        <w:rPr>
          <w:rFonts w:ascii="Cambria" w:hAnsi="Cambria"/>
          <w:sz w:val="16"/>
          <w:szCs w:val="16"/>
          <w:lang w:val="pt-BR"/>
        </w:rPr>
        <w:t xml:space="preserve"> </w:t>
      </w:r>
      <w:r w:rsidRPr="00343DD3">
        <w:rPr>
          <w:rStyle w:val="Emphasis"/>
          <w:rFonts w:ascii="Cambria" w:hAnsi="Cambria" w:cs="Arial"/>
          <w:i w:val="0"/>
          <w:sz w:val="16"/>
          <w:szCs w:val="16"/>
          <w:lang w:val="pt-BR"/>
        </w:rPr>
        <w:t>Brasil. Presidência da República. Secretaria Especial dos Direitos Humanos. Direito</w:t>
      </w:r>
      <w:r w:rsidRPr="00343DD3">
        <w:rPr>
          <w:rStyle w:val="st1"/>
          <w:rFonts w:ascii="Cambria" w:hAnsi="Cambria" w:cs="Arial"/>
          <w:i/>
          <w:sz w:val="16"/>
          <w:szCs w:val="16"/>
          <w:lang w:val="pt-BR"/>
        </w:rPr>
        <w:t xml:space="preserve"> à </w:t>
      </w:r>
      <w:r w:rsidRPr="00343DD3">
        <w:rPr>
          <w:rStyle w:val="Emphasis"/>
          <w:rFonts w:ascii="Cambria" w:hAnsi="Cambria" w:cs="Arial"/>
          <w:i w:val="0"/>
          <w:sz w:val="16"/>
          <w:szCs w:val="16"/>
          <w:lang w:val="pt-BR"/>
        </w:rPr>
        <w:t>Memória e</w:t>
      </w:r>
      <w:r w:rsidRPr="00343DD3">
        <w:rPr>
          <w:rStyle w:val="st1"/>
          <w:rFonts w:ascii="Cambria" w:hAnsi="Cambria" w:cs="Arial"/>
          <w:i/>
          <w:sz w:val="16"/>
          <w:szCs w:val="16"/>
          <w:lang w:val="pt-BR"/>
        </w:rPr>
        <w:t xml:space="preserve"> à </w:t>
      </w:r>
      <w:r w:rsidRPr="00343DD3">
        <w:rPr>
          <w:rStyle w:val="Emphasis"/>
          <w:rFonts w:ascii="Cambria" w:hAnsi="Cambria" w:cs="Arial"/>
          <w:i w:val="0"/>
          <w:sz w:val="16"/>
          <w:szCs w:val="16"/>
          <w:lang w:val="pt-BR"/>
        </w:rPr>
        <w:t xml:space="preserve">Verdade: Comissão Especial sobre Mortos e Desaparecidos Políticos. </w:t>
      </w:r>
      <w:proofErr w:type="spellStart"/>
      <w:r w:rsidRPr="00343DD3">
        <w:rPr>
          <w:rStyle w:val="Emphasis"/>
          <w:rFonts w:ascii="Cambria" w:hAnsi="Cambria" w:cs="Arial"/>
          <w:i w:val="0"/>
          <w:sz w:val="16"/>
          <w:szCs w:val="16"/>
          <w:lang w:val="es-ES"/>
        </w:rPr>
        <w:t>Brasília</w:t>
      </w:r>
      <w:proofErr w:type="spellEnd"/>
      <w:r w:rsidRPr="00343DD3">
        <w:rPr>
          <w:rStyle w:val="Emphasis"/>
          <w:rFonts w:ascii="Cambria" w:hAnsi="Cambria" w:cs="Arial"/>
          <w:i w:val="0"/>
          <w:sz w:val="16"/>
          <w:szCs w:val="16"/>
          <w:lang w:val="es-ES"/>
        </w:rPr>
        <w:t xml:space="preserve">, Secretaria Especial dos </w:t>
      </w:r>
      <w:proofErr w:type="spellStart"/>
      <w:r w:rsidRPr="00343DD3">
        <w:rPr>
          <w:rStyle w:val="Emphasis"/>
          <w:rFonts w:ascii="Cambria" w:hAnsi="Cambria" w:cs="Arial"/>
          <w:i w:val="0"/>
          <w:sz w:val="16"/>
          <w:szCs w:val="16"/>
          <w:lang w:val="es-ES"/>
        </w:rPr>
        <w:t>Direitos</w:t>
      </w:r>
      <w:proofErr w:type="spellEnd"/>
      <w:r w:rsidRPr="00343DD3">
        <w:rPr>
          <w:rStyle w:val="Emphasis"/>
          <w:rFonts w:ascii="Cambria" w:hAnsi="Cambria" w:cs="Arial"/>
          <w:i w:val="0"/>
          <w:sz w:val="16"/>
          <w:szCs w:val="16"/>
          <w:lang w:val="es-ES"/>
        </w:rPr>
        <w:t xml:space="preserve"> Humanos, 2007, </w:t>
      </w:r>
      <w:proofErr w:type="spellStart"/>
      <w:r w:rsidRPr="00343DD3">
        <w:rPr>
          <w:rStyle w:val="Emphasis"/>
          <w:rFonts w:ascii="Cambria" w:hAnsi="Cambria" w:cs="Arial"/>
          <w:i w:val="0"/>
          <w:sz w:val="16"/>
          <w:szCs w:val="16"/>
          <w:lang w:val="es-ES"/>
        </w:rPr>
        <w:t>fls</w:t>
      </w:r>
      <w:proofErr w:type="spellEnd"/>
      <w:r w:rsidRPr="00343DD3">
        <w:rPr>
          <w:rStyle w:val="Emphasis"/>
          <w:rFonts w:ascii="Cambria" w:hAnsi="Cambria" w:cs="Arial"/>
          <w:i w:val="0"/>
          <w:sz w:val="16"/>
          <w:szCs w:val="16"/>
          <w:lang w:val="es-ES"/>
        </w:rPr>
        <w:t>. 27 y 49.</w:t>
      </w:r>
      <w:r w:rsidRPr="00343DD3">
        <w:rPr>
          <w:rStyle w:val="Emphasis"/>
          <w:rFonts w:ascii="Cambria" w:hAnsi="Cambria" w:cs="Arial"/>
          <w:b/>
          <w:sz w:val="16"/>
          <w:szCs w:val="16"/>
          <w:lang w:val="es-ES"/>
        </w:rPr>
        <w:t xml:space="preserve"> </w:t>
      </w:r>
      <w:r w:rsidRPr="00343DD3">
        <w:rPr>
          <w:rStyle w:val="Emphasis"/>
          <w:rFonts w:ascii="Cambria" w:hAnsi="Cambria" w:cs="Arial"/>
          <w:i w:val="0"/>
          <w:sz w:val="16"/>
          <w:szCs w:val="16"/>
          <w:lang w:val="es-ES"/>
        </w:rPr>
        <w:t xml:space="preserve"> Anexo a la comunicación de los peticionarios de 11 de diciembre de 2014. </w:t>
      </w:r>
    </w:p>
    <w:p w:rsidR="00343DD3" w:rsidRPr="00343DD3" w:rsidRDefault="00343DD3" w:rsidP="00343DD3">
      <w:pPr>
        <w:pStyle w:val="FootnoteText"/>
        <w:jc w:val="both"/>
        <w:rPr>
          <w:rFonts w:ascii="Cambria" w:hAnsi="Cambria"/>
          <w:sz w:val="16"/>
          <w:szCs w:val="16"/>
          <w:lang w:val="es-UY"/>
        </w:rPr>
      </w:pPr>
      <w:r w:rsidRPr="00343DD3">
        <w:rPr>
          <w:rStyle w:val="FootnoteReference"/>
          <w:rFonts w:ascii="Cambria" w:hAnsi="Cambria" w:cs="Cambria"/>
          <w:sz w:val="16"/>
          <w:szCs w:val="16"/>
        </w:rPr>
        <w:footnoteRef/>
      </w:r>
      <w:r w:rsidRPr="00343DD3">
        <w:rPr>
          <w:rFonts w:ascii="Cambria" w:hAnsi="Cambria"/>
          <w:sz w:val="16"/>
          <w:szCs w:val="16"/>
          <w:lang w:val="es-ES"/>
        </w:rPr>
        <w:t xml:space="preserve"> Corte IDH. La Colegiación Obligatoria de Periodistas</w:t>
      </w:r>
    </w:p>
  </w:footnote>
  <w:footnote w:id="316">
    <w:p w:rsidR="00D53806" w:rsidRPr="00343DD3" w:rsidRDefault="00D53806" w:rsidP="00343DD3">
      <w:pPr>
        <w:spacing w:after="0" w:line="240" w:lineRule="auto"/>
        <w:ind w:firstLine="720"/>
        <w:jc w:val="both"/>
        <w:rPr>
          <w:rFonts w:ascii="Cambria" w:hAnsi="Cambria"/>
          <w:sz w:val="16"/>
          <w:szCs w:val="16"/>
          <w:lang w:val="pt-BR"/>
        </w:rPr>
      </w:pPr>
      <w:r w:rsidRPr="00343DD3">
        <w:rPr>
          <w:rStyle w:val="FootnoteReference"/>
          <w:rFonts w:ascii="Cambria" w:hAnsi="Cambria" w:cs="Cambria"/>
          <w:sz w:val="16"/>
          <w:szCs w:val="16"/>
        </w:rPr>
        <w:footnoteRef/>
      </w:r>
      <w:r w:rsidRPr="00343DD3">
        <w:rPr>
          <w:rFonts w:ascii="Cambria" w:hAnsi="Cambria"/>
          <w:sz w:val="16"/>
          <w:szCs w:val="16"/>
        </w:rPr>
        <w:t xml:space="preserve"> </w:t>
      </w:r>
      <w:proofErr w:type="gramStart"/>
      <w:r w:rsidRPr="00343DD3">
        <w:rPr>
          <w:rFonts w:ascii="Cambria" w:hAnsi="Cambria"/>
          <w:sz w:val="16"/>
          <w:szCs w:val="16"/>
        </w:rPr>
        <w:t>I/A Court H.R. Compulsory Membership in an Association Prescribed by Law for the Practice of Journalism</w:t>
      </w:r>
      <w:r w:rsidRPr="00343DD3">
        <w:rPr>
          <w:rFonts w:ascii="Cambria" w:hAnsi="Cambria"/>
          <w:i/>
          <w:sz w:val="16"/>
          <w:szCs w:val="16"/>
        </w:rPr>
        <w:t xml:space="preserve"> </w:t>
      </w:r>
      <w:r w:rsidRPr="00343DD3">
        <w:rPr>
          <w:rFonts w:ascii="Cambria" w:hAnsi="Cambria"/>
          <w:sz w:val="16"/>
          <w:szCs w:val="16"/>
        </w:rPr>
        <w:t>(Arts. 13 and 29 American Convention on Human Rights).</w:t>
      </w:r>
      <w:proofErr w:type="gramEnd"/>
      <w:r w:rsidRPr="00343DD3">
        <w:rPr>
          <w:rFonts w:ascii="Cambria" w:hAnsi="Cambria"/>
          <w:sz w:val="16"/>
          <w:szCs w:val="16"/>
        </w:rPr>
        <w:t xml:space="preserve"> Advisory Opinion OC-5/85 of November 13, 1985. </w:t>
      </w:r>
      <w:proofErr w:type="spellStart"/>
      <w:r w:rsidRPr="00343DD3">
        <w:rPr>
          <w:rFonts w:ascii="Cambria" w:hAnsi="Cambria"/>
          <w:sz w:val="16"/>
          <w:szCs w:val="16"/>
        </w:rPr>
        <w:t>Serie</w:t>
      </w:r>
      <w:proofErr w:type="spellEnd"/>
      <w:r w:rsidRPr="00343DD3">
        <w:rPr>
          <w:rFonts w:ascii="Cambria" w:hAnsi="Cambria"/>
          <w:sz w:val="16"/>
          <w:szCs w:val="16"/>
        </w:rPr>
        <w:t xml:space="preserve"> A No. 5. </w:t>
      </w:r>
      <w:proofErr w:type="gramStart"/>
      <w:r w:rsidRPr="00343DD3">
        <w:rPr>
          <w:rFonts w:ascii="Cambria" w:hAnsi="Cambria"/>
          <w:sz w:val="16"/>
          <w:szCs w:val="16"/>
        </w:rPr>
        <w:t>Para.</w:t>
      </w:r>
      <w:proofErr w:type="gramEnd"/>
      <w:r w:rsidRPr="00343DD3">
        <w:rPr>
          <w:rFonts w:ascii="Cambria" w:hAnsi="Cambria"/>
          <w:sz w:val="16"/>
          <w:szCs w:val="16"/>
        </w:rPr>
        <w:t xml:space="preserve"> </w:t>
      </w:r>
      <w:proofErr w:type="gramStart"/>
      <w:r w:rsidRPr="00343DD3">
        <w:rPr>
          <w:rFonts w:ascii="Cambria" w:hAnsi="Cambria"/>
          <w:sz w:val="16"/>
          <w:szCs w:val="16"/>
        </w:rPr>
        <w:t>70; IACHR.</w:t>
      </w:r>
      <w:proofErr w:type="gramEnd"/>
      <w:r w:rsidRPr="00343DD3">
        <w:rPr>
          <w:rFonts w:ascii="Cambria" w:hAnsi="Cambria"/>
          <w:sz w:val="16"/>
          <w:szCs w:val="16"/>
        </w:rPr>
        <w:t xml:space="preserve"> </w:t>
      </w:r>
      <w:hyperlink r:id="rId3" w:history="1">
        <w:proofErr w:type="gramStart"/>
        <w:r w:rsidRPr="00343DD3">
          <w:rPr>
            <w:rStyle w:val="Hyperlink"/>
            <w:rFonts w:ascii="Cambria" w:hAnsi="Cambria"/>
            <w:sz w:val="16"/>
            <w:szCs w:val="16"/>
          </w:rPr>
          <w:t>Annual Report 2013.</w:t>
        </w:r>
        <w:proofErr w:type="gramEnd"/>
        <w:r w:rsidRPr="00343DD3">
          <w:rPr>
            <w:rStyle w:val="Hyperlink"/>
            <w:rFonts w:ascii="Cambria" w:hAnsi="Cambria"/>
            <w:sz w:val="16"/>
            <w:szCs w:val="16"/>
          </w:rPr>
          <w:t xml:space="preserve"> </w:t>
        </w:r>
        <w:proofErr w:type="gramStart"/>
        <w:r w:rsidRPr="00343DD3">
          <w:rPr>
            <w:rStyle w:val="Hyperlink"/>
            <w:rFonts w:ascii="Cambria" w:hAnsi="Cambria"/>
            <w:sz w:val="16"/>
            <w:szCs w:val="16"/>
          </w:rPr>
          <w:t>Report of the Office of the Special Rapporteur for Freedom of Expression</w:t>
        </w:r>
      </w:hyperlink>
      <w:r w:rsidRPr="00343DD3">
        <w:rPr>
          <w:rFonts w:ascii="Cambria" w:hAnsi="Cambria"/>
          <w:sz w:val="16"/>
          <w:szCs w:val="16"/>
        </w:rPr>
        <w:t>.</w:t>
      </w:r>
      <w:proofErr w:type="gramEnd"/>
      <w:r w:rsidRPr="00343DD3">
        <w:rPr>
          <w:rFonts w:ascii="Cambria" w:hAnsi="Cambria"/>
          <w:sz w:val="16"/>
          <w:szCs w:val="16"/>
        </w:rPr>
        <w:t xml:space="preserve"> Chapter III (Violence </w:t>
      </w:r>
      <w:proofErr w:type="gramStart"/>
      <w:r w:rsidRPr="00343DD3">
        <w:rPr>
          <w:rFonts w:ascii="Cambria" w:hAnsi="Cambria"/>
          <w:sz w:val="16"/>
          <w:szCs w:val="16"/>
        </w:rPr>
        <w:t>Against</w:t>
      </w:r>
      <w:proofErr w:type="gramEnd"/>
      <w:r w:rsidRPr="00343DD3">
        <w:rPr>
          <w:rFonts w:ascii="Cambria" w:hAnsi="Cambria"/>
          <w:sz w:val="16"/>
          <w:szCs w:val="16"/>
        </w:rPr>
        <w:t xml:space="preserve"> Journalists and Media Workers: Inter-American standards and national practices on prevention, protection and prosecution of perpetrators). </w:t>
      </w:r>
      <w:r w:rsidRPr="00343DD3">
        <w:rPr>
          <w:rFonts w:ascii="Cambria" w:hAnsi="Cambria"/>
          <w:sz w:val="16"/>
          <w:szCs w:val="16"/>
          <w:lang w:val="pt-BR"/>
        </w:rPr>
        <w:t>OEA/Ser.L/V/II.149. Doc. 50. December 31, 2013. Para. 2.</w:t>
      </w:r>
    </w:p>
  </w:footnote>
  <w:footnote w:id="317">
    <w:p w:rsidR="00D53806" w:rsidRPr="00343DD3" w:rsidRDefault="00D53806" w:rsidP="00343DD3">
      <w:pPr>
        <w:pStyle w:val="FootnoteText"/>
        <w:ind w:firstLine="720"/>
        <w:jc w:val="both"/>
        <w:rPr>
          <w:rFonts w:ascii="Cambria" w:hAnsi="Cambria"/>
          <w:sz w:val="16"/>
          <w:szCs w:val="16"/>
          <w:lang w:val="pt-BR"/>
        </w:rPr>
      </w:pPr>
      <w:r w:rsidRPr="00343DD3">
        <w:rPr>
          <w:rStyle w:val="FootnoteReference"/>
          <w:rFonts w:ascii="Cambria" w:hAnsi="Cambria"/>
          <w:sz w:val="16"/>
          <w:szCs w:val="16"/>
        </w:rPr>
        <w:footnoteRef/>
      </w:r>
      <w:r w:rsidRPr="00343DD3">
        <w:rPr>
          <w:rFonts w:ascii="Cambria" w:hAnsi="Cambria"/>
          <w:sz w:val="16"/>
          <w:szCs w:val="16"/>
          <w:lang w:val="pt-BR"/>
        </w:rPr>
        <w:t xml:space="preserve"> CITA</w:t>
      </w:r>
    </w:p>
  </w:footnote>
  <w:footnote w:id="318">
    <w:p w:rsidR="00D53806" w:rsidRPr="00B64BF5" w:rsidRDefault="00D53806" w:rsidP="00343DD3">
      <w:pPr>
        <w:pStyle w:val="FootnoteText"/>
        <w:ind w:firstLine="720"/>
        <w:jc w:val="both"/>
        <w:rPr>
          <w:rFonts w:ascii="Cambria" w:hAnsi="Cambria"/>
          <w:sz w:val="16"/>
          <w:szCs w:val="16"/>
          <w:lang w:val="pt-BR"/>
        </w:rPr>
      </w:pPr>
      <w:r w:rsidRPr="00343DD3">
        <w:rPr>
          <w:rStyle w:val="FootnoteReference"/>
          <w:rFonts w:ascii="Cambria" w:hAnsi="Cambria"/>
          <w:sz w:val="16"/>
          <w:szCs w:val="16"/>
        </w:rPr>
        <w:footnoteRef/>
      </w:r>
      <w:r w:rsidRPr="00343DD3">
        <w:rPr>
          <w:rFonts w:ascii="Cambria" w:hAnsi="Cambria"/>
          <w:sz w:val="16"/>
          <w:szCs w:val="16"/>
          <w:lang w:val="pt-BR"/>
        </w:rPr>
        <w:t xml:space="preserve"> Extrato de andamento processual disponível no Portal do Tribunal Regional Federal da </w:t>
      </w:r>
      <w:r w:rsidRPr="00343DD3">
        <w:rPr>
          <w:rStyle w:val="st1"/>
          <w:rFonts w:ascii="Cambria" w:hAnsi="Cambria" w:cs="Arial"/>
          <w:sz w:val="16"/>
          <w:szCs w:val="16"/>
          <w:lang w:val="pt-BR"/>
        </w:rPr>
        <w:t>3ª Regi</w:t>
      </w:r>
      <w:r w:rsidRPr="00343DD3">
        <w:rPr>
          <w:rFonts w:ascii="Cambria" w:hAnsi="Cambria"/>
          <w:sz w:val="16"/>
          <w:szCs w:val="16"/>
          <w:lang w:val="pt-BR"/>
        </w:rPr>
        <w:t xml:space="preserve">ão. </w:t>
      </w:r>
      <w:r w:rsidRPr="00343DD3">
        <w:rPr>
          <w:rFonts w:ascii="Cambria" w:hAnsi="Cambria"/>
          <w:sz w:val="16"/>
          <w:szCs w:val="16"/>
          <w:lang w:val="pt-BR"/>
        </w:rPr>
        <w:t xml:space="preserve">Proceso No. 89.03.7264-2. Available at: </w:t>
      </w:r>
      <w:r w:rsidR="002A0E3E">
        <w:fldChar w:fldCharType="begin"/>
      </w:r>
      <w:r w:rsidR="002A0E3E">
        <w:instrText xml:space="preserve"> HYPERLINK "http://www.trf3.jus.br" </w:instrText>
      </w:r>
      <w:r w:rsidR="002A0E3E">
        <w:fldChar w:fldCharType="separate"/>
      </w:r>
      <w:r w:rsidRPr="00343DD3">
        <w:rPr>
          <w:rStyle w:val="Hyperlink"/>
          <w:rFonts w:ascii="Cambria" w:hAnsi="Cambria"/>
          <w:sz w:val="16"/>
          <w:szCs w:val="16"/>
          <w:lang w:val="pt-BR"/>
        </w:rPr>
        <w:t>www.trf3.jus.br</w:t>
      </w:r>
      <w:r w:rsidR="002A0E3E">
        <w:rPr>
          <w:rStyle w:val="Hyperlink"/>
          <w:rFonts w:ascii="Cambria" w:hAnsi="Cambria"/>
          <w:sz w:val="16"/>
          <w:szCs w:val="16"/>
          <w:lang w:val="pt-BR"/>
        </w:rPr>
        <w:fldChar w:fldCharType="end"/>
      </w:r>
      <w:r w:rsidRPr="00B64BF5">
        <w:rPr>
          <w:rFonts w:ascii="Cambria" w:hAnsi="Cambria"/>
          <w:sz w:val="16"/>
          <w:szCs w:val="16"/>
          <w:lang w:val="pt-BR"/>
        </w:rPr>
        <w:t xml:space="preserve"> </w:t>
      </w:r>
    </w:p>
  </w:footnote>
  <w:footnote w:id="319">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lang w:val="es-UY"/>
        </w:rPr>
        <w:footnoteRef/>
      </w:r>
      <w:r w:rsidRPr="00B64BF5">
        <w:rPr>
          <w:rFonts w:ascii="Cambria" w:hAnsi="Cambria"/>
          <w:sz w:val="16"/>
          <w:szCs w:val="16"/>
          <w:lang w:val="pt-BR"/>
        </w:rPr>
        <w:t xml:space="preserve"> </w:t>
      </w:r>
      <w:r w:rsidRPr="00B64BF5">
        <w:rPr>
          <w:rFonts w:ascii="Cambria" w:hAnsi="Cambria"/>
          <w:sz w:val="16"/>
          <w:szCs w:val="16"/>
          <w:lang w:val="pt-BR"/>
        </w:rPr>
        <w:t xml:space="preserve">IACHR, Report No. </w:t>
      </w:r>
      <w:r w:rsidRPr="00B64BF5">
        <w:rPr>
          <w:rFonts w:ascii="Cambria" w:hAnsi="Cambria"/>
          <w:sz w:val="16"/>
          <w:szCs w:val="16"/>
          <w:lang w:val="pt-BR"/>
        </w:rPr>
        <w:t xml:space="preserve">54/01, Case 12.051, Maria Da Penha Fernandes (Brazil), April 16, para. </w:t>
      </w:r>
      <w:r w:rsidRPr="00B64BF5">
        <w:rPr>
          <w:rFonts w:ascii="Cambria" w:hAnsi="Cambria"/>
          <w:sz w:val="16"/>
          <w:szCs w:val="16"/>
        </w:rPr>
        <w:t>37.</w:t>
      </w:r>
    </w:p>
  </w:footnote>
  <w:footnote w:id="320">
    <w:p w:rsidR="00D53806" w:rsidRPr="00B64BF5" w:rsidRDefault="00D53806" w:rsidP="00B64BF5">
      <w:pPr>
        <w:spacing w:after="0" w:line="240" w:lineRule="auto"/>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Article 25.1 of the American Convention states:</w:t>
      </w:r>
    </w:p>
    <w:p w:rsidR="00D53806" w:rsidRPr="00B64BF5" w:rsidRDefault="00D53806" w:rsidP="00B64BF5">
      <w:pPr>
        <w:spacing w:after="0" w:line="240" w:lineRule="auto"/>
        <w:ind w:firstLine="720"/>
        <w:jc w:val="both"/>
        <w:rPr>
          <w:rFonts w:ascii="Cambria" w:hAnsi="Cambria"/>
          <w:sz w:val="16"/>
          <w:szCs w:val="16"/>
        </w:rPr>
      </w:pPr>
      <w:r w:rsidRPr="00B64BF5">
        <w:rPr>
          <w:rFonts w:ascii="Cambria" w:hAnsi="Cambria"/>
          <w:sz w:val="16"/>
          <w:szCs w:val="16"/>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321">
    <w:p w:rsidR="00D53806" w:rsidRPr="00B64BF5" w:rsidRDefault="00D53806" w:rsidP="00B64BF5">
      <w:pPr>
        <w:pStyle w:val="NormalWeb"/>
        <w:spacing w:before="0" w:beforeAutospacing="0" w:after="0" w:afterAutospacing="0"/>
        <w:ind w:firstLine="720"/>
        <w:jc w:val="both"/>
        <w:rPr>
          <w:rFonts w:ascii="Cambria" w:hAnsi="Cambria" w:cs="Arial"/>
          <w:sz w:val="16"/>
          <w:szCs w:val="16"/>
        </w:rPr>
      </w:pPr>
      <w:r w:rsidRPr="00B64BF5">
        <w:rPr>
          <w:rStyle w:val="FootnoteReference"/>
          <w:rFonts w:ascii="Cambria" w:hAnsi="Cambria"/>
          <w:sz w:val="16"/>
          <w:szCs w:val="16"/>
          <w:lang w:val="es-UY"/>
        </w:rPr>
        <w:footnoteRef/>
      </w:r>
      <w:r w:rsidRPr="00B64BF5">
        <w:rPr>
          <w:rFonts w:ascii="Cambria" w:hAnsi="Cambria"/>
          <w:sz w:val="16"/>
          <w:szCs w:val="16"/>
        </w:rPr>
        <w:t xml:space="preserve"> IACHR, Report No. 40/04, Case Nº 12.053, Maya Indigenous Communities of the Toledo District (Belize), IACHR Annual Report 2004, para. </w:t>
      </w:r>
      <w:r w:rsidRPr="00B64BF5">
        <w:rPr>
          <w:rFonts w:ascii="Cambria" w:hAnsi="Cambria"/>
          <w:sz w:val="16"/>
          <w:szCs w:val="16"/>
          <w:lang w:val="pt-BR"/>
        </w:rPr>
        <w:t xml:space="preserve">174; IACHR, Report No. </w:t>
      </w:r>
      <w:r w:rsidRPr="00B64BF5">
        <w:rPr>
          <w:rFonts w:ascii="Cambria" w:hAnsi="Cambria"/>
          <w:sz w:val="16"/>
          <w:szCs w:val="16"/>
          <w:lang w:val="pt-BR"/>
        </w:rPr>
        <w:t xml:space="preserve">54/01, CasE 12.051, Maria Da Penha Fernandes (Brazil), April 16, 2001, para. </w:t>
      </w:r>
      <w:r w:rsidRPr="00B64BF5">
        <w:rPr>
          <w:rFonts w:ascii="Cambria" w:hAnsi="Cambria"/>
          <w:sz w:val="16"/>
          <w:szCs w:val="16"/>
        </w:rPr>
        <w:t>37.</w:t>
      </w:r>
      <w:r w:rsidRPr="00B64BF5">
        <w:rPr>
          <w:rFonts w:ascii="Cambria" w:hAnsi="Cambria" w:cs="Arial"/>
          <w:sz w:val="16"/>
          <w:szCs w:val="16"/>
        </w:rPr>
        <w:t xml:space="preserve"> </w:t>
      </w:r>
    </w:p>
  </w:footnote>
  <w:footnote w:id="322">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See </w:t>
      </w:r>
      <w:proofErr w:type="gramStart"/>
      <w:r w:rsidRPr="00B64BF5">
        <w:rPr>
          <w:rFonts w:ascii="Cambria" w:hAnsi="Cambria"/>
          <w:sz w:val="16"/>
          <w:szCs w:val="16"/>
        </w:rPr>
        <w:t>I/A</w:t>
      </w:r>
      <w:proofErr w:type="gramEnd"/>
      <w:r w:rsidRPr="00B64BF5">
        <w:rPr>
          <w:rFonts w:ascii="Cambria" w:hAnsi="Cambria"/>
          <w:sz w:val="16"/>
          <w:szCs w:val="16"/>
        </w:rPr>
        <w:t xml:space="preserve"> Court H.R. </w:t>
      </w:r>
      <w:r w:rsidRPr="00B64BF5">
        <w:rPr>
          <w:rFonts w:ascii="Cambria" w:hAnsi="Cambria"/>
          <w:iCs/>
          <w:sz w:val="16"/>
          <w:szCs w:val="16"/>
        </w:rPr>
        <w:t xml:space="preserve">Case of Gómez </w:t>
      </w:r>
      <w:proofErr w:type="spellStart"/>
      <w:r w:rsidRPr="00B64BF5">
        <w:rPr>
          <w:rFonts w:ascii="Cambria" w:hAnsi="Cambria"/>
          <w:iCs/>
          <w:sz w:val="16"/>
          <w:szCs w:val="16"/>
        </w:rPr>
        <w:t>Paquiyauri</w:t>
      </w:r>
      <w:proofErr w:type="spellEnd"/>
      <w:r w:rsidRPr="00B64BF5">
        <w:rPr>
          <w:rFonts w:ascii="Cambria" w:hAnsi="Cambria"/>
          <w:iCs/>
          <w:sz w:val="16"/>
          <w:szCs w:val="16"/>
        </w:rPr>
        <w:t xml:space="preserve"> Brothers, </w:t>
      </w:r>
      <w:r w:rsidRPr="00B64BF5">
        <w:rPr>
          <w:rFonts w:ascii="Cambria" w:hAnsi="Cambria"/>
          <w:sz w:val="16"/>
          <w:szCs w:val="16"/>
        </w:rPr>
        <w:t xml:space="preserve">Judgment of July 8, 2004. </w:t>
      </w:r>
      <w:proofErr w:type="spellStart"/>
      <w:r w:rsidRPr="00B64BF5">
        <w:rPr>
          <w:rFonts w:ascii="Cambria" w:hAnsi="Cambria"/>
          <w:sz w:val="16"/>
          <w:szCs w:val="16"/>
        </w:rPr>
        <w:t>Serie</w:t>
      </w:r>
      <w:proofErr w:type="spellEnd"/>
      <w:r w:rsidRPr="00B64BF5">
        <w:rPr>
          <w:rFonts w:ascii="Cambria" w:hAnsi="Cambria"/>
          <w:sz w:val="16"/>
          <w:szCs w:val="16"/>
        </w:rPr>
        <w:t xml:space="preserve"> C No. 110</w:t>
      </w:r>
      <w:r w:rsidRPr="00B64BF5">
        <w:rPr>
          <w:rFonts w:ascii="Cambria" w:hAnsi="Cambria"/>
          <w:iCs/>
          <w:sz w:val="16"/>
          <w:szCs w:val="16"/>
        </w:rPr>
        <w:t xml:space="preserve">, </w:t>
      </w:r>
      <w:r w:rsidRPr="00B64BF5">
        <w:rPr>
          <w:rFonts w:ascii="Cambria" w:hAnsi="Cambria"/>
          <w:sz w:val="16"/>
          <w:szCs w:val="16"/>
        </w:rPr>
        <w:t xml:space="preserve">para. 229; </w:t>
      </w:r>
      <w:r w:rsidRPr="00B64BF5">
        <w:rPr>
          <w:rFonts w:ascii="Cambria" w:hAnsi="Cambria"/>
          <w:iCs/>
          <w:sz w:val="16"/>
          <w:szCs w:val="16"/>
        </w:rPr>
        <w:t xml:space="preserve">Case of Myrna Mack Chang, </w:t>
      </w:r>
      <w:r w:rsidRPr="00B64BF5">
        <w:rPr>
          <w:rFonts w:ascii="Cambria" w:hAnsi="Cambria"/>
          <w:sz w:val="16"/>
          <w:szCs w:val="16"/>
        </w:rPr>
        <w:t xml:space="preserve">Judgment of November 25, 2003. </w:t>
      </w:r>
      <w:proofErr w:type="spellStart"/>
      <w:r w:rsidRPr="00B64BF5">
        <w:rPr>
          <w:rFonts w:ascii="Cambria" w:hAnsi="Cambria"/>
          <w:sz w:val="16"/>
          <w:szCs w:val="16"/>
        </w:rPr>
        <w:t>Serie</w:t>
      </w:r>
      <w:proofErr w:type="spellEnd"/>
      <w:r w:rsidRPr="00B64BF5">
        <w:rPr>
          <w:rFonts w:ascii="Cambria" w:hAnsi="Cambria"/>
          <w:sz w:val="16"/>
          <w:szCs w:val="16"/>
        </w:rPr>
        <w:t xml:space="preserve"> C No. 101, para. 273; </w:t>
      </w:r>
      <w:r w:rsidRPr="00B64BF5">
        <w:rPr>
          <w:rFonts w:ascii="Cambria" w:hAnsi="Cambria"/>
          <w:iCs/>
          <w:sz w:val="16"/>
          <w:szCs w:val="16"/>
        </w:rPr>
        <w:t xml:space="preserve">Case of </w:t>
      </w:r>
      <w:proofErr w:type="spellStart"/>
      <w:r w:rsidRPr="00B64BF5">
        <w:rPr>
          <w:rFonts w:ascii="Cambria" w:hAnsi="Cambria"/>
          <w:iCs/>
          <w:sz w:val="16"/>
          <w:szCs w:val="16"/>
        </w:rPr>
        <w:t>Cantoral</w:t>
      </w:r>
      <w:proofErr w:type="spellEnd"/>
      <w:r w:rsidRPr="00B64BF5">
        <w:rPr>
          <w:rFonts w:ascii="Cambria" w:hAnsi="Cambria"/>
          <w:iCs/>
          <w:sz w:val="16"/>
          <w:szCs w:val="16"/>
        </w:rPr>
        <w:t xml:space="preserve"> Benavides, </w:t>
      </w:r>
      <w:r w:rsidRPr="00B64BF5">
        <w:rPr>
          <w:rFonts w:ascii="Cambria" w:hAnsi="Cambria"/>
          <w:sz w:val="16"/>
          <w:szCs w:val="16"/>
        </w:rPr>
        <w:t xml:space="preserve">Judgment of December 3, 2001. </w:t>
      </w:r>
      <w:proofErr w:type="spellStart"/>
      <w:r w:rsidRPr="00B64BF5">
        <w:rPr>
          <w:rFonts w:ascii="Cambria" w:hAnsi="Cambria"/>
          <w:sz w:val="16"/>
          <w:szCs w:val="16"/>
        </w:rPr>
        <w:t>Serie</w:t>
      </w:r>
      <w:proofErr w:type="spellEnd"/>
      <w:r w:rsidRPr="00B64BF5">
        <w:rPr>
          <w:rFonts w:ascii="Cambria" w:hAnsi="Cambria"/>
          <w:sz w:val="16"/>
          <w:szCs w:val="16"/>
        </w:rPr>
        <w:t xml:space="preserve"> C No. 88, para. 69, and </w:t>
      </w:r>
      <w:r w:rsidRPr="00B64BF5">
        <w:rPr>
          <w:rFonts w:ascii="Cambria" w:hAnsi="Cambria"/>
          <w:iCs/>
          <w:sz w:val="16"/>
          <w:szCs w:val="16"/>
        </w:rPr>
        <w:t>Case of Juan Humberto Sánchez</w:t>
      </w:r>
      <w:r w:rsidRPr="00B64BF5">
        <w:rPr>
          <w:rFonts w:ascii="Cambria" w:hAnsi="Cambria"/>
          <w:sz w:val="16"/>
          <w:szCs w:val="16"/>
        </w:rPr>
        <w:t xml:space="preserve">, Judgment of June 7, 2003. </w:t>
      </w:r>
      <w:proofErr w:type="spellStart"/>
      <w:r w:rsidRPr="00B64BF5">
        <w:rPr>
          <w:rFonts w:ascii="Cambria" w:hAnsi="Cambria"/>
          <w:sz w:val="16"/>
          <w:szCs w:val="16"/>
        </w:rPr>
        <w:t>Serie</w:t>
      </w:r>
      <w:proofErr w:type="spellEnd"/>
      <w:r w:rsidRPr="00B64BF5">
        <w:rPr>
          <w:rFonts w:ascii="Cambria" w:hAnsi="Cambria"/>
          <w:sz w:val="16"/>
          <w:szCs w:val="16"/>
        </w:rPr>
        <w:t xml:space="preserve"> C No. 99, para. 121.  </w:t>
      </w:r>
    </w:p>
  </w:footnote>
  <w:footnote w:id="323">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I/A Court H.R. </w:t>
      </w:r>
      <w:r w:rsidRPr="00B64BF5">
        <w:rPr>
          <w:rFonts w:ascii="Cambria" w:hAnsi="Cambria"/>
          <w:iCs/>
          <w:sz w:val="16"/>
          <w:szCs w:val="16"/>
        </w:rPr>
        <w:t>Case of 19 Merchants</w:t>
      </w:r>
      <w:r w:rsidRPr="00B64BF5">
        <w:rPr>
          <w:rFonts w:ascii="Cambria" w:hAnsi="Cambria"/>
          <w:sz w:val="16"/>
          <w:szCs w:val="16"/>
        </w:rPr>
        <w:t xml:space="preserve">, Judgment of July 5, 2004. </w:t>
      </w:r>
      <w:proofErr w:type="spellStart"/>
      <w:r w:rsidRPr="00B64BF5">
        <w:rPr>
          <w:rFonts w:ascii="Cambria" w:hAnsi="Cambria"/>
          <w:sz w:val="16"/>
          <w:szCs w:val="16"/>
        </w:rPr>
        <w:t>Serie</w:t>
      </w:r>
      <w:proofErr w:type="spellEnd"/>
      <w:r w:rsidRPr="00B64BF5">
        <w:rPr>
          <w:rFonts w:ascii="Cambria" w:hAnsi="Cambria"/>
          <w:sz w:val="16"/>
          <w:szCs w:val="16"/>
        </w:rPr>
        <w:t xml:space="preserve"> C No. 109, para. 188; </w:t>
      </w:r>
      <w:r w:rsidRPr="00B64BF5">
        <w:rPr>
          <w:rFonts w:ascii="Cambria" w:hAnsi="Cambria"/>
          <w:iCs/>
          <w:sz w:val="16"/>
          <w:szCs w:val="16"/>
        </w:rPr>
        <w:t xml:space="preserve">Case of Myrna Mack </w:t>
      </w:r>
      <w:r w:rsidRPr="00B64BF5">
        <w:rPr>
          <w:rFonts w:ascii="Cambria" w:hAnsi="Cambria"/>
          <w:sz w:val="16"/>
          <w:szCs w:val="16"/>
        </w:rPr>
        <w:t xml:space="preserve">Chang, Judgment of November 25, 2003. </w:t>
      </w:r>
      <w:proofErr w:type="spellStart"/>
      <w:r w:rsidRPr="00B64BF5">
        <w:rPr>
          <w:rFonts w:ascii="Cambria" w:hAnsi="Cambria"/>
          <w:sz w:val="16"/>
          <w:szCs w:val="16"/>
        </w:rPr>
        <w:t>Serie</w:t>
      </w:r>
      <w:proofErr w:type="spellEnd"/>
      <w:r w:rsidRPr="00B64BF5">
        <w:rPr>
          <w:rFonts w:ascii="Cambria" w:hAnsi="Cambria"/>
          <w:sz w:val="16"/>
          <w:szCs w:val="16"/>
        </w:rPr>
        <w:t xml:space="preserve"> C No. 101, para. 209; </w:t>
      </w:r>
      <w:r w:rsidRPr="00B64BF5">
        <w:rPr>
          <w:rFonts w:ascii="Cambria" w:hAnsi="Cambria"/>
          <w:iCs/>
          <w:sz w:val="16"/>
          <w:szCs w:val="16"/>
        </w:rPr>
        <w:t xml:space="preserve">Case of </w:t>
      </w:r>
      <w:proofErr w:type="spellStart"/>
      <w:r w:rsidRPr="00B64BF5">
        <w:rPr>
          <w:rFonts w:ascii="Cambria" w:hAnsi="Cambria"/>
          <w:iCs/>
          <w:sz w:val="16"/>
          <w:szCs w:val="16"/>
        </w:rPr>
        <w:t>Bulacio</w:t>
      </w:r>
      <w:proofErr w:type="spellEnd"/>
      <w:r w:rsidRPr="00B64BF5">
        <w:rPr>
          <w:rFonts w:ascii="Cambria" w:hAnsi="Cambria"/>
          <w:iCs/>
          <w:sz w:val="16"/>
          <w:szCs w:val="16"/>
        </w:rPr>
        <w:t xml:space="preserve">, </w:t>
      </w:r>
      <w:r w:rsidRPr="00B64BF5">
        <w:rPr>
          <w:rFonts w:ascii="Cambria" w:hAnsi="Cambria"/>
          <w:sz w:val="16"/>
          <w:szCs w:val="16"/>
        </w:rPr>
        <w:t xml:space="preserve">Judgment of September 18, 2003. </w:t>
      </w:r>
      <w:proofErr w:type="spellStart"/>
      <w:r w:rsidRPr="00B64BF5">
        <w:rPr>
          <w:rFonts w:ascii="Cambria" w:hAnsi="Cambria"/>
          <w:sz w:val="16"/>
          <w:szCs w:val="16"/>
        </w:rPr>
        <w:t>Serie</w:t>
      </w:r>
      <w:proofErr w:type="spellEnd"/>
      <w:r w:rsidRPr="00B64BF5">
        <w:rPr>
          <w:rFonts w:ascii="Cambria" w:hAnsi="Cambria"/>
          <w:sz w:val="16"/>
          <w:szCs w:val="16"/>
        </w:rPr>
        <w:t xml:space="preserve"> C No. 100, para. 114; and Case of </w:t>
      </w:r>
      <w:r w:rsidRPr="00B64BF5">
        <w:rPr>
          <w:rFonts w:ascii="Cambria" w:hAnsi="Cambria"/>
          <w:iCs/>
          <w:sz w:val="16"/>
          <w:szCs w:val="16"/>
        </w:rPr>
        <w:t xml:space="preserve">Hilaire, Constantine and Benjamin et al., </w:t>
      </w:r>
      <w:r w:rsidRPr="00B64BF5">
        <w:rPr>
          <w:rFonts w:ascii="Cambria" w:hAnsi="Cambria"/>
          <w:sz w:val="16"/>
          <w:szCs w:val="16"/>
        </w:rPr>
        <w:t xml:space="preserve">Judgment of June 21, 2002. </w:t>
      </w:r>
      <w:proofErr w:type="spellStart"/>
      <w:r w:rsidRPr="00B64BF5">
        <w:rPr>
          <w:rFonts w:ascii="Cambria" w:hAnsi="Cambria"/>
          <w:sz w:val="16"/>
          <w:szCs w:val="16"/>
        </w:rPr>
        <w:t>Serie</w:t>
      </w:r>
      <w:proofErr w:type="spellEnd"/>
      <w:r w:rsidRPr="00B64BF5">
        <w:rPr>
          <w:rFonts w:ascii="Cambria" w:hAnsi="Cambria"/>
          <w:sz w:val="16"/>
          <w:szCs w:val="16"/>
        </w:rPr>
        <w:t xml:space="preserve"> C No. 94, paras. </w:t>
      </w:r>
      <w:proofErr w:type="gramStart"/>
      <w:r w:rsidRPr="00B64BF5">
        <w:rPr>
          <w:rFonts w:ascii="Cambria" w:hAnsi="Cambria"/>
          <w:sz w:val="16"/>
          <w:szCs w:val="16"/>
        </w:rPr>
        <w:t>142 to 145.</w:t>
      </w:r>
      <w:proofErr w:type="gramEnd"/>
      <w:r w:rsidRPr="00B64BF5">
        <w:rPr>
          <w:rFonts w:ascii="Cambria" w:hAnsi="Cambria"/>
          <w:sz w:val="16"/>
          <w:szCs w:val="16"/>
        </w:rPr>
        <w:t xml:space="preserve">  </w:t>
      </w:r>
    </w:p>
  </w:footnote>
  <w:footnote w:id="324">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I/A Court H.R., </w:t>
      </w:r>
      <w:r w:rsidRPr="00B64BF5">
        <w:rPr>
          <w:rFonts w:ascii="Cambria" w:hAnsi="Cambria"/>
          <w:iCs/>
          <w:sz w:val="16"/>
          <w:szCs w:val="16"/>
        </w:rPr>
        <w:t xml:space="preserve">Case of 19 Merchants, </w:t>
      </w:r>
      <w:r w:rsidRPr="00B64BF5">
        <w:rPr>
          <w:rFonts w:ascii="Cambria" w:hAnsi="Cambria"/>
          <w:sz w:val="16"/>
          <w:szCs w:val="16"/>
        </w:rPr>
        <w:t xml:space="preserve">Judgment of July 5, 2004. </w:t>
      </w:r>
      <w:proofErr w:type="spellStart"/>
      <w:r w:rsidRPr="00B64BF5">
        <w:rPr>
          <w:rFonts w:ascii="Cambria" w:hAnsi="Cambria"/>
          <w:sz w:val="16"/>
          <w:szCs w:val="16"/>
        </w:rPr>
        <w:t>Serie</w:t>
      </w:r>
      <w:proofErr w:type="spellEnd"/>
      <w:r w:rsidRPr="00B64BF5">
        <w:rPr>
          <w:rFonts w:ascii="Cambria" w:hAnsi="Cambria"/>
          <w:sz w:val="16"/>
          <w:szCs w:val="16"/>
        </w:rPr>
        <w:t xml:space="preserve"> C No. 109, para. 191.  </w:t>
      </w:r>
    </w:p>
  </w:footnote>
  <w:footnote w:id="325">
    <w:p w:rsidR="00D53806" w:rsidRPr="00B64BF5" w:rsidRDefault="00D53806" w:rsidP="00B64BF5">
      <w:pPr>
        <w:autoSpaceDE w:val="0"/>
        <w:autoSpaceDN w:val="0"/>
        <w:adjustRightInd w:val="0"/>
        <w:spacing w:after="0" w:line="240" w:lineRule="auto"/>
        <w:ind w:firstLine="720"/>
        <w:jc w:val="both"/>
        <w:rPr>
          <w:rFonts w:ascii="Cambria" w:hAnsi="Cambria" w:cs="Verdan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spellStart"/>
      <w:proofErr w:type="gramStart"/>
      <w:r w:rsidRPr="00B64BF5">
        <w:rPr>
          <w:rFonts w:ascii="Cambria" w:hAnsi="Cambria" w:cs="Verdana"/>
          <w:iCs/>
          <w:sz w:val="16"/>
          <w:szCs w:val="16"/>
        </w:rPr>
        <w:t>Cfr</w:t>
      </w:r>
      <w:proofErr w:type="spellEnd"/>
      <w:r w:rsidRPr="00B64BF5">
        <w:rPr>
          <w:rFonts w:ascii="Cambria" w:hAnsi="Cambria" w:cs="Verdana"/>
          <w:iCs/>
          <w:sz w:val="16"/>
          <w:szCs w:val="16"/>
        </w:rPr>
        <w:t xml:space="preserve">. Case of </w:t>
      </w:r>
      <w:proofErr w:type="spellStart"/>
      <w:r w:rsidRPr="00B64BF5">
        <w:rPr>
          <w:rFonts w:ascii="Cambria" w:hAnsi="Cambria" w:cs="Verdana"/>
          <w:iCs/>
          <w:sz w:val="16"/>
          <w:szCs w:val="16"/>
        </w:rPr>
        <w:t>Bulacio</w:t>
      </w:r>
      <w:proofErr w:type="spellEnd"/>
      <w:r w:rsidRPr="00B64BF5">
        <w:rPr>
          <w:rFonts w:ascii="Cambria" w:hAnsi="Cambria" w:cs="Verdana"/>
          <w:iCs/>
          <w:sz w:val="16"/>
          <w:szCs w:val="16"/>
        </w:rPr>
        <w:t xml:space="preserve"> v. Argentina.</w:t>
      </w:r>
      <w:proofErr w:type="gramEnd"/>
      <w:r w:rsidRPr="00B64BF5">
        <w:rPr>
          <w:rFonts w:ascii="Cambria" w:hAnsi="Cambria" w:cs="Verdana"/>
          <w:iCs/>
          <w:sz w:val="16"/>
          <w:szCs w:val="16"/>
        </w:rPr>
        <w:t xml:space="preserve"> </w:t>
      </w:r>
      <w:proofErr w:type="gramStart"/>
      <w:r w:rsidRPr="00B64BF5">
        <w:rPr>
          <w:rFonts w:ascii="Cambria" w:hAnsi="Cambria" w:cs="Verdana"/>
          <w:iCs/>
          <w:sz w:val="16"/>
          <w:szCs w:val="16"/>
        </w:rPr>
        <w:t>Merits, Reparations, and Costs</w:t>
      </w:r>
      <w:r w:rsidRPr="00B64BF5">
        <w:rPr>
          <w:rFonts w:ascii="Cambria" w:hAnsi="Cambria" w:cs="Verdana"/>
          <w:sz w:val="16"/>
          <w:szCs w:val="16"/>
        </w:rPr>
        <w:t>.</w:t>
      </w:r>
      <w:proofErr w:type="gramEnd"/>
      <w:r w:rsidRPr="00B64BF5">
        <w:rPr>
          <w:rFonts w:ascii="Cambria" w:hAnsi="Cambria" w:cs="Verdana"/>
          <w:sz w:val="16"/>
          <w:szCs w:val="16"/>
        </w:rPr>
        <w:t xml:space="preserve"> Judgment of September 18, 2003. </w:t>
      </w:r>
      <w:r w:rsidRPr="000367BD">
        <w:rPr>
          <w:rFonts w:ascii="Cambria" w:hAnsi="Cambria" w:cs="Verdana"/>
          <w:sz w:val="16"/>
          <w:szCs w:val="16"/>
          <w:lang w:val="es-UY"/>
        </w:rPr>
        <w:t xml:space="preserve">Serie C No. 100, para. 114; </w:t>
      </w:r>
      <w:r w:rsidRPr="000367BD">
        <w:rPr>
          <w:rFonts w:ascii="Cambria" w:hAnsi="Cambria" w:cs="Verdana"/>
          <w:iCs/>
          <w:sz w:val="16"/>
          <w:szCs w:val="16"/>
          <w:lang w:val="es-UY"/>
        </w:rPr>
        <w:t xml:space="preserve">Case of Garibaldi, supra </w:t>
      </w:r>
      <w:r w:rsidRPr="000367BD">
        <w:rPr>
          <w:rFonts w:ascii="Cambria" w:hAnsi="Cambria" w:cs="Verdana"/>
          <w:sz w:val="16"/>
          <w:szCs w:val="16"/>
          <w:lang w:val="es-UY"/>
        </w:rPr>
        <w:t xml:space="preserve">note 18, para. </w:t>
      </w:r>
      <w:r w:rsidRPr="00B64BF5">
        <w:rPr>
          <w:rFonts w:ascii="Cambria" w:hAnsi="Cambria" w:cs="Verdana"/>
          <w:sz w:val="16"/>
          <w:szCs w:val="16"/>
        </w:rPr>
        <w:t xml:space="preserve">133, and </w:t>
      </w:r>
      <w:r w:rsidRPr="00B64BF5">
        <w:rPr>
          <w:rFonts w:ascii="Cambria" w:hAnsi="Cambria" w:cs="Verdana"/>
          <w:iCs/>
          <w:sz w:val="16"/>
          <w:szCs w:val="16"/>
        </w:rPr>
        <w:t xml:space="preserve">Case of Las Dos </w:t>
      </w:r>
      <w:proofErr w:type="spellStart"/>
      <w:r w:rsidRPr="00B64BF5">
        <w:rPr>
          <w:rFonts w:ascii="Cambria" w:hAnsi="Cambria" w:cs="Verdana"/>
          <w:iCs/>
          <w:sz w:val="16"/>
          <w:szCs w:val="16"/>
        </w:rPr>
        <w:t>Erres</w:t>
      </w:r>
      <w:proofErr w:type="spellEnd"/>
      <w:r w:rsidRPr="00B64BF5">
        <w:rPr>
          <w:rFonts w:ascii="Cambria" w:hAnsi="Cambria" w:cs="Verdana"/>
          <w:iCs/>
          <w:sz w:val="16"/>
          <w:szCs w:val="16"/>
        </w:rPr>
        <w:t xml:space="preserve"> Massacre</w:t>
      </w:r>
      <w:r w:rsidRPr="00B64BF5">
        <w:rPr>
          <w:rFonts w:ascii="Cambria" w:hAnsi="Cambria" w:cs="Verdana"/>
          <w:sz w:val="16"/>
          <w:szCs w:val="16"/>
        </w:rPr>
        <w:t xml:space="preserve">, </w:t>
      </w:r>
      <w:r w:rsidRPr="00B64BF5">
        <w:rPr>
          <w:rFonts w:ascii="Cambria" w:hAnsi="Cambria" w:cs="Verdana"/>
          <w:iCs/>
          <w:sz w:val="16"/>
          <w:szCs w:val="16"/>
        </w:rPr>
        <w:t xml:space="preserve">supra </w:t>
      </w:r>
      <w:r w:rsidRPr="00B64BF5">
        <w:rPr>
          <w:rFonts w:ascii="Cambria" w:hAnsi="Cambria" w:cs="Verdana"/>
          <w:sz w:val="16"/>
          <w:szCs w:val="16"/>
        </w:rPr>
        <w:t>note 186, para. 105.</w:t>
      </w:r>
    </w:p>
  </w:footnote>
  <w:footnote w:id="326">
    <w:p w:rsidR="00D53806" w:rsidRPr="00B64BF5" w:rsidRDefault="00D53806" w:rsidP="00B64BF5">
      <w:pPr>
        <w:autoSpaceDE w:val="0"/>
        <w:autoSpaceDN w:val="0"/>
        <w:adjustRightInd w:val="0"/>
        <w:spacing w:after="0" w:line="240" w:lineRule="auto"/>
        <w:ind w:firstLine="720"/>
        <w:jc w:val="both"/>
        <w:rPr>
          <w:rFonts w:ascii="Cambria" w:hAnsi="Cambria" w:cs="Verdana"/>
          <w:iCs/>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spellStart"/>
      <w:proofErr w:type="gramStart"/>
      <w:r w:rsidRPr="00B64BF5">
        <w:rPr>
          <w:rFonts w:ascii="Cambria" w:hAnsi="Cambria" w:cs="Verdana"/>
          <w:iCs/>
          <w:sz w:val="16"/>
          <w:szCs w:val="16"/>
        </w:rPr>
        <w:t>Cfr</w:t>
      </w:r>
      <w:proofErr w:type="spellEnd"/>
      <w:r w:rsidRPr="00B64BF5">
        <w:rPr>
          <w:rFonts w:ascii="Cambria" w:hAnsi="Cambria" w:cs="Verdana"/>
          <w:iCs/>
          <w:sz w:val="16"/>
          <w:szCs w:val="16"/>
        </w:rPr>
        <w:t>. Case of Hilaire, Constantine and Benjamin et al. v. Trinidad Tobago</w:t>
      </w:r>
      <w:r w:rsidRPr="00B64BF5">
        <w:rPr>
          <w:rFonts w:ascii="Cambria" w:hAnsi="Cambria" w:cs="Verdana"/>
          <w:sz w:val="16"/>
          <w:szCs w:val="16"/>
        </w:rPr>
        <w:t>.</w:t>
      </w:r>
      <w:proofErr w:type="gramEnd"/>
      <w:r w:rsidRPr="00B64BF5">
        <w:rPr>
          <w:rFonts w:ascii="Cambria" w:hAnsi="Cambria" w:cs="Verdana"/>
          <w:sz w:val="16"/>
          <w:szCs w:val="16"/>
        </w:rPr>
        <w:t xml:space="preserve"> </w:t>
      </w:r>
      <w:proofErr w:type="gramStart"/>
      <w:r w:rsidRPr="00B64BF5">
        <w:rPr>
          <w:rFonts w:ascii="Cambria" w:hAnsi="Cambria" w:cs="Verdana"/>
          <w:iCs/>
          <w:sz w:val="16"/>
          <w:szCs w:val="16"/>
        </w:rPr>
        <w:t>Merits, Reparations, and Costs</w:t>
      </w:r>
      <w:r w:rsidRPr="00B64BF5">
        <w:rPr>
          <w:rFonts w:ascii="Cambria" w:hAnsi="Cambria" w:cs="Verdana"/>
          <w:sz w:val="16"/>
          <w:szCs w:val="16"/>
        </w:rPr>
        <w:t>.</w:t>
      </w:r>
      <w:proofErr w:type="gramEnd"/>
      <w:r w:rsidRPr="00B64BF5">
        <w:rPr>
          <w:rFonts w:ascii="Cambria" w:hAnsi="Cambria" w:cs="Verdana"/>
          <w:sz w:val="16"/>
          <w:szCs w:val="16"/>
        </w:rPr>
        <w:t xml:space="preserve"> Judgment of June 21, 2002. </w:t>
      </w:r>
      <w:proofErr w:type="spellStart"/>
      <w:r w:rsidRPr="00B64BF5">
        <w:rPr>
          <w:rFonts w:ascii="Cambria" w:hAnsi="Cambria" w:cs="Verdana"/>
          <w:sz w:val="16"/>
          <w:szCs w:val="16"/>
        </w:rPr>
        <w:t>Serie</w:t>
      </w:r>
      <w:proofErr w:type="spellEnd"/>
      <w:r w:rsidRPr="00B64BF5">
        <w:rPr>
          <w:rFonts w:ascii="Cambria" w:hAnsi="Cambria" w:cs="Verdana"/>
          <w:sz w:val="16"/>
          <w:szCs w:val="16"/>
        </w:rPr>
        <w:t xml:space="preserve"> C No. 94, para. </w:t>
      </w:r>
      <w:proofErr w:type="gramStart"/>
      <w:r w:rsidRPr="00B64BF5">
        <w:rPr>
          <w:rFonts w:ascii="Cambria" w:hAnsi="Cambria" w:cs="Verdana"/>
          <w:sz w:val="16"/>
          <w:szCs w:val="16"/>
        </w:rPr>
        <w:t xml:space="preserve">145; </w:t>
      </w:r>
      <w:r w:rsidRPr="00B64BF5">
        <w:rPr>
          <w:rFonts w:ascii="Cambria" w:hAnsi="Cambria" w:cs="Verdana"/>
          <w:iCs/>
          <w:sz w:val="16"/>
          <w:szCs w:val="16"/>
        </w:rPr>
        <w:t>Case of Valle Jaramillo et al. v. Colombia.</w:t>
      </w:r>
      <w:proofErr w:type="gramEnd"/>
      <w:r w:rsidRPr="00B64BF5">
        <w:rPr>
          <w:rFonts w:ascii="Cambria" w:hAnsi="Cambria" w:cs="Verdana"/>
          <w:iCs/>
          <w:sz w:val="16"/>
          <w:szCs w:val="16"/>
        </w:rPr>
        <w:t xml:space="preserve"> </w:t>
      </w:r>
      <w:proofErr w:type="gramStart"/>
      <w:r w:rsidRPr="00B64BF5">
        <w:rPr>
          <w:rFonts w:ascii="Cambria" w:hAnsi="Cambria" w:cs="Verdana"/>
          <w:iCs/>
          <w:sz w:val="16"/>
          <w:szCs w:val="16"/>
        </w:rPr>
        <w:t>Merits, Reparations, and Costs</w:t>
      </w:r>
      <w:r w:rsidRPr="00B64BF5">
        <w:rPr>
          <w:rFonts w:ascii="Cambria" w:hAnsi="Cambria" w:cs="Verdana"/>
          <w:sz w:val="16"/>
          <w:szCs w:val="16"/>
        </w:rPr>
        <w:t>.</w:t>
      </w:r>
      <w:proofErr w:type="gramEnd"/>
      <w:r w:rsidRPr="00B64BF5">
        <w:rPr>
          <w:rFonts w:ascii="Cambria" w:hAnsi="Cambria" w:cs="Verdana"/>
          <w:sz w:val="16"/>
          <w:szCs w:val="16"/>
        </w:rPr>
        <w:t xml:space="preserve"> Judgment of November 27, 2008. </w:t>
      </w:r>
      <w:proofErr w:type="spellStart"/>
      <w:r w:rsidRPr="00B64BF5">
        <w:rPr>
          <w:rFonts w:ascii="Cambria" w:hAnsi="Cambria" w:cs="Verdana"/>
          <w:sz w:val="16"/>
          <w:szCs w:val="16"/>
        </w:rPr>
        <w:t>Serie</w:t>
      </w:r>
      <w:proofErr w:type="spellEnd"/>
      <w:r w:rsidRPr="00B64BF5">
        <w:rPr>
          <w:rFonts w:ascii="Cambria" w:hAnsi="Cambria" w:cs="Verdana"/>
          <w:sz w:val="16"/>
          <w:szCs w:val="16"/>
        </w:rPr>
        <w:t xml:space="preserve"> C No. 192, para. 154, and </w:t>
      </w:r>
      <w:r w:rsidRPr="00B64BF5">
        <w:rPr>
          <w:rFonts w:ascii="Cambria" w:hAnsi="Cambria" w:cs="Verdana"/>
          <w:iCs/>
          <w:sz w:val="16"/>
          <w:szCs w:val="16"/>
        </w:rPr>
        <w:t>Case of Garibaldi v. Brazil, supra note</w:t>
      </w:r>
      <w:r w:rsidRPr="00B64BF5">
        <w:rPr>
          <w:rFonts w:ascii="Cambria" w:hAnsi="Cambria" w:cs="Verdana"/>
          <w:sz w:val="16"/>
          <w:szCs w:val="16"/>
        </w:rPr>
        <w:t xml:space="preserve"> 18, para. 133.</w:t>
      </w:r>
    </w:p>
  </w:footnote>
  <w:footnote w:id="327">
    <w:p w:rsidR="00D53806" w:rsidRPr="00B64BF5" w:rsidRDefault="00D53806" w:rsidP="00B64BF5">
      <w:pPr>
        <w:autoSpaceDE w:val="0"/>
        <w:autoSpaceDN w:val="0"/>
        <w:adjustRightInd w:val="0"/>
        <w:spacing w:after="0" w:line="240" w:lineRule="auto"/>
        <w:ind w:firstLine="720"/>
        <w:jc w:val="both"/>
        <w:rPr>
          <w:rFonts w:ascii="Cambria" w:hAnsi="Cambria" w:cs="Verdana"/>
          <w:sz w:val="16"/>
          <w:szCs w:val="16"/>
          <w:lang w:val="es-ES"/>
        </w:rPr>
      </w:pPr>
      <w:r w:rsidRPr="00B64BF5">
        <w:rPr>
          <w:rStyle w:val="FootnoteReference"/>
          <w:rFonts w:ascii="Cambria" w:hAnsi="Cambria"/>
          <w:sz w:val="16"/>
          <w:szCs w:val="16"/>
        </w:rPr>
        <w:footnoteRef/>
      </w:r>
      <w:r w:rsidRPr="00B64BF5">
        <w:rPr>
          <w:rFonts w:ascii="Cambria" w:hAnsi="Cambria"/>
          <w:sz w:val="16"/>
          <w:szCs w:val="16"/>
        </w:rPr>
        <w:t xml:space="preserve"> </w:t>
      </w:r>
      <w:proofErr w:type="spellStart"/>
      <w:proofErr w:type="gramStart"/>
      <w:r w:rsidRPr="00B64BF5">
        <w:rPr>
          <w:rFonts w:ascii="Cambria" w:hAnsi="Cambria" w:cs="Verdana"/>
          <w:iCs/>
          <w:sz w:val="16"/>
          <w:szCs w:val="16"/>
        </w:rPr>
        <w:t>Cfr</w:t>
      </w:r>
      <w:proofErr w:type="spellEnd"/>
      <w:r w:rsidRPr="00B64BF5">
        <w:rPr>
          <w:rFonts w:ascii="Cambria" w:hAnsi="Cambria" w:cs="Verdana"/>
          <w:iCs/>
          <w:sz w:val="16"/>
          <w:szCs w:val="16"/>
        </w:rPr>
        <w:t xml:space="preserve">. Case of Genie </w:t>
      </w:r>
      <w:proofErr w:type="spellStart"/>
      <w:r w:rsidRPr="00B64BF5">
        <w:rPr>
          <w:rFonts w:ascii="Cambria" w:hAnsi="Cambria" w:cs="Verdana"/>
          <w:iCs/>
          <w:sz w:val="16"/>
          <w:szCs w:val="16"/>
        </w:rPr>
        <w:t>Lacayo</w:t>
      </w:r>
      <w:proofErr w:type="spellEnd"/>
      <w:r w:rsidRPr="00B64BF5">
        <w:rPr>
          <w:rFonts w:ascii="Cambria" w:hAnsi="Cambria" w:cs="Verdana"/>
          <w:iCs/>
          <w:sz w:val="16"/>
          <w:szCs w:val="16"/>
        </w:rPr>
        <w:t xml:space="preserve"> v. Nicaragua.</w:t>
      </w:r>
      <w:proofErr w:type="gramEnd"/>
      <w:r w:rsidRPr="00B64BF5">
        <w:rPr>
          <w:rFonts w:ascii="Cambria" w:hAnsi="Cambria" w:cs="Verdana"/>
          <w:iCs/>
          <w:sz w:val="16"/>
          <w:szCs w:val="16"/>
        </w:rPr>
        <w:t xml:space="preserve"> </w:t>
      </w:r>
      <w:proofErr w:type="gramStart"/>
      <w:r w:rsidRPr="00B64BF5">
        <w:rPr>
          <w:rFonts w:ascii="Cambria" w:hAnsi="Cambria" w:cs="Verdana"/>
          <w:iCs/>
          <w:sz w:val="16"/>
          <w:szCs w:val="16"/>
        </w:rPr>
        <w:t>Merits, Reparations, and Costs.</w:t>
      </w:r>
      <w:proofErr w:type="gramEnd"/>
      <w:r w:rsidRPr="00B64BF5">
        <w:rPr>
          <w:rFonts w:ascii="Cambria" w:hAnsi="Cambria" w:cs="Verdana"/>
          <w:iCs/>
          <w:sz w:val="16"/>
          <w:szCs w:val="16"/>
        </w:rPr>
        <w:t xml:space="preserve"> </w:t>
      </w:r>
      <w:r w:rsidRPr="00B64BF5">
        <w:rPr>
          <w:rFonts w:ascii="Cambria" w:hAnsi="Cambria" w:cs="Verdana"/>
          <w:sz w:val="16"/>
          <w:szCs w:val="16"/>
        </w:rPr>
        <w:t xml:space="preserve">Judgment of January 29, 1997. </w:t>
      </w:r>
      <w:proofErr w:type="spellStart"/>
      <w:r w:rsidRPr="00B64BF5">
        <w:rPr>
          <w:rFonts w:ascii="Cambria" w:hAnsi="Cambria" w:cs="Verdana"/>
          <w:sz w:val="16"/>
          <w:szCs w:val="16"/>
        </w:rPr>
        <w:t>Serie</w:t>
      </w:r>
      <w:proofErr w:type="spellEnd"/>
      <w:r w:rsidRPr="00B64BF5">
        <w:rPr>
          <w:rFonts w:ascii="Cambria" w:hAnsi="Cambria" w:cs="Verdana"/>
          <w:sz w:val="16"/>
          <w:szCs w:val="16"/>
        </w:rPr>
        <w:t xml:space="preserve"> C No. 30, para. </w:t>
      </w:r>
      <w:proofErr w:type="gramStart"/>
      <w:r w:rsidRPr="00B64BF5">
        <w:rPr>
          <w:rFonts w:ascii="Cambria" w:hAnsi="Cambria" w:cs="Verdana"/>
          <w:sz w:val="16"/>
          <w:szCs w:val="16"/>
        </w:rPr>
        <w:t>77</w:t>
      </w:r>
      <w:r w:rsidRPr="00B64BF5">
        <w:rPr>
          <w:rFonts w:ascii="Cambria" w:hAnsi="Cambria" w:cs="Verdana"/>
          <w:iCs/>
          <w:sz w:val="16"/>
          <w:szCs w:val="16"/>
        </w:rPr>
        <w:t xml:space="preserve">; Case of </w:t>
      </w:r>
      <w:proofErr w:type="spellStart"/>
      <w:r w:rsidRPr="00B64BF5">
        <w:rPr>
          <w:rFonts w:ascii="Cambria" w:hAnsi="Cambria" w:cs="Verdana"/>
          <w:iCs/>
          <w:sz w:val="16"/>
          <w:szCs w:val="16"/>
        </w:rPr>
        <w:t>Radilla</w:t>
      </w:r>
      <w:proofErr w:type="spellEnd"/>
      <w:r w:rsidRPr="00B64BF5">
        <w:rPr>
          <w:rFonts w:ascii="Cambria" w:hAnsi="Cambria" w:cs="Verdana"/>
          <w:iCs/>
          <w:sz w:val="16"/>
          <w:szCs w:val="16"/>
        </w:rPr>
        <w:t xml:space="preserve"> Pacheco</w:t>
      </w:r>
      <w:r w:rsidRPr="00B64BF5">
        <w:rPr>
          <w:rFonts w:ascii="Cambria" w:hAnsi="Cambria" w:cs="Verdana"/>
          <w:sz w:val="16"/>
          <w:szCs w:val="16"/>
        </w:rPr>
        <w:t xml:space="preserve">, </w:t>
      </w:r>
      <w:r w:rsidRPr="00B64BF5">
        <w:rPr>
          <w:rFonts w:ascii="Cambria" w:hAnsi="Cambria" w:cs="Verdana"/>
          <w:iCs/>
          <w:sz w:val="16"/>
          <w:szCs w:val="16"/>
        </w:rPr>
        <w:t>supra note</w:t>
      </w:r>
      <w:r w:rsidRPr="00B64BF5">
        <w:rPr>
          <w:rFonts w:ascii="Cambria" w:hAnsi="Cambria" w:cs="Verdana"/>
          <w:sz w:val="16"/>
          <w:szCs w:val="16"/>
        </w:rPr>
        <w:t xml:space="preserve"> 24, para.</w:t>
      </w:r>
      <w:proofErr w:type="gramEnd"/>
      <w:r w:rsidRPr="00B64BF5">
        <w:rPr>
          <w:rFonts w:ascii="Cambria" w:hAnsi="Cambria" w:cs="Verdana"/>
          <w:sz w:val="16"/>
          <w:szCs w:val="16"/>
        </w:rPr>
        <w:t xml:space="preserve"> </w:t>
      </w:r>
      <w:proofErr w:type="gramStart"/>
      <w:r w:rsidRPr="00B64BF5">
        <w:rPr>
          <w:rFonts w:ascii="Cambria" w:hAnsi="Cambria" w:cs="Verdana"/>
          <w:sz w:val="16"/>
          <w:szCs w:val="16"/>
        </w:rPr>
        <w:t>244,</w:t>
      </w:r>
      <w:proofErr w:type="gramEnd"/>
      <w:r w:rsidRPr="00B64BF5">
        <w:rPr>
          <w:rFonts w:ascii="Cambria" w:hAnsi="Cambria" w:cs="Verdana"/>
          <w:sz w:val="16"/>
          <w:szCs w:val="16"/>
        </w:rPr>
        <w:t xml:space="preserve"> and </w:t>
      </w:r>
      <w:r w:rsidRPr="00B64BF5">
        <w:rPr>
          <w:rFonts w:ascii="Cambria" w:hAnsi="Cambria" w:cs="Verdana"/>
          <w:iCs/>
          <w:sz w:val="16"/>
          <w:szCs w:val="16"/>
        </w:rPr>
        <w:t xml:space="preserve">Case of </w:t>
      </w:r>
      <w:proofErr w:type="spellStart"/>
      <w:r w:rsidRPr="00B64BF5">
        <w:rPr>
          <w:rFonts w:ascii="Cambria" w:hAnsi="Cambria" w:cs="Verdana"/>
          <w:iCs/>
          <w:sz w:val="16"/>
          <w:szCs w:val="16"/>
        </w:rPr>
        <w:t>Xákmok</w:t>
      </w:r>
      <w:proofErr w:type="spellEnd"/>
      <w:r w:rsidRPr="00B64BF5">
        <w:rPr>
          <w:rFonts w:ascii="Cambria" w:hAnsi="Cambria" w:cs="Verdana"/>
          <w:iCs/>
          <w:sz w:val="16"/>
          <w:szCs w:val="16"/>
        </w:rPr>
        <w:t xml:space="preserve"> </w:t>
      </w:r>
      <w:proofErr w:type="spellStart"/>
      <w:r w:rsidRPr="00B64BF5">
        <w:rPr>
          <w:rFonts w:ascii="Cambria" w:hAnsi="Cambria" w:cs="Verdana"/>
          <w:iCs/>
          <w:sz w:val="16"/>
          <w:szCs w:val="16"/>
        </w:rPr>
        <w:t>Kásek</w:t>
      </w:r>
      <w:proofErr w:type="spellEnd"/>
      <w:r w:rsidRPr="00B64BF5">
        <w:rPr>
          <w:rFonts w:ascii="Cambria" w:hAnsi="Cambria" w:cs="Verdana"/>
          <w:iCs/>
          <w:sz w:val="16"/>
          <w:szCs w:val="16"/>
        </w:rPr>
        <w:t xml:space="preserve"> Indigenous Community v. Paraguay. </w:t>
      </w:r>
      <w:proofErr w:type="gramStart"/>
      <w:r w:rsidRPr="00B64BF5">
        <w:rPr>
          <w:rFonts w:ascii="Cambria" w:hAnsi="Cambria" w:cs="Verdana"/>
          <w:iCs/>
          <w:sz w:val="16"/>
          <w:szCs w:val="16"/>
        </w:rPr>
        <w:t>Merits, Reparations, and Costs</w:t>
      </w:r>
      <w:r w:rsidRPr="00B64BF5">
        <w:rPr>
          <w:rFonts w:ascii="Cambria" w:hAnsi="Cambria" w:cs="Verdana"/>
          <w:sz w:val="16"/>
          <w:szCs w:val="16"/>
        </w:rPr>
        <w:t>.</w:t>
      </w:r>
      <w:proofErr w:type="gramEnd"/>
      <w:r w:rsidRPr="00B64BF5">
        <w:rPr>
          <w:rFonts w:ascii="Cambria" w:hAnsi="Cambria" w:cs="Verdana"/>
          <w:sz w:val="16"/>
          <w:szCs w:val="16"/>
        </w:rPr>
        <w:t xml:space="preserve"> </w:t>
      </w:r>
      <w:proofErr w:type="gramStart"/>
      <w:r w:rsidRPr="00B64BF5">
        <w:rPr>
          <w:rFonts w:ascii="Cambria" w:hAnsi="Cambria" w:cs="Verdana"/>
          <w:sz w:val="16"/>
          <w:szCs w:val="16"/>
        </w:rPr>
        <w:t xml:space="preserve">Judgment of August 24, 2010 </w:t>
      </w:r>
      <w:proofErr w:type="spellStart"/>
      <w:r w:rsidRPr="00B64BF5">
        <w:rPr>
          <w:rFonts w:ascii="Cambria" w:hAnsi="Cambria" w:cs="Verdana"/>
          <w:sz w:val="16"/>
          <w:szCs w:val="16"/>
        </w:rPr>
        <w:t>Serie</w:t>
      </w:r>
      <w:proofErr w:type="spellEnd"/>
      <w:r w:rsidRPr="00B64BF5">
        <w:rPr>
          <w:rFonts w:ascii="Cambria" w:hAnsi="Cambria" w:cs="Verdana"/>
          <w:sz w:val="16"/>
          <w:szCs w:val="16"/>
        </w:rPr>
        <w:t xml:space="preserve"> C No. 214, para.</w:t>
      </w:r>
      <w:proofErr w:type="gramEnd"/>
      <w:r w:rsidRPr="00B64BF5">
        <w:rPr>
          <w:rFonts w:ascii="Cambria" w:hAnsi="Cambria" w:cs="Verdana"/>
          <w:sz w:val="16"/>
          <w:szCs w:val="16"/>
        </w:rPr>
        <w:t xml:space="preserve"> </w:t>
      </w:r>
      <w:r w:rsidRPr="00B64BF5">
        <w:rPr>
          <w:rFonts w:ascii="Cambria" w:hAnsi="Cambria" w:cs="Verdana"/>
          <w:sz w:val="16"/>
          <w:szCs w:val="16"/>
          <w:lang w:val="es-ES"/>
        </w:rPr>
        <w:t>133.</w:t>
      </w:r>
    </w:p>
  </w:footnote>
  <w:footnote w:id="328">
    <w:p w:rsidR="00D53806" w:rsidRPr="00B64BF5" w:rsidRDefault="00D53806" w:rsidP="00B64BF5">
      <w:pPr>
        <w:autoSpaceDE w:val="0"/>
        <w:autoSpaceDN w:val="0"/>
        <w:adjustRightInd w:val="0"/>
        <w:spacing w:after="0" w:line="240" w:lineRule="auto"/>
        <w:ind w:firstLine="720"/>
        <w:jc w:val="both"/>
        <w:rPr>
          <w:rFonts w:ascii="Cambria" w:hAnsi="Cambria" w:cs="Verdan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es-ES"/>
        </w:rPr>
        <w:t xml:space="preserve"> </w:t>
      </w:r>
      <w:r w:rsidRPr="00B64BF5">
        <w:rPr>
          <w:rFonts w:ascii="Cambria" w:hAnsi="Cambria" w:cs="Verdana"/>
          <w:iCs/>
          <w:sz w:val="16"/>
          <w:szCs w:val="16"/>
          <w:lang w:val="es-ES"/>
        </w:rPr>
        <w:t>Cfr. Case of Valle Jaramillo et al., supra note</w:t>
      </w:r>
      <w:r w:rsidRPr="00B64BF5">
        <w:rPr>
          <w:rFonts w:ascii="Cambria" w:hAnsi="Cambria" w:cs="Verdana"/>
          <w:sz w:val="16"/>
          <w:szCs w:val="16"/>
          <w:lang w:val="es-ES"/>
        </w:rPr>
        <w:t xml:space="preserve"> 326, para. </w:t>
      </w:r>
      <w:proofErr w:type="gramStart"/>
      <w:r w:rsidRPr="00B64BF5">
        <w:rPr>
          <w:rFonts w:ascii="Cambria" w:hAnsi="Cambria" w:cs="Verdana"/>
          <w:sz w:val="16"/>
          <w:szCs w:val="16"/>
        </w:rPr>
        <w:t xml:space="preserve">155; </w:t>
      </w:r>
      <w:r w:rsidRPr="00B64BF5">
        <w:rPr>
          <w:rFonts w:ascii="Cambria" w:hAnsi="Cambria" w:cs="Verdana"/>
          <w:iCs/>
          <w:sz w:val="16"/>
          <w:szCs w:val="16"/>
        </w:rPr>
        <w:t xml:space="preserve">Case of </w:t>
      </w:r>
      <w:proofErr w:type="spellStart"/>
      <w:r w:rsidRPr="00B64BF5">
        <w:rPr>
          <w:rFonts w:ascii="Cambria" w:hAnsi="Cambria" w:cs="Verdana"/>
          <w:iCs/>
          <w:sz w:val="16"/>
          <w:szCs w:val="16"/>
        </w:rPr>
        <w:t>Radilla</w:t>
      </w:r>
      <w:proofErr w:type="spellEnd"/>
      <w:r w:rsidRPr="00B64BF5">
        <w:rPr>
          <w:rFonts w:ascii="Cambria" w:hAnsi="Cambria" w:cs="Verdana"/>
          <w:iCs/>
          <w:sz w:val="16"/>
          <w:szCs w:val="16"/>
        </w:rPr>
        <w:t xml:space="preserve"> Pacheco</w:t>
      </w:r>
      <w:r w:rsidRPr="00B64BF5">
        <w:rPr>
          <w:rFonts w:ascii="Cambria" w:hAnsi="Cambria" w:cs="Verdana"/>
          <w:sz w:val="16"/>
          <w:szCs w:val="16"/>
        </w:rPr>
        <w:t xml:space="preserve">, </w:t>
      </w:r>
      <w:r w:rsidRPr="00B64BF5">
        <w:rPr>
          <w:rFonts w:ascii="Cambria" w:hAnsi="Cambria" w:cs="Verdana"/>
          <w:iCs/>
          <w:sz w:val="16"/>
          <w:szCs w:val="16"/>
        </w:rPr>
        <w:t>supra note</w:t>
      </w:r>
      <w:r w:rsidRPr="00B64BF5">
        <w:rPr>
          <w:rFonts w:ascii="Cambria" w:hAnsi="Cambria" w:cs="Verdana"/>
          <w:sz w:val="16"/>
          <w:szCs w:val="16"/>
        </w:rPr>
        <w:t xml:space="preserve"> 24, para.</w:t>
      </w:r>
      <w:proofErr w:type="gramEnd"/>
      <w:r w:rsidRPr="00B64BF5">
        <w:rPr>
          <w:rFonts w:ascii="Cambria" w:hAnsi="Cambria" w:cs="Verdana"/>
          <w:sz w:val="16"/>
          <w:szCs w:val="16"/>
        </w:rPr>
        <w:t xml:space="preserve"> 244, and </w:t>
      </w:r>
      <w:r w:rsidRPr="00B64BF5">
        <w:rPr>
          <w:rFonts w:ascii="Cambria" w:hAnsi="Cambria" w:cs="Verdana"/>
          <w:iCs/>
          <w:sz w:val="16"/>
          <w:szCs w:val="16"/>
        </w:rPr>
        <w:t xml:space="preserve">Case of </w:t>
      </w:r>
      <w:proofErr w:type="spellStart"/>
      <w:r w:rsidRPr="00B64BF5">
        <w:rPr>
          <w:rFonts w:ascii="Cambria" w:hAnsi="Cambria" w:cs="Verdana"/>
          <w:iCs/>
          <w:sz w:val="16"/>
          <w:szCs w:val="16"/>
        </w:rPr>
        <w:t>Xákmok</w:t>
      </w:r>
      <w:proofErr w:type="spellEnd"/>
      <w:r w:rsidRPr="00B64BF5">
        <w:rPr>
          <w:rFonts w:ascii="Cambria" w:hAnsi="Cambria" w:cs="Verdana"/>
          <w:iCs/>
          <w:sz w:val="16"/>
          <w:szCs w:val="16"/>
        </w:rPr>
        <w:t xml:space="preserve"> </w:t>
      </w:r>
      <w:proofErr w:type="spellStart"/>
      <w:r w:rsidRPr="00B64BF5">
        <w:rPr>
          <w:rFonts w:ascii="Cambria" w:hAnsi="Cambria" w:cs="Verdana"/>
          <w:iCs/>
          <w:sz w:val="16"/>
          <w:szCs w:val="16"/>
        </w:rPr>
        <w:t>Kásek</w:t>
      </w:r>
      <w:proofErr w:type="spellEnd"/>
      <w:r w:rsidRPr="00B64BF5">
        <w:rPr>
          <w:rFonts w:ascii="Cambria" w:hAnsi="Cambria" w:cs="Verdana"/>
          <w:iCs/>
          <w:sz w:val="16"/>
          <w:szCs w:val="16"/>
        </w:rPr>
        <w:t xml:space="preserve"> Indigenous Community, supra note</w:t>
      </w:r>
      <w:r w:rsidRPr="00B64BF5">
        <w:rPr>
          <w:rFonts w:ascii="Cambria" w:hAnsi="Cambria" w:cs="Verdana"/>
          <w:sz w:val="16"/>
          <w:szCs w:val="16"/>
        </w:rPr>
        <w:t xml:space="preserve"> 327, para. </w:t>
      </w:r>
      <w:r w:rsidRPr="00B64BF5">
        <w:rPr>
          <w:rFonts w:ascii="Cambria" w:hAnsi="Cambria" w:cs="Verdana"/>
          <w:sz w:val="16"/>
          <w:szCs w:val="16"/>
          <w:lang w:val="pt-BR"/>
        </w:rPr>
        <w:t>133.</w:t>
      </w:r>
    </w:p>
  </w:footnote>
  <w:footnote w:id="32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Proceso No. </w:t>
      </w:r>
      <w:r w:rsidRPr="00B64BF5">
        <w:rPr>
          <w:rStyle w:val="Emphasis"/>
          <w:rFonts w:ascii="Cambria" w:hAnsi="Cambria" w:cs="Arial"/>
          <w:i w:val="0"/>
          <w:sz w:val="16"/>
          <w:szCs w:val="16"/>
          <w:lang w:val="pt-BR"/>
        </w:rPr>
        <w:t xml:space="preserve">2008.61.81.013434-2 Justiça Federal - São Paulo, Volume 2, fls.426/427, Petición de los autores en la Ação Declaratória No. 136/76, of May 16, 1978; </w:t>
      </w:r>
      <w:r w:rsidRPr="00B64BF5">
        <w:rPr>
          <w:rFonts w:ascii="Cambria" w:hAnsi="Cambria"/>
          <w:sz w:val="16"/>
          <w:szCs w:val="16"/>
          <w:lang w:val="pt-BR"/>
        </w:rPr>
        <w:t>Proceso No. 2008.61.81.013434-2 Justiça</w:t>
      </w:r>
      <w:r w:rsidRPr="00B64BF5">
        <w:rPr>
          <w:rStyle w:val="Emphasis"/>
          <w:rFonts w:ascii="Cambria" w:hAnsi="Cambria" w:cs="Arial"/>
          <w:i w:val="0"/>
          <w:sz w:val="16"/>
          <w:szCs w:val="16"/>
          <w:lang w:val="pt-BR"/>
        </w:rPr>
        <w:t xml:space="preserve"> Federal - São Paulo, Volume 4, fls. 744-779 –Contrarrazões ao recurso de apelação en la</w:t>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i w:val="0"/>
          <w:sz w:val="16"/>
          <w:szCs w:val="16"/>
          <w:lang w:val="pt-BR"/>
        </w:rPr>
        <w:t xml:space="preserve">, of February 14, 1978. </w:t>
      </w:r>
    </w:p>
  </w:footnote>
  <w:footnote w:id="33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Proceso </w:t>
      </w:r>
      <w:r w:rsidRPr="00B64BF5">
        <w:rPr>
          <w:rStyle w:val="Emphasis"/>
          <w:rFonts w:ascii="Cambria" w:hAnsi="Cambria" w:cs="Arial"/>
          <w:i w:val="0"/>
          <w:sz w:val="16"/>
          <w:szCs w:val="16"/>
          <w:lang w:val="pt-BR"/>
        </w:rPr>
        <w:t xml:space="preserve">No. </w:t>
      </w:r>
      <w:r w:rsidRPr="00B64BF5">
        <w:rPr>
          <w:rStyle w:val="Emphasis"/>
          <w:rFonts w:ascii="Cambria" w:hAnsi="Cambria" w:cs="Arial"/>
          <w:i w:val="0"/>
          <w:sz w:val="16"/>
          <w:szCs w:val="16"/>
          <w:lang w:val="pt-BR"/>
        </w:rPr>
        <w:t xml:space="preserve">2008.61.81.013434-2, </w:t>
      </w:r>
      <w:r w:rsidRPr="00B64BF5">
        <w:rPr>
          <w:rFonts w:ascii="Cambria" w:hAnsi="Cambria"/>
          <w:sz w:val="16"/>
          <w:szCs w:val="16"/>
          <w:lang w:val="pt-BR"/>
        </w:rPr>
        <w:t>Justiça</w:t>
      </w:r>
      <w:r w:rsidRPr="00B64BF5">
        <w:rPr>
          <w:rStyle w:val="Emphasis"/>
          <w:rFonts w:ascii="Cambria" w:hAnsi="Cambria" w:cs="Arial"/>
          <w:i w:val="0"/>
          <w:sz w:val="16"/>
          <w:szCs w:val="16"/>
          <w:lang w:val="pt-BR"/>
        </w:rPr>
        <w:t xml:space="preserve"> Federal - São Paulo, Volume 1, fls. 88/123, Parecer do Ministério do Exército en la Ação Declaratória No. 136/76, of May 26, 1976; </w:t>
      </w:r>
      <w:r w:rsidRPr="00B64BF5">
        <w:rPr>
          <w:rFonts w:ascii="Cambria" w:hAnsi="Cambria"/>
          <w:sz w:val="16"/>
          <w:szCs w:val="16"/>
          <w:lang w:val="pt-BR"/>
        </w:rPr>
        <w:t xml:space="preserve">Proceso No. 2008.61.81.013434-2, Justiça Federal – São Paulo, Volume 3, fls. 472/473, Memorial de la Unión Federal en la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 of June 15, 1978; Proceso No. 2008.61.81.013434-2 Justiça</w:t>
      </w:r>
      <w:r w:rsidRPr="00B64BF5">
        <w:rPr>
          <w:rStyle w:val="Emphasis"/>
          <w:rFonts w:ascii="Cambria" w:hAnsi="Cambria" w:cs="Arial"/>
          <w:i w:val="0"/>
          <w:sz w:val="16"/>
          <w:szCs w:val="16"/>
          <w:lang w:val="pt-BR"/>
        </w:rPr>
        <w:t xml:space="preserve"> Federal - São Paulo, Volume 5, fls. 1003 – Sentencia proferida en la</w:t>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 xml:space="preserve">Ação Declaratória </w:t>
      </w:r>
      <w:r w:rsidRPr="00B64BF5">
        <w:rPr>
          <w:rFonts w:ascii="Cambria" w:hAnsi="Cambria"/>
          <w:sz w:val="16"/>
          <w:szCs w:val="16"/>
          <w:lang w:val="pt-BR"/>
        </w:rPr>
        <w:t>No. 136/76</w:t>
      </w:r>
      <w:r w:rsidRPr="00B64BF5">
        <w:rPr>
          <w:rStyle w:val="Emphasis"/>
          <w:rFonts w:ascii="Cambria" w:hAnsi="Cambria" w:cs="Arial"/>
          <w:i w:val="0"/>
          <w:sz w:val="16"/>
          <w:szCs w:val="16"/>
          <w:lang w:val="pt-BR"/>
        </w:rPr>
        <w:t>, of October 27, 1978.</w:t>
      </w:r>
    </w:p>
  </w:footnote>
  <w:footnote w:id="331">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r w:rsidRPr="00B64BF5">
        <w:rPr>
          <w:rFonts w:ascii="Cambria" w:hAnsi="Cambria"/>
          <w:iCs/>
          <w:sz w:val="16"/>
          <w:szCs w:val="16"/>
        </w:rPr>
        <w:t>I/A Court H.R</w:t>
      </w:r>
      <w:r w:rsidRPr="00B64BF5">
        <w:rPr>
          <w:rFonts w:ascii="Cambria" w:hAnsi="Cambria"/>
          <w:sz w:val="16"/>
          <w:szCs w:val="16"/>
        </w:rPr>
        <w:t xml:space="preserve">., Case of Torres </w:t>
      </w:r>
      <w:proofErr w:type="spellStart"/>
      <w:r w:rsidRPr="00B64BF5">
        <w:rPr>
          <w:rFonts w:ascii="Cambria" w:hAnsi="Cambria"/>
          <w:sz w:val="16"/>
          <w:szCs w:val="16"/>
        </w:rPr>
        <w:t>Millacura</w:t>
      </w:r>
      <w:proofErr w:type="spellEnd"/>
      <w:r w:rsidRPr="00B64BF5">
        <w:rPr>
          <w:rFonts w:ascii="Cambria" w:hAnsi="Cambria"/>
          <w:sz w:val="16"/>
          <w:szCs w:val="16"/>
        </w:rPr>
        <w:t xml:space="preserve"> et al. v. Argentina. Judgment of August 26, 2011. </w:t>
      </w:r>
      <w:proofErr w:type="spellStart"/>
      <w:r w:rsidRPr="00B64BF5">
        <w:rPr>
          <w:rFonts w:ascii="Cambria" w:hAnsi="Cambria"/>
          <w:sz w:val="16"/>
          <w:szCs w:val="16"/>
        </w:rPr>
        <w:t>Serie</w:t>
      </w:r>
      <w:proofErr w:type="spellEnd"/>
      <w:r w:rsidRPr="00B64BF5">
        <w:rPr>
          <w:rFonts w:ascii="Cambria" w:hAnsi="Cambria"/>
          <w:sz w:val="16"/>
          <w:szCs w:val="16"/>
        </w:rPr>
        <w:t xml:space="preserve"> C No. 229, para. 113.</w:t>
      </w:r>
    </w:p>
  </w:footnote>
  <w:footnote w:id="332">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IACHR.</w:t>
      </w:r>
      <w:proofErr w:type="gramEnd"/>
      <w:r w:rsidRPr="00B64BF5">
        <w:rPr>
          <w:rFonts w:ascii="Cambria" w:hAnsi="Cambria"/>
          <w:sz w:val="16"/>
          <w:szCs w:val="16"/>
        </w:rPr>
        <w:t xml:space="preserve"> </w:t>
      </w:r>
      <w:proofErr w:type="gramStart"/>
      <w:r w:rsidRPr="00B64BF5">
        <w:rPr>
          <w:rFonts w:ascii="Cambria" w:hAnsi="Cambria"/>
          <w:sz w:val="16"/>
          <w:szCs w:val="16"/>
        </w:rPr>
        <w:t>The Right to Truth in the Americas.</w:t>
      </w:r>
      <w:proofErr w:type="gramEnd"/>
      <w:r w:rsidRPr="00B64BF5">
        <w:rPr>
          <w:rFonts w:ascii="Cambria" w:hAnsi="Cambria"/>
          <w:sz w:val="16"/>
          <w:szCs w:val="16"/>
        </w:rPr>
        <w:t xml:space="preserve"> </w:t>
      </w:r>
      <w:r w:rsidRPr="00D53806">
        <w:rPr>
          <w:rFonts w:ascii="Cambria" w:hAnsi="Cambria"/>
          <w:sz w:val="16"/>
          <w:szCs w:val="16"/>
          <w:lang w:val="pt-BR"/>
        </w:rPr>
        <w:t xml:space="preserve">OEA/Ser.L/V/II.152. Doc. 2. </w:t>
      </w:r>
      <w:r w:rsidRPr="00B64BF5">
        <w:rPr>
          <w:rFonts w:ascii="Cambria" w:hAnsi="Cambria"/>
          <w:sz w:val="16"/>
          <w:szCs w:val="16"/>
        </w:rPr>
        <w:t xml:space="preserve">August 13, 2014. </w:t>
      </w:r>
      <w:proofErr w:type="gramStart"/>
      <w:r w:rsidRPr="00B64BF5">
        <w:rPr>
          <w:rFonts w:ascii="Cambria" w:hAnsi="Cambria"/>
          <w:sz w:val="16"/>
          <w:szCs w:val="16"/>
        </w:rPr>
        <w:t>Para.</w:t>
      </w:r>
      <w:proofErr w:type="gramEnd"/>
      <w:r w:rsidRPr="00B64BF5">
        <w:rPr>
          <w:rFonts w:ascii="Cambria" w:hAnsi="Cambria"/>
          <w:sz w:val="16"/>
          <w:szCs w:val="16"/>
        </w:rPr>
        <w:t xml:space="preserve"> 90.</w:t>
      </w:r>
    </w:p>
  </w:footnote>
  <w:footnote w:id="333">
    <w:p w:rsidR="00D53806" w:rsidRPr="000367BD" w:rsidRDefault="00D53806" w:rsidP="00B64BF5">
      <w:pPr>
        <w:pStyle w:val="FootnoteText"/>
        <w:ind w:firstLine="720"/>
        <w:jc w:val="both"/>
        <w:rPr>
          <w:rFonts w:ascii="Cambria" w:hAnsi="Cambria"/>
          <w:sz w:val="16"/>
          <w:szCs w:val="16"/>
          <w:lang w:val="es-UY"/>
        </w:rPr>
      </w:pPr>
      <w:r w:rsidRPr="009C66AC">
        <w:rPr>
          <w:rStyle w:val="FootnoteReference"/>
          <w:rFonts w:ascii="Cambria" w:hAnsi="Cambria"/>
          <w:sz w:val="16"/>
          <w:szCs w:val="16"/>
        </w:rPr>
        <w:footnoteRef/>
      </w:r>
      <w:r w:rsidRPr="009C66AC">
        <w:rPr>
          <w:rFonts w:ascii="Cambria" w:hAnsi="Cambria"/>
          <w:sz w:val="16"/>
          <w:szCs w:val="16"/>
        </w:rPr>
        <w:t xml:space="preserve"> </w:t>
      </w:r>
      <w:proofErr w:type="gramStart"/>
      <w:r w:rsidRPr="009C66AC">
        <w:rPr>
          <w:rFonts w:ascii="Cambria" w:hAnsi="Cambria"/>
          <w:sz w:val="16"/>
          <w:szCs w:val="16"/>
        </w:rPr>
        <w:t>I/A Court H.R. Case of Mendoza et al. v. Argentina.</w:t>
      </w:r>
      <w:proofErr w:type="gramEnd"/>
      <w:r w:rsidRPr="009C66AC">
        <w:rPr>
          <w:rFonts w:ascii="Cambria" w:hAnsi="Cambria"/>
          <w:sz w:val="16"/>
          <w:szCs w:val="16"/>
        </w:rPr>
        <w:t xml:space="preserve"> </w:t>
      </w:r>
      <w:proofErr w:type="gramStart"/>
      <w:r w:rsidRPr="009C66AC">
        <w:rPr>
          <w:rFonts w:ascii="Cambria" w:hAnsi="Cambria"/>
          <w:sz w:val="16"/>
          <w:szCs w:val="16"/>
        </w:rPr>
        <w:t>Preliminary Objections, Merits and Reparations.</w:t>
      </w:r>
      <w:proofErr w:type="gramEnd"/>
      <w:r w:rsidRPr="009C66AC">
        <w:rPr>
          <w:rFonts w:ascii="Cambria" w:hAnsi="Cambria"/>
          <w:sz w:val="16"/>
          <w:szCs w:val="16"/>
        </w:rPr>
        <w:t xml:space="preserve"> </w:t>
      </w:r>
      <w:r w:rsidRPr="000367BD">
        <w:rPr>
          <w:rFonts w:ascii="Cambria" w:hAnsi="Cambria"/>
          <w:sz w:val="16"/>
          <w:szCs w:val="16"/>
          <w:lang w:val="es-UY"/>
        </w:rPr>
        <w:t>Judgment of May 14, 2013 Serie C No. 260. Para. 217.</w:t>
      </w:r>
    </w:p>
  </w:footnote>
  <w:footnote w:id="334">
    <w:p w:rsidR="00D53806" w:rsidRPr="000367BD" w:rsidRDefault="00D53806" w:rsidP="00B64BF5">
      <w:pPr>
        <w:pStyle w:val="FootnoteText"/>
        <w:ind w:firstLine="720"/>
        <w:jc w:val="both"/>
        <w:rPr>
          <w:rFonts w:ascii="Cambria" w:hAnsi="Cambria"/>
          <w:sz w:val="16"/>
          <w:szCs w:val="16"/>
          <w:lang w:val="es-UY"/>
        </w:rPr>
      </w:pPr>
      <w:r w:rsidRPr="009C66AC">
        <w:rPr>
          <w:rStyle w:val="FootnoteReference"/>
          <w:rFonts w:ascii="Cambria" w:hAnsi="Cambria"/>
          <w:sz w:val="16"/>
          <w:szCs w:val="16"/>
        </w:rPr>
        <w:footnoteRef/>
      </w:r>
      <w:r w:rsidRPr="000367BD">
        <w:rPr>
          <w:rFonts w:ascii="Cambria" w:hAnsi="Cambria"/>
          <w:sz w:val="16"/>
          <w:szCs w:val="16"/>
          <w:lang w:val="es-UY"/>
        </w:rPr>
        <w:t xml:space="preserve"> Proceso No. 2008.61.81.013434-2 Justiça</w:t>
      </w:r>
      <w:r w:rsidRPr="000367BD">
        <w:rPr>
          <w:rStyle w:val="Emphasis"/>
          <w:rFonts w:ascii="Cambria" w:hAnsi="Cambria" w:cs="Arial"/>
          <w:i w:val="0"/>
          <w:sz w:val="16"/>
          <w:szCs w:val="16"/>
          <w:lang w:val="es-UY"/>
        </w:rPr>
        <w:t xml:space="preserve"> Federal - São Paulo, Volume 5, fls. 1004 – Sentencia proferida en la</w:t>
      </w:r>
      <w:r w:rsidRPr="000367BD">
        <w:rPr>
          <w:rFonts w:ascii="Cambria" w:hAnsi="Cambria"/>
          <w:b/>
          <w:sz w:val="16"/>
          <w:szCs w:val="16"/>
          <w:lang w:val="es-UY"/>
        </w:rPr>
        <w:t xml:space="preserve"> </w:t>
      </w:r>
      <w:r w:rsidRPr="000367BD">
        <w:rPr>
          <w:rStyle w:val="Emphasis"/>
          <w:rFonts w:ascii="Cambria" w:hAnsi="Cambria" w:cs="Arial"/>
          <w:i w:val="0"/>
          <w:sz w:val="16"/>
          <w:szCs w:val="16"/>
          <w:lang w:val="es-UY"/>
        </w:rPr>
        <w:t xml:space="preserve">Ação Declaratória </w:t>
      </w:r>
      <w:r w:rsidRPr="000367BD">
        <w:rPr>
          <w:rFonts w:ascii="Cambria" w:hAnsi="Cambria"/>
          <w:sz w:val="16"/>
          <w:szCs w:val="16"/>
          <w:lang w:val="es-UY"/>
        </w:rPr>
        <w:t>No. 136/76</w:t>
      </w:r>
      <w:r w:rsidRPr="000367BD">
        <w:rPr>
          <w:rStyle w:val="Emphasis"/>
          <w:rFonts w:ascii="Cambria" w:hAnsi="Cambria" w:cs="Arial"/>
          <w:i w:val="0"/>
          <w:sz w:val="16"/>
          <w:szCs w:val="16"/>
          <w:lang w:val="es-UY"/>
        </w:rPr>
        <w:t>, of October 27, 1978.</w:t>
      </w:r>
    </w:p>
  </w:footnote>
  <w:footnote w:id="335">
    <w:p w:rsidR="00D53806" w:rsidRPr="009C66AC" w:rsidRDefault="00D53806" w:rsidP="00B64BF5">
      <w:pPr>
        <w:pStyle w:val="FootnoteText"/>
        <w:ind w:firstLine="720"/>
        <w:jc w:val="both"/>
        <w:rPr>
          <w:rFonts w:ascii="Cambria" w:hAnsi="Cambria"/>
          <w:sz w:val="16"/>
          <w:szCs w:val="16"/>
        </w:rPr>
      </w:pPr>
      <w:r w:rsidRPr="009C66AC">
        <w:rPr>
          <w:rStyle w:val="FootnoteReference"/>
          <w:rFonts w:ascii="Cambria" w:hAnsi="Cambria"/>
          <w:sz w:val="16"/>
          <w:szCs w:val="16"/>
        </w:rPr>
        <w:footnoteRef/>
      </w:r>
      <w:r w:rsidRPr="009C66AC">
        <w:rPr>
          <w:rFonts w:ascii="Cambria" w:hAnsi="Cambria"/>
          <w:sz w:val="16"/>
          <w:szCs w:val="16"/>
          <w:lang w:val="pt-BR"/>
        </w:rPr>
        <w:t xml:space="preserve"> </w:t>
      </w:r>
      <w:r w:rsidRPr="009C66AC">
        <w:rPr>
          <w:rFonts w:ascii="Cambria" w:hAnsi="Cambria" w:cs="Arial"/>
          <w:sz w:val="16"/>
          <w:szCs w:val="16"/>
          <w:lang w:val="pt-BR"/>
        </w:rPr>
        <w:t xml:space="preserve">Brasil. </w:t>
      </w:r>
      <w:r w:rsidRPr="009C66AC">
        <w:rPr>
          <w:rFonts w:ascii="Cambria" w:hAnsi="Cambria"/>
          <w:sz w:val="16"/>
          <w:szCs w:val="16"/>
          <w:lang w:val="pt-BR"/>
        </w:rPr>
        <w:t xml:space="preserve">Presidência da República. Ley No. 9.140 of December 4, 1995. </w:t>
      </w:r>
      <w:r w:rsidRPr="009C66AC">
        <w:rPr>
          <w:rFonts w:ascii="Cambria" w:hAnsi="Cambria"/>
          <w:sz w:val="16"/>
          <w:szCs w:val="16"/>
        </w:rPr>
        <w:t>It should be mentioned that said Law was subsequently modified by Ley 10.536/2002 and Ley 10.875/2004.</w:t>
      </w:r>
    </w:p>
  </w:footnote>
  <w:footnote w:id="336">
    <w:p w:rsidR="00D53806" w:rsidRPr="009C66AC" w:rsidRDefault="00D53806" w:rsidP="00B64BF5">
      <w:pPr>
        <w:pStyle w:val="FootnoteText"/>
        <w:ind w:firstLine="720"/>
        <w:jc w:val="both"/>
        <w:rPr>
          <w:rFonts w:ascii="Cambria" w:hAnsi="Cambria"/>
          <w:sz w:val="16"/>
          <w:szCs w:val="16"/>
          <w:lang w:val="pt-BR"/>
        </w:rPr>
      </w:pPr>
      <w:r w:rsidRPr="009C66AC">
        <w:rPr>
          <w:rStyle w:val="FootnoteReference"/>
          <w:rFonts w:ascii="Cambria" w:hAnsi="Cambria"/>
          <w:sz w:val="16"/>
          <w:szCs w:val="16"/>
        </w:rPr>
        <w:footnoteRef/>
      </w:r>
      <w:r w:rsidRPr="009C66AC">
        <w:rPr>
          <w:rFonts w:ascii="Cambria" w:hAnsi="Cambria"/>
          <w:sz w:val="16"/>
          <w:szCs w:val="16"/>
        </w:rPr>
        <w:t xml:space="preserve"> </w:t>
      </w:r>
      <w:proofErr w:type="gramStart"/>
      <w:r w:rsidRPr="009C66AC">
        <w:rPr>
          <w:rFonts w:ascii="Cambria" w:hAnsi="Cambria"/>
          <w:sz w:val="16"/>
          <w:szCs w:val="16"/>
        </w:rPr>
        <w:t>Communication of the Brazilian State, of May 28, 2012, para.</w:t>
      </w:r>
      <w:proofErr w:type="gramEnd"/>
      <w:r w:rsidRPr="009C66AC">
        <w:rPr>
          <w:rFonts w:ascii="Cambria" w:hAnsi="Cambria"/>
          <w:sz w:val="16"/>
          <w:szCs w:val="16"/>
        </w:rPr>
        <w:t xml:space="preserve"> </w:t>
      </w:r>
      <w:r w:rsidRPr="009C66AC">
        <w:rPr>
          <w:rFonts w:ascii="Cambria" w:hAnsi="Cambria"/>
          <w:sz w:val="16"/>
          <w:szCs w:val="16"/>
          <w:lang w:val="pt-BR"/>
        </w:rPr>
        <w:t>13.</w:t>
      </w:r>
    </w:p>
  </w:footnote>
  <w:footnote w:id="337">
    <w:p w:rsidR="00D53806" w:rsidRPr="009C66AC" w:rsidRDefault="00D53806" w:rsidP="00B64BF5">
      <w:pPr>
        <w:pStyle w:val="FootnoteText"/>
        <w:ind w:firstLine="720"/>
        <w:jc w:val="both"/>
        <w:rPr>
          <w:rFonts w:ascii="Cambria" w:hAnsi="Cambria"/>
          <w:b/>
          <w:sz w:val="16"/>
          <w:szCs w:val="16"/>
          <w:lang w:val="pt-BR"/>
        </w:rPr>
      </w:pPr>
      <w:r w:rsidRPr="009C66AC">
        <w:rPr>
          <w:rStyle w:val="FootnoteReference"/>
          <w:rFonts w:ascii="Cambria" w:hAnsi="Cambria"/>
          <w:sz w:val="16"/>
          <w:szCs w:val="16"/>
        </w:rPr>
        <w:footnoteRef/>
      </w:r>
      <w:r w:rsidRPr="009C66AC">
        <w:rPr>
          <w:rFonts w:ascii="Cambria" w:hAnsi="Cambria"/>
          <w:b/>
          <w:sz w:val="16"/>
          <w:szCs w:val="16"/>
          <w:lang w:val="pt-BR"/>
        </w:rPr>
        <w:t xml:space="preserve"> </w:t>
      </w:r>
      <w:r w:rsidRPr="009C66AC">
        <w:rPr>
          <w:rStyle w:val="Emphasis"/>
          <w:rFonts w:ascii="Cambria" w:hAnsi="Cambria" w:cs="Arial"/>
          <w:i w:val="0"/>
          <w:sz w:val="16"/>
          <w:szCs w:val="16"/>
          <w:lang w:val="pt-BR"/>
        </w:rPr>
        <w:t>Brasil. Presidência da República. Secretaria Especial dos Direitos Humanos. Direito</w:t>
      </w:r>
      <w:r w:rsidRPr="009C66AC">
        <w:rPr>
          <w:rStyle w:val="st1"/>
          <w:rFonts w:ascii="Cambria" w:hAnsi="Cambria" w:cs="Arial"/>
          <w:sz w:val="16"/>
          <w:szCs w:val="16"/>
          <w:lang w:val="pt-BR"/>
        </w:rPr>
        <w:t xml:space="preserve"> à</w:t>
      </w:r>
      <w:r w:rsidRPr="009C66AC">
        <w:rPr>
          <w:rStyle w:val="st1"/>
          <w:rFonts w:ascii="Cambria" w:hAnsi="Cambria" w:cs="Arial"/>
          <w:b/>
          <w:sz w:val="16"/>
          <w:szCs w:val="16"/>
          <w:lang w:val="pt-BR"/>
        </w:rPr>
        <w:t xml:space="preserve"> </w:t>
      </w:r>
      <w:r w:rsidRPr="009C66AC">
        <w:rPr>
          <w:rStyle w:val="Emphasis"/>
          <w:rFonts w:ascii="Cambria" w:hAnsi="Cambria" w:cs="Arial"/>
          <w:i w:val="0"/>
          <w:sz w:val="16"/>
          <w:szCs w:val="16"/>
          <w:lang w:val="pt-BR"/>
        </w:rPr>
        <w:t>Memória e</w:t>
      </w:r>
      <w:r w:rsidRPr="009C66AC">
        <w:rPr>
          <w:rStyle w:val="st1"/>
          <w:rFonts w:ascii="Cambria" w:hAnsi="Cambria" w:cs="Arial"/>
          <w:b/>
          <w:sz w:val="16"/>
          <w:szCs w:val="16"/>
          <w:lang w:val="pt-BR"/>
        </w:rPr>
        <w:t xml:space="preserve"> </w:t>
      </w:r>
      <w:r w:rsidRPr="009C66AC">
        <w:rPr>
          <w:rStyle w:val="st1"/>
          <w:rFonts w:ascii="Cambria" w:hAnsi="Cambria" w:cs="Arial"/>
          <w:sz w:val="16"/>
          <w:szCs w:val="16"/>
          <w:lang w:val="pt-BR"/>
        </w:rPr>
        <w:t xml:space="preserve">à </w:t>
      </w:r>
      <w:r w:rsidRPr="009C66AC">
        <w:rPr>
          <w:rStyle w:val="Emphasis"/>
          <w:rFonts w:ascii="Cambria" w:hAnsi="Cambria" w:cs="Arial"/>
          <w:i w:val="0"/>
          <w:sz w:val="16"/>
          <w:szCs w:val="16"/>
          <w:lang w:val="pt-BR"/>
        </w:rPr>
        <w:t>Verdade: Comissão Especial sobre Mortos e Desaparecidos Políticos. Brasília, Secretaria Especial dos Direitos Humanos, 2007.</w:t>
      </w:r>
    </w:p>
  </w:footnote>
  <w:footnote w:id="338">
    <w:p w:rsidR="00D53806" w:rsidRPr="00B64BF5" w:rsidRDefault="00D53806" w:rsidP="00B64BF5">
      <w:pPr>
        <w:pStyle w:val="FootnoteText"/>
        <w:ind w:firstLine="720"/>
        <w:jc w:val="both"/>
        <w:rPr>
          <w:rFonts w:ascii="Cambria" w:hAnsi="Cambria"/>
          <w:sz w:val="16"/>
          <w:szCs w:val="16"/>
          <w:lang w:val="pt-BR"/>
        </w:rPr>
      </w:pPr>
      <w:r w:rsidRPr="009C66AC">
        <w:rPr>
          <w:rStyle w:val="FootnoteReference"/>
          <w:rFonts w:ascii="Cambria" w:hAnsi="Cambria"/>
          <w:sz w:val="16"/>
          <w:szCs w:val="16"/>
        </w:rPr>
        <w:footnoteRef/>
      </w:r>
      <w:r w:rsidRPr="009C66AC">
        <w:rPr>
          <w:rFonts w:ascii="Cambria" w:hAnsi="Cambria"/>
          <w:sz w:val="16"/>
          <w:szCs w:val="16"/>
          <w:lang w:val="pt-BR"/>
        </w:rPr>
        <w:t xml:space="preserve"> Processo No. 0046690</w:t>
      </w:r>
      <w:r w:rsidRPr="00B64BF5">
        <w:rPr>
          <w:rFonts w:ascii="Cambria" w:hAnsi="Cambria"/>
          <w:sz w:val="16"/>
          <w:szCs w:val="16"/>
          <w:lang w:val="pt-BR"/>
        </w:rPr>
        <w:t>-64.2012.8.26.0100. 2</w:t>
      </w:r>
      <w:r w:rsidRPr="00B64BF5">
        <w:rPr>
          <w:rStyle w:val="st1"/>
          <w:rFonts w:ascii="Cambria" w:hAnsi="Cambria" w:cs="Arial"/>
          <w:color w:val="545454"/>
          <w:sz w:val="16"/>
          <w:szCs w:val="16"/>
          <w:lang w:val="pt-BR"/>
        </w:rPr>
        <w:t>ª</w:t>
      </w:r>
      <w:r w:rsidRPr="00B64BF5">
        <w:rPr>
          <w:rFonts w:ascii="Cambria" w:hAnsi="Cambria"/>
          <w:sz w:val="16"/>
          <w:szCs w:val="16"/>
          <w:lang w:val="pt-BR"/>
        </w:rPr>
        <w:t xml:space="preserve"> Vara de Registros Públicos da Comarca de São Paulo. </w:t>
      </w:r>
      <w:r w:rsidRPr="00B64BF5">
        <w:rPr>
          <w:rFonts w:ascii="Cambria" w:hAnsi="Cambria"/>
          <w:sz w:val="16"/>
          <w:szCs w:val="16"/>
          <w:lang w:val="pt-BR"/>
        </w:rPr>
        <w:t xml:space="preserve">Judgment of September 24, 2012, fls. 4. </w:t>
      </w:r>
    </w:p>
  </w:footnote>
  <w:footnote w:id="33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sz w:val="16"/>
          <w:szCs w:val="16"/>
          <w:lang w:val="pt-BR"/>
        </w:rPr>
        <w:t xml:space="preserve"> </w:t>
      </w:r>
      <w:r w:rsidRPr="00B64BF5">
        <w:rPr>
          <w:rStyle w:val="Emphasis"/>
          <w:rFonts w:ascii="Cambria" w:hAnsi="Cambria" w:cs="Arial"/>
          <w:i w:val="0"/>
          <w:sz w:val="16"/>
          <w:szCs w:val="16"/>
          <w:lang w:val="pt-BR"/>
        </w:rPr>
        <w:t xml:space="preserve">Comissão Nacional da Verdade. Volume III. “Mortos e desaparecidos políticos” – </w:t>
      </w:r>
      <w:r w:rsidRPr="00B64BF5">
        <w:rPr>
          <w:rStyle w:val="Emphasis"/>
          <w:rFonts w:ascii="Cambria" w:hAnsi="Cambria" w:cs="Arial"/>
          <w:i w:val="0"/>
          <w:sz w:val="16"/>
          <w:szCs w:val="16"/>
          <w:lang w:val="pt-BR"/>
        </w:rPr>
        <w:t xml:space="preserve">May 1974 – October 1985, </w:t>
      </w:r>
      <w:r w:rsidRPr="00B64BF5">
        <w:rPr>
          <w:rFonts w:ascii="Cambria" w:hAnsi="Cambria" w:cs="AGaramondPro-Italic-SC700"/>
          <w:iCs/>
          <w:sz w:val="16"/>
          <w:szCs w:val="16"/>
          <w:lang w:val="pt-BR"/>
        </w:rPr>
        <w:t xml:space="preserve">fls </w:t>
      </w:r>
      <w:r w:rsidRPr="00B64BF5">
        <w:rPr>
          <w:rFonts w:ascii="Cambria" w:hAnsi="Cambria"/>
          <w:sz w:val="16"/>
          <w:szCs w:val="16"/>
          <w:lang w:val="pt-BR"/>
        </w:rPr>
        <w:t>1794-1799, of December 10,</w:t>
      </w:r>
      <w:r w:rsidRPr="00B64BF5">
        <w:rPr>
          <w:rFonts w:ascii="Cambria" w:hAnsi="Cambria"/>
          <w:color w:val="222222"/>
          <w:sz w:val="16"/>
          <w:szCs w:val="16"/>
          <w:lang w:val="pt-BR"/>
        </w:rPr>
        <w:t xml:space="preserve"> 2014. </w:t>
      </w:r>
      <w:r w:rsidRPr="00B64BF5">
        <w:rPr>
          <w:rFonts w:ascii="Cambria" w:hAnsi="Cambria"/>
          <w:sz w:val="16"/>
          <w:szCs w:val="16"/>
          <w:lang w:val="pt-BR"/>
        </w:rPr>
        <w:t xml:space="preserve"> </w:t>
      </w:r>
    </w:p>
  </w:footnote>
  <w:footnote w:id="34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rPr>
        <w:t xml:space="preserve"> I/A Court H.R. </w:t>
      </w:r>
      <w:r w:rsidRPr="00B64BF5">
        <w:rPr>
          <w:rFonts w:ascii="Cambria" w:hAnsi="Cambria"/>
          <w:iCs/>
          <w:sz w:val="16"/>
          <w:szCs w:val="16"/>
        </w:rPr>
        <w:t xml:space="preserve">Case of </w:t>
      </w:r>
      <w:proofErr w:type="spellStart"/>
      <w:r w:rsidRPr="00B64BF5">
        <w:rPr>
          <w:rFonts w:ascii="Cambria" w:hAnsi="Cambria"/>
          <w:iCs/>
          <w:sz w:val="16"/>
          <w:szCs w:val="16"/>
        </w:rPr>
        <w:t>Almonacid</w:t>
      </w:r>
      <w:proofErr w:type="spellEnd"/>
      <w:r w:rsidRPr="00B64BF5">
        <w:rPr>
          <w:rFonts w:ascii="Cambria" w:hAnsi="Cambria"/>
          <w:iCs/>
          <w:sz w:val="16"/>
          <w:szCs w:val="16"/>
        </w:rPr>
        <w:t xml:space="preserve"> Arellano</w:t>
      </w:r>
      <w:r w:rsidRPr="00B64BF5">
        <w:rPr>
          <w:rFonts w:ascii="Cambria" w:hAnsi="Cambria"/>
          <w:sz w:val="16"/>
          <w:szCs w:val="16"/>
        </w:rPr>
        <w:t xml:space="preserve">, Judgment of September 26, 2006. </w:t>
      </w:r>
      <w:proofErr w:type="spellStart"/>
      <w:r w:rsidRPr="00B64BF5">
        <w:rPr>
          <w:rFonts w:ascii="Cambria" w:hAnsi="Cambria"/>
          <w:sz w:val="16"/>
          <w:szCs w:val="16"/>
        </w:rPr>
        <w:t>Serie</w:t>
      </w:r>
      <w:proofErr w:type="spellEnd"/>
      <w:r w:rsidRPr="00B64BF5">
        <w:rPr>
          <w:rFonts w:ascii="Cambria" w:hAnsi="Cambria"/>
          <w:sz w:val="16"/>
          <w:szCs w:val="16"/>
        </w:rPr>
        <w:t xml:space="preserve"> C No. 154, para. 150. See also, </w:t>
      </w:r>
      <w:proofErr w:type="gramStart"/>
      <w:r w:rsidRPr="00B64BF5">
        <w:rPr>
          <w:rFonts w:ascii="Cambria" w:hAnsi="Cambria"/>
          <w:sz w:val="16"/>
          <w:szCs w:val="16"/>
        </w:rPr>
        <w:t>I/A</w:t>
      </w:r>
      <w:proofErr w:type="gramEnd"/>
      <w:r w:rsidRPr="00B64BF5">
        <w:rPr>
          <w:rFonts w:ascii="Cambria" w:hAnsi="Cambria"/>
          <w:sz w:val="16"/>
          <w:szCs w:val="16"/>
        </w:rPr>
        <w:t xml:space="preserve"> Court H.R. </w:t>
      </w:r>
      <w:r w:rsidRPr="00B64BF5">
        <w:rPr>
          <w:rFonts w:ascii="Cambria" w:hAnsi="Cambria"/>
          <w:iCs/>
          <w:sz w:val="16"/>
          <w:szCs w:val="16"/>
        </w:rPr>
        <w:t>Case of Barrios Altos</w:t>
      </w:r>
      <w:r w:rsidRPr="00B64BF5">
        <w:rPr>
          <w:rFonts w:ascii="Cambria" w:hAnsi="Cambria"/>
          <w:sz w:val="16"/>
          <w:szCs w:val="16"/>
        </w:rPr>
        <w:t xml:space="preserve">. </w:t>
      </w:r>
      <w:r w:rsidRPr="00B64BF5">
        <w:rPr>
          <w:rFonts w:ascii="Cambria" w:hAnsi="Cambria"/>
          <w:sz w:val="16"/>
          <w:szCs w:val="16"/>
          <w:lang w:val="pt-BR"/>
        </w:rPr>
        <w:t xml:space="preserve">Judgment of March 14, 2001. Serie C No. 75, para. 48.  </w:t>
      </w:r>
    </w:p>
  </w:footnote>
  <w:footnote w:id="34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cs="Arial"/>
          <w:i w:val="0"/>
          <w:sz w:val="16"/>
          <w:szCs w:val="16"/>
          <w:lang w:val="pt-BR"/>
        </w:rPr>
        <w:t>Relatório da</w:t>
      </w:r>
      <w:r w:rsidRPr="00B64BF5">
        <w:rPr>
          <w:rStyle w:val="st1"/>
          <w:rFonts w:ascii="Cambria" w:hAnsi="Cambria" w:cs="Arial"/>
          <w:b/>
          <w:sz w:val="16"/>
          <w:szCs w:val="16"/>
          <w:lang w:val="pt-BR"/>
        </w:rPr>
        <w:t xml:space="preserve"> </w:t>
      </w:r>
      <w:r w:rsidRPr="00B64BF5">
        <w:rPr>
          <w:rStyle w:val="Emphasis"/>
          <w:rFonts w:ascii="Cambria" w:hAnsi="Cambria" w:cs="Arial"/>
          <w:i w:val="0"/>
          <w:sz w:val="16"/>
          <w:szCs w:val="16"/>
          <w:lang w:val="pt-BR"/>
        </w:rPr>
        <w:t xml:space="preserve">Comissão Nacional da Verdade. Volume III. “Mortos e desaparecidos políticos” – </w:t>
      </w:r>
      <w:r w:rsidRPr="00B64BF5">
        <w:rPr>
          <w:rStyle w:val="Emphasis"/>
          <w:rFonts w:ascii="Cambria" w:hAnsi="Cambria" w:cs="Arial"/>
          <w:i w:val="0"/>
          <w:sz w:val="16"/>
          <w:szCs w:val="16"/>
          <w:lang w:val="pt-BR"/>
        </w:rPr>
        <w:t xml:space="preserve">May 1974 – October 1985, </w:t>
      </w:r>
      <w:r w:rsidRPr="00B64BF5">
        <w:rPr>
          <w:rFonts w:ascii="Cambria" w:hAnsi="Cambria" w:cs="AGaramondPro-Italic-SC700"/>
          <w:iCs/>
          <w:sz w:val="16"/>
          <w:szCs w:val="16"/>
          <w:lang w:val="pt-BR"/>
        </w:rPr>
        <w:t xml:space="preserve">fls. </w:t>
      </w:r>
      <w:r w:rsidRPr="00B64BF5">
        <w:rPr>
          <w:rFonts w:ascii="Cambria" w:hAnsi="Cambria"/>
          <w:sz w:val="16"/>
          <w:szCs w:val="16"/>
          <w:lang w:val="pt-BR"/>
        </w:rPr>
        <w:t>1799, of</w:t>
      </w:r>
      <w:r w:rsidRPr="00B64BF5">
        <w:rPr>
          <w:rFonts w:ascii="Cambria" w:hAnsi="Cambria"/>
          <w:color w:val="222222"/>
          <w:sz w:val="16"/>
          <w:szCs w:val="16"/>
          <w:lang w:val="pt-BR"/>
        </w:rPr>
        <w:t xml:space="preserve"> December 10, 2014. </w:t>
      </w:r>
      <w:r w:rsidRPr="00B64BF5">
        <w:rPr>
          <w:rFonts w:ascii="Cambria" w:hAnsi="Cambria"/>
          <w:sz w:val="16"/>
          <w:szCs w:val="16"/>
          <w:lang w:val="pt-BR"/>
        </w:rPr>
        <w:t xml:space="preserve"> </w:t>
      </w:r>
    </w:p>
  </w:footnote>
  <w:footnote w:id="342">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Fonts w:ascii="Cambria" w:hAnsi="Cambria"/>
          <w:sz w:val="16"/>
          <w:szCs w:val="16"/>
          <w:lang w:val="pt-BR"/>
        </w:rPr>
        <w:t xml:space="preserve">Proceso </w:t>
      </w:r>
      <w:r w:rsidRPr="00B64BF5">
        <w:rPr>
          <w:rFonts w:ascii="Cambria" w:hAnsi="Cambria"/>
          <w:sz w:val="16"/>
          <w:szCs w:val="16"/>
          <w:lang w:val="pt-BR"/>
        </w:rPr>
        <w:t>2008.61.81.013434-2 Justiça</w:t>
      </w:r>
      <w:r w:rsidRPr="00B64BF5">
        <w:rPr>
          <w:rStyle w:val="Emphasis"/>
          <w:rFonts w:ascii="Cambria" w:hAnsi="Cambria" w:cs="Arial"/>
          <w:i w:val="0"/>
          <w:sz w:val="16"/>
          <w:szCs w:val="16"/>
          <w:lang w:val="pt-BR"/>
        </w:rPr>
        <w:t xml:space="preserve"> Federal - São Paulo, Volume 7, fls. 1381 and 1385, Judgment of deputy Federal Judge Paula Mantovani Avelino, of January 9, 2009.</w:t>
      </w:r>
    </w:p>
  </w:footnote>
  <w:footnote w:id="343">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w:t>
      </w:r>
      <w:r w:rsidRPr="00B64BF5">
        <w:rPr>
          <w:rStyle w:val="Emphasis"/>
          <w:rFonts w:ascii="Cambria" w:hAnsi="Cambria"/>
          <w:i w:val="0"/>
          <w:sz w:val="16"/>
          <w:szCs w:val="16"/>
          <w:lang w:val="pt-BR"/>
        </w:rPr>
        <w:t xml:space="preserve">Proceso </w:t>
      </w:r>
      <w:r w:rsidRPr="00B64BF5">
        <w:rPr>
          <w:rFonts w:ascii="Cambria" w:hAnsi="Cambria"/>
          <w:sz w:val="16"/>
          <w:szCs w:val="16"/>
          <w:lang w:val="pt-BR"/>
        </w:rPr>
        <w:t>2008.61.81.013434-2 Justiça</w:t>
      </w:r>
      <w:r w:rsidRPr="00B64BF5">
        <w:rPr>
          <w:rStyle w:val="Emphasis"/>
          <w:rFonts w:ascii="Cambria" w:hAnsi="Cambria" w:cs="Arial"/>
          <w:i w:val="0"/>
          <w:sz w:val="16"/>
          <w:szCs w:val="16"/>
          <w:lang w:val="pt-BR"/>
        </w:rPr>
        <w:t xml:space="preserve"> Federal - São Paulo, Volume 7, fls. 1387, Judgment of deputy Federal Judge Paula Mantovani Avelino, of January 9, 2009.</w:t>
      </w:r>
    </w:p>
  </w:footnote>
  <w:footnote w:id="344">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Case of Gomes Lund et al. </w:t>
      </w:r>
      <w:r w:rsidRPr="00D53806">
        <w:rPr>
          <w:rFonts w:ascii="Cambria" w:hAnsi="Cambria"/>
          <w:sz w:val="16"/>
          <w:szCs w:val="16"/>
        </w:rPr>
        <w:t>(“</w:t>
      </w:r>
      <w:proofErr w:type="spellStart"/>
      <w:r w:rsidRPr="00D53806">
        <w:rPr>
          <w:rFonts w:ascii="Cambria" w:hAnsi="Cambria"/>
          <w:sz w:val="16"/>
          <w:szCs w:val="16"/>
        </w:rPr>
        <w:t>Guerrilha</w:t>
      </w:r>
      <w:proofErr w:type="spellEnd"/>
      <w:r w:rsidRPr="00D53806">
        <w:rPr>
          <w:rFonts w:ascii="Cambria" w:hAnsi="Cambria"/>
          <w:sz w:val="16"/>
          <w:szCs w:val="16"/>
        </w:rPr>
        <w:t xml:space="preserve"> do Araguaia”) v. Brazil.</w:t>
      </w:r>
      <w:proofErr w:type="gramEnd"/>
      <w:r w:rsidRPr="00D53806">
        <w:rPr>
          <w:rFonts w:ascii="Cambria" w:hAnsi="Cambria"/>
          <w:sz w:val="16"/>
          <w:szCs w:val="16"/>
        </w:rPr>
        <w:t xml:space="preserve"> </w:t>
      </w:r>
      <w:proofErr w:type="gramStart"/>
      <w:r w:rsidRPr="00B64BF5">
        <w:rPr>
          <w:rFonts w:ascii="Cambria" w:hAnsi="Cambria"/>
          <w:sz w:val="16"/>
          <w:szCs w:val="16"/>
        </w:rPr>
        <w:t>Preliminary Objections, Merits, Reparations, and Costs.</w:t>
      </w:r>
      <w:proofErr w:type="gramEnd"/>
      <w:r w:rsidRPr="00B64BF5">
        <w:rPr>
          <w:rFonts w:ascii="Cambria" w:hAnsi="Cambria"/>
          <w:sz w:val="16"/>
          <w:szCs w:val="16"/>
        </w:rPr>
        <w:t xml:space="preserve"> Judgment of November 24, 2010. </w:t>
      </w:r>
      <w:proofErr w:type="spellStart"/>
      <w:r w:rsidRPr="00B64BF5">
        <w:rPr>
          <w:rFonts w:ascii="Cambria" w:hAnsi="Cambria"/>
          <w:sz w:val="16"/>
          <w:szCs w:val="16"/>
        </w:rPr>
        <w:t>Serie</w:t>
      </w:r>
      <w:proofErr w:type="spellEnd"/>
      <w:r w:rsidRPr="00B64BF5">
        <w:rPr>
          <w:rFonts w:ascii="Cambria" w:hAnsi="Cambria"/>
          <w:sz w:val="16"/>
          <w:szCs w:val="16"/>
        </w:rPr>
        <w:t xml:space="preserve"> C No. 219, para.136.</w:t>
      </w:r>
    </w:p>
  </w:footnote>
  <w:footnote w:id="345">
    <w:p w:rsidR="00D53806" w:rsidRPr="00B64BF5" w:rsidRDefault="00D53806" w:rsidP="00B64BF5">
      <w:pPr>
        <w:autoSpaceDE w:val="0"/>
        <w:autoSpaceDN w:val="0"/>
        <w:adjustRightInd w:val="0"/>
        <w:spacing w:after="0" w:line="240" w:lineRule="auto"/>
        <w:ind w:firstLine="720"/>
        <w:jc w:val="both"/>
        <w:rPr>
          <w:rFonts w:ascii="Cambria" w:hAnsi="Cambria" w:cs="Verdan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cs="Verdana"/>
          <w:sz w:val="16"/>
          <w:szCs w:val="16"/>
        </w:rPr>
        <w:t>IACHR.</w:t>
      </w:r>
      <w:proofErr w:type="gramEnd"/>
      <w:r w:rsidRPr="00B64BF5">
        <w:rPr>
          <w:rFonts w:ascii="Cambria" w:hAnsi="Cambria" w:cs="Verdana"/>
          <w:sz w:val="16"/>
          <w:szCs w:val="16"/>
        </w:rPr>
        <w:t xml:space="preserve"> Report No. 44/00, Case 10.820. </w:t>
      </w:r>
      <w:proofErr w:type="gramStart"/>
      <w:r w:rsidRPr="00B64BF5">
        <w:rPr>
          <w:rFonts w:ascii="Cambria" w:hAnsi="Cambria" w:cs="Verdana"/>
          <w:sz w:val="16"/>
          <w:szCs w:val="16"/>
        </w:rPr>
        <w:t>Peru, of April 13, 2000, para.</w:t>
      </w:r>
      <w:proofErr w:type="gramEnd"/>
      <w:r w:rsidRPr="00B64BF5">
        <w:rPr>
          <w:rFonts w:ascii="Cambria" w:hAnsi="Cambria" w:cs="Verdana"/>
          <w:sz w:val="16"/>
          <w:szCs w:val="16"/>
        </w:rPr>
        <w:t xml:space="preserve"> </w:t>
      </w:r>
      <w:proofErr w:type="gramStart"/>
      <w:r w:rsidRPr="00B64BF5">
        <w:rPr>
          <w:rFonts w:ascii="Cambria" w:hAnsi="Cambria" w:cs="Verdana"/>
          <w:sz w:val="16"/>
          <w:szCs w:val="16"/>
        </w:rPr>
        <w:t>68,</w:t>
      </w:r>
      <w:proofErr w:type="gramEnd"/>
      <w:r w:rsidRPr="00B64BF5">
        <w:rPr>
          <w:rFonts w:ascii="Cambria" w:hAnsi="Cambria" w:cs="Verdana"/>
          <w:sz w:val="16"/>
          <w:szCs w:val="16"/>
        </w:rPr>
        <w:t xml:space="preserve"> and IACHR. Report No. 47/00, Case 10.908. </w:t>
      </w:r>
      <w:proofErr w:type="gramStart"/>
      <w:r w:rsidRPr="00B64BF5">
        <w:rPr>
          <w:rFonts w:ascii="Cambria" w:hAnsi="Cambria" w:cs="Verdana"/>
          <w:sz w:val="16"/>
          <w:szCs w:val="16"/>
        </w:rPr>
        <w:t>Peru, of April 13, 2000, para.</w:t>
      </w:r>
      <w:proofErr w:type="gramEnd"/>
      <w:r w:rsidRPr="00B64BF5">
        <w:rPr>
          <w:rFonts w:ascii="Cambria" w:hAnsi="Cambria" w:cs="Verdana"/>
          <w:sz w:val="16"/>
          <w:szCs w:val="16"/>
        </w:rPr>
        <w:t xml:space="preserve"> 76. </w:t>
      </w:r>
      <w:proofErr w:type="gramStart"/>
      <w:r w:rsidRPr="00B64BF5">
        <w:rPr>
          <w:rFonts w:ascii="Cambria" w:hAnsi="Cambria" w:cs="Verdana"/>
          <w:sz w:val="16"/>
          <w:szCs w:val="16"/>
        </w:rPr>
        <w:t>In</w:t>
      </w:r>
      <w:proofErr w:type="gramEnd"/>
      <w:r w:rsidRPr="00B64BF5">
        <w:rPr>
          <w:rFonts w:ascii="Cambria" w:hAnsi="Cambria" w:cs="Verdana"/>
          <w:sz w:val="16"/>
          <w:szCs w:val="16"/>
        </w:rPr>
        <w:t xml:space="preserve"> this regard, </w:t>
      </w:r>
      <w:proofErr w:type="spellStart"/>
      <w:r w:rsidRPr="00B64BF5">
        <w:rPr>
          <w:rFonts w:ascii="Cambria" w:hAnsi="Cambria" w:cs="Verdana"/>
          <w:iCs/>
          <w:sz w:val="16"/>
          <w:szCs w:val="16"/>
        </w:rPr>
        <w:t>cfr</w:t>
      </w:r>
      <w:proofErr w:type="spellEnd"/>
      <w:r w:rsidRPr="00B64BF5">
        <w:rPr>
          <w:rFonts w:ascii="Cambria" w:hAnsi="Cambria" w:cs="Verdana"/>
          <w:sz w:val="16"/>
          <w:szCs w:val="16"/>
        </w:rPr>
        <w:t xml:space="preserve">. </w:t>
      </w:r>
      <w:proofErr w:type="gramStart"/>
      <w:r w:rsidRPr="00B64BF5">
        <w:rPr>
          <w:rFonts w:ascii="Cambria" w:hAnsi="Cambria" w:cs="Verdana"/>
          <w:sz w:val="16"/>
          <w:szCs w:val="16"/>
        </w:rPr>
        <w:t>IACHR.</w:t>
      </w:r>
      <w:proofErr w:type="gramEnd"/>
      <w:r w:rsidRPr="00B64BF5">
        <w:rPr>
          <w:rFonts w:ascii="Cambria" w:hAnsi="Cambria" w:cs="Verdana"/>
          <w:sz w:val="16"/>
          <w:szCs w:val="16"/>
        </w:rPr>
        <w:t xml:space="preserve"> Report No. 55/99, Cases 10.815; 10.905; 10.981; 10.995; 11.042, and 11.136. </w:t>
      </w:r>
      <w:proofErr w:type="gramStart"/>
      <w:r w:rsidRPr="00B64BF5">
        <w:rPr>
          <w:rFonts w:ascii="Cambria" w:hAnsi="Cambria" w:cs="Verdana"/>
          <w:sz w:val="16"/>
          <w:szCs w:val="16"/>
        </w:rPr>
        <w:t>Peru, April 13, 1999, para.</w:t>
      </w:r>
      <w:proofErr w:type="gramEnd"/>
      <w:r w:rsidRPr="00B64BF5">
        <w:rPr>
          <w:rFonts w:ascii="Cambria" w:hAnsi="Cambria" w:cs="Verdana"/>
          <w:sz w:val="16"/>
          <w:szCs w:val="16"/>
        </w:rPr>
        <w:t xml:space="preserve"> 140.</w:t>
      </w:r>
    </w:p>
  </w:footnote>
  <w:footnote w:id="346">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w:t>
      </w:r>
      <w:r w:rsidRPr="00B64BF5">
        <w:rPr>
          <w:rFonts w:ascii="Cambria" w:hAnsi="Cambria"/>
          <w:iCs/>
          <w:sz w:val="16"/>
          <w:szCs w:val="16"/>
        </w:rPr>
        <w:t>Case of Barrios Altos</w:t>
      </w:r>
      <w:r w:rsidRPr="00B64BF5">
        <w:rPr>
          <w:rFonts w:ascii="Cambria" w:hAnsi="Cambria"/>
          <w:sz w:val="16"/>
          <w:szCs w:val="16"/>
        </w:rPr>
        <w:t>.</w:t>
      </w:r>
      <w:proofErr w:type="gramEnd"/>
      <w:r w:rsidRPr="00B64BF5">
        <w:rPr>
          <w:rFonts w:ascii="Cambria" w:hAnsi="Cambria"/>
          <w:sz w:val="16"/>
          <w:szCs w:val="16"/>
        </w:rPr>
        <w:t xml:space="preserve"> Judgment of March 14, 2001. </w:t>
      </w:r>
      <w:proofErr w:type="spellStart"/>
      <w:r w:rsidRPr="00B64BF5">
        <w:rPr>
          <w:rFonts w:ascii="Cambria" w:hAnsi="Cambria"/>
          <w:sz w:val="16"/>
          <w:szCs w:val="16"/>
        </w:rPr>
        <w:t>Serie</w:t>
      </w:r>
      <w:proofErr w:type="spellEnd"/>
      <w:r w:rsidRPr="00B64BF5">
        <w:rPr>
          <w:rFonts w:ascii="Cambria" w:hAnsi="Cambria"/>
          <w:sz w:val="16"/>
          <w:szCs w:val="16"/>
        </w:rPr>
        <w:t xml:space="preserve"> C No. 75, para. 41.  </w:t>
      </w:r>
    </w:p>
  </w:footnote>
  <w:footnote w:id="347">
    <w:p w:rsidR="00D53806" w:rsidRPr="000367BD"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Case of Gomes Lund et al. </w:t>
      </w:r>
      <w:r w:rsidRPr="00D53806">
        <w:rPr>
          <w:rFonts w:ascii="Cambria" w:hAnsi="Cambria"/>
          <w:sz w:val="16"/>
          <w:szCs w:val="16"/>
        </w:rPr>
        <w:t>(“</w:t>
      </w:r>
      <w:proofErr w:type="spellStart"/>
      <w:r w:rsidRPr="00D53806">
        <w:rPr>
          <w:rFonts w:ascii="Cambria" w:hAnsi="Cambria"/>
          <w:sz w:val="16"/>
          <w:szCs w:val="16"/>
        </w:rPr>
        <w:t>Guerrilha</w:t>
      </w:r>
      <w:proofErr w:type="spellEnd"/>
      <w:r w:rsidRPr="00D53806">
        <w:rPr>
          <w:rFonts w:ascii="Cambria" w:hAnsi="Cambria"/>
          <w:sz w:val="16"/>
          <w:szCs w:val="16"/>
        </w:rPr>
        <w:t xml:space="preserve"> do Araguaia”) v. Brazil.</w:t>
      </w:r>
      <w:proofErr w:type="gramEnd"/>
      <w:r w:rsidRPr="00D53806">
        <w:rPr>
          <w:rFonts w:ascii="Cambria" w:hAnsi="Cambria"/>
          <w:sz w:val="16"/>
          <w:szCs w:val="16"/>
        </w:rPr>
        <w:t xml:space="preserve"> </w:t>
      </w:r>
      <w:proofErr w:type="gramStart"/>
      <w:r w:rsidRPr="00B64BF5">
        <w:rPr>
          <w:rFonts w:ascii="Cambria" w:hAnsi="Cambria"/>
          <w:sz w:val="16"/>
          <w:szCs w:val="16"/>
        </w:rPr>
        <w:t>Preliminary Objections, Merits, Reparations, and Costs.</w:t>
      </w:r>
      <w:proofErr w:type="gramEnd"/>
      <w:r w:rsidRPr="00B64BF5">
        <w:rPr>
          <w:rFonts w:ascii="Cambria" w:hAnsi="Cambria"/>
          <w:sz w:val="16"/>
          <w:szCs w:val="16"/>
        </w:rPr>
        <w:t xml:space="preserve"> Judgment of November 24, 2010. </w:t>
      </w:r>
      <w:r w:rsidRPr="000367BD">
        <w:rPr>
          <w:rFonts w:ascii="Cambria" w:hAnsi="Cambria"/>
          <w:sz w:val="16"/>
          <w:szCs w:val="16"/>
        </w:rPr>
        <w:t>Serie C No. 219, para. 170.</w:t>
      </w:r>
    </w:p>
  </w:footnote>
  <w:footnote w:id="348">
    <w:p w:rsidR="00D53806" w:rsidRPr="00D53806" w:rsidRDefault="00D53806" w:rsidP="00B64BF5">
      <w:pPr>
        <w:pStyle w:val="FootnoteText"/>
        <w:ind w:firstLine="720"/>
        <w:jc w:val="both"/>
        <w:rPr>
          <w:rFonts w:ascii="Cambria" w:hAnsi="Cambria"/>
          <w:sz w:val="16"/>
          <w:szCs w:val="16"/>
          <w:lang w:val="es-UY"/>
        </w:rPr>
      </w:pPr>
      <w:r w:rsidRPr="00B64BF5">
        <w:rPr>
          <w:rStyle w:val="FootnoteReference"/>
          <w:rFonts w:ascii="Cambria" w:hAnsi="Cambria"/>
          <w:sz w:val="16"/>
          <w:szCs w:val="16"/>
        </w:rPr>
        <w:footnoteRef/>
      </w:r>
      <w:r w:rsidRPr="000367BD">
        <w:rPr>
          <w:rFonts w:ascii="Cambria" w:hAnsi="Cambria"/>
          <w:sz w:val="16"/>
          <w:szCs w:val="16"/>
        </w:rPr>
        <w:t xml:space="preserve"> IACHR, Report No. 91/08, Case of 11.552, Fondo, Julia Gomes Lund et al. </w:t>
      </w:r>
      <w:r w:rsidRPr="00D53806">
        <w:rPr>
          <w:rFonts w:ascii="Cambria" w:hAnsi="Cambria"/>
          <w:sz w:val="16"/>
          <w:szCs w:val="16"/>
          <w:lang w:val="es-UY"/>
        </w:rPr>
        <w:t xml:space="preserve">(Guerrilla de </w:t>
      </w:r>
      <w:proofErr w:type="spellStart"/>
      <w:r w:rsidRPr="00D53806">
        <w:rPr>
          <w:rFonts w:ascii="Cambria" w:hAnsi="Cambria"/>
          <w:sz w:val="16"/>
          <w:szCs w:val="16"/>
          <w:lang w:val="es-UY"/>
        </w:rPr>
        <w:t>Araguaia</w:t>
      </w:r>
      <w:proofErr w:type="spellEnd"/>
      <w:r w:rsidRPr="00D53806">
        <w:rPr>
          <w:rFonts w:ascii="Cambria" w:hAnsi="Cambria"/>
          <w:sz w:val="16"/>
          <w:szCs w:val="16"/>
          <w:lang w:val="es-UY"/>
        </w:rPr>
        <w:t xml:space="preserve">), </w:t>
      </w:r>
      <w:proofErr w:type="spellStart"/>
      <w:r w:rsidRPr="00D53806">
        <w:rPr>
          <w:rFonts w:ascii="Cambria" w:hAnsi="Cambria"/>
          <w:sz w:val="16"/>
          <w:szCs w:val="16"/>
          <w:lang w:val="es-UY"/>
        </w:rPr>
        <w:t>Brazil</w:t>
      </w:r>
      <w:proofErr w:type="spellEnd"/>
      <w:r w:rsidRPr="00D53806">
        <w:rPr>
          <w:rFonts w:ascii="Cambria" w:hAnsi="Cambria"/>
          <w:sz w:val="16"/>
          <w:szCs w:val="16"/>
          <w:lang w:val="es-UY"/>
        </w:rPr>
        <w:t xml:space="preserve">, </w:t>
      </w:r>
      <w:proofErr w:type="spellStart"/>
      <w:r w:rsidRPr="00D53806">
        <w:rPr>
          <w:rFonts w:ascii="Cambria" w:hAnsi="Cambria"/>
          <w:sz w:val="16"/>
          <w:szCs w:val="16"/>
          <w:lang w:val="es-UY"/>
        </w:rPr>
        <w:t>October</w:t>
      </w:r>
      <w:proofErr w:type="spellEnd"/>
      <w:r w:rsidRPr="00D53806">
        <w:rPr>
          <w:rFonts w:ascii="Cambria" w:hAnsi="Cambria"/>
          <w:sz w:val="16"/>
          <w:szCs w:val="16"/>
          <w:lang w:val="es-UY"/>
        </w:rPr>
        <w:t xml:space="preserve"> 31, 2008, para. 97.</w:t>
      </w:r>
    </w:p>
  </w:footnote>
  <w:footnote w:id="349">
    <w:p w:rsidR="00D53806" w:rsidRPr="000367BD" w:rsidRDefault="00D53806" w:rsidP="00B64BF5">
      <w:pPr>
        <w:pStyle w:val="FootnoteText"/>
        <w:ind w:firstLine="720"/>
        <w:jc w:val="both"/>
        <w:rPr>
          <w:rFonts w:ascii="Cambria" w:hAnsi="Cambria"/>
          <w:sz w:val="16"/>
          <w:szCs w:val="16"/>
          <w:lang w:val="es-UY"/>
        </w:rPr>
      </w:pPr>
      <w:r w:rsidRPr="00B64BF5">
        <w:rPr>
          <w:rStyle w:val="FootnoteReference"/>
          <w:rFonts w:ascii="Cambria" w:hAnsi="Cambria"/>
          <w:sz w:val="16"/>
          <w:szCs w:val="16"/>
        </w:rPr>
        <w:footnoteRef/>
      </w:r>
      <w:r w:rsidRPr="00D53806">
        <w:rPr>
          <w:rFonts w:ascii="Cambria" w:hAnsi="Cambria"/>
          <w:sz w:val="16"/>
          <w:szCs w:val="16"/>
          <w:lang w:val="es-UY"/>
        </w:rPr>
        <w:t xml:space="preserve"> IACHR, </w:t>
      </w:r>
      <w:proofErr w:type="spellStart"/>
      <w:r w:rsidRPr="00D53806">
        <w:rPr>
          <w:rFonts w:ascii="Cambria" w:hAnsi="Cambria"/>
          <w:sz w:val="16"/>
          <w:szCs w:val="16"/>
          <w:lang w:val="es-UY"/>
        </w:rPr>
        <w:t>Report</w:t>
      </w:r>
      <w:proofErr w:type="spellEnd"/>
      <w:r w:rsidRPr="00D53806">
        <w:rPr>
          <w:rFonts w:ascii="Cambria" w:hAnsi="Cambria"/>
          <w:sz w:val="16"/>
          <w:szCs w:val="16"/>
          <w:lang w:val="es-UY"/>
        </w:rPr>
        <w:t xml:space="preserve"> No. 91/08, Case of 11.552, Fondo, Julia Gomes </w:t>
      </w:r>
      <w:proofErr w:type="spellStart"/>
      <w:r w:rsidRPr="00D53806">
        <w:rPr>
          <w:rFonts w:ascii="Cambria" w:hAnsi="Cambria"/>
          <w:sz w:val="16"/>
          <w:szCs w:val="16"/>
          <w:lang w:val="es-UY"/>
        </w:rPr>
        <w:t>Lund</w:t>
      </w:r>
      <w:proofErr w:type="spellEnd"/>
      <w:r w:rsidRPr="00D53806">
        <w:rPr>
          <w:rFonts w:ascii="Cambria" w:hAnsi="Cambria"/>
          <w:sz w:val="16"/>
          <w:szCs w:val="16"/>
          <w:lang w:val="es-UY"/>
        </w:rPr>
        <w:t xml:space="preserve"> et al. (Guerrilla de </w:t>
      </w:r>
      <w:proofErr w:type="spellStart"/>
      <w:r w:rsidRPr="00D53806">
        <w:rPr>
          <w:rFonts w:ascii="Cambria" w:hAnsi="Cambria"/>
          <w:sz w:val="16"/>
          <w:szCs w:val="16"/>
          <w:lang w:val="es-UY"/>
        </w:rPr>
        <w:t>Araguaia</w:t>
      </w:r>
      <w:proofErr w:type="spellEnd"/>
      <w:r w:rsidRPr="00D53806">
        <w:rPr>
          <w:rFonts w:ascii="Cambria" w:hAnsi="Cambria"/>
          <w:sz w:val="16"/>
          <w:szCs w:val="16"/>
          <w:lang w:val="es-UY"/>
        </w:rPr>
        <w:t xml:space="preserve">), </w:t>
      </w:r>
      <w:proofErr w:type="spellStart"/>
      <w:r w:rsidRPr="00D53806">
        <w:rPr>
          <w:rFonts w:ascii="Cambria" w:hAnsi="Cambria"/>
          <w:sz w:val="16"/>
          <w:szCs w:val="16"/>
          <w:lang w:val="es-UY"/>
        </w:rPr>
        <w:t>Brazil</w:t>
      </w:r>
      <w:proofErr w:type="spellEnd"/>
      <w:r w:rsidRPr="00D53806">
        <w:rPr>
          <w:rFonts w:ascii="Cambria" w:hAnsi="Cambria"/>
          <w:sz w:val="16"/>
          <w:szCs w:val="16"/>
          <w:lang w:val="es-UY"/>
        </w:rPr>
        <w:t xml:space="preserve">, </w:t>
      </w:r>
      <w:proofErr w:type="spellStart"/>
      <w:r w:rsidRPr="00D53806">
        <w:rPr>
          <w:rFonts w:ascii="Cambria" w:hAnsi="Cambria"/>
          <w:sz w:val="16"/>
          <w:szCs w:val="16"/>
          <w:lang w:val="es-UY"/>
        </w:rPr>
        <w:t>October</w:t>
      </w:r>
      <w:proofErr w:type="spellEnd"/>
      <w:r w:rsidRPr="00D53806">
        <w:rPr>
          <w:rFonts w:ascii="Cambria" w:hAnsi="Cambria"/>
          <w:sz w:val="16"/>
          <w:szCs w:val="16"/>
          <w:lang w:val="es-UY"/>
        </w:rPr>
        <w:t xml:space="preserve"> 31, 2008, para. </w:t>
      </w:r>
      <w:r w:rsidRPr="000367BD">
        <w:rPr>
          <w:rFonts w:ascii="Cambria" w:hAnsi="Cambria"/>
          <w:sz w:val="16"/>
          <w:szCs w:val="16"/>
          <w:lang w:val="es-UY"/>
        </w:rPr>
        <w:t>100.</w:t>
      </w:r>
    </w:p>
  </w:footnote>
  <w:footnote w:id="350">
    <w:p w:rsidR="00D53806" w:rsidRPr="001F21D0"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0367BD">
        <w:rPr>
          <w:rFonts w:ascii="Cambria" w:hAnsi="Cambria"/>
          <w:sz w:val="16"/>
          <w:szCs w:val="16"/>
          <w:lang w:val="es-UY"/>
        </w:rPr>
        <w:t xml:space="preserve"> IACHR, Report No. 91/08, Case of 11.552, Fondo, Julia Gomes Lund et al. </w:t>
      </w:r>
      <w:r w:rsidRPr="00B64BF5">
        <w:rPr>
          <w:rFonts w:ascii="Cambria" w:hAnsi="Cambria"/>
          <w:sz w:val="16"/>
          <w:szCs w:val="16"/>
          <w:lang w:val="pt-BR"/>
        </w:rPr>
        <w:t xml:space="preserve">(Guerrilla de Araguaia), Brazil, October 31, 2008, para. </w:t>
      </w:r>
      <w:r w:rsidRPr="001F21D0">
        <w:rPr>
          <w:rFonts w:ascii="Cambria" w:hAnsi="Cambria"/>
          <w:sz w:val="16"/>
          <w:szCs w:val="16"/>
        </w:rPr>
        <w:t>180.</w:t>
      </w:r>
    </w:p>
  </w:footnote>
  <w:footnote w:id="351">
    <w:p w:rsidR="00D53806" w:rsidRPr="009C66AC"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1F21D0">
        <w:rPr>
          <w:rFonts w:ascii="Cambria" w:hAnsi="Cambria"/>
          <w:sz w:val="16"/>
          <w:szCs w:val="16"/>
        </w:rPr>
        <w:t xml:space="preserve"> </w:t>
      </w:r>
      <w:proofErr w:type="gramStart"/>
      <w:r w:rsidRPr="001F21D0">
        <w:rPr>
          <w:rFonts w:ascii="Cambria" w:hAnsi="Cambria"/>
          <w:sz w:val="16"/>
          <w:szCs w:val="16"/>
        </w:rPr>
        <w:t xml:space="preserve">I/A Court H.R. Case of Gomes Lund et al. </w:t>
      </w:r>
      <w:r w:rsidRPr="00D53806">
        <w:rPr>
          <w:rFonts w:ascii="Cambria" w:hAnsi="Cambria"/>
          <w:sz w:val="16"/>
          <w:szCs w:val="16"/>
        </w:rPr>
        <w:t>(“</w:t>
      </w:r>
      <w:proofErr w:type="spellStart"/>
      <w:r w:rsidRPr="00D53806">
        <w:rPr>
          <w:rFonts w:ascii="Cambria" w:hAnsi="Cambria"/>
          <w:sz w:val="16"/>
          <w:szCs w:val="16"/>
        </w:rPr>
        <w:t>Guerrilha</w:t>
      </w:r>
      <w:proofErr w:type="spellEnd"/>
      <w:r w:rsidRPr="00D53806">
        <w:rPr>
          <w:rFonts w:ascii="Cambria" w:hAnsi="Cambria"/>
          <w:sz w:val="16"/>
          <w:szCs w:val="16"/>
        </w:rPr>
        <w:t xml:space="preserve"> do Araguaia”) v. Brazil.</w:t>
      </w:r>
      <w:proofErr w:type="gramEnd"/>
      <w:r w:rsidRPr="00D53806">
        <w:rPr>
          <w:rFonts w:ascii="Cambria" w:hAnsi="Cambria"/>
          <w:sz w:val="16"/>
          <w:szCs w:val="16"/>
        </w:rPr>
        <w:t xml:space="preserve"> </w:t>
      </w:r>
      <w:proofErr w:type="gramStart"/>
      <w:r w:rsidRPr="00B64BF5">
        <w:rPr>
          <w:rFonts w:ascii="Cambria" w:hAnsi="Cambria"/>
          <w:sz w:val="16"/>
          <w:szCs w:val="16"/>
        </w:rPr>
        <w:t>Preliminary Objections, Merits, Reparations, and Costs.</w:t>
      </w:r>
      <w:proofErr w:type="gramEnd"/>
      <w:r w:rsidRPr="00B64BF5">
        <w:rPr>
          <w:rFonts w:ascii="Cambria" w:hAnsi="Cambria"/>
          <w:sz w:val="16"/>
          <w:szCs w:val="16"/>
        </w:rPr>
        <w:t xml:space="preserve"> Judgment of November 24, 2010. </w:t>
      </w:r>
      <w:proofErr w:type="spellStart"/>
      <w:r w:rsidRPr="009C66AC">
        <w:rPr>
          <w:rFonts w:ascii="Cambria" w:hAnsi="Cambria"/>
          <w:sz w:val="16"/>
          <w:szCs w:val="16"/>
        </w:rPr>
        <w:t>Serie</w:t>
      </w:r>
      <w:proofErr w:type="spellEnd"/>
      <w:r w:rsidRPr="009C66AC">
        <w:rPr>
          <w:rFonts w:ascii="Cambria" w:hAnsi="Cambria"/>
          <w:sz w:val="16"/>
          <w:szCs w:val="16"/>
        </w:rPr>
        <w:t xml:space="preserve"> C No. 219, para. 170.</w:t>
      </w:r>
    </w:p>
  </w:footnote>
  <w:footnote w:id="352">
    <w:p w:rsidR="00D53806" w:rsidRPr="009C66AC" w:rsidRDefault="00D53806" w:rsidP="00B64BF5">
      <w:pPr>
        <w:pStyle w:val="FootnoteText"/>
        <w:ind w:firstLine="720"/>
        <w:jc w:val="both"/>
        <w:rPr>
          <w:rFonts w:ascii="Cambria" w:hAnsi="Cambria"/>
          <w:sz w:val="16"/>
          <w:szCs w:val="16"/>
          <w:lang w:val="pt-BR"/>
        </w:rPr>
      </w:pPr>
      <w:r w:rsidRPr="009C66AC">
        <w:rPr>
          <w:rStyle w:val="FootnoteReference"/>
          <w:rFonts w:ascii="Cambria" w:hAnsi="Cambria"/>
          <w:sz w:val="16"/>
          <w:szCs w:val="16"/>
        </w:rPr>
        <w:footnoteRef/>
      </w:r>
      <w:r w:rsidRPr="009C66AC">
        <w:rPr>
          <w:rFonts w:ascii="Cambria" w:hAnsi="Cambria"/>
          <w:sz w:val="16"/>
          <w:szCs w:val="16"/>
        </w:rPr>
        <w:t xml:space="preserve"> </w:t>
      </w:r>
      <w:proofErr w:type="gramStart"/>
      <w:r w:rsidRPr="009C66AC">
        <w:rPr>
          <w:rFonts w:ascii="Cambria" w:hAnsi="Cambria"/>
          <w:sz w:val="16"/>
          <w:szCs w:val="16"/>
        </w:rPr>
        <w:t>I/A Court H.R. Case of Gomes Lund et al. (“</w:t>
      </w:r>
      <w:proofErr w:type="spellStart"/>
      <w:r w:rsidRPr="009C66AC">
        <w:rPr>
          <w:rFonts w:ascii="Cambria" w:hAnsi="Cambria"/>
          <w:sz w:val="16"/>
          <w:szCs w:val="16"/>
        </w:rPr>
        <w:t>Guerrilha</w:t>
      </w:r>
      <w:proofErr w:type="spellEnd"/>
      <w:r w:rsidRPr="009C66AC">
        <w:rPr>
          <w:rFonts w:ascii="Cambria" w:hAnsi="Cambria"/>
          <w:sz w:val="16"/>
          <w:szCs w:val="16"/>
        </w:rPr>
        <w:t xml:space="preserve"> do Araguaia”) v. Brazil.</w:t>
      </w:r>
      <w:proofErr w:type="gramEnd"/>
      <w:r w:rsidRPr="009C66AC">
        <w:rPr>
          <w:rFonts w:ascii="Cambria" w:hAnsi="Cambria"/>
          <w:sz w:val="16"/>
          <w:szCs w:val="16"/>
        </w:rPr>
        <w:t xml:space="preserve"> </w:t>
      </w:r>
      <w:proofErr w:type="gramStart"/>
      <w:r w:rsidRPr="009C66AC">
        <w:rPr>
          <w:rFonts w:ascii="Cambria" w:hAnsi="Cambria"/>
          <w:sz w:val="16"/>
          <w:szCs w:val="16"/>
        </w:rPr>
        <w:t>Preliminary Objections, Merits, Reparations, and Costs.</w:t>
      </w:r>
      <w:proofErr w:type="gramEnd"/>
      <w:r w:rsidRPr="009C66AC">
        <w:rPr>
          <w:rFonts w:ascii="Cambria" w:hAnsi="Cambria"/>
          <w:sz w:val="16"/>
          <w:szCs w:val="16"/>
        </w:rPr>
        <w:t xml:space="preserve"> Judgment of November 24, 2010. </w:t>
      </w:r>
      <w:proofErr w:type="spellStart"/>
      <w:r w:rsidRPr="009C66AC">
        <w:rPr>
          <w:rFonts w:ascii="Cambria" w:hAnsi="Cambria"/>
          <w:sz w:val="16"/>
          <w:szCs w:val="16"/>
        </w:rPr>
        <w:t>Serie</w:t>
      </w:r>
      <w:proofErr w:type="spellEnd"/>
      <w:r w:rsidRPr="009C66AC">
        <w:rPr>
          <w:rFonts w:ascii="Cambria" w:hAnsi="Cambria"/>
          <w:sz w:val="16"/>
          <w:szCs w:val="16"/>
        </w:rPr>
        <w:t xml:space="preserve"> C No. 219, para. </w:t>
      </w:r>
      <w:r w:rsidRPr="009C66AC">
        <w:rPr>
          <w:rFonts w:ascii="Cambria" w:hAnsi="Cambria"/>
          <w:sz w:val="16"/>
          <w:szCs w:val="16"/>
          <w:lang w:val="pt-BR"/>
        </w:rPr>
        <w:t>174.</w:t>
      </w:r>
    </w:p>
  </w:footnote>
  <w:footnote w:id="353">
    <w:p w:rsidR="00D53806" w:rsidRPr="009C66AC" w:rsidRDefault="00D53806" w:rsidP="00B64BF5">
      <w:pPr>
        <w:pStyle w:val="FootnoteText"/>
        <w:ind w:firstLine="720"/>
        <w:jc w:val="both"/>
        <w:rPr>
          <w:rFonts w:ascii="Cambria" w:hAnsi="Cambria"/>
          <w:sz w:val="16"/>
          <w:szCs w:val="16"/>
          <w:lang w:val="pt-BR"/>
        </w:rPr>
      </w:pPr>
      <w:r w:rsidRPr="009C66AC">
        <w:rPr>
          <w:rStyle w:val="FootnoteReference"/>
          <w:rFonts w:ascii="Cambria" w:hAnsi="Cambria"/>
          <w:sz w:val="16"/>
          <w:szCs w:val="16"/>
        </w:rPr>
        <w:footnoteRef/>
      </w:r>
      <w:r w:rsidRPr="009C66AC">
        <w:rPr>
          <w:rFonts w:ascii="Cambria" w:hAnsi="Cambria"/>
          <w:sz w:val="16"/>
          <w:szCs w:val="16"/>
          <w:lang w:val="pt-BR"/>
        </w:rPr>
        <w:t xml:space="preserve"> </w:t>
      </w:r>
      <w:r w:rsidRPr="009C66AC">
        <w:rPr>
          <w:rStyle w:val="Emphasis"/>
          <w:rFonts w:ascii="Cambria" w:hAnsi="Cambria" w:cs="Arial"/>
          <w:i w:val="0"/>
          <w:sz w:val="16"/>
          <w:szCs w:val="16"/>
          <w:lang w:val="pt-BR"/>
        </w:rPr>
        <w:t>Relatório da</w:t>
      </w:r>
      <w:r w:rsidRPr="009C66AC">
        <w:rPr>
          <w:rStyle w:val="st1"/>
          <w:rFonts w:ascii="Cambria" w:hAnsi="Cambria" w:cs="Arial"/>
          <w:b/>
          <w:sz w:val="16"/>
          <w:szCs w:val="16"/>
          <w:lang w:val="pt-BR"/>
        </w:rPr>
        <w:t xml:space="preserve"> </w:t>
      </w:r>
      <w:r w:rsidRPr="009C66AC">
        <w:rPr>
          <w:rStyle w:val="Emphasis"/>
          <w:rFonts w:ascii="Cambria" w:hAnsi="Cambria" w:cs="Arial"/>
          <w:i w:val="0"/>
          <w:sz w:val="16"/>
          <w:szCs w:val="16"/>
          <w:lang w:val="pt-BR"/>
        </w:rPr>
        <w:t xml:space="preserve">Comissão Nacional da Verdade. Volume I. Parte I “A Comissão </w:t>
      </w:r>
      <w:r w:rsidRPr="009C66AC">
        <w:rPr>
          <w:rStyle w:val="Emphasis"/>
          <w:rFonts w:ascii="Cambria" w:hAnsi="Cambria" w:cs="Arial"/>
          <w:i w:val="0"/>
          <w:sz w:val="16"/>
          <w:szCs w:val="16"/>
          <w:lang w:val="pt-BR"/>
        </w:rPr>
        <w:t xml:space="preserve">Nacional da Verdade”, </w:t>
      </w:r>
      <w:r w:rsidRPr="009C66AC">
        <w:rPr>
          <w:rFonts w:ascii="Cambria" w:hAnsi="Cambria"/>
          <w:color w:val="222222"/>
          <w:sz w:val="16"/>
          <w:szCs w:val="16"/>
          <w:lang w:val="pt-BR"/>
        </w:rPr>
        <w:t>Chapter 1 – A criação da Comissão Nacional da Verdade, (C) O mandato legal da Comissão Nacional da Verdade</w:t>
      </w:r>
      <w:r w:rsidRPr="009C66AC">
        <w:rPr>
          <w:rStyle w:val="Emphasis"/>
          <w:rFonts w:ascii="Cambria" w:hAnsi="Cambria" w:cs="Arial"/>
          <w:i w:val="0"/>
          <w:sz w:val="16"/>
          <w:szCs w:val="16"/>
          <w:lang w:val="pt-BR"/>
        </w:rPr>
        <w:t xml:space="preserve">, </w:t>
      </w:r>
      <w:r w:rsidRPr="009C66AC">
        <w:rPr>
          <w:rFonts w:ascii="Cambria" w:hAnsi="Cambria" w:cs="AGaramondPro-Italic-SC700"/>
          <w:iCs/>
          <w:sz w:val="16"/>
          <w:szCs w:val="16"/>
          <w:lang w:val="pt-BR"/>
        </w:rPr>
        <w:t>fls. 38</w:t>
      </w:r>
      <w:r w:rsidRPr="009C66AC">
        <w:rPr>
          <w:rFonts w:ascii="Cambria" w:hAnsi="Cambria"/>
          <w:sz w:val="16"/>
          <w:szCs w:val="16"/>
          <w:lang w:val="pt-BR"/>
        </w:rPr>
        <w:t xml:space="preserve">, para. </w:t>
      </w:r>
      <w:r w:rsidRPr="009C66AC">
        <w:rPr>
          <w:rFonts w:ascii="Cambria" w:hAnsi="Cambria"/>
          <w:sz w:val="16"/>
          <w:szCs w:val="16"/>
          <w:lang w:val="pt-BR"/>
        </w:rPr>
        <w:t xml:space="preserve">64, </w:t>
      </w:r>
      <w:r w:rsidRPr="009C66AC">
        <w:rPr>
          <w:rFonts w:ascii="Cambria" w:hAnsi="Cambria"/>
          <w:color w:val="222222"/>
          <w:sz w:val="16"/>
          <w:szCs w:val="16"/>
          <w:lang w:val="pt-BR"/>
        </w:rPr>
        <w:t xml:space="preserve">of December 10, 2014. </w:t>
      </w:r>
      <w:r w:rsidRPr="009C66AC">
        <w:rPr>
          <w:rFonts w:ascii="Cambria" w:hAnsi="Cambria"/>
          <w:sz w:val="16"/>
          <w:szCs w:val="16"/>
          <w:lang w:val="pt-BR"/>
        </w:rPr>
        <w:t xml:space="preserve">   </w:t>
      </w:r>
    </w:p>
  </w:footnote>
  <w:footnote w:id="354">
    <w:p w:rsidR="00D53806" w:rsidRPr="009C66AC" w:rsidRDefault="00D53806" w:rsidP="00B64BF5">
      <w:pPr>
        <w:pStyle w:val="FootnoteText"/>
        <w:ind w:firstLine="720"/>
        <w:jc w:val="both"/>
        <w:rPr>
          <w:rFonts w:ascii="Cambria" w:hAnsi="Cambria"/>
          <w:sz w:val="16"/>
          <w:szCs w:val="16"/>
          <w:lang w:val="es-UY"/>
        </w:rPr>
      </w:pPr>
      <w:r w:rsidRPr="009C66AC">
        <w:rPr>
          <w:rStyle w:val="FootnoteReference"/>
          <w:rFonts w:ascii="Cambria" w:hAnsi="Cambria"/>
          <w:sz w:val="16"/>
          <w:szCs w:val="16"/>
        </w:rPr>
        <w:footnoteRef/>
      </w:r>
      <w:r w:rsidRPr="009C66AC">
        <w:rPr>
          <w:rFonts w:ascii="Cambria" w:hAnsi="Cambria"/>
          <w:sz w:val="16"/>
          <w:szCs w:val="16"/>
          <w:lang w:val="pt-BR"/>
        </w:rPr>
        <w:t xml:space="preserve"> </w:t>
      </w:r>
      <w:r w:rsidRPr="009C66AC">
        <w:rPr>
          <w:rStyle w:val="Emphasis"/>
          <w:rFonts w:ascii="Cambria" w:hAnsi="Cambria" w:cs="Arial"/>
          <w:i w:val="0"/>
          <w:sz w:val="16"/>
          <w:szCs w:val="16"/>
          <w:lang w:val="pt-BR"/>
        </w:rPr>
        <w:t>Relatório da</w:t>
      </w:r>
      <w:r w:rsidRPr="009C66AC">
        <w:rPr>
          <w:rStyle w:val="st1"/>
          <w:rFonts w:ascii="Cambria" w:hAnsi="Cambria" w:cs="Arial"/>
          <w:b/>
          <w:sz w:val="16"/>
          <w:szCs w:val="16"/>
          <w:lang w:val="pt-BR"/>
        </w:rPr>
        <w:t xml:space="preserve"> </w:t>
      </w:r>
      <w:r w:rsidRPr="009C66AC">
        <w:rPr>
          <w:rStyle w:val="Emphasis"/>
          <w:rFonts w:ascii="Cambria" w:hAnsi="Cambria" w:cs="Arial"/>
          <w:i w:val="0"/>
          <w:sz w:val="16"/>
          <w:szCs w:val="16"/>
          <w:lang w:val="pt-BR"/>
        </w:rPr>
        <w:t xml:space="preserve">Comissão Nacional da Verdade. Volume I. Parte I “A Comissão </w:t>
      </w:r>
      <w:r w:rsidRPr="009C66AC">
        <w:rPr>
          <w:rStyle w:val="Emphasis"/>
          <w:rFonts w:ascii="Cambria" w:hAnsi="Cambria" w:cs="Arial"/>
          <w:i w:val="0"/>
          <w:sz w:val="16"/>
          <w:szCs w:val="16"/>
          <w:lang w:val="pt-BR"/>
        </w:rPr>
        <w:t xml:space="preserve">Nacional da Verdade”, </w:t>
      </w:r>
      <w:r w:rsidRPr="009C66AC">
        <w:rPr>
          <w:rFonts w:ascii="Cambria" w:hAnsi="Cambria"/>
          <w:color w:val="222222"/>
          <w:sz w:val="16"/>
          <w:szCs w:val="16"/>
          <w:lang w:val="pt-BR"/>
        </w:rPr>
        <w:t>Chapter 1 – A criação da Comissão Nacional da Verdade, (C) O mandato legal da Comissão Nacional da Verdade</w:t>
      </w:r>
      <w:r w:rsidRPr="009C66AC">
        <w:rPr>
          <w:rStyle w:val="Emphasis"/>
          <w:rFonts w:ascii="Cambria" w:hAnsi="Cambria" w:cs="Arial"/>
          <w:i w:val="0"/>
          <w:sz w:val="16"/>
          <w:szCs w:val="16"/>
          <w:lang w:val="pt-BR"/>
        </w:rPr>
        <w:t xml:space="preserve">, </w:t>
      </w:r>
      <w:r w:rsidRPr="009C66AC">
        <w:rPr>
          <w:rFonts w:ascii="Cambria" w:hAnsi="Cambria" w:cs="AGaramondPro-Italic-SC700"/>
          <w:iCs/>
          <w:sz w:val="16"/>
          <w:szCs w:val="16"/>
          <w:lang w:val="pt-BR"/>
        </w:rPr>
        <w:t>fls. 38</w:t>
      </w:r>
      <w:r w:rsidRPr="009C66AC">
        <w:rPr>
          <w:rFonts w:ascii="Cambria" w:hAnsi="Cambria"/>
          <w:sz w:val="16"/>
          <w:szCs w:val="16"/>
          <w:lang w:val="pt-BR"/>
        </w:rPr>
        <w:t xml:space="preserve">, para. </w:t>
      </w:r>
      <w:r w:rsidRPr="009C66AC">
        <w:rPr>
          <w:rFonts w:ascii="Cambria" w:hAnsi="Cambria"/>
          <w:sz w:val="16"/>
          <w:szCs w:val="16"/>
          <w:lang w:val="es-UY"/>
        </w:rPr>
        <w:t xml:space="preserve">65, </w:t>
      </w:r>
      <w:r w:rsidRPr="009C66AC">
        <w:rPr>
          <w:rFonts w:ascii="Cambria" w:hAnsi="Cambria"/>
          <w:color w:val="222222"/>
          <w:sz w:val="16"/>
          <w:szCs w:val="16"/>
          <w:lang w:val="es-UY"/>
        </w:rPr>
        <w:t xml:space="preserve">of </w:t>
      </w:r>
      <w:proofErr w:type="spellStart"/>
      <w:r w:rsidRPr="009C66AC">
        <w:rPr>
          <w:rFonts w:ascii="Cambria" w:hAnsi="Cambria"/>
          <w:color w:val="222222"/>
          <w:sz w:val="16"/>
          <w:szCs w:val="16"/>
          <w:lang w:val="es-UY"/>
        </w:rPr>
        <w:t>December</w:t>
      </w:r>
      <w:proofErr w:type="spellEnd"/>
      <w:r w:rsidRPr="009C66AC">
        <w:rPr>
          <w:rFonts w:ascii="Cambria" w:hAnsi="Cambria"/>
          <w:color w:val="222222"/>
          <w:sz w:val="16"/>
          <w:szCs w:val="16"/>
          <w:lang w:val="es-UY"/>
        </w:rPr>
        <w:t xml:space="preserve"> 10, 2014. </w:t>
      </w:r>
      <w:r w:rsidRPr="009C66AC">
        <w:rPr>
          <w:rFonts w:ascii="Cambria" w:hAnsi="Cambria"/>
          <w:sz w:val="16"/>
          <w:szCs w:val="16"/>
          <w:lang w:val="es-UY"/>
        </w:rPr>
        <w:t xml:space="preserve">   </w:t>
      </w:r>
    </w:p>
  </w:footnote>
  <w:footnote w:id="355">
    <w:p w:rsidR="00D53806" w:rsidRPr="009C66AC" w:rsidRDefault="00D53806" w:rsidP="00B64BF5">
      <w:pPr>
        <w:pStyle w:val="FootnoteText"/>
        <w:ind w:firstLine="720"/>
        <w:jc w:val="both"/>
        <w:rPr>
          <w:rFonts w:ascii="Cambria" w:hAnsi="Cambria"/>
          <w:sz w:val="16"/>
          <w:szCs w:val="16"/>
          <w:lang w:val="pt-BR"/>
        </w:rPr>
      </w:pPr>
      <w:r w:rsidRPr="009C66AC">
        <w:rPr>
          <w:rStyle w:val="FootnoteReference"/>
          <w:rFonts w:ascii="Cambria" w:hAnsi="Cambria"/>
          <w:sz w:val="16"/>
          <w:szCs w:val="16"/>
        </w:rPr>
        <w:footnoteRef/>
      </w:r>
      <w:r w:rsidRPr="009C66AC">
        <w:rPr>
          <w:rFonts w:ascii="Cambria" w:hAnsi="Cambria"/>
          <w:sz w:val="16"/>
          <w:szCs w:val="16"/>
          <w:lang w:val="es-UY"/>
        </w:rPr>
        <w:t xml:space="preserve"> </w:t>
      </w:r>
      <w:r w:rsidR="00D44505" w:rsidRPr="009C66AC">
        <w:rPr>
          <w:rFonts w:ascii="Cambria" w:hAnsi="Cambria"/>
          <w:sz w:val="16"/>
          <w:szCs w:val="16"/>
          <w:lang w:val="es-ES"/>
        </w:rPr>
        <w:t xml:space="preserve">Corte IDH. Caso </w:t>
      </w:r>
      <w:proofErr w:type="spellStart"/>
      <w:r w:rsidR="00D44505" w:rsidRPr="009C66AC">
        <w:rPr>
          <w:rFonts w:ascii="Cambria" w:hAnsi="Cambria"/>
          <w:sz w:val="16"/>
          <w:szCs w:val="16"/>
          <w:lang w:val="es-ES"/>
        </w:rPr>
        <w:t>Almonacid</w:t>
      </w:r>
      <w:proofErr w:type="spellEnd"/>
      <w:r w:rsidR="00D44505" w:rsidRPr="009C66AC">
        <w:rPr>
          <w:rFonts w:ascii="Cambria" w:hAnsi="Cambria"/>
          <w:sz w:val="16"/>
          <w:szCs w:val="16"/>
          <w:lang w:val="es-ES"/>
        </w:rPr>
        <w:t xml:space="preserve"> Arellano y otros vs. Chile. Excepciones Preliminares, Fondo, Reparaciones y costas. Sentencia de 26 de septiembre de 2006. Serie C No. 154, párr. 124; Corte IDH. Caso Rosendo Cantú y otra Vs. México. Excepción Preliminar, Fondo, Reparaciones y Costas. Sentencia de 31 de agosto de 2010. Serie C No. 216. párr. 219, y Corte IDH. </w:t>
      </w:r>
      <w:r w:rsidR="00D44505" w:rsidRPr="009C66AC">
        <w:rPr>
          <w:rFonts w:ascii="Cambria" w:hAnsi="Cambria"/>
          <w:bCs/>
          <w:i/>
          <w:sz w:val="16"/>
          <w:szCs w:val="16"/>
          <w:lang w:val="es-ES"/>
        </w:rPr>
        <w:t xml:space="preserve">Caso </w:t>
      </w:r>
      <w:proofErr w:type="spellStart"/>
      <w:r w:rsidR="00D44505" w:rsidRPr="009C66AC">
        <w:rPr>
          <w:rFonts w:ascii="Cambria" w:hAnsi="Cambria"/>
          <w:bCs/>
          <w:i/>
          <w:sz w:val="16"/>
          <w:szCs w:val="16"/>
          <w:lang w:val="es-ES"/>
        </w:rPr>
        <w:t>Ibsen</w:t>
      </w:r>
      <w:proofErr w:type="spellEnd"/>
      <w:r w:rsidR="00D44505" w:rsidRPr="009C66AC">
        <w:rPr>
          <w:rFonts w:ascii="Cambria" w:hAnsi="Cambria"/>
          <w:bCs/>
          <w:i/>
          <w:sz w:val="16"/>
          <w:szCs w:val="16"/>
          <w:lang w:val="es-ES"/>
        </w:rPr>
        <w:t xml:space="preserve"> Cárdenas e </w:t>
      </w:r>
      <w:proofErr w:type="spellStart"/>
      <w:r w:rsidR="00D44505" w:rsidRPr="009C66AC">
        <w:rPr>
          <w:rFonts w:ascii="Cambria" w:hAnsi="Cambria"/>
          <w:bCs/>
          <w:i/>
          <w:sz w:val="16"/>
          <w:szCs w:val="16"/>
          <w:lang w:val="es-ES"/>
        </w:rPr>
        <w:t>Ibsen</w:t>
      </w:r>
      <w:proofErr w:type="spellEnd"/>
      <w:r w:rsidR="00D44505" w:rsidRPr="009C66AC">
        <w:rPr>
          <w:rFonts w:ascii="Cambria" w:hAnsi="Cambria"/>
          <w:bCs/>
          <w:i/>
          <w:sz w:val="16"/>
          <w:szCs w:val="16"/>
          <w:lang w:val="es-ES"/>
        </w:rPr>
        <w:t xml:space="preserve"> Peña Vs. Bolivia.</w:t>
      </w:r>
      <w:r w:rsidR="00D44505" w:rsidRPr="009C66AC">
        <w:rPr>
          <w:rFonts w:ascii="Cambria" w:hAnsi="Cambria"/>
          <w:b/>
          <w:bCs/>
          <w:sz w:val="16"/>
          <w:szCs w:val="16"/>
          <w:lang w:val="es-ES"/>
        </w:rPr>
        <w:t xml:space="preserve"> </w:t>
      </w:r>
      <w:r w:rsidR="00D44505" w:rsidRPr="009C66AC">
        <w:rPr>
          <w:rFonts w:ascii="Cambria" w:hAnsi="Cambria"/>
          <w:sz w:val="16"/>
          <w:szCs w:val="16"/>
          <w:lang w:val="es-ES"/>
        </w:rPr>
        <w:t xml:space="preserve">Fondo, Reparaciones y Costas. Sentencia de 1 de septiembre de 2010 Serie C No. 217. párr. </w:t>
      </w:r>
      <w:r w:rsidR="00D44505" w:rsidRPr="009C66AC">
        <w:rPr>
          <w:rFonts w:ascii="Cambria" w:hAnsi="Cambria"/>
          <w:sz w:val="16"/>
          <w:szCs w:val="16"/>
          <w:lang w:val="pt-BR"/>
        </w:rPr>
        <w:t>202.</w:t>
      </w:r>
    </w:p>
  </w:footnote>
  <w:footnote w:id="356">
    <w:p w:rsidR="00D53806" w:rsidRPr="00B64BF5" w:rsidRDefault="00D53806" w:rsidP="00B64BF5">
      <w:pPr>
        <w:pStyle w:val="FootnoteText"/>
        <w:ind w:firstLine="720"/>
        <w:jc w:val="both"/>
        <w:rPr>
          <w:rFonts w:ascii="Cambria" w:hAnsi="Cambria"/>
          <w:sz w:val="16"/>
          <w:szCs w:val="16"/>
        </w:rPr>
      </w:pPr>
      <w:r w:rsidRPr="009C66AC">
        <w:rPr>
          <w:rStyle w:val="FootnoteReference"/>
          <w:rFonts w:ascii="Cambria" w:hAnsi="Cambria"/>
          <w:sz w:val="16"/>
          <w:szCs w:val="16"/>
        </w:rPr>
        <w:footnoteRef/>
      </w:r>
      <w:r w:rsidRPr="009C66AC">
        <w:rPr>
          <w:rFonts w:ascii="Cambria" w:hAnsi="Cambria"/>
          <w:sz w:val="16"/>
          <w:szCs w:val="16"/>
        </w:rPr>
        <w:t xml:space="preserve"> </w:t>
      </w:r>
      <w:proofErr w:type="gramStart"/>
      <w:r w:rsidRPr="009C66AC">
        <w:rPr>
          <w:rFonts w:ascii="Cambria" w:hAnsi="Cambria"/>
          <w:sz w:val="16"/>
          <w:szCs w:val="16"/>
        </w:rPr>
        <w:t>I/A Court H.R. Case of Gomes Lund et al. (“</w:t>
      </w:r>
      <w:proofErr w:type="spellStart"/>
      <w:r w:rsidRPr="009C66AC">
        <w:rPr>
          <w:rFonts w:ascii="Cambria" w:hAnsi="Cambria"/>
          <w:sz w:val="16"/>
          <w:szCs w:val="16"/>
        </w:rPr>
        <w:t>Guerrilha</w:t>
      </w:r>
      <w:proofErr w:type="spellEnd"/>
      <w:r w:rsidRPr="009C66AC">
        <w:rPr>
          <w:rFonts w:ascii="Cambria" w:hAnsi="Cambria"/>
          <w:sz w:val="16"/>
          <w:szCs w:val="16"/>
        </w:rPr>
        <w:t xml:space="preserve"> do Araguaia”) v. Brazil.</w:t>
      </w:r>
      <w:proofErr w:type="gramEnd"/>
      <w:r w:rsidRPr="009C66AC">
        <w:rPr>
          <w:rFonts w:ascii="Cambria" w:hAnsi="Cambria"/>
          <w:sz w:val="16"/>
          <w:szCs w:val="16"/>
        </w:rPr>
        <w:t xml:space="preserve"> </w:t>
      </w:r>
      <w:proofErr w:type="gramStart"/>
      <w:r w:rsidRPr="009C66AC">
        <w:rPr>
          <w:rFonts w:ascii="Cambria" w:hAnsi="Cambria"/>
          <w:sz w:val="16"/>
          <w:szCs w:val="16"/>
        </w:rPr>
        <w:t>Preliminary Objections, Merits, Reparations, and Costs.</w:t>
      </w:r>
      <w:proofErr w:type="gramEnd"/>
      <w:r w:rsidRPr="009C66AC">
        <w:rPr>
          <w:rFonts w:ascii="Cambria" w:hAnsi="Cambria"/>
          <w:sz w:val="16"/>
          <w:szCs w:val="16"/>
        </w:rPr>
        <w:t xml:space="preserve"> Judgment of November 24, 2010. </w:t>
      </w:r>
      <w:proofErr w:type="spellStart"/>
      <w:r w:rsidRPr="009C66AC">
        <w:rPr>
          <w:rFonts w:ascii="Cambria" w:hAnsi="Cambria"/>
          <w:sz w:val="16"/>
          <w:szCs w:val="16"/>
        </w:rPr>
        <w:t>Serie</w:t>
      </w:r>
      <w:proofErr w:type="spellEnd"/>
      <w:r w:rsidRPr="009C66AC">
        <w:rPr>
          <w:rFonts w:ascii="Cambria" w:hAnsi="Cambria"/>
          <w:sz w:val="16"/>
          <w:szCs w:val="16"/>
        </w:rPr>
        <w:t xml:space="preserve"> C No. 219, para. 176.</w:t>
      </w:r>
    </w:p>
  </w:footnote>
  <w:footnote w:id="357">
    <w:p w:rsidR="00D53806" w:rsidRPr="00B64BF5" w:rsidRDefault="00D53806" w:rsidP="00B64BF5">
      <w:pPr>
        <w:pStyle w:val="FootnoteText"/>
        <w:ind w:firstLine="720"/>
        <w:jc w:val="both"/>
        <w:rPr>
          <w:rFonts w:ascii="Cambria" w:hAnsi="Cambria"/>
          <w:sz w:val="16"/>
          <w:szCs w:val="16"/>
          <w:lang w:val="es-ES"/>
        </w:rPr>
      </w:pPr>
      <w:r w:rsidRPr="00B64BF5">
        <w:rPr>
          <w:rStyle w:val="FootnoteReference"/>
          <w:rFonts w:ascii="Cambria" w:hAnsi="Cambria"/>
          <w:sz w:val="16"/>
          <w:szCs w:val="16"/>
        </w:rPr>
        <w:footnoteRef/>
      </w:r>
      <w:r w:rsidRPr="00B64BF5">
        <w:rPr>
          <w:rFonts w:ascii="Cambria" w:hAnsi="Cambria"/>
          <w:sz w:val="16"/>
          <w:szCs w:val="16"/>
        </w:rPr>
        <w:t xml:space="preserve"> I/A Court H.R. </w:t>
      </w:r>
      <w:r w:rsidRPr="00B64BF5">
        <w:rPr>
          <w:rFonts w:ascii="Cambria" w:hAnsi="Cambria"/>
          <w:iCs/>
          <w:sz w:val="16"/>
          <w:szCs w:val="16"/>
        </w:rPr>
        <w:t xml:space="preserve">Case of </w:t>
      </w:r>
      <w:proofErr w:type="spellStart"/>
      <w:r w:rsidRPr="00B64BF5">
        <w:rPr>
          <w:rFonts w:ascii="Cambria" w:hAnsi="Cambria"/>
          <w:iCs/>
          <w:sz w:val="16"/>
          <w:szCs w:val="16"/>
        </w:rPr>
        <w:t>Almonacid</w:t>
      </w:r>
      <w:proofErr w:type="spellEnd"/>
      <w:r w:rsidRPr="00B64BF5">
        <w:rPr>
          <w:rFonts w:ascii="Cambria" w:hAnsi="Cambria"/>
          <w:iCs/>
          <w:sz w:val="16"/>
          <w:szCs w:val="16"/>
        </w:rPr>
        <w:t xml:space="preserve"> Arellano</w:t>
      </w:r>
      <w:r w:rsidRPr="00B64BF5">
        <w:rPr>
          <w:rFonts w:ascii="Cambria" w:hAnsi="Cambria"/>
          <w:sz w:val="16"/>
          <w:szCs w:val="16"/>
        </w:rPr>
        <w:t xml:space="preserve">, Judgment of September 26, 2006. </w:t>
      </w:r>
      <w:r w:rsidRPr="00B64BF5">
        <w:rPr>
          <w:rFonts w:ascii="Cambria" w:hAnsi="Cambria"/>
          <w:sz w:val="16"/>
          <w:szCs w:val="16"/>
          <w:lang w:val="es-ES"/>
        </w:rPr>
        <w:t>Serie C No. 154, para. 154.</w:t>
      </w:r>
    </w:p>
  </w:footnote>
  <w:footnote w:id="358">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D53806">
        <w:rPr>
          <w:rFonts w:ascii="Cambria" w:hAnsi="Cambria"/>
          <w:sz w:val="16"/>
          <w:szCs w:val="16"/>
        </w:rPr>
        <w:t xml:space="preserve"> </w:t>
      </w:r>
      <w:proofErr w:type="spellStart"/>
      <w:r w:rsidRPr="00D53806">
        <w:rPr>
          <w:rFonts w:ascii="Cambria" w:hAnsi="Cambria"/>
          <w:sz w:val="16"/>
          <w:szCs w:val="16"/>
        </w:rPr>
        <w:t>Cfr</w:t>
      </w:r>
      <w:proofErr w:type="spellEnd"/>
      <w:r w:rsidRPr="00D53806">
        <w:rPr>
          <w:rFonts w:ascii="Cambria" w:hAnsi="Cambria"/>
          <w:sz w:val="16"/>
          <w:szCs w:val="16"/>
        </w:rPr>
        <w:t xml:space="preserve">. Case of </w:t>
      </w:r>
      <w:proofErr w:type="spellStart"/>
      <w:r w:rsidRPr="00D53806">
        <w:rPr>
          <w:rFonts w:ascii="Cambria" w:hAnsi="Cambria"/>
          <w:sz w:val="16"/>
          <w:szCs w:val="16"/>
        </w:rPr>
        <w:t>Carpio</w:t>
      </w:r>
      <w:proofErr w:type="spellEnd"/>
      <w:r w:rsidRPr="00D53806">
        <w:rPr>
          <w:rFonts w:ascii="Cambria" w:hAnsi="Cambria"/>
          <w:sz w:val="16"/>
          <w:szCs w:val="16"/>
        </w:rPr>
        <w:t xml:space="preserve"> Nicolle et al. </w:t>
      </w:r>
      <w:r w:rsidRPr="00B64BF5">
        <w:rPr>
          <w:rFonts w:ascii="Cambria" w:hAnsi="Cambria"/>
          <w:sz w:val="16"/>
          <w:szCs w:val="16"/>
        </w:rPr>
        <w:t xml:space="preserve">Judgment of November 22, 2004. </w:t>
      </w:r>
      <w:proofErr w:type="spellStart"/>
      <w:r w:rsidRPr="00B64BF5">
        <w:rPr>
          <w:rFonts w:ascii="Cambria" w:hAnsi="Cambria"/>
          <w:sz w:val="16"/>
          <w:szCs w:val="16"/>
        </w:rPr>
        <w:t>Serie</w:t>
      </w:r>
      <w:proofErr w:type="spellEnd"/>
      <w:r w:rsidRPr="00B64BF5">
        <w:rPr>
          <w:rFonts w:ascii="Cambria" w:hAnsi="Cambria"/>
          <w:sz w:val="16"/>
          <w:szCs w:val="16"/>
        </w:rPr>
        <w:t xml:space="preserve"> C No. 117, para. </w:t>
      </w:r>
      <w:proofErr w:type="gramStart"/>
      <w:r w:rsidRPr="00B64BF5">
        <w:rPr>
          <w:rFonts w:ascii="Cambria" w:hAnsi="Cambria"/>
          <w:sz w:val="16"/>
          <w:szCs w:val="16"/>
        </w:rPr>
        <w:t xml:space="preserve">131; I/A Court H.R. Case of Gutiérrez </w:t>
      </w:r>
      <w:proofErr w:type="spellStart"/>
      <w:r w:rsidRPr="00B64BF5">
        <w:rPr>
          <w:rFonts w:ascii="Cambria" w:hAnsi="Cambria"/>
          <w:sz w:val="16"/>
          <w:szCs w:val="16"/>
        </w:rPr>
        <w:t>Soler</w:t>
      </w:r>
      <w:proofErr w:type="spellEnd"/>
      <w:r w:rsidRPr="00B64BF5">
        <w:rPr>
          <w:rFonts w:ascii="Cambria" w:hAnsi="Cambria"/>
          <w:sz w:val="16"/>
          <w:szCs w:val="16"/>
        </w:rPr>
        <w:t xml:space="preserve"> v. Colombia.</w:t>
      </w:r>
      <w:proofErr w:type="gramEnd"/>
      <w:r w:rsidRPr="00B64BF5">
        <w:rPr>
          <w:rFonts w:ascii="Cambria" w:hAnsi="Cambria"/>
          <w:sz w:val="16"/>
          <w:szCs w:val="16"/>
        </w:rPr>
        <w:t xml:space="preserve"> Judgment of September 12, 2005. </w:t>
      </w:r>
      <w:proofErr w:type="spellStart"/>
      <w:r w:rsidRPr="00B64BF5">
        <w:rPr>
          <w:rFonts w:ascii="Cambria" w:hAnsi="Cambria"/>
          <w:sz w:val="16"/>
          <w:szCs w:val="16"/>
        </w:rPr>
        <w:t>Serie</w:t>
      </w:r>
      <w:proofErr w:type="spellEnd"/>
      <w:r w:rsidRPr="00B64BF5">
        <w:rPr>
          <w:rFonts w:ascii="Cambria" w:hAnsi="Cambria"/>
          <w:sz w:val="16"/>
          <w:szCs w:val="16"/>
        </w:rPr>
        <w:t xml:space="preserve"> C No. 132, para. XXX; I/A Court H.R. </w:t>
      </w:r>
      <w:r w:rsidRPr="00B64BF5">
        <w:rPr>
          <w:rFonts w:ascii="Cambria" w:hAnsi="Cambria"/>
          <w:iCs/>
          <w:sz w:val="16"/>
          <w:szCs w:val="16"/>
        </w:rPr>
        <w:t xml:space="preserve">Case of </w:t>
      </w:r>
      <w:proofErr w:type="spellStart"/>
      <w:r w:rsidRPr="00B64BF5">
        <w:rPr>
          <w:rFonts w:ascii="Cambria" w:hAnsi="Cambria"/>
          <w:iCs/>
          <w:sz w:val="16"/>
          <w:szCs w:val="16"/>
        </w:rPr>
        <w:t>Almonacid</w:t>
      </w:r>
      <w:proofErr w:type="spellEnd"/>
      <w:r w:rsidRPr="00B64BF5">
        <w:rPr>
          <w:rFonts w:ascii="Cambria" w:hAnsi="Cambria"/>
          <w:iCs/>
          <w:sz w:val="16"/>
          <w:szCs w:val="16"/>
        </w:rPr>
        <w:t xml:space="preserve"> Arellano</w:t>
      </w:r>
      <w:r w:rsidRPr="00B64BF5">
        <w:rPr>
          <w:rFonts w:ascii="Cambria" w:hAnsi="Cambria"/>
          <w:sz w:val="16"/>
          <w:szCs w:val="16"/>
        </w:rPr>
        <w:t xml:space="preserve">, Judgment of September 26, 2006. </w:t>
      </w:r>
      <w:proofErr w:type="spellStart"/>
      <w:r w:rsidRPr="00B64BF5">
        <w:rPr>
          <w:rFonts w:ascii="Cambria" w:hAnsi="Cambria"/>
          <w:sz w:val="16"/>
          <w:szCs w:val="16"/>
        </w:rPr>
        <w:t>Serie</w:t>
      </w:r>
      <w:proofErr w:type="spellEnd"/>
      <w:r w:rsidRPr="00B64BF5">
        <w:rPr>
          <w:rFonts w:ascii="Cambria" w:hAnsi="Cambria"/>
          <w:sz w:val="16"/>
          <w:szCs w:val="16"/>
        </w:rPr>
        <w:t xml:space="preserve"> C No. 154, para. 154.</w:t>
      </w:r>
    </w:p>
  </w:footnote>
  <w:footnote w:id="359">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Case of </w:t>
      </w:r>
      <w:proofErr w:type="spellStart"/>
      <w:r w:rsidRPr="00B64BF5">
        <w:rPr>
          <w:rFonts w:ascii="Cambria" w:hAnsi="Cambria"/>
          <w:sz w:val="16"/>
          <w:szCs w:val="16"/>
        </w:rPr>
        <w:t>Gudiel</w:t>
      </w:r>
      <w:proofErr w:type="spellEnd"/>
      <w:r w:rsidRPr="00B64BF5">
        <w:rPr>
          <w:rFonts w:ascii="Cambria" w:hAnsi="Cambria"/>
          <w:sz w:val="16"/>
          <w:szCs w:val="16"/>
        </w:rPr>
        <w:t xml:space="preserve"> </w:t>
      </w:r>
      <w:proofErr w:type="spellStart"/>
      <w:r w:rsidRPr="00B64BF5">
        <w:rPr>
          <w:rFonts w:ascii="Cambria" w:hAnsi="Cambria"/>
          <w:sz w:val="16"/>
          <w:szCs w:val="16"/>
        </w:rPr>
        <w:t>Álvarez</w:t>
      </w:r>
      <w:proofErr w:type="spellEnd"/>
      <w:r w:rsidRPr="00B64BF5">
        <w:rPr>
          <w:rFonts w:ascii="Cambria" w:hAnsi="Cambria"/>
          <w:sz w:val="16"/>
          <w:szCs w:val="16"/>
        </w:rPr>
        <w:t xml:space="preserve"> (</w:t>
      </w:r>
      <w:proofErr w:type="spellStart"/>
      <w:r w:rsidRPr="00B64BF5">
        <w:rPr>
          <w:rFonts w:ascii="Cambria" w:hAnsi="Cambria"/>
          <w:sz w:val="16"/>
          <w:szCs w:val="16"/>
        </w:rPr>
        <w:t>Diario</w:t>
      </w:r>
      <w:proofErr w:type="spellEnd"/>
      <w:r w:rsidRPr="00B64BF5">
        <w:rPr>
          <w:rFonts w:ascii="Cambria" w:hAnsi="Cambria"/>
          <w:sz w:val="16"/>
          <w:szCs w:val="16"/>
        </w:rPr>
        <w:t xml:space="preserve"> </w:t>
      </w:r>
      <w:proofErr w:type="spellStart"/>
      <w:r w:rsidRPr="00B64BF5">
        <w:rPr>
          <w:rFonts w:ascii="Cambria" w:hAnsi="Cambria"/>
          <w:sz w:val="16"/>
          <w:szCs w:val="16"/>
        </w:rPr>
        <w:t>Militar</w:t>
      </w:r>
      <w:proofErr w:type="spellEnd"/>
      <w:r w:rsidRPr="00B64BF5">
        <w:rPr>
          <w:rFonts w:ascii="Cambria" w:hAnsi="Cambria"/>
          <w:sz w:val="16"/>
          <w:szCs w:val="16"/>
        </w:rPr>
        <w:t>) v. Guatemala.</w:t>
      </w:r>
      <w:proofErr w:type="gramEnd"/>
      <w:r w:rsidRPr="00B64BF5">
        <w:rPr>
          <w:rFonts w:ascii="Cambria" w:hAnsi="Cambria"/>
          <w:sz w:val="16"/>
          <w:szCs w:val="16"/>
        </w:rPr>
        <w:t xml:space="preserve"> </w:t>
      </w:r>
      <w:proofErr w:type="gramStart"/>
      <w:r w:rsidRPr="00B64BF5">
        <w:rPr>
          <w:rFonts w:ascii="Cambria" w:hAnsi="Cambria" w:cs="Verdana"/>
          <w:iCs/>
          <w:sz w:val="16"/>
          <w:szCs w:val="16"/>
        </w:rPr>
        <w:t>Merits, Reparations, and Costs</w:t>
      </w:r>
      <w:r w:rsidRPr="00B64BF5">
        <w:rPr>
          <w:rFonts w:ascii="Cambria" w:hAnsi="Cambria"/>
          <w:sz w:val="16"/>
          <w:szCs w:val="16"/>
        </w:rPr>
        <w:t>.</w:t>
      </w:r>
      <w:proofErr w:type="gramEnd"/>
      <w:r w:rsidRPr="00B64BF5">
        <w:rPr>
          <w:rFonts w:ascii="Cambria" w:hAnsi="Cambria"/>
          <w:sz w:val="16"/>
          <w:szCs w:val="16"/>
        </w:rPr>
        <w:t xml:space="preserve"> </w:t>
      </w:r>
      <w:proofErr w:type="gramStart"/>
      <w:r w:rsidRPr="00B64BF5">
        <w:rPr>
          <w:rFonts w:ascii="Cambria" w:hAnsi="Cambria"/>
          <w:sz w:val="16"/>
          <w:szCs w:val="16"/>
        </w:rPr>
        <w:t xml:space="preserve">Judgment of November 20, 2012 </w:t>
      </w:r>
      <w:proofErr w:type="spellStart"/>
      <w:r w:rsidRPr="00B64BF5">
        <w:rPr>
          <w:rFonts w:ascii="Cambria" w:hAnsi="Cambria"/>
          <w:sz w:val="16"/>
          <w:szCs w:val="16"/>
        </w:rPr>
        <w:t>Serie</w:t>
      </w:r>
      <w:proofErr w:type="spellEnd"/>
      <w:r w:rsidRPr="00B64BF5">
        <w:rPr>
          <w:rFonts w:ascii="Cambria" w:hAnsi="Cambria"/>
          <w:sz w:val="16"/>
          <w:szCs w:val="16"/>
        </w:rPr>
        <w:t xml:space="preserve"> C No. 253, para.</w:t>
      </w:r>
      <w:proofErr w:type="gramEnd"/>
      <w:r w:rsidRPr="00B64BF5">
        <w:rPr>
          <w:rFonts w:ascii="Cambria" w:hAnsi="Cambria"/>
          <w:sz w:val="16"/>
          <w:szCs w:val="16"/>
        </w:rPr>
        <w:t xml:space="preserve"> </w:t>
      </w:r>
      <w:proofErr w:type="gramStart"/>
      <w:r w:rsidRPr="00B64BF5">
        <w:rPr>
          <w:rFonts w:ascii="Cambria" w:hAnsi="Cambria"/>
          <w:sz w:val="16"/>
          <w:szCs w:val="16"/>
        </w:rPr>
        <w:t>298; IACHR.</w:t>
      </w:r>
      <w:proofErr w:type="gramEnd"/>
      <w:r w:rsidRPr="00B64BF5">
        <w:rPr>
          <w:rFonts w:ascii="Cambria" w:hAnsi="Cambria"/>
          <w:sz w:val="16"/>
          <w:szCs w:val="16"/>
        </w:rPr>
        <w:t xml:space="preserve"> </w:t>
      </w:r>
      <w:proofErr w:type="gramStart"/>
      <w:r w:rsidRPr="00B64BF5">
        <w:rPr>
          <w:rFonts w:ascii="Cambria" w:hAnsi="Cambria"/>
          <w:sz w:val="16"/>
          <w:szCs w:val="16"/>
        </w:rPr>
        <w:t>The Right to Truth in the Americas.</w:t>
      </w:r>
      <w:proofErr w:type="gramEnd"/>
      <w:r w:rsidRPr="00B64BF5">
        <w:rPr>
          <w:rFonts w:ascii="Cambria" w:hAnsi="Cambria"/>
          <w:sz w:val="16"/>
          <w:szCs w:val="16"/>
        </w:rPr>
        <w:t xml:space="preserve"> </w:t>
      </w:r>
      <w:r w:rsidRPr="00D53806">
        <w:rPr>
          <w:rFonts w:ascii="Cambria" w:hAnsi="Cambria"/>
          <w:sz w:val="16"/>
          <w:szCs w:val="16"/>
        </w:rPr>
        <w:t>OEA/</w:t>
      </w:r>
      <w:proofErr w:type="spellStart"/>
      <w:r w:rsidRPr="00D53806">
        <w:rPr>
          <w:rFonts w:ascii="Cambria" w:hAnsi="Cambria"/>
          <w:sz w:val="16"/>
          <w:szCs w:val="16"/>
        </w:rPr>
        <w:t>Ser.L</w:t>
      </w:r>
      <w:proofErr w:type="spellEnd"/>
      <w:r w:rsidRPr="00D53806">
        <w:rPr>
          <w:rFonts w:ascii="Cambria" w:hAnsi="Cambria"/>
          <w:sz w:val="16"/>
          <w:szCs w:val="16"/>
        </w:rPr>
        <w:t xml:space="preserve">/V/II.152. </w:t>
      </w:r>
      <w:r w:rsidRPr="00B64BF5">
        <w:rPr>
          <w:rFonts w:ascii="Cambria" w:hAnsi="Cambria"/>
          <w:sz w:val="16"/>
          <w:szCs w:val="16"/>
          <w:lang w:val="pt-BR"/>
        </w:rPr>
        <w:t>Doc. 2. August 13, 2014. Para. 90</w:t>
      </w:r>
    </w:p>
  </w:footnote>
  <w:footnote w:id="360">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 Corte I.D.H., </w:t>
      </w:r>
      <w:r w:rsidRPr="00B64BF5">
        <w:rPr>
          <w:rFonts w:ascii="Cambria" w:hAnsi="Cambria"/>
          <w:bCs/>
          <w:sz w:val="16"/>
          <w:szCs w:val="16"/>
          <w:lang w:val="pt-BR"/>
        </w:rPr>
        <w:t xml:space="preserve">Case of Barrios Altos v. Peru. </w:t>
      </w:r>
      <w:r w:rsidRPr="00B64BF5">
        <w:rPr>
          <w:rFonts w:ascii="Cambria" w:hAnsi="Cambria"/>
          <w:sz w:val="16"/>
          <w:szCs w:val="16"/>
        </w:rPr>
        <w:t xml:space="preserve">Judgment of March 14, 2001. </w:t>
      </w:r>
      <w:r w:rsidRPr="000367BD">
        <w:rPr>
          <w:rFonts w:ascii="Cambria" w:hAnsi="Cambria"/>
          <w:sz w:val="16"/>
          <w:szCs w:val="16"/>
          <w:lang w:val="es-UY"/>
        </w:rPr>
        <w:t xml:space="preserve">Serie C No. 75, para. </w:t>
      </w:r>
      <w:r w:rsidRPr="00B64BF5">
        <w:rPr>
          <w:rFonts w:ascii="Cambria" w:hAnsi="Cambria"/>
          <w:sz w:val="16"/>
          <w:szCs w:val="16"/>
          <w:lang w:val="pt-BR"/>
        </w:rPr>
        <w:t>41.</w:t>
      </w:r>
    </w:p>
  </w:footnote>
  <w:footnote w:id="361">
    <w:p w:rsidR="00D53806" w:rsidRPr="00B64BF5" w:rsidRDefault="00D53806" w:rsidP="00B64BF5">
      <w:pPr>
        <w:pStyle w:val="FootnoteText"/>
        <w:ind w:firstLine="720"/>
        <w:jc w:val="both"/>
        <w:rPr>
          <w:rFonts w:ascii="Cambria" w:hAnsi="Cambria"/>
          <w:sz w:val="16"/>
          <w:szCs w:val="16"/>
          <w:lang w:val="pt-BR"/>
        </w:rPr>
      </w:pPr>
      <w:r w:rsidRPr="00B64BF5">
        <w:rPr>
          <w:rStyle w:val="FootnoteReference"/>
          <w:rFonts w:ascii="Cambria" w:hAnsi="Cambria"/>
          <w:sz w:val="16"/>
          <w:szCs w:val="16"/>
        </w:rPr>
        <w:footnoteRef/>
      </w:r>
      <w:r w:rsidRPr="00B64BF5">
        <w:rPr>
          <w:rFonts w:ascii="Cambria" w:hAnsi="Cambria"/>
          <w:sz w:val="16"/>
          <w:szCs w:val="16"/>
          <w:lang w:val="pt-BR"/>
        </w:rPr>
        <w:t xml:space="preserve">Cfr. </w:t>
      </w:r>
      <w:r w:rsidRPr="00B64BF5">
        <w:rPr>
          <w:rFonts w:ascii="Cambria" w:hAnsi="Cambria"/>
          <w:sz w:val="16"/>
          <w:szCs w:val="16"/>
          <w:lang w:val="pt-BR"/>
        </w:rPr>
        <w:t xml:space="preserve">IACHR, Report No 35/98, Case 12.019, Antonio Ferreira Braga, Brazil, July 19, 2008. </w:t>
      </w:r>
    </w:p>
  </w:footnote>
  <w:footnote w:id="362">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cs="Verdana"/>
          <w:bCs/>
          <w:sz w:val="16"/>
          <w:szCs w:val="16"/>
        </w:rPr>
        <w:t xml:space="preserve">I/A Court H.R. Case of Vera </w:t>
      </w:r>
      <w:proofErr w:type="spellStart"/>
      <w:r w:rsidRPr="00B64BF5">
        <w:rPr>
          <w:rFonts w:ascii="Cambria" w:hAnsi="Cambria" w:cs="Verdana"/>
          <w:bCs/>
          <w:sz w:val="16"/>
          <w:szCs w:val="16"/>
        </w:rPr>
        <w:t>Vera</w:t>
      </w:r>
      <w:proofErr w:type="spellEnd"/>
      <w:r w:rsidRPr="00B64BF5">
        <w:rPr>
          <w:rFonts w:ascii="Cambria" w:hAnsi="Cambria" w:cs="Verdana"/>
          <w:bCs/>
          <w:sz w:val="16"/>
          <w:szCs w:val="16"/>
        </w:rPr>
        <w:t xml:space="preserve"> et al. v. Ecuador.</w:t>
      </w:r>
      <w:proofErr w:type="gramEnd"/>
      <w:r w:rsidRPr="00B64BF5">
        <w:rPr>
          <w:rFonts w:ascii="Cambria" w:hAnsi="Cambria" w:cs="Verdana"/>
          <w:bCs/>
          <w:sz w:val="16"/>
          <w:szCs w:val="16"/>
        </w:rPr>
        <w:t xml:space="preserve"> </w:t>
      </w:r>
      <w:proofErr w:type="gramStart"/>
      <w:r w:rsidRPr="00B64BF5">
        <w:rPr>
          <w:rFonts w:ascii="Cambria" w:hAnsi="Cambria" w:cs="Verdana"/>
          <w:bCs/>
          <w:sz w:val="16"/>
          <w:szCs w:val="16"/>
        </w:rPr>
        <w:t>Preliminary Objection, Merits, Reparations, and Costs.</w:t>
      </w:r>
      <w:proofErr w:type="gramEnd"/>
      <w:r w:rsidRPr="00B64BF5">
        <w:rPr>
          <w:rFonts w:ascii="Cambria" w:hAnsi="Cambria" w:cs="Verdana"/>
          <w:bCs/>
          <w:sz w:val="16"/>
          <w:szCs w:val="16"/>
        </w:rPr>
        <w:t xml:space="preserve"> Judgment of May 19, 2011. </w:t>
      </w:r>
      <w:proofErr w:type="spellStart"/>
      <w:proofErr w:type="gramStart"/>
      <w:r w:rsidRPr="00B64BF5">
        <w:rPr>
          <w:rFonts w:ascii="Cambria" w:hAnsi="Cambria" w:cs="Verdana"/>
          <w:bCs/>
          <w:sz w:val="16"/>
          <w:szCs w:val="16"/>
        </w:rPr>
        <w:t>Serie</w:t>
      </w:r>
      <w:proofErr w:type="spellEnd"/>
      <w:r w:rsidRPr="00B64BF5">
        <w:rPr>
          <w:rFonts w:ascii="Cambria" w:hAnsi="Cambria" w:cs="Verdana"/>
          <w:bCs/>
          <w:sz w:val="16"/>
          <w:szCs w:val="16"/>
        </w:rPr>
        <w:t xml:space="preserve"> C no. 226.</w:t>
      </w:r>
      <w:proofErr w:type="gramEnd"/>
      <w:r w:rsidRPr="00B64BF5">
        <w:rPr>
          <w:rFonts w:ascii="Cambria" w:hAnsi="Cambria" w:cs="Verdana"/>
          <w:bCs/>
          <w:sz w:val="16"/>
          <w:szCs w:val="16"/>
        </w:rPr>
        <w:t xml:space="preserve"> </w:t>
      </w:r>
      <w:proofErr w:type="gramStart"/>
      <w:r w:rsidRPr="00B64BF5">
        <w:rPr>
          <w:rFonts w:ascii="Cambria" w:hAnsi="Cambria" w:cs="Verdana"/>
          <w:bCs/>
          <w:sz w:val="16"/>
          <w:szCs w:val="16"/>
        </w:rPr>
        <w:t>Para.</w:t>
      </w:r>
      <w:proofErr w:type="gramEnd"/>
      <w:r w:rsidRPr="00B64BF5">
        <w:rPr>
          <w:rFonts w:ascii="Cambria" w:hAnsi="Cambria" w:cs="Verdana"/>
          <w:bCs/>
          <w:sz w:val="16"/>
          <w:szCs w:val="16"/>
        </w:rPr>
        <w:t xml:space="preserve"> 117.</w:t>
      </w:r>
    </w:p>
  </w:footnote>
  <w:footnote w:id="363">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w:t>
      </w:r>
      <w:r w:rsidRPr="00B64BF5">
        <w:rPr>
          <w:rFonts w:ascii="Cambria" w:hAnsi="Cambria" w:cs="Verdana"/>
          <w:iCs/>
          <w:sz w:val="16"/>
          <w:szCs w:val="16"/>
        </w:rPr>
        <w:t>Case of Ibsen Cárdenas and Ibsen Peña v. Bolivia.</w:t>
      </w:r>
      <w:proofErr w:type="gramEnd"/>
      <w:r w:rsidRPr="00B64BF5">
        <w:rPr>
          <w:rFonts w:ascii="Cambria" w:hAnsi="Cambria" w:cs="Verdana"/>
          <w:iCs/>
          <w:sz w:val="16"/>
          <w:szCs w:val="16"/>
        </w:rPr>
        <w:t xml:space="preserve"> </w:t>
      </w:r>
      <w:proofErr w:type="gramStart"/>
      <w:r w:rsidRPr="00B64BF5">
        <w:rPr>
          <w:rFonts w:ascii="Cambria" w:hAnsi="Cambria" w:cs="Verdana"/>
          <w:iCs/>
          <w:sz w:val="16"/>
          <w:szCs w:val="16"/>
        </w:rPr>
        <w:t>Merits, Reparations, and Costs.</w:t>
      </w:r>
      <w:proofErr w:type="gramEnd"/>
      <w:r w:rsidRPr="00B64BF5">
        <w:rPr>
          <w:rFonts w:ascii="Cambria" w:hAnsi="Cambria"/>
          <w:sz w:val="16"/>
          <w:szCs w:val="16"/>
        </w:rPr>
        <w:t xml:space="preserve"> </w:t>
      </w:r>
      <w:proofErr w:type="gramStart"/>
      <w:r w:rsidRPr="00B64BF5">
        <w:rPr>
          <w:rFonts w:ascii="Cambria" w:hAnsi="Cambria" w:cs="Verdana"/>
          <w:sz w:val="16"/>
          <w:szCs w:val="16"/>
        </w:rPr>
        <w:t xml:space="preserve">Judgment of September 1, 2010 </w:t>
      </w:r>
      <w:proofErr w:type="spellStart"/>
      <w:r w:rsidRPr="00B64BF5">
        <w:rPr>
          <w:rFonts w:ascii="Cambria" w:hAnsi="Cambria" w:cs="Verdana"/>
          <w:sz w:val="16"/>
          <w:szCs w:val="16"/>
        </w:rPr>
        <w:t>Serie</w:t>
      </w:r>
      <w:proofErr w:type="spellEnd"/>
      <w:r w:rsidRPr="00B64BF5">
        <w:rPr>
          <w:rFonts w:ascii="Cambria" w:hAnsi="Cambria" w:cs="Verdana"/>
          <w:sz w:val="16"/>
          <w:szCs w:val="16"/>
        </w:rPr>
        <w:t xml:space="preserve"> C No. 217</w:t>
      </w:r>
      <w:r w:rsidRPr="00B64BF5">
        <w:rPr>
          <w:rFonts w:ascii="Cambria" w:hAnsi="Cambria"/>
          <w:sz w:val="16"/>
          <w:szCs w:val="16"/>
        </w:rPr>
        <w:t>,</w:t>
      </w:r>
      <w:r w:rsidRPr="00B64BF5">
        <w:rPr>
          <w:rFonts w:ascii="Cambria" w:hAnsi="Cambria"/>
          <w:bCs/>
          <w:sz w:val="16"/>
          <w:szCs w:val="16"/>
        </w:rPr>
        <w:t xml:space="preserve"> </w:t>
      </w:r>
      <w:r w:rsidRPr="00B64BF5">
        <w:rPr>
          <w:rFonts w:ascii="Cambria" w:hAnsi="Cambria"/>
          <w:sz w:val="16"/>
          <w:szCs w:val="16"/>
        </w:rPr>
        <w:t>para.</w:t>
      </w:r>
      <w:proofErr w:type="gramEnd"/>
      <w:r w:rsidRPr="00B64BF5">
        <w:rPr>
          <w:rFonts w:ascii="Cambria" w:hAnsi="Cambria"/>
          <w:sz w:val="16"/>
          <w:szCs w:val="16"/>
        </w:rPr>
        <w:t xml:space="preserve"> 207.</w:t>
      </w:r>
    </w:p>
  </w:footnote>
  <w:footnote w:id="364">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w:t>
      </w:r>
      <w:r w:rsidRPr="00B64BF5">
        <w:rPr>
          <w:rFonts w:ascii="Cambria" w:hAnsi="Cambria"/>
          <w:bCs/>
          <w:iCs/>
          <w:sz w:val="16"/>
          <w:szCs w:val="16"/>
        </w:rPr>
        <w:t xml:space="preserve">Case of Gomes Lund et al. </w:t>
      </w:r>
      <w:r w:rsidRPr="00B64BF5">
        <w:rPr>
          <w:rFonts w:ascii="Cambria" w:hAnsi="Cambria"/>
          <w:bCs/>
          <w:iCs/>
          <w:sz w:val="16"/>
          <w:szCs w:val="16"/>
          <w:lang w:val="pt-BR"/>
        </w:rPr>
        <w:t xml:space="preserve">(Guerrilha do Araguaia) v. </w:t>
      </w:r>
      <w:r w:rsidRPr="00B64BF5">
        <w:rPr>
          <w:rFonts w:ascii="Cambria" w:hAnsi="Cambria"/>
          <w:bCs/>
          <w:iCs/>
          <w:sz w:val="16"/>
          <w:szCs w:val="16"/>
          <w:lang w:val="pt-BR"/>
        </w:rPr>
        <w:t>Brazil.</w:t>
      </w:r>
      <w:proofErr w:type="gramEnd"/>
      <w:r w:rsidRPr="00B64BF5">
        <w:rPr>
          <w:rFonts w:ascii="Cambria" w:hAnsi="Cambria"/>
          <w:bCs/>
          <w:iCs/>
          <w:sz w:val="16"/>
          <w:szCs w:val="16"/>
          <w:lang w:val="pt-BR"/>
        </w:rPr>
        <w:t xml:space="preserve"> </w:t>
      </w:r>
      <w:proofErr w:type="gramStart"/>
      <w:r w:rsidRPr="00B64BF5">
        <w:rPr>
          <w:rFonts w:ascii="Cambria" w:hAnsi="Cambria"/>
          <w:bCs/>
          <w:iCs/>
          <w:sz w:val="16"/>
          <w:szCs w:val="16"/>
        </w:rPr>
        <w:t>Preliminary Objections, Merits, Reparations, and Costs.</w:t>
      </w:r>
      <w:proofErr w:type="gramEnd"/>
      <w:r w:rsidRPr="00B64BF5">
        <w:rPr>
          <w:rFonts w:ascii="Cambria" w:hAnsi="Cambria"/>
          <w:bCs/>
          <w:iCs/>
          <w:sz w:val="16"/>
          <w:szCs w:val="16"/>
        </w:rPr>
        <w:t xml:space="preserve"> Judgment of November 24, 2010. </w:t>
      </w:r>
      <w:proofErr w:type="spellStart"/>
      <w:r w:rsidRPr="00B64BF5">
        <w:rPr>
          <w:rFonts w:ascii="Cambria" w:hAnsi="Cambria"/>
          <w:bCs/>
          <w:iCs/>
          <w:sz w:val="16"/>
          <w:szCs w:val="16"/>
        </w:rPr>
        <w:t>Serie</w:t>
      </w:r>
      <w:proofErr w:type="spellEnd"/>
      <w:r w:rsidRPr="00B64BF5">
        <w:rPr>
          <w:rFonts w:ascii="Cambria" w:hAnsi="Cambria"/>
          <w:bCs/>
          <w:iCs/>
          <w:sz w:val="16"/>
          <w:szCs w:val="16"/>
        </w:rPr>
        <w:t xml:space="preserve"> C No. 219, para. </w:t>
      </w:r>
      <w:proofErr w:type="gramStart"/>
      <w:r w:rsidRPr="00B64BF5">
        <w:rPr>
          <w:rFonts w:ascii="Cambria" w:hAnsi="Cambria"/>
          <w:sz w:val="16"/>
          <w:szCs w:val="16"/>
        </w:rPr>
        <w:t xml:space="preserve">171; and I/A Court H.R. Case of </w:t>
      </w:r>
      <w:proofErr w:type="spellStart"/>
      <w:r w:rsidRPr="00B64BF5">
        <w:rPr>
          <w:rFonts w:ascii="Cambria" w:hAnsi="Cambria"/>
          <w:sz w:val="16"/>
          <w:szCs w:val="16"/>
        </w:rPr>
        <w:t>Gelman</w:t>
      </w:r>
      <w:proofErr w:type="spellEnd"/>
      <w:r w:rsidRPr="00B64BF5">
        <w:rPr>
          <w:rFonts w:ascii="Cambria" w:hAnsi="Cambria"/>
          <w:sz w:val="16"/>
          <w:szCs w:val="16"/>
        </w:rPr>
        <w:t xml:space="preserve"> v. Uruguay.</w:t>
      </w:r>
      <w:proofErr w:type="gramEnd"/>
      <w:r w:rsidRPr="00B64BF5">
        <w:rPr>
          <w:rFonts w:ascii="Cambria" w:hAnsi="Cambria"/>
          <w:sz w:val="16"/>
          <w:szCs w:val="16"/>
        </w:rPr>
        <w:t xml:space="preserve"> </w:t>
      </w:r>
      <w:proofErr w:type="gramStart"/>
      <w:r w:rsidRPr="00B64BF5">
        <w:rPr>
          <w:rFonts w:ascii="Cambria" w:hAnsi="Cambria"/>
          <w:sz w:val="16"/>
          <w:szCs w:val="16"/>
        </w:rPr>
        <w:t>Merits and Reparations.</w:t>
      </w:r>
      <w:proofErr w:type="gramEnd"/>
      <w:r w:rsidRPr="00B64BF5">
        <w:rPr>
          <w:rFonts w:ascii="Cambria" w:hAnsi="Cambria"/>
          <w:sz w:val="16"/>
          <w:szCs w:val="16"/>
        </w:rPr>
        <w:t xml:space="preserve"> Judgment of February 24, 2011. </w:t>
      </w:r>
      <w:proofErr w:type="spellStart"/>
      <w:r w:rsidRPr="00B64BF5">
        <w:rPr>
          <w:rFonts w:ascii="Cambria" w:hAnsi="Cambria"/>
          <w:sz w:val="16"/>
          <w:szCs w:val="16"/>
        </w:rPr>
        <w:t>Serie</w:t>
      </w:r>
      <w:proofErr w:type="spellEnd"/>
      <w:r w:rsidRPr="00B64BF5">
        <w:rPr>
          <w:rFonts w:ascii="Cambria" w:hAnsi="Cambria"/>
          <w:sz w:val="16"/>
          <w:szCs w:val="16"/>
        </w:rPr>
        <w:t xml:space="preserve"> C No. 221, para. 225.</w:t>
      </w:r>
    </w:p>
  </w:footnote>
  <w:footnote w:id="365">
    <w:p w:rsidR="00D53806" w:rsidRPr="000367BD" w:rsidRDefault="00D53806" w:rsidP="00343DD3">
      <w:pPr>
        <w:pStyle w:val="FootnoteText"/>
        <w:ind w:firstLine="720"/>
        <w:jc w:val="both"/>
        <w:rPr>
          <w:rFonts w:ascii="Cambria" w:hAnsi="Cambria"/>
          <w:sz w:val="16"/>
          <w:szCs w:val="16"/>
          <w:lang w:val="es-UY"/>
        </w:rPr>
      </w:pPr>
      <w:r w:rsidRPr="00343DD3">
        <w:rPr>
          <w:rStyle w:val="FootnoteReference"/>
          <w:rFonts w:ascii="Cambria" w:hAnsi="Cambria"/>
          <w:sz w:val="16"/>
          <w:szCs w:val="16"/>
        </w:rPr>
        <w:footnoteRef/>
      </w:r>
      <w:r w:rsidRPr="00343DD3">
        <w:rPr>
          <w:rFonts w:ascii="Cambria" w:hAnsi="Cambria"/>
          <w:sz w:val="16"/>
          <w:szCs w:val="16"/>
        </w:rPr>
        <w:t xml:space="preserve"> See </w:t>
      </w:r>
      <w:proofErr w:type="gramStart"/>
      <w:r w:rsidRPr="00343DD3">
        <w:rPr>
          <w:rFonts w:ascii="Cambria" w:hAnsi="Cambria" w:cs="Verdana"/>
          <w:bCs/>
          <w:sz w:val="16"/>
          <w:szCs w:val="16"/>
        </w:rPr>
        <w:t>I/A</w:t>
      </w:r>
      <w:proofErr w:type="gramEnd"/>
      <w:r w:rsidRPr="00343DD3">
        <w:rPr>
          <w:rFonts w:ascii="Cambria" w:hAnsi="Cambria" w:cs="Verdana"/>
          <w:bCs/>
          <w:sz w:val="16"/>
          <w:szCs w:val="16"/>
        </w:rPr>
        <w:t xml:space="preserve"> Court H.R. Case of the Massacres of El </w:t>
      </w:r>
      <w:proofErr w:type="spellStart"/>
      <w:r w:rsidRPr="00343DD3">
        <w:rPr>
          <w:rFonts w:ascii="Cambria" w:hAnsi="Cambria" w:cs="Verdana"/>
          <w:bCs/>
          <w:sz w:val="16"/>
          <w:szCs w:val="16"/>
        </w:rPr>
        <w:t>Mozote</w:t>
      </w:r>
      <w:proofErr w:type="spellEnd"/>
      <w:r w:rsidRPr="00343DD3">
        <w:rPr>
          <w:rFonts w:ascii="Cambria" w:hAnsi="Cambria" w:cs="Verdana"/>
          <w:bCs/>
          <w:sz w:val="16"/>
          <w:szCs w:val="16"/>
        </w:rPr>
        <w:t xml:space="preserve"> and nearby places v. El Salvador. </w:t>
      </w:r>
      <w:proofErr w:type="gramStart"/>
      <w:r w:rsidRPr="00343DD3">
        <w:rPr>
          <w:rFonts w:ascii="Cambria" w:hAnsi="Cambria" w:cs="Verdana"/>
          <w:bCs/>
          <w:sz w:val="16"/>
          <w:szCs w:val="16"/>
        </w:rPr>
        <w:t>Merits, Reparations, and Costs.</w:t>
      </w:r>
      <w:proofErr w:type="gramEnd"/>
      <w:r w:rsidRPr="00343DD3">
        <w:rPr>
          <w:rFonts w:ascii="Cambria" w:hAnsi="Cambria" w:cs="Verdana"/>
          <w:bCs/>
          <w:sz w:val="16"/>
          <w:szCs w:val="16"/>
        </w:rPr>
        <w:t xml:space="preserve"> </w:t>
      </w:r>
      <w:proofErr w:type="gramStart"/>
      <w:r w:rsidRPr="00343DD3">
        <w:rPr>
          <w:rFonts w:ascii="Cambria" w:hAnsi="Cambria" w:cs="Verdana"/>
          <w:bCs/>
          <w:sz w:val="16"/>
          <w:szCs w:val="16"/>
        </w:rPr>
        <w:t xml:space="preserve">Judgment of October 25, 2012 </w:t>
      </w:r>
      <w:proofErr w:type="spellStart"/>
      <w:r w:rsidRPr="00343DD3">
        <w:rPr>
          <w:rFonts w:ascii="Cambria" w:hAnsi="Cambria" w:cs="Verdana"/>
          <w:bCs/>
          <w:sz w:val="16"/>
          <w:szCs w:val="16"/>
        </w:rPr>
        <w:t>Serie</w:t>
      </w:r>
      <w:proofErr w:type="spellEnd"/>
      <w:r w:rsidRPr="00343DD3">
        <w:rPr>
          <w:rFonts w:ascii="Cambria" w:hAnsi="Cambria" w:cs="Verdana"/>
          <w:bCs/>
          <w:sz w:val="16"/>
          <w:szCs w:val="16"/>
        </w:rPr>
        <w:t xml:space="preserve"> C No. 252.</w:t>
      </w:r>
      <w:proofErr w:type="gramEnd"/>
      <w:r w:rsidRPr="00343DD3">
        <w:rPr>
          <w:rFonts w:ascii="Cambria" w:hAnsi="Cambria" w:cs="Verdana"/>
          <w:bCs/>
          <w:sz w:val="16"/>
          <w:szCs w:val="16"/>
        </w:rPr>
        <w:t xml:space="preserve"> </w:t>
      </w:r>
      <w:r w:rsidRPr="000367BD">
        <w:rPr>
          <w:rFonts w:ascii="Cambria" w:hAnsi="Cambria" w:cs="Verdana"/>
          <w:bCs/>
          <w:sz w:val="16"/>
          <w:szCs w:val="16"/>
          <w:lang w:val="es-UY"/>
        </w:rPr>
        <w:t>Para. 283.</w:t>
      </w:r>
    </w:p>
  </w:footnote>
  <w:footnote w:id="366">
    <w:p w:rsidR="00343DD3" w:rsidRPr="00343DD3" w:rsidRDefault="00343DD3" w:rsidP="00343DD3">
      <w:pPr>
        <w:pStyle w:val="FootnoteText"/>
        <w:ind w:firstLine="720"/>
        <w:jc w:val="both"/>
        <w:rPr>
          <w:rFonts w:ascii="Cambria" w:hAnsi="Cambria"/>
          <w:sz w:val="16"/>
          <w:szCs w:val="16"/>
          <w:lang w:val="es-UY"/>
        </w:rPr>
      </w:pPr>
      <w:r w:rsidRPr="00343DD3">
        <w:rPr>
          <w:rStyle w:val="FootnoteReference"/>
          <w:rFonts w:ascii="Cambria" w:hAnsi="Cambria"/>
          <w:sz w:val="16"/>
          <w:szCs w:val="16"/>
        </w:rPr>
        <w:footnoteRef/>
      </w:r>
      <w:r w:rsidRPr="000367BD">
        <w:rPr>
          <w:rFonts w:ascii="Cambria" w:hAnsi="Cambria"/>
          <w:sz w:val="16"/>
          <w:szCs w:val="16"/>
          <w:lang w:val="es-UY"/>
        </w:rPr>
        <w:t xml:space="preserve"> Proceso 2008.61.81.013434-2 Justiça</w:t>
      </w:r>
      <w:r w:rsidRPr="000367BD">
        <w:rPr>
          <w:rStyle w:val="Emphasis"/>
          <w:rFonts w:ascii="Cambria" w:hAnsi="Cambria" w:cs="Arial"/>
          <w:i w:val="0"/>
          <w:sz w:val="16"/>
          <w:szCs w:val="16"/>
          <w:lang w:val="es-UY"/>
        </w:rPr>
        <w:t xml:space="preserve"> Federal - São Paulo, Volume 7, fls. 1394, Decisión de la Juez Federal sustituta Paula Mantovani Avelino, del 9 de enero de 2009. </w:t>
      </w:r>
      <w:r w:rsidRPr="00343DD3">
        <w:rPr>
          <w:rStyle w:val="Emphasis"/>
          <w:rFonts w:ascii="Cambria" w:hAnsi="Cambria" w:cs="Arial"/>
          <w:i w:val="0"/>
          <w:color w:val="auto"/>
          <w:sz w:val="16"/>
          <w:szCs w:val="16"/>
          <w:lang w:val="es-ES"/>
        </w:rPr>
        <w:t>Anexo a la comunicación de los peticionarios de 11 de diciembre de 2014.</w:t>
      </w:r>
    </w:p>
  </w:footnote>
  <w:footnote w:id="367">
    <w:p w:rsidR="00D53806" w:rsidRPr="00343DD3" w:rsidRDefault="00D53806" w:rsidP="00343DD3">
      <w:pPr>
        <w:pStyle w:val="FootnoteText"/>
        <w:ind w:firstLine="720"/>
        <w:jc w:val="both"/>
        <w:rPr>
          <w:rFonts w:ascii="Cambria" w:hAnsi="Cambria"/>
          <w:sz w:val="16"/>
          <w:szCs w:val="16"/>
        </w:rPr>
      </w:pPr>
      <w:r w:rsidRPr="00343DD3">
        <w:rPr>
          <w:rStyle w:val="FootnoteReference"/>
          <w:rFonts w:ascii="Cambria" w:hAnsi="Cambria"/>
          <w:sz w:val="16"/>
          <w:szCs w:val="16"/>
        </w:rPr>
        <w:footnoteRef/>
      </w:r>
      <w:r w:rsidRPr="00343DD3">
        <w:rPr>
          <w:rFonts w:ascii="Cambria" w:hAnsi="Cambria"/>
          <w:sz w:val="16"/>
          <w:szCs w:val="16"/>
        </w:rPr>
        <w:t xml:space="preserve"> I/A Court H.R. </w:t>
      </w:r>
      <w:r w:rsidRPr="00343DD3">
        <w:rPr>
          <w:rFonts w:ascii="Cambria" w:hAnsi="Cambria"/>
          <w:iCs/>
          <w:sz w:val="16"/>
          <w:szCs w:val="16"/>
        </w:rPr>
        <w:t xml:space="preserve">Case of </w:t>
      </w:r>
      <w:proofErr w:type="spellStart"/>
      <w:r w:rsidRPr="00343DD3">
        <w:rPr>
          <w:rFonts w:ascii="Cambria" w:hAnsi="Cambria"/>
          <w:iCs/>
          <w:sz w:val="16"/>
          <w:szCs w:val="16"/>
        </w:rPr>
        <w:t>Almonacid</w:t>
      </w:r>
      <w:proofErr w:type="spellEnd"/>
      <w:r w:rsidRPr="00343DD3">
        <w:rPr>
          <w:rFonts w:ascii="Cambria" w:hAnsi="Cambria"/>
          <w:iCs/>
          <w:sz w:val="16"/>
          <w:szCs w:val="16"/>
        </w:rPr>
        <w:t xml:space="preserve"> Arellano</w:t>
      </w:r>
      <w:r w:rsidRPr="00343DD3">
        <w:rPr>
          <w:rFonts w:ascii="Cambria" w:hAnsi="Cambria"/>
          <w:sz w:val="16"/>
          <w:szCs w:val="16"/>
        </w:rPr>
        <w:t xml:space="preserve">, Judgment of September 26, 2006. </w:t>
      </w:r>
      <w:proofErr w:type="spellStart"/>
      <w:r w:rsidRPr="00343DD3">
        <w:rPr>
          <w:rFonts w:ascii="Cambria" w:hAnsi="Cambria"/>
          <w:sz w:val="16"/>
          <w:szCs w:val="16"/>
        </w:rPr>
        <w:t>Serie</w:t>
      </w:r>
      <w:proofErr w:type="spellEnd"/>
      <w:r w:rsidRPr="00343DD3">
        <w:rPr>
          <w:rFonts w:ascii="Cambria" w:hAnsi="Cambria"/>
          <w:sz w:val="16"/>
          <w:szCs w:val="16"/>
        </w:rPr>
        <w:t xml:space="preserve"> C No. 154, para. 153.</w:t>
      </w:r>
    </w:p>
  </w:footnote>
  <w:footnote w:id="368">
    <w:p w:rsidR="00D53806" w:rsidRPr="00B64BF5" w:rsidRDefault="00D53806" w:rsidP="00343DD3">
      <w:pPr>
        <w:pStyle w:val="FootnoteText"/>
        <w:ind w:firstLine="720"/>
        <w:jc w:val="both"/>
        <w:rPr>
          <w:rFonts w:ascii="Cambria" w:hAnsi="Cambria"/>
          <w:sz w:val="16"/>
          <w:szCs w:val="16"/>
        </w:rPr>
      </w:pPr>
      <w:r w:rsidRPr="00343DD3">
        <w:rPr>
          <w:rStyle w:val="FootnoteReference"/>
          <w:rFonts w:ascii="Cambria" w:hAnsi="Cambria"/>
          <w:sz w:val="16"/>
          <w:szCs w:val="16"/>
        </w:rPr>
        <w:footnoteRef/>
      </w:r>
      <w:r w:rsidRPr="00343DD3">
        <w:rPr>
          <w:rFonts w:ascii="Cambria" w:hAnsi="Cambria"/>
          <w:sz w:val="16"/>
          <w:szCs w:val="16"/>
          <w:lang w:val="es-ES"/>
        </w:rPr>
        <w:t xml:space="preserve"> Demanda de la Comisión Interamericana de Derechos Humanos ante la Corte Interamericana de Derechos Humanos contra la República Federativa de Brasil. </w:t>
      </w:r>
      <w:r w:rsidRPr="00343DD3">
        <w:rPr>
          <w:rFonts w:ascii="Cambria" w:hAnsi="Cambria"/>
          <w:sz w:val="16"/>
          <w:szCs w:val="16"/>
          <w:lang w:val="pt-BR"/>
        </w:rPr>
        <w:t xml:space="preserve">Case 11,552 </w:t>
      </w:r>
      <w:r w:rsidRPr="00343DD3">
        <w:rPr>
          <w:rFonts w:ascii="Cambria" w:hAnsi="Cambria"/>
          <w:sz w:val="16"/>
          <w:szCs w:val="16"/>
          <w:lang w:val="pt-BR"/>
        </w:rPr>
        <w:t xml:space="preserve">- Julia Gomes Lund et al. (Guerrilha do Araguaia), of March 26, 2009, para. </w:t>
      </w:r>
      <w:r w:rsidRPr="00343DD3">
        <w:rPr>
          <w:rFonts w:ascii="Cambria" w:hAnsi="Cambria"/>
          <w:sz w:val="16"/>
          <w:szCs w:val="16"/>
        </w:rPr>
        <w:t>186.</w:t>
      </w:r>
      <w:r w:rsidRPr="00B64BF5">
        <w:rPr>
          <w:rFonts w:ascii="Cambria" w:hAnsi="Cambria"/>
          <w:sz w:val="16"/>
          <w:szCs w:val="16"/>
        </w:rPr>
        <w:t xml:space="preserve"> </w:t>
      </w:r>
    </w:p>
  </w:footnote>
  <w:footnote w:id="369">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highlight w:val="lightGray"/>
        </w:rPr>
        <w:footnoteRef/>
      </w:r>
      <w:r w:rsidRPr="00B64BF5">
        <w:rPr>
          <w:rFonts w:ascii="Cambria" w:hAnsi="Cambria"/>
          <w:sz w:val="16"/>
          <w:szCs w:val="16"/>
          <w:highlight w:val="lightGray"/>
        </w:rPr>
        <w:t xml:space="preserve"> </w:t>
      </w:r>
      <w:proofErr w:type="spellStart"/>
      <w:proofErr w:type="gramStart"/>
      <w:r w:rsidRPr="00B64BF5">
        <w:rPr>
          <w:rFonts w:ascii="Cambria" w:hAnsi="Cambria"/>
          <w:sz w:val="16"/>
          <w:szCs w:val="16"/>
        </w:rPr>
        <w:t>Cfr</w:t>
      </w:r>
      <w:proofErr w:type="spellEnd"/>
      <w:r w:rsidRPr="00B64BF5">
        <w:rPr>
          <w:rFonts w:ascii="Cambria" w:hAnsi="Cambria"/>
          <w:sz w:val="16"/>
          <w:szCs w:val="16"/>
        </w:rPr>
        <w:t xml:space="preserve">. </w:t>
      </w:r>
      <w:r w:rsidRPr="00B64BF5">
        <w:rPr>
          <w:rFonts w:ascii="Cambria" w:hAnsi="Cambria"/>
          <w:bCs/>
          <w:sz w:val="16"/>
          <w:szCs w:val="16"/>
        </w:rPr>
        <w:t>Case of Juan Humberto Sánchez v. Honduras.</w:t>
      </w:r>
      <w:proofErr w:type="gramEnd"/>
      <w:r w:rsidRPr="00B64BF5">
        <w:rPr>
          <w:rFonts w:ascii="Cambria" w:hAnsi="Cambria"/>
          <w:bCs/>
          <w:sz w:val="16"/>
          <w:szCs w:val="16"/>
        </w:rPr>
        <w:t xml:space="preserve"> </w:t>
      </w:r>
      <w:proofErr w:type="gramStart"/>
      <w:r w:rsidRPr="00B64BF5">
        <w:rPr>
          <w:rFonts w:ascii="Cambria" w:hAnsi="Cambria"/>
          <w:sz w:val="16"/>
          <w:szCs w:val="16"/>
        </w:rPr>
        <w:t>Preliminary Objection, Merits, Reparations, and Costs.</w:t>
      </w:r>
      <w:proofErr w:type="gramEnd"/>
      <w:r w:rsidRPr="00B64BF5">
        <w:rPr>
          <w:rFonts w:ascii="Cambria" w:hAnsi="Cambria"/>
          <w:sz w:val="16"/>
          <w:szCs w:val="16"/>
        </w:rPr>
        <w:t xml:space="preserve"> </w:t>
      </w:r>
      <w:proofErr w:type="spellStart"/>
      <w:r w:rsidRPr="00B64BF5">
        <w:rPr>
          <w:rFonts w:ascii="Cambria" w:hAnsi="Cambria"/>
          <w:sz w:val="16"/>
          <w:szCs w:val="16"/>
          <w:lang w:val="es-ES"/>
        </w:rPr>
        <w:t>Judgment</w:t>
      </w:r>
      <w:proofErr w:type="spellEnd"/>
      <w:r w:rsidRPr="00B64BF5">
        <w:rPr>
          <w:rFonts w:ascii="Cambria" w:hAnsi="Cambria"/>
          <w:sz w:val="16"/>
          <w:szCs w:val="16"/>
          <w:lang w:val="es-ES"/>
        </w:rPr>
        <w:t xml:space="preserve"> of June 7, 2003. Serie C No. 99, para. 112; Case of Valle Jaramillo et al. v. Colombia</w:t>
      </w:r>
      <w:proofErr w:type="gramStart"/>
      <w:r w:rsidRPr="00B64BF5">
        <w:rPr>
          <w:rFonts w:ascii="Cambria" w:hAnsi="Cambria" w:cs="Verdana"/>
          <w:bCs/>
          <w:sz w:val="16"/>
          <w:szCs w:val="16"/>
          <w:lang w:val="es-CR" w:bidi="en-US"/>
        </w:rPr>
        <w:t>, ,</w:t>
      </w:r>
      <w:proofErr w:type="gramEnd"/>
      <w:r w:rsidRPr="00B64BF5">
        <w:rPr>
          <w:rFonts w:ascii="Cambria" w:hAnsi="Cambria"/>
          <w:sz w:val="16"/>
          <w:szCs w:val="16"/>
          <w:lang w:val="es-ES"/>
        </w:rPr>
        <w:t xml:space="preserve"> para. </w:t>
      </w:r>
      <w:proofErr w:type="gramStart"/>
      <w:r w:rsidRPr="00B64BF5">
        <w:rPr>
          <w:rFonts w:ascii="Cambria" w:hAnsi="Cambria"/>
          <w:sz w:val="16"/>
          <w:szCs w:val="16"/>
        </w:rPr>
        <w:t>97,</w:t>
      </w:r>
      <w:proofErr w:type="gramEnd"/>
      <w:r w:rsidRPr="00B64BF5">
        <w:rPr>
          <w:rFonts w:ascii="Cambria" w:hAnsi="Cambria"/>
          <w:sz w:val="16"/>
          <w:szCs w:val="16"/>
        </w:rPr>
        <w:t xml:space="preserve"> and Case of Garibaldi v. Brazil, para. 23.</w:t>
      </w:r>
    </w:p>
  </w:footnote>
  <w:footnote w:id="370">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bCs/>
          <w:sz w:val="16"/>
          <w:szCs w:val="16"/>
        </w:rPr>
        <w:t>Case of Juan Humberto Sánchez v. Honduras.</w:t>
      </w:r>
      <w:proofErr w:type="gramEnd"/>
      <w:r w:rsidRPr="00B64BF5">
        <w:rPr>
          <w:rFonts w:ascii="Cambria" w:hAnsi="Cambria"/>
          <w:bCs/>
          <w:sz w:val="16"/>
          <w:szCs w:val="16"/>
        </w:rPr>
        <w:t xml:space="preserve"> </w:t>
      </w:r>
      <w:proofErr w:type="gramStart"/>
      <w:r w:rsidRPr="00B64BF5">
        <w:rPr>
          <w:rFonts w:ascii="Cambria" w:hAnsi="Cambria"/>
          <w:sz w:val="16"/>
          <w:szCs w:val="16"/>
        </w:rPr>
        <w:t>Preliminary Objection, Merits, Reparations, and Costs.</w:t>
      </w:r>
      <w:proofErr w:type="gramEnd"/>
      <w:r w:rsidRPr="00B64BF5">
        <w:rPr>
          <w:rFonts w:ascii="Cambria" w:hAnsi="Cambria"/>
          <w:sz w:val="16"/>
          <w:szCs w:val="16"/>
        </w:rPr>
        <w:t xml:space="preserve"> </w:t>
      </w:r>
      <w:proofErr w:type="spellStart"/>
      <w:r w:rsidRPr="00B64BF5">
        <w:rPr>
          <w:rFonts w:ascii="Cambria" w:hAnsi="Cambria"/>
          <w:sz w:val="16"/>
          <w:szCs w:val="16"/>
          <w:lang w:val="es-ES"/>
        </w:rPr>
        <w:t>Judgment</w:t>
      </w:r>
      <w:proofErr w:type="spellEnd"/>
      <w:r w:rsidRPr="00B64BF5">
        <w:rPr>
          <w:rFonts w:ascii="Cambria" w:hAnsi="Cambria"/>
          <w:sz w:val="16"/>
          <w:szCs w:val="16"/>
          <w:lang w:val="es-ES"/>
        </w:rPr>
        <w:t xml:space="preserve"> of June 7, 2003. Serie C No. 99, para. 112; Case of Valle Jaramillo et al. v. Colombia</w:t>
      </w:r>
      <w:r w:rsidRPr="00B64BF5">
        <w:rPr>
          <w:rFonts w:ascii="Cambria" w:hAnsi="Cambria" w:cs="Verdana"/>
          <w:bCs/>
          <w:sz w:val="16"/>
          <w:szCs w:val="16"/>
          <w:lang w:val="es-CR" w:bidi="en-US"/>
        </w:rPr>
        <w:t xml:space="preserve">, </w:t>
      </w:r>
      <w:r w:rsidRPr="00B64BF5">
        <w:rPr>
          <w:rFonts w:ascii="Cambria" w:hAnsi="Cambria"/>
          <w:sz w:val="16"/>
          <w:szCs w:val="16"/>
          <w:lang w:val="es-ES"/>
        </w:rPr>
        <w:t xml:space="preserve">para. </w:t>
      </w:r>
      <w:proofErr w:type="gramStart"/>
      <w:r w:rsidRPr="00B64BF5">
        <w:rPr>
          <w:rFonts w:ascii="Cambria" w:hAnsi="Cambria"/>
          <w:sz w:val="16"/>
          <w:szCs w:val="16"/>
        </w:rPr>
        <w:t>97,</w:t>
      </w:r>
      <w:proofErr w:type="gramEnd"/>
      <w:r w:rsidRPr="00B64BF5">
        <w:rPr>
          <w:rFonts w:ascii="Cambria" w:hAnsi="Cambria"/>
          <w:sz w:val="16"/>
          <w:szCs w:val="16"/>
        </w:rPr>
        <w:t xml:space="preserve"> and Case of Garibaldi v. Brazil, para. 23.</w:t>
      </w:r>
    </w:p>
  </w:footnote>
  <w:footnote w:id="371">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Corte I.D.H., </w:t>
      </w:r>
      <w:r w:rsidRPr="00B64BF5">
        <w:rPr>
          <w:rFonts w:ascii="Cambria" w:hAnsi="Cambria"/>
          <w:iCs/>
          <w:sz w:val="16"/>
          <w:szCs w:val="16"/>
        </w:rPr>
        <w:t xml:space="preserve">Case of </w:t>
      </w:r>
      <w:proofErr w:type="spellStart"/>
      <w:r w:rsidRPr="00B64BF5">
        <w:rPr>
          <w:rFonts w:ascii="Cambria" w:hAnsi="Cambria"/>
          <w:iCs/>
          <w:sz w:val="16"/>
          <w:szCs w:val="16"/>
        </w:rPr>
        <w:t>Cantoral</w:t>
      </w:r>
      <w:proofErr w:type="spellEnd"/>
      <w:r w:rsidRPr="00B64BF5">
        <w:rPr>
          <w:rFonts w:ascii="Cambria" w:hAnsi="Cambria"/>
          <w:iCs/>
          <w:sz w:val="16"/>
          <w:szCs w:val="16"/>
        </w:rPr>
        <w:t xml:space="preserve"> </w:t>
      </w:r>
      <w:proofErr w:type="spellStart"/>
      <w:r w:rsidRPr="00B64BF5">
        <w:rPr>
          <w:rFonts w:ascii="Cambria" w:hAnsi="Cambria"/>
          <w:iCs/>
          <w:sz w:val="16"/>
          <w:szCs w:val="16"/>
        </w:rPr>
        <w:t>Huamaní</w:t>
      </w:r>
      <w:proofErr w:type="spellEnd"/>
      <w:r w:rsidRPr="00B64BF5">
        <w:rPr>
          <w:rFonts w:ascii="Cambria" w:hAnsi="Cambria"/>
          <w:iCs/>
          <w:sz w:val="16"/>
          <w:szCs w:val="16"/>
        </w:rPr>
        <w:t xml:space="preserve"> and </w:t>
      </w:r>
      <w:proofErr w:type="spellStart"/>
      <w:r w:rsidRPr="00B64BF5">
        <w:rPr>
          <w:rFonts w:ascii="Cambria" w:hAnsi="Cambria"/>
          <w:iCs/>
          <w:sz w:val="16"/>
          <w:szCs w:val="16"/>
        </w:rPr>
        <w:t>García</w:t>
      </w:r>
      <w:proofErr w:type="spellEnd"/>
      <w:r w:rsidRPr="00B64BF5">
        <w:rPr>
          <w:rFonts w:ascii="Cambria" w:hAnsi="Cambria"/>
          <w:iCs/>
          <w:sz w:val="16"/>
          <w:szCs w:val="16"/>
        </w:rPr>
        <w:t xml:space="preserve"> Santa Cruz v. Peru.</w:t>
      </w:r>
      <w:r w:rsidRPr="00B64BF5">
        <w:rPr>
          <w:rFonts w:ascii="Cambria" w:hAnsi="Cambria"/>
          <w:b/>
          <w:bCs/>
          <w:sz w:val="16"/>
          <w:szCs w:val="16"/>
        </w:rPr>
        <w:t xml:space="preserve"> </w:t>
      </w:r>
      <w:proofErr w:type="gramStart"/>
      <w:r w:rsidRPr="00B64BF5">
        <w:rPr>
          <w:rFonts w:ascii="Cambria" w:hAnsi="Cambria"/>
          <w:sz w:val="16"/>
          <w:szCs w:val="16"/>
        </w:rPr>
        <w:t>Preliminary Objection, Merits, Reparations, and Costs.</w:t>
      </w:r>
      <w:proofErr w:type="gramEnd"/>
      <w:r w:rsidRPr="00B64BF5">
        <w:rPr>
          <w:rFonts w:ascii="Cambria" w:hAnsi="Cambria"/>
          <w:sz w:val="16"/>
          <w:szCs w:val="16"/>
        </w:rPr>
        <w:t xml:space="preserve"> Judgment of July 10, 2007. </w:t>
      </w:r>
      <w:proofErr w:type="spellStart"/>
      <w:r w:rsidRPr="00B64BF5">
        <w:rPr>
          <w:rFonts w:ascii="Cambria" w:hAnsi="Cambria"/>
          <w:sz w:val="16"/>
          <w:szCs w:val="16"/>
        </w:rPr>
        <w:t>Serie</w:t>
      </w:r>
      <w:proofErr w:type="spellEnd"/>
      <w:r w:rsidRPr="00B64BF5">
        <w:rPr>
          <w:rFonts w:ascii="Cambria" w:hAnsi="Cambria"/>
          <w:sz w:val="16"/>
          <w:szCs w:val="16"/>
        </w:rPr>
        <w:t xml:space="preserve"> C No. 167. </w:t>
      </w:r>
      <w:proofErr w:type="gramStart"/>
      <w:r w:rsidRPr="00B64BF5">
        <w:rPr>
          <w:rFonts w:ascii="Cambria" w:hAnsi="Cambria"/>
          <w:sz w:val="16"/>
          <w:szCs w:val="16"/>
        </w:rPr>
        <w:t>para</w:t>
      </w:r>
      <w:proofErr w:type="gramEnd"/>
      <w:r w:rsidRPr="00B64BF5">
        <w:rPr>
          <w:rFonts w:ascii="Cambria" w:hAnsi="Cambria"/>
          <w:sz w:val="16"/>
          <w:szCs w:val="16"/>
        </w:rPr>
        <w:t xml:space="preserve">. </w:t>
      </w:r>
      <w:proofErr w:type="gramStart"/>
      <w:r w:rsidRPr="00B64BF5">
        <w:rPr>
          <w:rFonts w:ascii="Cambria" w:hAnsi="Cambria"/>
          <w:sz w:val="16"/>
          <w:szCs w:val="16"/>
        </w:rPr>
        <w:t xml:space="preserve">112; and </w:t>
      </w:r>
      <w:r w:rsidRPr="00B64BF5">
        <w:rPr>
          <w:rFonts w:ascii="Cambria" w:hAnsi="Cambria"/>
          <w:iCs/>
          <w:sz w:val="16"/>
          <w:szCs w:val="16"/>
        </w:rPr>
        <w:t>Case of Bueno Alves v. Argentina</w:t>
      </w:r>
      <w:r w:rsidRPr="00B64BF5">
        <w:rPr>
          <w:rFonts w:ascii="Cambria" w:hAnsi="Cambria"/>
          <w:sz w:val="16"/>
          <w:szCs w:val="16"/>
        </w:rPr>
        <w:t>.</w:t>
      </w:r>
      <w:proofErr w:type="gramEnd"/>
      <w:r w:rsidRPr="00B64BF5">
        <w:rPr>
          <w:rFonts w:ascii="Cambria" w:hAnsi="Cambria"/>
          <w:sz w:val="16"/>
          <w:szCs w:val="16"/>
        </w:rPr>
        <w:t xml:space="preserve"> </w:t>
      </w:r>
      <w:proofErr w:type="gramStart"/>
      <w:r w:rsidRPr="00B64BF5">
        <w:rPr>
          <w:rFonts w:ascii="Cambria" w:hAnsi="Cambria"/>
          <w:sz w:val="16"/>
          <w:szCs w:val="16"/>
        </w:rPr>
        <w:t>Merits, Reparations, and Costs.</w:t>
      </w:r>
      <w:proofErr w:type="gramEnd"/>
      <w:r w:rsidRPr="00B64BF5">
        <w:rPr>
          <w:rFonts w:ascii="Cambria" w:hAnsi="Cambria"/>
          <w:sz w:val="16"/>
          <w:szCs w:val="16"/>
        </w:rPr>
        <w:t xml:space="preserve"> Judgment of May 11, 2007. </w:t>
      </w:r>
      <w:proofErr w:type="spellStart"/>
      <w:r w:rsidRPr="00B64BF5">
        <w:rPr>
          <w:rFonts w:ascii="Cambria" w:hAnsi="Cambria"/>
          <w:sz w:val="16"/>
          <w:szCs w:val="16"/>
        </w:rPr>
        <w:t>Serie</w:t>
      </w:r>
      <w:proofErr w:type="spellEnd"/>
      <w:r w:rsidRPr="00B64BF5">
        <w:rPr>
          <w:rFonts w:ascii="Cambria" w:hAnsi="Cambria"/>
          <w:sz w:val="16"/>
          <w:szCs w:val="16"/>
        </w:rPr>
        <w:t xml:space="preserve"> C. No. 164. </w:t>
      </w:r>
      <w:proofErr w:type="gramStart"/>
      <w:r w:rsidRPr="00B64BF5">
        <w:rPr>
          <w:rFonts w:ascii="Cambria" w:hAnsi="Cambria"/>
          <w:sz w:val="16"/>
          <w:szCs w:val="16"/>
        </w:rPr>
        <w:t>para</w:t>
      </w:r>
      <w:proofErr w:type="gramEnd"/>
      <w:r w:rsidRPr="00B64BF5">
        <w:rPr>
          <w:rFonts w:ascii="Cambria" w:hAnsi="Cambria"/>
          <w:sz w:val="16"/>
          <w:szCs w:val="16"/>
        </w:rPr>
        <w:t>. 102.</w:t>
      </w:r>
    </w:p>
  </w:footnote>
  <w:footnote w:id="372">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lang w:eastAsia="x-none"/>
        </w:rPr>
        <w:footnoteRef/>
      </w:r>
      <w:r w:rsidRPr="00B64BF5">
        <w:rPr>
          <w:rFonts w:ascii="Cambria" w:hAnsi="Cambria"/>
          <w:sz w:val="16"/>
          <w:szCs w:val="16"/>
          <w:lang w:eastAsia="x-none"/>
        </w:rPr>
        <w:t xml:space="preserve"> </w:t>
      </w:r>
      <w:proofErr w:type="gramStart"/>
      <w:r w:rsidRPr="00B64BF5">
        <w:rPr>
          <w:rFonts w:ascii="Cambria" w:hAnsi="Cambria"/>
          <w:sz w:val="16"/>
          <w:szCs w:val="16"/>
          <w:lang w:eastAsia="x-none"/>
        </w:rPr>
        <w:t xml:space="preserve">I/A Court H.R. Case of </w:t>
      </w:r>
      <w:proofErr w:type="spellStart"/>
      <w:r w:rsidRPr="00B64BF5">
        <w:rPr>
          <w:rFonts w:ascii="Cambria" w:hAnsi="Cambria"/>
          <w:sz w:val="16"/>
          <w:szCs w:val="16"/>
          <w:lang w:eastAsia="x-none"/>
        </w:rPr>
        <w:t>Cantoral</w:t>
      </w:r>
      <w:proofErr w:type="spellEnd"/>
      <w:r w:rsidRPr="00B64BF5">
        <w:rPr>
          <w:rFonts w:ascii="Cambria" w:hAnsi="Cambria"/>
          <w:sz w:val="16"/>
          <w:szCs w:val="16"/>
          <w:lang w:eastAsia="x-none"/>
        </w:rPr>
        <w:t xml:space="preserve"> </w:t>
      </w:r>
      <w:proofErr w:type="spellStart"/>
      <w:r w:rsidRPr="00B64BF5">
        <w:rPr>
          <w:rFonts w:ascii="Cambria" w:hAnsi="Cambria"/>
          <w:sz w:val="16"/>
          <w:szCs w:val="16"/>
          <w:lang w:eastAsia="x-none"/>
        </w:rPr>
        <w:t>Huamaní</w:t>
      </w:r>
      <w:proofErr w:type="spellEnd"/>
      <w:r w:rsidRPr="00B64BF5">
        <w:rPr>
          <w:rFonts w:ascii="Cambria" w:hAnsi="Cambria"/>
          <w:sz w:val="16"/>
          <w:szCs w:val="16"/>
          <w:lang w:eastAsia="x-none"/>
        </w:rPr>
        <w:t xml:space="preserve"> and </w:t>
      </w:r>
      <w:proofErr w:type="spellStart"/>
      <w:r w:rsidRPr="00B64BF5">
        <w:rPr>
          <w:rFonts w:ascii="Cambria" w:hAnsi="Cambria"/>
          <w:sz w:val="16"/>
          <w:szCs w:val="16"/>
          <w:lang w:eastAsia="x-none"/>
        </w:rPr>
        <w:t>García</w:t>
      </w:r>
      <w:proofErr w:type="spellEnd"/>
      <w:r w:rsidRPr="00B64BF5">
        <w:rPr>
          <w:rFonts w:ascii="Cambria" w:hAnsi="Cambria"/>
          <w:sz w:val="16"/>
          <w:szCs w:val="16"/>
          <w:lang w:eastAsia="x-none"/>
        </w:rPr>
        <w:t xml:space="preserve"> Santa Cruz v. Peru.</w:t>
      </w:r>
      <w:proofErr w:type="gramEnd"/>
      <w:r w:rsidRPr="00B64BF5">
        <w:rPr>
          <w:rFonts w:ascii="Cambria" w:hAnsi="Cambria"/>
          <w:sz w:val="16"/>
          <w:szCs w:val="16"/>
          <w:lang w:eastAsia="x-none"/>
        </w:rPr>
        <w:t xml:space="preserve"> </w:t>
      </w:r>
      <w:proofErr w:type="gramStart"/>
      <w:r w:rsidRPr="00B64BF5">
        <w:rPr>
          <w:rFonts w:ascii="Cambria" w:hAnsi="Cambria"/>
          <w:sz w:val="16"/>
          <w:szCs w:val="16"/>
          <w:lang w:eastAsia="x-none"/>
        </w:rPr>
        <w:t>Preliminary Objection, Merits, Reparations, and Costs.</w:t>
      </w:r>
      <w:proofErr w:type="gramEnd"/>
      <w:r w:rsidRPr="00B64BF5">
        <w:rPr>
          <w:rFonts w:ascii="Cambria" w:hAnsi="Cambria"/>
          <w:sz w:val="16"/>
          <w:szCs w:val="16"/>
          <w:lang w:eastAsia="x-none"/>
        </w:rPr>
        <w:t xml:space="preserve"> Judgment of July 10, 2007. </w:t>
      </w:r>
      <w:proofErr w:type="spellStart"/>
      <w:r w:rsidRPr="00B64BF5">
        <w:rPr>
          <w:rFonts w:ascii="Cambria" w:hAnsi="Cambria"/>
          <w:sz w:val="16"/>
          <w:szCs w:val="16"/>
          <w:lang w:eastAsia="x-none"/>
        </w:rPr>
        <w:t>Serie</w:t>
      </w:r>
      <w:proofErr w:type="spellEnd"/>
      <w:r w:rsidRPr="00B64BF5">
        <w:rPr>
          <w:rFonts w:ascii="Cambria" w:hAnsi="Cambria"/>
          <w:sz w:val="16"/>
          <w:szCs w:val="16"/>
          <w:lang w:eastAsia="x-none"/>
        </w:rPr>
        <w:t xml:space="preserve"> C No. 167. </w:t>
      </w:r>
      <w:proofErr w:type="gramStart"/>
      <w:r w:rsidRPr="00B64BF5">
        <w:rPr>
          <w:rFonts w:ascii="Cambria" w:hAnsi="Cambria"/>
          <w:sz w:val="16"/>
          <w:szCs w:val="16"/>
          <w:lang w:eastAsia="x-none"/>
        </w:rPr>
        <w:t>Para.</w:t>
      </w:r>
      <w:proofErr w:type="gramEnd"/>
      <w:r w:rsidRPr="00B64BF5">
        <w:rPr>
          <w:rFonts w:ascii="Cambria" w:hAnsi="Cambria"/>
          <w:sz w:val="16"/>
          <w:szCs w:val="16"/>
          <w:lang w:eastAsia="x-none"/>
        </w:rPr>
        <w:t xml:space="preserve"> </w:t>
      </w:r>
      <w:proofErr w:type="gramStart"/>
      <w:r w:rsidRPr="00B64BF5">
        <w:rPr>
          <w:rFonts w:ascii="Cambria" w:hAnsi="Cambria"/>
          <w:sz w:val="16"/>
          <w:szCs w:val="16"/>
          <w:lang w:eastAsia="x-none"/>
        </w:rPr>
        <w:t>112; I/A Court H.R. Case of Bueno Alves v. Argentina.</w:t>
      </w:r>
      <w:proofErr w:type="gramEnd"/>
      <w:r w:rsidRPr="00B64BF5">
        <w:rPr>
          <w:rFonts w:ascii="Cambria" w:hAnsi="Cambria"/>
          <w:sz w:val="16"/>
          <w:szCs w:val="16"/>
          <w:lang w:eastAsia="x-none"/>
        </w:rPr>
        <w:t xml:space="preserve"> Judgment of May 11, 2007. </w:t>
      </w:r>
      <w:proofErr w:type="spellStart"/>
      <w:r w:rsidRPr="00B64BF5">
        <w:rPr>
          <w:rFonts w:ascii="Cambria" w:hAnsi="Cambria"/>
          <w:sz w:val="16"/>
          <w:szCs w:val="16"/>
          <w:lang w:eastAsia="x-none"/>
        </w:rPr>
        <w:t>Serie</w:t>
      </w:r>
      <w:proofErr w:type="spellEnd"/>
      <w:r w:rsidRPr="00B64BF5">
        <w:rPr>
          <w:rFonts w:ascii="Cambria" w:hAnsi="Cambria"/>
          <w:sz w:val="16"/>
          <w:szCs w:val="16"/>
          <w:lang w:eastAsia="x-none"/>
        </w:rPr>
        <w:t xml:space="preserve"> C. No. 164. </w:t>
      </w:r>
      <w:proofErr w:type="gramStart"/>
      <w:r w:rsidRPr="00B64BF5">
        <w:rPr>
          <w:rFonts w:ascii="Cambria" w:hAnsi="Cambria"/>
          <w:sz w:val="16"/>
          <w:szCs w:val="16"/>
          <w:lang w:eastAsia="x-none"/>
        </w:rPr>
        <w:t>Para.</w:t>
      </w:r>
      <w:proofErr w:type="gramEnd"/>
      <w:r w:rsidRPr="00B64BF5">
        <w:rPr>
          <w:rFonts w:ascii="Cambria" w:hAnsi="Cambria"/>
          <w:sz w:val="16"/>
          <w:szCs w:val="16"/>
          <w:lang w:eastAsia="x-none"/>
        </w:rPr>
        <w:t xml:space="preserve"> 102.</w:t>
      </w:r>
    </w:p>
  </w:footnote>
  <w:footnote w:id="373">
    <w:p w:rsidR="00D53806" w:rsidRPr="00B64BF5" w:rsidRDefault="00D53806" w:rsidP="00B64BF5">
      <w:pPr>
        <w:pStyle w:val="FootnoteText"/>
        <w:ind w:firstLine="720"/>
        <w:jc w:val="both"/>
        <w:rPr>
          <w:rFonts w:ascii="Cambria" w:hAnsi="Cambria"/>
          <w:sz w:val="16"/>
          <w:szCs w:val="16"/>
          <w:lang w:val="es-CO"/>
        </w:rPr>
      </w:pPr>
      <w:r w:rsidRPr="00B64BF5">
        <w:rPr>
          <w:rStyle w:val="FootnoteReference"/>
          <w:rFonts w:ascii="Cambria" w:hAnsi="Cambria"/>
          <w:sz w:val="16"/>
          <w:szCs w:val="16"/>
          <w:lang w:eastAsia="x-none"/>
        </w:rPr>
        <w:footnoteRef/>
      </w:r>
      <w:r w:rsidRPr="00B64BF5">
        <w:rPr>
          <w:rFonts w:ascii="Cambria" w:hAnsi="Cambria"/>
          <w:sz w:val="16"/>
          <w:szCs w:val="16"/>
          <w:lang w:eastAsia="x-none"/>
        </w:rPr>
        <w:t xml:space="preserve"> </w:t>
      </w:r>
      <w:proofErr w:type="gramStart"/>
      <w:r w:rsidRPr="00B64BF5">
        <w:rPr>
          <w:rFonts w:ascii="Cambria" w:hAnsi="Cambria"/>
          <w:sz w:val="16"/>
          <w:szCs w:val="16"/>
          <w:lang w:eastAsia="x-none"/>
        </w:rPr>
        <w:t xml:space="preserve">I/A Court H.R. Case of </w:t>
      </w:r>
      <w:proofErr w:type="spellStart"/>
      <w:r w:rsidRPr="00B64BF5">
        <w:rPr>
          <w:rFonts w:ascii="Cambria" w:hAnsi="Cambria"/>
          <w:sz w:val="16"/>
          <w:szCs w:val="16"/>
          <w:lang w:eastAsia="x-none"/>
        </w:rPr>
        <w:t>Cantoral</w:t>
      </w:r>
      <w:proofErr w:type="spellEnd"/>
      <w:r w:rsidRPr="00B64BF5">
        <w:rPr>
          <w:rFonts w:ascii="Cambria" w:hAnsi="Cambria"/>
          <w:sz w:val="16"/>
          <w:szCs w:val="16"/>
          <w:lang w:eastAsia="x-none"/>
        </w:rPr>
        <w:t xml:space="preserve"> </w:t>
      </w:r>
      <w:proofErr w:type="spellStart"/>
      <w:r w:rsidRPr="00B64BF5">
        <w:rPr>
          <w:rFonts w:ascii="Cambria" w:hAnsi="Cambria"/>
          <w:sz w:val="16"/>
          <w:szCs w:val="16"/>
          <w:lang w:eastAsia="x-none"/>
        </w:rPr>
        <w:t>Huamaní</w:t>
      </w:r>
      <w:proofErr w:type="spellEnd"/>
      <w:r w:rsidRPr="00B64BF5">
        <w:rPr>
          <w:rFonts w:ascii="Cambria" w:hAnsi="Cambria"/>
          <w:sz w:val="16"/>
          <w:szCs w:val="16"/>
          <w:lang w:eastAsia="x-none"/>
        </w:rPr>
        <w:t xml:space="preserve"> and </w:t>
      </w:r>
      <w:proofErr w:type="spellStart"/>
      <w:r w:rsidRPr="00B64BF5">
        <w:rPr>
          <w:rFonts w:ascii="Cambria" w:hAnsi="Cambria"/>
          <w:sz w:val="16"/>
          <w:szCs w:val="16"/>
          <w:lang w:eastAsia="x-none"/>
        </w:rPr>
        <w:t>García</w:t>
      </w:r>
      <w:proofErr w:type="spellEnd"/>
      <w:r w:rsidRPr="00B64BF5">
        <w:rPr>
          <w:rFonts w:ascii="Cambria" w:hAnsi="Cambria"/>
          <w:sz w:val="16"/>
          <w:szCs w:val="16"/>
          <w:lang w:eastAsia="x-none"/>
        </w:rPr>
        <w:t xml:space="preserve"> Santa Cruz v. Peru.</w:t>
      </w:r>
      <w:proofErr w:type="gramEnd"/>
      <w:r w:rsidRPr="00B64BF5">
        <w:rPr>
          <w:rFonts w:ascii="Cambria" w:hAnsi="Cambria"/>
          <w:sz w:val="16"/>
          <w:szCs w:val="16"/>
          <w:lang w:eastAsia="x-none"/>
        </w:rPr>
        <w:t xml:space="preserve"> </w:t>
      </w:r>
      <w:proofErr w:type="gramStart"/>
      <w:r w:rsidRPr="00B64BF5">
        <w:rPr>
          <w:rFonts w:ascii="Cambria" w:hAnsi="Cambria"/>
          <w:sz w:val="16"/>
          <w:szCs w:val="16"/>
          <w:lang w:eastAsia="x-none"/>
        </w:rPr>
        <w:t>Preliminary Objection, Merits, Reparations, and Costs.</w:t>
      </w:r>
      <w:proofErr w:type="gramEnd"/>
      <w:r w:rsidRPr="00B64BF5">
        <w:rPr>
          <w:rFonts w:ascii="Cambria" w:hAnsi="Cambria"/>
          <w:sz w:val="16"/>
          <w:szCs w:val="16"/>
          <w:lang w:eastAsia="x-none"/>
        </w:rPr>
        <w:t xml:space="preserve"> Judgment of July 10, 2007. </w:t>
      </w:r>
      <w:proofErr w:type="spellStart"/>
      <w:r w:rsidRPr="00B64BF5">
        <w:rPr>
          <w:rFonts w:ascii="Cambria" w:hAnsi="Cambria"/>
          <w:sz w:val="16"/>
          <w:szCs w:val="16"/>
          <w:lang w:eastAsia="x-none"/>
        </w:rPr>
        <w:t>Serie</w:t>
      </w:r>
      <w:proofErr w:type="spellEnd"/>
      <w:r w:rsidRPr="00B64BF5">
        <w:rPr>
          <w:rFonts w:ascii="Cambria" w:hAnsi="Cambria"/>
          <w:sz w:val="16"/>
          <w:szCs w:val="16"/>
          <w:lang w:eastAsia="x-none"/>
        </w:rPr>
        <w:t xml:space="preserve"> C No. 167. </w:t>
      </w:r>
      <w:proofErr w:type="gramStart"/>
      <w:r w:rsidRPr="00B64BF5">
        <w:rPr>
          <w:rFonts w:ascii="Cambria" w:hAnsi="Cambria"/>
          <w:sz w:val="16"/>
          <w:szCs w:val="16"/>
          <w:lang w:eastAsia="x-none"/>
        </w:rPr>
        <w:t>Para.</w:t>
      </w:r>
      <w:proofErr w:type="gramEnd"/>
      <w:r w:rsidRPr="00B64BF5">
        <w:rPr>
          <w:rFonts w:ascii="Cambria" w:hAnsi="Cambria"/>
          <w:sz w:val="16"/>
          <w:szCs w:val="16"/>
          <w:lang w:eastAsia="x-none"/>
        </w:rPr>
        <w:t xml:space="preserve"> </w:t>
      </w:r>
      <w:proofErr w:type="gramStart"/>
      <w:r w:rsidRPr="00B64BF5">
        <w:rPr>
          <w:rFonts w:ascii="Cambria" w:hAnsi="Cambria"/>
          <w:sz w:val="16"/>
          <w:szCs w:val="16"/>
          <w:lang w:eastAsia="x-none"/>
        </w:rPr>
        <w:t xml:space="preserve">112; I/A Court H.R. Case of Vargas </w:t>
      </w:r>
      <w:proofErr w:type="spellStart"/>
      <w:r w:rsidRPr="00B64BF5">
        <w:rPr>
          <w:rFonts w:ascii="Cambria" w:hAnsi="Cambria"/>
          <w:sz w:val="16"/>
          <w:szCs w:val="16"/>
          <w:lang w:eastAsia="x-none"/>
        </w:rPr>
        <w:t>Areco</w:t>
      </w:r>
      <w:proofErr w:type="spellEnd"/>
      <w:r w:rsidRPr="00B64BF5">
        <w:rPr>
          <w:rFonts w:ascii="Cambria" w:hAnsi="Cambria"/>
          <w:sz w:val="16"/>
          <w:szCs w:val="16"/>
          <w:lang w:eastAsia="x-none"/>
        </w:rPr>
        <w:t xml:space="preserve"> v. Paraguay.</w:t>
      </w:r>
      <w:proofErr w:type="gramEnd"/>
      <w:r w:rsidRPr="00B64BF5">
        <w:rPr>
          <w:rFonts w:ascii="Cambria" w:hAnsi="Cambria"/>
          <w:sz w:val="16"/>
          <w:szCs w:val="16"/>
          <w:lang w:eastAsia="x-none"/>
        </w:rPr>
        <w:t xml:space="preserve"> Judgment of September 26, 2006. </w:t>
      </w:r>
      <w:r w:rsidRPr="00B64BF5">
        <w:rPr>
          <w:rFonts w:ascii="Cambria" w:hAnsi="Cambria"/>
          <w:sz w:val="16"/>
          <w:szCs w:val="16"/>
          <w:lang w:val="es-CO" w:eastAsia="x-none"/>
        </w:rPr>
        <w:t>Serie C No. 155. Para. 96.</w:t>
      </w:r>
    </w:p>
  </w:footnote>
  <w:footnote w:id="374">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lang w:eastAsia="x-none"/>
        </w:rPr>
        <w:footnoteRef/>
      </w:r>
      <w:r w:rsidRPr="00D53806">
        <w:rPr>
          <w:rFonts w:ascii="Cambria" w:hAnsi="Cambria"/>
          <w:sz w:val="16"/>
          <w:szCs w:val="16"/>
          <w:lang w:eastAsia="x-none"/>
        </w:rPr>
        <w:t xml:space="preserve"> </w:t>
      </w:r>
      <w:proofErr w:type="gramStart"/>
      <w:r w:rsidRPr="00D53806">
        <w:rPr>
          <w:rFonts w:ascii="Cambria" w:hAnsi="Cambria"/>
          <w:sz w:val="16"/>
          <w:szCs w:val="16"/>
          <w:lang w:eastAsia="x-none"/>
        </w:rPr>
        <w:t>I/A Court H.R. Case of Valle Jaramillo et al. v. Colombia.</w:t>
      </w:r>
      <w:proofErr w:type="gramEnd"/>
      <w:r w:rsidRPr="00D53806">
        <w:rPr>
          <w:rFonts w:ascii="Cambria" w:hAnsi="Cambria"/>
          <w:sz w:val="16"/>
          <w:szCs w:val="16"/>
          <w:lang w:eastAsia="x-none"/>
        </w:rPr>
        <w:t xml:space="preserve"> </w:t>
      </w:r>
      <w:proofErr w:type="gramStart"/>
      <w:r w:rsidRPr="00B64BF5">
        <w:rPr>
          <w:rFonts w:ascii="Cambria" w:hAnsi="Cambria"/>
          <w:sz w:val="16"/>
          <w:szCs w:val="16"/>
          <w:lang w:eastAsia="x-none"/>
        </w:rPr>
        <w:t>Merits, Reparations, and Costs.</w:t>
      </w:r>
      <w:proofErr w:type="gramEnd"/>
      <w:r w:rsidRPr="00B64BF5">
        <w:rPr>
          <w:rFonts w:ascii="Cambria" w:hAnsi="Cambria"/>
          <w:sz w:val="16"/>
          <w:szCs w:val="16"/>
          <w:lang w:eastAsia="x-none"/>
        </w:rPr>
        <w:t xml:space="preserve"> Judgment of November 27, 2008. </w:t>
      </w:r>
      <w:proofErr w:type="spellStart"/>
      <w:r w:rsidRPr="00B64BF5">
        <w:rPr>
          <w:rFonts w:ascii="Cambria" w:hAnsi="Cambria"/>
          <w:sz w:val="16"/>
          <w:szCs w:val="16"/>
          <w:lang w:eastAsia="x-none"/>
        </w:rPr>
        <w:t>Serie</w:t>
      </w:r>
      <w:proofErr w:type="spellEnd"/>
      <w:r w:rsidRPr="00B64BF5">
        <w:rPr>
          <w:rFonts w:ascii="Cambria" w:hAnsi="Cambria"/>
          <w:sz w:val="16"/>
          <w:szCs w:val="16"/>
          <w:lang w:eastAsia="x-none"/>
        </w:rPr>
        <w:t xml:space="preserve"> C No. 192. </w:t>
      </w:r>
      <w:proofErr w:type="gramStart"/>
      <w:r w:rsidRPr="00B64BF5">
        <w:rPr>
          <w:rFonts w:ascii="Cambria" w:hAnsi="Cambria"/>
          <w:sz w:val="16"/>
          <w:szCs w:val="16"/>
          <w:lang w:eastAsia="x-none"/>
        </w:rPr>
        <w:t>Para.</w:t>
      </w:r>
      <w:proofErr w:type="gramEnd"/>
      <w:r w:rsidRPr="00B64BF5">
        <w:rPr>
          <w:rFonts w:ascii="Cambria" w:hAnsi="Cambria"/>
          <w:sz w:val="16"/>
          <w:szCs w:val="16"/>
          <w:lang w:eastAsia="x-none"/>
        </w:rPr>
        <w:t xml:space="preserve"> </w:t>
      </w:r>
      <w:proofErr w:type="gramStart"/>
      <w:r w:rsidRPr="00B64BF5">
        <w:rPr>
          <w:rFonts w:ascii="Cambria" w:hAnsi="Cambria"/>
          <w:sz w:val="16"/>
          <w:szCs w:val="16"/>
          <w:lang w:eastAsia="x-none"/>
        </w:rPr>
        <w:t xml:space="preserve">98; I/A Court H.R. Case of </w:t>
      </w:r>
      <w:proofErr w:type="spellStart"/>
      <w:r w:rsidRPr="00B64BF5">
        <w:rPr>
          <w:rFonts w:ascii="Cambria" w:hAnsi="Cambria"/>
          <w:sz w:val="16"/>
          <w:szCs w:val="16"/>
          <w:lang w:eastAsia="x-none"/>
        </w:rPr>
        <w:t>Velásquez</w:t>
      </w:r>
      <w:proofErr w:type="spellEnd"/>
      <w:r w:rsidRPr="00B64BF5">
        <w:rPr>
          <w:rFonts w:ascii="Cambria" w:hAnsi="Cambria"/>
          <w:sz w:val="16"/>
          <w:szCs w:val="16"/>
          <w:lang w:eastAsia="x-none"/>
        </w:rPr>
        <w:t xml:space="preserve"> Rodríguez v. Honduras.</w:t>
      </w:r>
      <w:proofErr w:type="gramEnd"/>
      <w:r w:rsidRPr="00B64BF5">
        <w:rPr>
          <w:rFonts w:ascii="Cambria" w:hAnsi="Cambria"/>
          <w:sz w:val="16"/>
          <w:szCs w:val="16"/>
          <w:lang w:eastAsia="x-none"/>
        </w:rPr>
        <w:t xml:space="preserve"> </w:t>
      </w:r>
      <w:proofErr w:type="gramStart"/>
      <w:r w:rsidRPr="00B64BF5">
        <w:rPr>
          <w:rFonts w:ascii="Cambria" w:hAnsi="Cambria"/>
          <w:sz w:val="16"/>
          <w:szCs w:val="16"/>
          <w:lang w:eastAsia="x-none"/>
        </w:rPr>
        <w:t xml:space="preserve">Judgment of July 29, 1988, </w:t>
      </w:r>
      <w:proofErr w:type="spellStart"/>
      <w:r w:rsidRPr="00B64BF5">
        <w:rPr>
          <w:rFonts w:ascii="Cambria" w:hAnsi="Cambria"/>
          <w:sz w:val="16"/>
          <w:szCs w:val="16"/>
          <w:lang w:eastAsia="x-none"/>
        </w:rPr>
        <w:t>Serie</w:t>
      </w:r>
      <w:proofErr w:type="spellEnd"/>
      <w:r w:rsidRPr="00B64BF5">
        <w:rPr>
          <w:rFonts w:ascii="Cambria" w:hAnsi="Cambria"/>
          <w:sz w:val="16"/>
          <w:szCs w:val="16"/>
          <w:lang w:eastAsia="x-none"/>
        </w:rPr>
        <w:t xml:space="preserve"> C No. 4.</w:t>
      </w:r>
      <w:proofErr w:type="gramEnd"/>
      <w:r w:rsidRPr="00B64BF5">
        <w:rPr>
          <w:rFonts w:ascii="Cambria" w:hAnsi="Cambria"/>
          <w:sz w:val="16"/>
          <w:szCs w:val="16"/>
          <w:lang w:eastAsia="x-none"/>
        </w:rPr>
        <w:t xml:space="preserve"> </w:t>
      </w:r>
      <w:proofErr w:type="gramStart"/>
      <w:r w:rsidRPr="00B64BF5">
        <w:rPr>
          <w:rFonts w:ascii="Cambria" w:hAnsi="Cambria"/>
          <w:sz w:val="16"/>
          <w:szCs w:val="16"/>
          <w:lang w:eastAsia="x-none"/>
        </w:rPr>
        <w:t>Para.</w:t>
      </w:r>
      <w:proofErr w:type="gramEnd"/>
      <w:r w:rsidRPr="00B64BF5">
        <w:rPr>
          <w:rFonts w:ascii="Cambria" w:hAnsi="Cambria"/>
          <w:sz w:val="16"/>
          <w:szCs w:val="16"/>
          <w:lang w:eastAsia="x-none"/>
        </w:rPr>
        <w:t xml:space="preserve"> </w:t>
      </w:r>
      <w:proofErr w:type="gramStart"/>
      <w:r w:rsidRPr="00B64BF5">
        <w:rPr>
          <w:rFonts w:ascii="Cambria" w:hAnsi="Cambria"/>
          <w:sz w:val="16"/>
          <w:szCs w:val="16"/>
          <w:lang w:eastAsia="x-none"/>
        </w:rPr>
        <w:t xml:space="preserve">166; I/A Court H.R. Case of </w:t>
      </w:r>
      <w:proofErr w:type="spellStart"/>
      <w:r w:rsidRPr="00B64BF5">
        <w:rPr>
          <w:rFonts w:ascii="Cambria" w:hAnsi="Cambria"/>
          <w:sz w:val="16"/>
          <w:szCs w:val="16"/>
          <w:lang w:eastAsia="x-none"/>
        </w:rPr>
        <w:t>Heliodoro</w:t>
      </w:r>
      <w:proofErr w:type="spellEnd"/>
      <w:r w:rsidRPr="00B64BF5">
        <w:rPr>
          <w:rFonts w:ascii="Cambria" w:hAnsi="Cambria"/>
          <w:sz w:val="16"/>
          <w:szCs w:val="16"/>
          <w:lang w:eastAsia="x-none"/>
        </w:rPr>
        <w:t xml:space="preserve"> Portugal v. Panamá.</w:t>
      </w:r>
      <w:proofErr w:type="gramEnd"/>
      <w:r w:rsidRPr="00B64BF5">
        <w:rPr>
          <w:rFonts w:ascii="Cambria" w:hAnsi="Cambria"/>
          <w:sz w:val="16"/>
          <w:szCs w:val="16"/>
          <w:lang w:eastAsia="x-none"/>
        </w:rPr>
        <w:t xml:space="preserve"> Judgment of August 12, 2008. </w:t>
      </w:r>
      <w:r w:rsidRPr="000367BD">
        <w:rPr>
          <w:rFonts w:ascii="Cambria" w:hAnsi="Cambria"/>
          <w:sz w:val="16"/>
          <w:szCs w:val="16"/>
          <w:lang w:val="es-UY" w:eastAsia="x-none"/>
        </w:rPr>
        <w:t xml:space="preserve">Serie C No. 186. Para. 142; I/A Court H.R. Case of García Prieto et al. v. El Salvador. </w:t>
      </w:r>
      <w:proofErr w:type="gramStart"/>
      <w:r w:rsidRPr="00B64BF5">
        <w:rPr>
          <w:rFonts w:ascii="Cambria" w:hAnsi="Cambria"/>
          <w:sz w:val="16"/>
          <w:szCs w:val="16"/>
          <w:lang w:eastAsia="x-none"/>
        </w:rPr>
        <w:t xml:space="preserve">Judgment of November 20, 2007, </w:t>
      </w:r>
      <w:proofErr w:type="spellStart"/>
      <w:r w:rsidRPr="00B64BF5">
        <w:rPr>
          <w:rFonts w:ascii="Cambria" w:hAnsi="Cambria"/>
          <w:sz w:val="16"/>
          <w:szCs w:val="16"/>
          <w:lang w:eastAsia="x-none"/>
        </w:rPr>
        <w:t>Serie</w:t>
      </w:r>
      <w:proofErr w:type="spellEnd"/>
      <w:r w:rsidRPr="00B64BF5">
        <w:rPr>
          <w:rFonts w:ascii="Cambria" w:hAnsi="Cambria"/>
          <w:sz w:val="16"/>
          <w:szCs w:val="16"/>
          <w:lang w:eastAsia="x-none"/>
        </w:rPr>
        <w:t xml:space="preserve"> C No. 168.</w:t>
      </w:r>
      <w:proofErr w:type="gramEnd"/>
      <w:r w:rsidRPr="00B64BF5">
        <w:rPr>
          <w:rFonts w:ascii="Cambria" w:hAnsi="Cambria"/>
          <w:sz w:val="16"/>
          <w:szCs w:val="16"/>
          <w:lang w:eastAsia="x-none"/>
        </w:rPr>
        <w:t xml:space="preserve"> </w:t>
      </w:r>
      <w:proofErr w:type="gramStart"/>
      <w:r w:rsidRPr="00B64BF5">
        <w:rPr>
          <w:rFonts w:ascii="Cambria" w:hAnsi="Cambria"/>
          <w:sz w:val="16"/>
          <w:szCs w:val="16"/>
          <w:lang w:eastAsia="x-none"/>
        </w:rPr>
        <w:t>Para.</w:t>
      </w:r>
      <w:proofErr w:type="gramEnd"/>
      <w:r w:rsidRPr="00B64BF5">
        <w:rPr>
          <w:rFonts w:ascii="Cambria" w:hAnsi="Cambria"/>
          <w:sz w:val="16"/>
          <w:szCs w:val="16"/>
          <w:lang w:eastAsia="x-none"/>
        </w:rPr>
        <w:t xml:space="preserve"> 99. </w:t>
      </w:r>
    </w:p>
  </w:footnote>
  <w:footnote w:id="375">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I/A Court H.R., Case of Las Dos </w:t>
      </w:r>
      <w:proofErr w:type="spellStart"/>
      <w:r w:rsidRPr="00B64BF5">
        <w:rPr>
          <w:rFonts w:ascii="Cambria" w:hAnsi="Cambria"/>
          <w:sz w:val="16"/>
          <w:szCs w:val="16"/>
        </w:rPr>
        <w:t>Erres</w:t>
      </w:r>
      <w:proofErr w:type="spellEnd"/>
      <w:r w:rsidRPr="00B64BF5">
        <w:rPr>
          <w:rFonts w:ascii="Cambria" w:hAnsi="Cambria"/>
          <w:sz w:val="16"/>
          <w:szCs w:val="16"/>
        </w:rPr>
        <w:t xml:space="preserve"> Massacre v. Guatemala. </w:t>
      </w:r>
      <w:proofErr w:type="gramStart"/>
      <w:r w:rsidRPr="00B64BF5">
        <w:rPr>
          <w:rFonts w:ascii="Cambria" w:hAnsi="Cambria"/>
          <w:sz w:val="16"/>
          <w:szCs w:val="16"/>
        </w:rPr>
        <w:t>Preliminary Objections, Merits, Reparations, and Costs.</w:t>
      </w:r>
      <w:proofErr w:type="gramEnd"/>
      <w:r w:rsidRPr="00B64BF5">
        <w:rPr>
          <w:rFonts w:ascii="Cambria" w:hAnsi="Cambria"/>
          <w:sz w:val="16"/>
          <w:szCs w:val="16"/>
        </w:rPr>
        <w:t xml:space="preserve"> Judgment of November 24, 2009. </w:t>
      </w:r>
      <w:proofErr w:type="spellStart"/>
      <w:proofErr w:type="gramStart"/>
      <w:r w:rsidRPr="00B64BF5">
        <w:rPr>
          <w:rFonts w:ascii="Cambria" w:hAnsi="Cambria"/>
          <w:sz w:val="16"/>
          <w:szCs w:val="16"/>
        </w:rPr>
        <w:t>Serie</w:t>
      </w:r>
      <w:proofErr w:type="spellEnd"/>
      <w:r w:rsidRPr="00B64BF5">
        <w:rPr>
          <w:rFonts w:ascii="Cambria" w:hAnsi="Cambria"/>
          <w:sz w:val="16"/>
          <w:szCs w:val="16"/>
        </w:rPr>
        <w:t xml:space="preserve"> C No. 211, par. 215.</w:t>
      </w:r>
      <w:proofErr w:type="gramEnd"/>
      <w:r w:rsidRPr="00B64BF5">
        <w:rPr>
          <w:rFonts w:ascii="Cambria" w:hAnsi="Cambria"/>
          <w:sz w:val="16"/>
          <w:szCs w:val="16"/>
        </w:rPr>
        <w:t xml:space="preserve"> </w:t>
      </w:r>
    </w:p>
  </w:footnote>
  <w:footnote w:id="376">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gramStart"/>
      <w:r w:rsidRPr="00B64BF5">
        <w:rPr>
          <w:rFonts w:ascii="Cambria" w:hAnsi="Cambria"/>
          <w:sz w:val="16"/>
          <w:szCs w:val="16"/>
        </w:rPr>
        <w:t xml:space="preserve">I/A Court H.R. </w:t>
      </w:r>
      <w:r w:rsidRPr="00B64BF5">
        <w:rPr>
          <w:rFonts w:ascii="Cambria" w:hAnsi="Cambria"/>
          <w:bCs/>
          <w:iCs/>
          <w:sz w:val="16"/>
          <w:szCs w:val="16"/>
        </w:rPr>
        <w:t xml:space="preserve">Case of Gomes Lund et al. </w:t>
      </w:r>
      <w:r w:rsidRPr="00D53806">
        <w:rPr>
          <w:rFonts w:ascii="Cambria" w:hAnsi="Cambria"/>
          <w:bCs/>
          <w:iCs/>
          <w:sz w:val="16"/>
          <w:szCs w:val="16"/>
        </w:rPr>
        <w:t>(</w:t>
      </w:r>
      <w:proofErr w:type="spellStart"/>
      <w:r w:rsidRPr="00D53806">
        <w:rPr>
          <w:rFonts w:ascii="Cambria" w:hAnsi="Cambria"/>
          <w:bCs/>
          <w:iCs/>
          <w:sz w:val="16"/>
          <w:szCs w:val="16"/>
        </w:rPr>
        <w:t>Guerrilha</w:t>
      </w:r>
      <w:proofErr w:type="spellEnd"/>
      <w:r w:rsidRPr="00D53806">
        <w:rPr>
          <w:rFonts w:ascii="Cambria" w:hAnsi="Cambria"/>
          <w:bCs/>
          <w:iCs/>
          <w:sz w:val="16"/>
          <w:szCs w:val="16"/>
        </w:rPr>
        <w:t xml:space="preserve"> do Araguaia) v. Brazil.</w:t>
      </w:r>
      <w:proofErr w:type="gramEnd"/>
      <w:r w:rsidRPr="00D53806">
        <w:rPr>
          <w:rFonts w:ascii="Cambria" w:hAnsi="Cambria"/>
          <w:bCs/>
          <w:iCs/>
          <w:sz w:val="16"/>
          <w:szCs w:val="16"/>
        </w:rPr>
        <w:t xml:space="preserve"> </w:t>
      </w:r>
      <w:proofErr w:type="gramStart"/>
      <w:r w:rsidRPr="00B64BF5">
        <w:rPr>
          <w:rFonts w:ascii="Cambria" w:hAnsi="Cambria"/>
          <w:bCs/>
          <w:iCs/>
          <w:sz w:val="16"/>
          <w:szCs w:val="16"/>
        </w:rPr>
        <w:t>Preliminary Objections, Merits, Reparations, and Costs.</w:t>
      </w:r>
      <w:proofErr w:type="gramEnd"/>
      <w:r w:rsidRPr="00B64BF5">
        <w:rPr>
          <w:rFonts w:ascii="Cambria" w:hAnsi="Cambria"/>
          <w:bCs/>
          <w:iCs/>
          <w:sz w:val="16"/>
          <w:szCs w:val="16"/>
        </w:rPr>
        <w:t xml:space="preserve"> Judgment of November 24, 2010. </w:t>
      </w:r>
      <w:proofErr w:type="spellStart"/>
      <w:r w:rsidRPr="00B64BF5">
        <w:rPr>
          <w:rFonts w:ascii="Cambria" w:hAnsi="Cambria"/>
          <w:bCs/>
          <w:iCs/>
          <w:sz w:val="16"/>
          <w:szCs w:val="16"/>
        </w:rPr>
        <w:t>Serie</w:t>
      </w:r>
      <w:proofErr w:type="spellEnd"/>
      <w:r w:rsidRPr="00B64BF5">
        <w:rPr>
          <w:rFonts w:ascii="Cambria" w:hAnsi="Cambria"/>
          <w:bCs/>
          <w:iCs/>
          <w:sz w:val="16"/>
          <w:szCs w:val="16"/>
        </w:rPr>
        <w:t xml:space="preserve"> C No. 219, para. 235.</w:t>
      </w:r>
    </w:p>
  </w:footnote>
  <w:footnote w:id="377">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spellStart"/>
      <w:proofErr w:type="gramStart"/>
      <w:r w:rsidRPr="00B64BF5">
        <w:rPr>
          <w:rFonts w:ascii="Cambria" w:hAnsi="Cambria"/>
          <w:sz w:val="16"/>
          <w:szCs w:val="16"/>
        </w:rPr>
        <w:t>Proceso</w:t>
      </w:r>
      <w:proofErr w:type="spellEnd"/>
      <w:r w:rsidRPr="00B64BF5">
        <w:rPr>
          <w:rFonts w:ascii="Cambria" w:hAnsi="Cambria"/>
          <w:sz w:val="16"/>
          <w:szCs w:val="16"/>
        </w:rPr>
        <w:t xml:space="preserve"> No. 2008.61.81.013434-2 </w:t>
      </w:r>
      <w:proofErr w:type="spellStart"/>
      <w:r w:rsidRPr="00B64BF5">
        <w:rPr>
          <w:rFonts w:ascii="Cambria" w:hAnsi="Cambria"/>
          <w:sz w:val="16"/>
          <w:szCs w:val="16"/>
        </w:rPr>
        <w:t>Justiça</w:t>
      </w:r>
      <w:proofErr w:type="spellEnd"/>
      <w:r w:rsidRPr="00B64BF5">
        <w:rPr>
          <w:rStyle w:val="Emphasis"/>
          <w:rFonts w:ascii="Cambria" w:hAnsi="Cambria" w:cs="Arial"/>
          <w:i w:val="0"/>
          <w:sz w:val="16"/>
          <w:szCs w:val="16"/>
        </w:rPr>
        <w:t xml:space="preserve"> Federal - São Paulo, Volume 3, </w:t>
      </w:r>
      <w:proofErr w:type="spellStart"/>
      <w:r w:rsidRPr="00B64BF5">
        <w:rPr>
          <w:rStyle w:val="Emphasis"/>
          <w:rFonts w:ascii="Cambria" w:hAnsi="Cambria" w:cs="Arial"/>
          <w:i w:val="0"/>
          <w:sz w:val="16"/>
          <w:szCs w:val="16"/>
        </w:rPr>
        <w:t>fls</w:t>
      </w:r>
      <w:proofErr w:type="spellEnd"/>
      <w:r w:rsidRPr="00B64BF5">
        <w:rPr>
          <w:rStyle w:val="Emphasis"/>
          <w:rFonts w:ascii="Cambria" w:hAnsi="Cambria" w:cs="Arial"/>
          <w:i w:val="0"/>
          <w:sz w:val="16"/>
          <w:szCs w:val="16"/>
        </w:rPr>
        <w:t>.</w:t>
      </w:r>
      <w:proofErr w:type="gramEnd"/>
      <w:r w:rsidRPr="00B64BF5">
        <w:rPr>
          <w:rStyle w:val="Emphasis"/>
          <w:rFonts w:ascii="Cambria" w:hAnsi="Cambria" w:cs="Arial"/>
          <w:i w:val="0"/>
          <w:sz w:val="16"/>
          <w:szCs w:val="16"/>
        </w:rPr>
        <w:t xml:space="preserve"> 578 – Statement of Clarice Herzog, </w:t>
      </w:r>
      <w:proofErr w:type="spellStart"/>
      <w:r w:rsidRPr="00B64BF5">
        <w:rPr>
          <w:rStyle w:val="Emphasis"/>
          <w:rFonts w:ascii="Cambria" w:hAnsi="Cambria" w:cs="Arial"/>
          <w:i w:val="0"/>
          <w:sz w:val="16"/>
          <w:szCs w:val="16"/>
        </w:rPr>
        <w:t>Inquérito</w:t>
      </w:r>
      <w:proofErr w:type="spellEnd"/>
      <w:r w:rsidRPr="00B64BF5">
        <w:rPr>
          <w:rStyle w:val="Emphasis"/>
          <w:rFonts w:ascii="Cambria" w:hAnsi="Cambria" w:cs="Arial"/>
          <w:i w:val="0"/>
          <w:sz w:val="16"/>
          <w:szCs w:val="16"/>
        </w:rPr>
        <w:t xml:space="preserve"> </w:t>
      </w:r>
      <w:proofErr w:type="spellStart"/>
      <w:r w:rsidRPr="00B64BF5">
        <w:rPr>
          <w:rStyle w:val="Emphasis"/>
          <w:rFonts w:ascii="Cambria" w:hAnsi="Cambria" w:cs="Arial"/>
          <w:i w:val="0"/>
          <w:sz w:val="16"/>
          <w:szCs w:val="16"/>
        </w:rPr>
        <w:t>Policial</w:t>
      </w:r>
      <w:proofErr w:type="spellEnd"/>
      <w:r w:rsidRPr="00B64BF5">
        <w:rPr>
          <w:rStyle w:val="Emphasis"/>
          <w:rFonts w:ascii="Cambria" w:hAnsi="Cambria" w:cs="Arial"/>
          <w:i w:val="0"/>
          <w:sz w:val="16"/>
          <w:szCs w:val="16"/>
        </w:rPr>
        <w:t xml:space="preserve"> </w:t>
      </w:r>
      <w:proofErr w:type="spellStart"/>
      <w:r w:rsidRPr="00B64BF5">
        <w:rPr>
          <w:rStyle w:val="Emphasis"/>
          <w:rFonts w:ascii="Cambria" w:hAnsi="Cambria" w:cs="Arial"/>
          <w:i w:val="0"/>
          <w:sz w:val="16"/>
          <w:szCs w:val="16"/>
        </w:rPr>
        <w:t>Militar</w:t>
      </w:r>
      <w:proofErr w:type="spellEnd"/>
      <w:r w:rsidRPr="00B64BF5">
        <w:rPr>
          <w:rStyle w:val="Emphasis"/>
          <w:rFonts w:ascii="Cambria" w:hAnsi="Cambria" w:cs="Arial"/>
          <w:i w:val="0"/>
          <w:sz w:val="16"/>
          <w:szCs w:val="16"/>
        </w:rPr>
        <w:t>, of November 27, 1975.</w:t>
      </w:r>
    </w:p>
  </w:footnote>
  <w:footnote w:id="378">
    <w:p w:rsidR="00D53806" w:rsidRPr="00B64BF5" w:rsidRDefault="00D53806" w:rsidP="00B64BF5">
      <w:pPr>
        <w:pStyle w:val="FootnoteText"/>
        <w:ind w:firstLine="720"/>
        <w:jc w:val="both"/>
        <w:rPr>
          <w:rFonts w:ascii="Cambria" w:hAnsi="Cambria"/>
          <w:sz w:val="16"/>
          <w:szCs w:val="16"/>
        </w:rPr>
      </w:pPr>
      <w:r w:rsidRPr="00B64BF5">
        <w:rPr>
          <w:rStyle w:val="FootnoteReference"/>
          <w:rFonts w:ascii="Cambria" w:hAnsi="Cambria"/>
          <w:sz w:val="16"/>
          <w:szCs w:val="16"/>
        </w:rPr>
        <w:footnoteRef/>
      </w:r>
      <w:r w:rsidRPr="00B64BF5">
        <w:rPr>
          <w:rFonts w:ascii="Cambria" w:hAnsi="Cambria"/>
          <w:sz w:val="16"/>
          <w:szCs w:val="16"/>
        </w:rPr>
        <w:t xml:space="preserve"> </w:t>
      </w:r>
      <w:proofErr w:type="spellStart"/>
      <w:proofErr w:type="gramStart"/>
      <w:r w:rsidRPr="00B64BF5">
        <w:rPr>
          <w:rFonts w:ascii="Cambria" w:hAnsi="Cambria"/>
          <w:sz w:val="16"/>
          <w:szCs w:val="16"/>
        </w:rPr>
        <w:t>Proceso</w:t>
      </w:r>
      <w:proofErr w:type="spellEnd"/>
      <w:r w:rsidRPr="00B64BF5">
        <w:rPr>
          <w:rFonts w:ascii="Cambria" w:hAnsi="Cambria"/>
          <w:sz w:val="16"/>
          <w:szCs w:val="16"/>
        </w:rPr>
        <w:t xml:space="preserve"> No. 2008.61.81.013434-2 </w:t>
      </w:r>
      <w:proofErr w:type="spellStart"/>
      <w:r w:rsidRPr="00B64BF5">
        <w:rPr>
          <w:rFonts w:ascii="Cambria" w:hAnsi="Cambria"/>
          <w:sz w:val="16"/>
          <w:szCs w:val="16"/>
        </w:rPr>
        <w:t>Justiça</w:t>
      </w:r>
      <w:proofErr w:type="spellEnd"/>
      <w:r w:rsidRPr="00B64BF5">
        <w:rPr>
          <w:rStyle w:val="Emphasis"/>
          <w:rFonts w:ascii="Cambria" w:hAnsi="Cambria" w:cs="Arial"/>
          <w:i w:val="0"/>
          <w:sz w:val="16"/>
          <w:szCs w:val="16"/>
        </w:rPr>
        <w:t xml:space="preserve"> Federal - São Paulo, Volume 5, </w:t>
      </w:r>
      <w:proofErr w:type="spellStart"/>
      <w:r w:rsidRPr="00B64BF5">
        <w:rPr>
          <w:rStyle w:val="Emphasis"/>
          <w:rFonts w:ascii="Cambria" w:hAnsi="Cambria" w:cs="Arial"/>
          <w:i w:val="0"/>
          <w:sz w:val="16"/>
          <w:szCs w:val="16"/>
        </w:rPr>
        <w:t>fls</w:t>
      </w:r>
      <w:proofErr w:type="spellEnd"/>
      <w:r w:rsidRPr="00B64BF5">
        <w:rPr>
          <w:rStyle w:val="Emphasis"/>
          <w:rFonts w:ascii="Cambria" w:hAnsi="Cambria" w:cs="Arial"/>
          <w:i w:val="0"/>
          <w:sz w:val="16"/>
          <w:szCs w:val="16"/>
        </w:rPr>
        <w:t>.</w:t>
      </w:r>
      <w:proofErr w:type="gramEnd"/>
      <w:r w:rsidRPr="00B64BF5">
        <w:rPr>
          <w:rStyle w:val="Emphasis"/>
          <w:rFonts w:ascii="Cambria" w:hAnsi="Cambria" w:cs="Arial"/>
          <w:i w:val="0"/>
          <w:sz w:val="16"/>
          <w:szCs w:val="16"/>
        </w:rPr>
        <w:t xml:space="preserve"> 875 – Statement of Clarice Herzog, </w:t>
      </w:r>
      <w:proofErr w:type="spellStart"/>
      <w:r w:rsidRPr="00B64BF5">
        <w:rPr>
          <w:rStyle w:val="Emphasis"/>
          <w:rFonts w:ascii="Cambria" w:hAnsi="Cambria" w:cs="Arial"/>
          <w:i w:val="0"/>
          <w:sz w:val="16"/>
          <w:szCs w:val="16"/>
        </w:rPr>
        <w:t>Inquérito</w:t>
      </w:r>
      <w:proofErr w:type="spellEnd"/>
      <w:r w:rsidRPr="00B64BF5">
        <w:rPr>
          <w:rStyle w:val="Emphasis"/>
          <w:rFonts w:ascii="Cambria" w:hAnsi="Cambria" w:cs="Arial"/>
          <w:i w:val="0"/>
          <w:sz w:val="16"/>
          <w:szCs w:val="16"/>
        </w:rPr>
        <w:t xml:space="preserve"> </w:t>
      </w:r>
      <w:proofErr w:type="spellStart"/>
      <w:r w:rsidRPr="00B64BF5">
        <w:rPr>
          <w:rStyle w:val="Emphasis"/>
          <w:rFonts w:ascii="Cambria" w:hAnsi="Cambria" w:cs="Arial"/>
          <w:i w:val="0"/>
          <w:sz w:val="16"/>
          <w:szCs w:val="16"/>
        </w:rPr>
        <w:t>Policial</w:t>
      </w:r>
      <w:proofErr w:type="spellEnd"/>
      <w:r w:rsidRPr="00B64BF5">
        <w:rPr>
          <w:rStyle w:val="Emphasis"/>
          <w:rFonts w:ascii="Cambria" w:hAnsi="Cambria" w:cs="Arial"/>
          <w:i w:val="0"/>
          <w:sz w:val="16"/>
          <w:szCs w:val="16"/>
        </w:rPr>
        <w:t xml:space="preserve"> No 704/92, of May 28,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06" w:rsidRDefault="00D53806" w:rsidP="007F35B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53806" w:rsidRDefault="00D53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06" w:rsidRDefault="000367BD" w:rsidP="007F35B9">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5" type="#_x0000_t75" style="width:174pt;height:9.25pt;visibility:visible">
          <v:imagedata r:id="rId1" o:title="iachr-peq"/>
        </v:shape>
      </w:pict>
    </w:r>
  </w:p>
  <w:p w:rsidR="00D53806" w:rsidRPr="00EC7D62" w:rsidRDefault="002A0E3E" w:rsidP="007F35B9">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E074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73F8F"/>
    <w:multiLevelType w:val="hybridMultilevel"/>
    <w:tmpl w:val="CCFA358C"/>
    <w:lvl w:ilvl="0" w:tplc="88F6B396">
      <w:start w:val="1"/>
      <w:numFmt w:val="upperLetter"/>
      <w:pStyle w:val="Heading2"/>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B41727E"/>
    <w:multiLevelType w:val="hybridMultilevel"/>
    <w:tmpl w:val="395C02A6"/>
    <w:lvl w:ilvl="0" w:tplc="D35E505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CE16EE"/>
    <w:multiLevelType w:val="hybridMultilevel"/>
    <w:tmpl w:val="93DCE7DE"/>
    <w:lvl w:ilvl="0" w:tplc="CDF4A492">
      <w:start w:val="1"/>
      <w:numFmt w:val="decimal"/>
      <w:lvlText w:val="%1."/>
      <w:lvlJc w:val="left"/>
      <w:pPr>
        <w:ind w:left="1260" w:hanging="360"/>
      </w:pPr>
      <w:rPr>
        <w:rFonts w:hint="default"/>
        <w:b w:val="0"/>
        <w:lang w:val="es-ES"/>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4">
    <w:nsid w:val="0E0D3416"/>
    <w:multiLevelType w:val="hybridMultilevel"/>
    <w:tmpl w:val="C35C5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016D9"/>
    <w:multiLevelType w:val="hybridMultilevel"/>
    <w:tmpl w:val="2C982E4A"/>
    <w:lvl w:ilvl="0" w:tplc="DE342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A5EA0"/>
    <w:multiLevelType w:val="hybridMultilevel"/>
    <w:tmpl w:val="38404D28"/>
    <w:lvl w:ilvl="0" w:tplc="45EE0A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A46FB"/>
    <w:multiLevelType w:val="hybridMultilevel"/>
    <w:tmpl w:val="80F6D59C"/>
    <w:lvl w:ilvl="0" w:tplc="56F6B6BE">
      <w:start w:val="1"/>
      <w:numFmt w:val="upperRoman"/>
      <w:pStyle w:val="Style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C59A3"/>
    <w:multiLevelType w:val="hybridMultilevel"/>
    <w:tmpl w:val="92869CFE"/>
    <w:lvl w:ilvl="0" w:tplc="3F86827E">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40EA6"/>
    <w:multiLevelType w:val="hybridMultilevel"/>
    <w:tmpl w:val="12F6B986"/>
    <w:lvl w:ilvl="0" w:tplc="DB76C0C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E6824"/>
    <w:multiLevelType w:val="hybridMultilevel"/>
    <w:tmpl w:val="1108BFF2"/>
    <w:lvl w:ilvl="0" w:tplc="277AE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9752C7"/>
    <w:multiLevelType w:val="hybridMultilevel"/>
    <w:tmpl w:val="36C229F4"/>
    <w:lvl w:ilvl="0" w:tplc="56FA3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F2712"/>
    <w:multiLevelType w:val="hybridMultilevel"/>
    <w:tmpl w:val="DEBEE3AC"/>
    <w:lvl w:ilvl="0" w:tplc="E1FE5936">
      <w:start w:val="1"/>
      <w:numFmt w:val="decimal"/>
      <w:lvlText w:val="%1."/>
      <w:lvlJc w:val="left"/>
      <w:pPr>
        <w:ind w:left="5670" w:hanging="360"/>
      </w:pPr>
      <w:rPr>
        <w:rFonts w:hint="default"/>
        <w:lang w:val="es-ES"/>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3">
    <w:nsid w:val="38392973"/>
    <w:multiLevelType w:val="hybridMultilevel"/>
    <w:tmpl w:val="2FF4FC0A"/>
    <w:lvl w:ilvl="0" w:tplc="82602046">
      <w:start w:val="1"/>
      <w:numFmt w:val="decimal"/>
      <w:lvlText w:val="%1."/>
      <w:lvlJc w:val="left"/>
      <w:pPr>
        <w:tabs>
          <w:tab w:val="num" w:pos="1170"/>
        </w:tabs>
        <w:ind w:left="1170" w:hanging="360"/>
      </w:pPr>
      <w:rPr>
        <w:b w:val="0"/>
      </w:rPr>
    </w:lvl>
    <w:lvl w:ilvl="1" w:tplc="5B509156">
      <w:start w:val="2"/>
      <w:numFmt w:val="bullet"/>
      <w:lvlText w:val="-"/>
      <w:lvlJc w:val="left"/>
      <w:pPr>
        <w:tabs>
          <w:tab w:val="num" w:pos="1440"/>
        </w:tabs>
        <w:ind w:left="1440" w:hanging="360"/>
      </w:pPr>
      <w:rPr>
        <w:rFonts w:ascii="Calibri" w:eastAsia="Times New Roman" w:hAnsi="Calibri" w:cs="Arial" w:hint="default"/>
      </w:rPr>
    </w:lvl>
    <w:lvl w:ilvl="2" w:tplc="B374DD6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8B13F5"/>
    <w:multiLevelType w:val="hybridMultilevel"/>
    <w:tmpl w:val="40E274D6"/>
    <w:lvl w:ilvl="0" w:tplc="4796CCB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61D90"/>
    <w:multiLevelType w:val="hybridMultilevel"/>
    <w:tmpl w:val="912E28AC"/>
    <w:lvl w:ilvl="0" w:tplc="D3086CB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C1329D1"/>
    <w:multiLevelType w:val="hybridMultilevel"/>
    <w:tmpl w:val="93DCE7DE"/>
    <w:lvl w:ilvl="0" w:tplc="CDF4A492">
      <w:start w:val="1"/>
      <w:numFmt w:val="decimal"/>
      <w:lvlText w:val="%1."/>
      <w:lvlJc w:val="left"/>
      <w:pPr>
        <w:ind w:left="1260" w:hanging="360"/>
      </w:pPr>
      <w:rPr>
        <w:rFonts w:hint="default"/>
        <w:b w:val="0"/>
        <w:lang w:val="es-ES"/>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7">
    <w:nsid w:val="4D810401"/>
    <w:multiLevelType w:val="hybridMultilevel"/>
    <w:tmpl w:val="12F6B986"/>
    <w:lvl w:ilvl="0" w:tplc="DB76C0C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0916C9"/>
    <w:multiLevelType w:val="hybridMultilevel"/>
    <w:tmpl w:val="7F488F2E"/>
    <w:lvl w:ilvl="0" w:tplc="B742F52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20581"/>
    <w:multiLevelType w:val="hybridMultilevel"/>
    <w:tmpl w:val="0CB4C3AE"/>
    <w:lvl w:ilvl="0" w:tplc="8FD8FA4C">
      <w:start w:val="1"/>
      <w:numFmt w:val="lowerRoman"/>
      <w:pStyle w:val="Heading3"/>
      <w:lvlText w:val="%1."/>
      <w:lvlJc w:val="right"/>
      <w:pPr>
        <w:ind w:left="1429" w:hanging="360"/>
      </w:pPr>
      <w:rPr>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647E7D7B"/>
    <w:multiLevelType w:val="hybridMultilevel"/>
    <w:tmpl w:val="12F6B986"/>
    <w:lvl w:ilvl="0" w:tplc="DB76C0C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E7E88"/>
    <w:multiLevelType w:val="hybridMultilevel"/>
    <w:tmpl w:val="F73C39A0"/>
    <w:lvl w:ilvl="0" w:tplc="248A05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101BB"/>
    <w:multiLevelType w:val="hybridMultilevel"/>
    <w:tmpl w:val="A80A3176"/>
    <w:lvl w:ilvl="0" w:tplc="CB3E82CC">
      <w:start w:val="1"/>
      <w:numFmt w:val="upperRoman"/>
      <w:lvlText w:val="%1."/>
      <w:lvlJc w:val="left"/>
      <w:pPr>
        <w:tabs>
          <w:tab w:val="num" w:pos="1440"/>
        </w:tabs>
        <w:ind w:left="1440" w:hanging="720"/>
      </w:pPr>
      <w:rPr>
        <w:rFonts w:cs="Times New Roman" w:hint="default"/>
        <w:b/>
      </w:rPr>
    </w:lvl>
    <w:lvl w:ilvl="1" w:tplc="1DF2145E">
      <w:start w:val="1"/>
      <w:numFmt w:val="decimal"/>
      <w:lvlText w:val="%2."/>
      <w:lvlJc w:val="left"/>
      <w:pPr>
        <w:tabs>
          <w:tab w:val="num" w:pos="1800"/>
        </w:tabs>
        <w:ind w:left="1800" w:hanging="360"/>
      </w:pPr>
      <w:rPr>
        <w:rFonts w:cs="Times New Roman" w:hint="default"/>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66BE5E6A"/>
    <w:multiLevelType w:val="hybridMultilevel"/>
    <w:tmpl w:val="99A4964C"/>
    <w:lvl w:ilvl="0" w:tplc="B95E0210">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8E60472"/>
    <w:multiLevelType w:val="hybridMultilevel"/>
    <w:tmpl w:val="6290A8E2"/>
    <w:lvl w:ilvl="0" w:tplc="7D3C012C">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F4ACF"/>
    <w:multiLevelType w:val="hybridMultilevel"/>
    <w:tmpl w:val="DE1EAAB0"/>
    <w:lvl w:ilvl="0" w:tplc="9DC8AC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E569B"/>
    <w:multiLevelType w:val="hybridMultilevel"/>
    <w:tmpl w:val="93DCE7DE"/>
    <w:lvl w:ilvl="0" w:tplc="CDF4A492">
      <w:start w:val="1"/>
      <w:numFmt w:val="decimal"/>
      <w:lvlText w:val="%1."/>
      <w:lvlJc w:val="left"/>
      <w:pPr>
        <w:ind w:left="1080" w:hanging="360"/>
      </w:pPr>
      <w:rPr>
        <w:rFonts w:hint="default"/>
        <w:b w:val="0"/>
        <w:lang w:val="es-ES"/>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8">
    <w:nsid w:val="6F4D19BD"/>
    <w:multiLevelType w:val="hybridMultilevel"/>
    <w:tmpl w:val="91AAC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02265"/>
    <w:multiLevelType w:val="hybridMultilevel"/>
    <w:tmpl w:val="B772404A"/>
    <w:lvl w:ilvl="0" w:tplc="BF2A628E">
      <w:start w:val="5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E6289"/>
    <w:multiLevelType w:val="hybridMultilevel"/>
    <w:tmpl w:val="BA76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07DEF"/>
    <w:multiLevelType w:val="hybridMultilevel"/>
    <w:tmpl w:val="D700AC8C"/>
    <w:lvl w:ilvl="0" w:tplc="1806F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9A4A3D"/>
    <w:multiLevelType w:val="hybridMultilevel"/>
    <w:tmpl w:val="1624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8"/>
  </w:num>
  <w:num w:numId="4">
    <w:abstractNumId w:val="23"/>
  </w:num>
  <w:num w:numId="5">
    <w:abstractNumId w:val="7"/>
  </w:num>
  <w:num w:numId="6">
    <w:abstractNumId w:val="25"/>
  </w:num>
  <w:num w:numId="7">
    <w:abstractNumId w:val="32"/>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2"/>
  </w:num>
  <w:num w:numId="12">
    <w:abstractNumId w:val="10"/>
  </w:num>
  <w:num w:numId="13">
    <w:abstractNumId w:val="4"/>
  </w:num>
  <w:num w:numId="14">
    <w:abstractNumId w:val="12"/>
  </w:num>
  <w:num w:numId="15">
    <w:abstractNumId w:val="27"/>
  </w:num>
  <w:num w:numId="16">
    <w:abstractNumId w:val="5"/>
  </w:num>
  <w:num w:numId="17">
    <w:abstractNumId w:val="0"/>
  </w:num>
  <w:num w:numId="18">
    <w:abstractNumId w:val="26"/>
  </w:num>
  <w:num w:numId="19">
    <w:abstractNumId w:val="8"/>
  </w:num>
  <w:num w:numId="20">
    <w:abstractNumId w:val="14"/>
  </w:num>
  <w:num w:numId="21">
    <w:abstractNumId w:val="9"/>
  </w:num>
  <w:num w:numId="22">
    <w:abstractNumId w:val="21"/>
  </w:num>
  <w:num w:numId="23">
    <w:abstractNumId w:val="17"/>
  </w:num>
  <w:num w:numId="24">
    <w:abstractNumId w:val="31"/>
  </w:num>
  <w:num w:numId="25">
    <w:abstractNumId w:val="30"/>
  </w:num>
  <w:num w:numId="26">
    <w:abstractNumId w:val="19"/>
  </w:num>
  <w:num w:numId="27">
    <w:abstractNumId w:val="29"/>
  </w:num>
  <w:num w:numId="28">
    <w:abstractNumId w:val="13"/>
  </w:num>
  <w:num w:numId="29">
    <w:abstractNumId w:val="28"/>
  </w:num>
  <w:num w:numId="30">
    <w:abstractNumId w:val="6"/>
  </w:num>
  <w:num w:numId="31">
    <w:abstractNumId w:val="23"/>
    <w:lvlOverride w:ilvl="0">
      <w:startOverride w:val="1"/>
    </w:lvlOverride>
    <w:lvlOverride w:ilvl="1">
      <w:startOverride w:val="1"/>
    </w:lvlOverride>
    <w:lvlOverride w:ilvl="2">
      <w:startOverride w:val="1"/>
    </w:lvlOverride>
    <w:lvlOverride w:ilvl="3">
      <w:startOverride w:val="2"/>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num>
  <w:num w:numId="35">
    <w:abstractNumId w:val="20"/>
  </w:num>
  <w:num w:numId="36">
    <w:abstractNumId w:val="1"/>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3B"/>
    <w:rsid w:val="00025B73"/>
    <w:rsid w:val="000367BD"/>
    <w:rsid w:val="00064C5A"/>
    <w:rsid w:val="00093D4A"/>
    <w:rsid w:val="00095228"/>
    <w:rsid w:val="000D50C5"/>
    <w:rsid w:val="000E2BE3"/>
    <w:rsid w:val="001223D6"/>
    <w:rsid w:val="00174FF0"/>
    <w:rsid w:val="00181A2D"/>
    <w:rsid w:val="001D21BC"/>
    <w:rsid w:val="001E0D76"/>
    <w:rsid w:val="001F21D0"/>
    <w:rsid w:val="002359C7"/>
    <w:rsid w:val="00257A41"/>
    <w:rsid w:val="00281AA0"/>
    <w:rsid w:val="002A0E3E"/>
    <w:rsid w:val="002A72A1"/>
    <w:rsid w:val="002B3271"/>
    <w:rsid w:val="002C0C2E"/>
    <w:rsid w:val="002D53E6"/>
    <w:rsid w:val="002F323E"/>
    <w:rsid w:val="003119A2"/>
    <w:rsid w:val="003122AF"/>
    <w:rsid w:val="00336A1E"/>
    <w:rsid w:val="00343DD3"/>
    <w:rsid w:val="003A552A"/>
    <w:rsid w:val="003A5611"/>
    <w:rsid w:val="003B3AB3"/>
    <w:rsid w:val="003C0707"/>
    <w:rsid w:val="003C36A0"/>
    <w:rsid w:val="003E14C1"/>
    <w:rsid w:val="003E65C1"/>
    <w:rsid w:val="00412083"/>
    <w:rsid w:val="00423EB3"/>
    <w:rsid w:val="00477EE8"/>
    <w:rsid w:val="00481A9C"/>
    <w:rsid w:val="00490D5A"/>
    <w:rsid w:val="004958D2"/>
    <w:rsid w:val="004A4F9F"/>
    <w:rsid w:val="004C0945"/>
    <w:rsid w:val="004C2329"/>
    <w:rsid w:val="004D1980"/>
    <w:rsid w:val="004F6A04"/>
    <w:rsid w:val="00511A30"/>
    <w:rsid w:val="00511E01"/>
    <w:rsid w:val="00512648"/>
    <w:rsid w:val="00515220"/>
    <w:rsid w:val="00534E7F"/>
    <w:rsid w:val="00551385"/>
    <w:rsid w:val="00563B60"/>
    <w:rsid w:val="00590B09"/>
    <w:rsid w:val="005E6CD9"/>
    <w:rsid w:val="00627768"/>
    <w:rsid w:val="0063744F"/>
    <w:rsid w:val="006518A6"/>
    <w:rsid w:val="006B64E9"/>
    <w:rsid w:val="00704621"/>
    <w:rsid w:val="007241F3"/>
    <w:rsid w:val="00727A02"/>
    <w:rsid w:val="0076253B"/>
    <w:rsid w:val="007904DD"/>
    <w:rsid w:val="0079674C"/>
    <w:rsid w:val="007A173A"/>
    <w:rsid w:val="007C33BC"/>
    <w:rsid w:val="007D6920"/>
    <w:rsid w:val="007D700F"/>
    <w:rsid w:val="007D7461"/>
    <w:rsid w:val="007F35B9"/>
    <w:rsid w:val="00802823"/>
    <w:rsid w:val="008037DA"/>
    <w:rsid w:val="008179D5"/>
    <w:rsid w:val="00834384"/>
    <w:rsid w:val="00845EA8"/>
    <w:rsid w:val="00851158"/>
    <w:rsid w:val="00884CE0"/>
    <w:rsid w:val="00952A13"/>
    <w:rsid w:val="00974840"/>
    <w:rsid w:val="00981477"/>
    <w:rsid w:val="009C66AC"/>
    <w:rsid w:val="009D6958"/>
    <w:rsid w:val="009E4B28"/>
    <w:rsid w:val="009E7A14"/>
    <w:rsid w:val="00A1585C"/>
    <w:rsid w:val="00A24F12"/>
    <w:rsid w:val="00A30254"/>
    <w:rsid w:val="00A33A29"/>
    <w:rsid w:val="00A81D64"/>
    <w:rsid w:val="00A9594E"/>
    <w:rsid w:val="00AA39C1"/>
    <w:rsid w:val="00AB7D9B"/>
    <w:rsid w:val="00AD1F1A"/>
    <w:rsid w:val="00AD3F9E"/>
    <w:rsid w:val="00AD6D84"/>
    <w:rsid w:val="00AF07B3"/>
    <w:rsid w:val="00AF77BF"/>
    <w:rsid w:val="00B02114"/>
    <w:rsid w:val="00B15BF5"/>
    <w:rsid w:val="00B33DD7"/>
    <w:rsid w:val="00B35335"/>
    <w:rsid w:val="00B46DEC"/>
    <w:rsid w:val="00B605F0"/>
    <w:rsid w:val="00B64BF5"/>
    <w:rsid w:val="00B766A0"/>
    <w:rsid w:val="00BA1F6F"/>
    <w:rsid w:val="00BA6A5F"/>
    <w:rsid w:val="00BB2794"/>
    <w:rsid w:val="00BD548E"/>
    <w:rsid w:val="00BE316D"/>
    <w:rsid w:val="00BF2755"/>
    <w:rsid w:val="00C07D55"/>
    <w:rsid w:val="00C151B9"/>
    <w:rsid w:val="00C419D4"/>
    <w:rsid w:val="00C9461D"/>
    <w:rsid w:val="00CA0FDB"/>
    <w:rsid w:val="00CA106B"/>
    <w:rsid w:val="00CA4640"/>
    <w:rsid w:val="00D10A77"/>
    <w:rsid w:val="00D24D08"/>
    <w:rsid w:val="00D44505"/>
    <w:rsid w:val="00D53806"/>
    <w:rsid w:val="00D72C9D"/>
    <w:rsid w:val="00D73121"/>
    <w:rsid w:val="00D85590"/>
    <w:rsid w:val="00DA635E"/>
    <w:rsid w:val="00DC7D76"/>
    <w:rsid w:val="00DE0BC3"/>
    <w:rsid w:val="00DE4921"/>
    <w:rsid w:val="00E15DF4"/>
    <w:rsid w:val="00E408AC"/>
    <w:rsid w:val="00E521FD"/>
    <w:rsid w:val="00E61DC3"/>
    <w:rsid w:val="00E658CD"/>
    <w:rsid w:val="00E721F9"/>
    <w:rsid w:val="00E72405"/>
    <w:rsid w:val="00EB2A69"/>
    <w:rsid w:val="00ED5D14"/>
    <w:rsid w:val="00EE6B3D"/>
    <w:rsid w:val="00F05D29"/>
    <w:rsid w:val="00F2085B"/>
    <w:rsid w:val="00F223C4"/>
    <w:rsid w:val="00F25483"/>
    <w:rsid w:val="00F27C72"/>
    <w:rsid w:val="00FE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3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6253B"/>
    <w:pPr>
      <w:keepNext/>
      <w:numPr>
        <w:numId w:val="3"/>
      </w:numPr>
      <w:tabs>
        <w:tab w:val="clear" w:pos="1080"/>
        <w:tab w:val="num" w:pos="1440"/>
      </w:tabs>
      <w:spacing w:after="0" w:line="240" w:lineRule="auto"/>
      <w:ind w:left="1440"/>
      <w:outlineLvl w:val="0"/>
    </w:pPr>
    <w:rPr>
      <w:rFonts w:ascii="Cambria" w:eastAsia="Times New Roman" w:hAnsi="Cambria"/>
      <w:b/>
      <w:sz w:val="20"/>
      <w:szCs w:val="20"/>
      <w:lang w:val="es-ES_tradnl"/>
    </w:rPr>
  </w:style>
  <w:style w:type="paragraph" w:styleId="Heading2">
    <w:name w:val="heading 2"/>
    <w:basedOn w:val="Normal"/>
    <w:next w:val="Normal"/>
    <w:link w:val="Heading2Char"/>
    <w:uiPriority w:val="9"/>
    <w:unhideWhenUsed/>
    <w:qFormat/>
    <w:rsid w:val="006B64E9"/>
    <w:pPr>
      <w:keepNext/>
      <w:keepLines/>
      <w:numPr>
        <w:numId w:val="33"/>
      </w:numPr>
      <w:spacing w:after="0" w:line="240" w:lineRule="auto"/>
      <w:ind w:hanging="720"/>
      <w:outlineLvl w:val="1"/>
    </w:pPr>
    <w:rPr>
      <w:rFonts w:ascii="Cambria" w:eastAsiaTheme="majorEastAsia" w:hAnsi="Cambria" w:cstheme="majorBidi"/>
      <w:b/>
      <w:bCs/>
      <w:sz w:val="20"/>
      <w:szCs w:val="20"/>
    </w:rPr>
  </w:style>
  <w:style w:type="paragraph" w:styleId="Heading3">
    <w:name w:val="heading 3"/>
    <w:basedOn w:val="Normal"/>
    <w:next w:val="Normal"/>
    <w:link w:val="Heading3Char"/>
    <w:uiPriority w:val="9"/>
    <w:unhideWhenUsed/>
    <w:qFormat/>
    <w:rsid w:val="006B64E9"/>
    <w:pPr>
      <w:keepNext/>
      <w:keepLines/>
      <w:numPr>
        <w:numId w:val="35"/>
      </w:numPr>
      <w:spacing w:after="0" w:line="240" w:lineRule="auto"/>
      <w:ind w:hanging="578"/>
      <w:outlineLvl w:val="2"/>
    </w:pPr>
    <w:rPr>
      <w:rFonts w:ascii="Cambria" w:eastAsiaTheme="majorEastAsia" w:hAnsi="Cambria"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53B"/>
    <w:rPr>
      <w:rFonts w:ascii="Cambria" w:eastAsia="Times New Roman" w:hAnsi="Cambria" w:cs="Times New Roman"/>
      <w:b/>
      <w:sz w:val="20"/>
      <w:szCs w:val="20"/>
      <w:lang w:val="es-ES_tradnl"/>
    </w:rPr>
  </w:style>
  <w:style w:type="paragraph" w:styleId="Footer">
    <w:name w:val="footer"/>
    <w:link w:val="FooterChar"/>
    <w:uiPriority w:val="99"/>
    <w:rsid w:val="0076253B"/>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76253B"/>
    <w:rPr>
      <w:rFonts w:ascii="Cambria" w:eastAsia="Cambria" w:hAnsi="Cambria" w:cs="Cambria"/>
      <w:color w:val="000000"/>
      <w:sz w:val="24"/>
      <w:szCs w:val="24"/>
      <w:u w:color="000000"/>
      <w:bdr w:val="nil"/>
      <w:lang w:eastAsia="es-ES"/>
    </w:rPr>
  </w:style>
  <w:style w:type="paragraph" w:styleId="ListParagraph">
    <w:name w:val="List Paragraph"/>
    <w:link w:val="ListParagraphChar"/>
    <w:uiPriority w:val="34"/>
    <w:qFormat/>
    <w:rsid w:val="0076253B"/>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76253B"/>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76253B"/>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76253B"/>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basedOn w:val="DefaultParagraphFont"/>
    <w:link w:val="Header"/>
    <w:uiPriority w:val="99"/>
    <w:rsid w:val="0076253B"/>
    <w:rPr>
      <w:rFonts w:ascii="Univers" w:eastAsia="Times New Roman" w:hAnsi="Univers" w:cs="Univers"/>
      <w:sz w:val="24"/>
      <w:szCs w:val="24"/>
    </w:rPr>
  </w:style>
  <w:style w:type="character" w:styleId="PageNumber">
    <w:name w:val="page number"/>
    <w:rsid w:val="0076253B"/>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qFormat/>
    <w:rsid w:val="0076253B"/>
    <w:rPr>
      <w:rFonts w:cs="Times New Roman"/>
      <w:vertAlign w:val="superscript"/>
    </w:rPr>
  </w:style>
  <w:style w:type="paragraph" w:customStyle="1" w:styleId="Style1">
    <w:name w:val="Style1"/>
    <w:basedOn w:val="FootnoteText"/>
    <w:link w:val="Style1Char"/>
    <w:autoRedefine/>
    <w:qFormat/>
    <w:rsid w:val="0076253B"/>
    <w:pPr>
      <w:numPr>
        <w:numId w:val="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pPr>
    <w:rPr>
      <w:rFonts w:ascii="Cambria" w:eastAsia="Times New Roman" w:hAnsi="Cambria" w:cs="Times New Roman"/>
      <w:b/>
      <w:color w:val="auto"/>
      <w:bdr w:val="none" w:sz="0" w:space="0" w:color="auto"/>
      <w:lang w:val="es-PY" w:eastAsia="en-US"/>
    </w:rPr>
  </w:style>
  <w:style w:type="character" w:customStyle="1" w:styleId="Style1Char">
    <w:name w:val="Style1 Char"/>
    <w:link w:val="Style1"/>
    <w:rsid w:val="0076253B"/>
    <w:rPr>
      <w:rFonts w:ascii="Cambria" w:eastAsia="Times New Roman" w:hAnsi="Cambria" w:cs="Times New Roman"/>
      <w:b/>
      <w:sz w:val="20"/>
      <w:szCs w:val="20"/>
      <w:u w:color="000000"/>
      <w:lang w:val="es-PY"/>
    </w:rPr>
  </w:style>
  <w:style w:type="character" w:styleId="Emphasis">
    <w:name w:val="Emphasis"/>
    <w:uiPriority w:val="20"/>
    <w:qFormat/>
    <w:rsid w:val="0076253B"/>
    <w:rPr>
      <w:i/>
      <w:iCs/>
    </w:rPr>
  </w:style>
  <w:style w:type="character" w:customStyle="1" w:styleId="st1">
    <w:name w:val="st1"/>
    <w:basedOn w:val="DefaultParagraphFont"/>
    <w:rsid w:val="0076253B"/>
  </w:style>
  <w:style w:type="character" w:customStyle="1" w:styleId="apple-converted-space">
    <w:name w:val="apple-converted-space"/>
    <w:rsid w:val="0076253B"/>
    <w:rPr>
      <w:rFonts w:cs="Times New Roman"/>
    </w:rPr>
  </w:style>
  <w:style w:type="paragraph" w:styleId="NoSpacing">
    <w:name w:val="No Spacing"/>
    <w:uiPriority w:val="1"/>
    <w:qFormat/>
    <w:rsid w:val="0076253B"/>
    <w:pPr>
      <w:spacing w:after="0" w:line="240" w:lineRule="auto"/>
    </w:pPr>
    <w:rPr>
      <w:rFonts w:ascii="Calibri" w:eastAsia="Calibri" w:hAnsi="Calibri" w:cs="Times New Roman"/>
    </w:rPr>
  </w:style>
  <w:style w:type="paragraph" w:styleId="BalloonText">
    <w:name w:val="Balloon Text"/>
    <w:basedOn w:val="Normal"/>
    <w:link w:val="BalloonTextChar"/>
    <w:unhideWhenUsed/>
    <w:rsid w:val="00D24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08"/>
    <w:rPr>
      <w:rFonts w:ascii="Tahoma" w:eastAsia="Calibri" w:hAnsi="Tahoma" w:cs="Tahoma"/>
      <w:sz w:val="16"/>
      <w:szCs w:val="16"/>
    </w:rPr>
  </w:style>
  <w:style w:type="paragraph" w:customStyle="1" w:styleId="MediumGrid21">
    <w:name w:val="Medium Grid 21"/>
    <w:uiPriority w:val="1"/>
    <w:qFormat/>
    <w:rsid w:val="007F35B9"/>
    <w:pPr>
      <w:spacing w:after="0" w:line="240" w:lineRule="auto"/>
    </w:pPr>
    <w:rPr>
      <w:rFonts w:ascii="Calibri" w:eastAsia="SimSun" w:hAnsi="Calibri" w:cs="Times New Roman"/>
      <w:lang w:eastAsia="zh-CN"/>
    </w:rPr>
  </w:style>
  <w:style w:type="character" w:styleId="Strong">
    <w:name w:val="Strong"/>
    <w:uiPriority w:val="22"/>
    <w:qFormat/>
    <w:rsid w:val="007F35B9"/>
    <w:rPr>
      <w:b/>
      <w:bCs/>
    </w:rPr>
  </w:style>
  <w:style w:type="character" w:styleId="Hyperlink">
    <w:name w:val="Hyperlink"/>
    <w:uiPriority w:val="99"/>
    <w:unhideWhenUsed/>
    <w:rsid w:val="007F35B9"/>
    <w:rPr>
      <w:color w:val="0000FF"/>
      <w:u w:val="single"/>
    </w:rPr>
  </w:style>
  <w:style w:type="paragraph" w:customStyle="1" w:styleId="ColorfulList-Accent11">
    <w:name w:val="Colorful List - Accent 11"/>
    <w:basedOn w:val="Normal"/>
    <w:uiPriority w:val="34"/>
    <w:qFormat/>
    <w:rsid w:val="007F35B9"/>
    <w:pPr>
      <w:ind w:left="720"/>
    </w:pPr>
    <w:rPr>
      <w:rFonts w:eastAsia="SimSun"/>
      <w:lang w:eastAsia="zh-CN"/>
    </w:rPr>
  </w:style>
  <w:style w:type="paragraph" w:styleId="CommentText">
    <w:name w:val="annotation text"/>
    <w:basedOn w:val="Normal"/>
    <w:link w:val="CommentTextChar"/>
    <w:uiPriority w:val="99"/>
    <w:semiHidden/>
    <w:unhideWhenUsed/>
    <w:rsid w:val="007F35B9"/>
    <w:rPr>
      <w:rFonts w:eastAsia="SimSun"/>
      <w:sz w:val="20"/>
      <w:szCs w:val="20"/>
      <w:lang w:eastAsia="zh-CN"/>
    </w:rPr>
  </w:style>
  <w:style w:type="character" w:customStyle="1" w:styleId="CommentTextChar">
    <w:name w:val="Comment Text Char"/>
    <w:basedOn w:val="DefaultParagraphFont"/>
    <w:link w:val="CommentText"/>
    <w:uiPriority w:val="99"/>
    <w:semiHidden/>
    <w:rsid w:val="007F35B9"/>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F35B9"/>
    <w:rPr>
      <w:b/>
      <w:bCs/>
    </w:rPr>
  </w:style>
  <w:style w:type="character" w:customStyle="1" w:styleId="CommentSubjectChar">
    <w:name w:val="Comment Subject Char"/>
    <w:basedOn w:val="CommentTextChar"/>
    <w:link w:val="CommentSubject"/>
    <w:uiPriority w:val="99"/>
    <w:semiHidden/>
    <w:rsid w:val="007F35B9"/>
    <w:rPr>
      <w:rFonts w:ascii="Calibri" w:eastAsia="SimSun" w:hAnsi="Calibri" w:cs="Times New Roman"/>
      <w:b/>
      <w:bCs/>
      <w:sz w:val="20"/>
      <w:szCs w:val="20"/>
      <w:lang w:eastAsia="zh-CN"/>
    </w:rPr>
  </w:style>
  <w:style w:type="character" w:customStyle="1" w:styleId="hps">
    <w:name w:val="hps"/>
    <w:rsid w:val="007F35B9"/>
  </w:style>
  <w:style w:type="character" w:customStyle="1" w:styleId="EndnoteTextChar">
    <w:name w:val="Endnote Text Char"/>
    <w:basedOn w:val="DefaultParagraphFont"/>
    <w:link w:val="EndnoteText"/>
    <w:uiPriority w:val="99"/>
    <w:semiHidden/>
    <w:rsid w:val="007F35B9"/>
    <w:rPr>
      <w:rFonts w:ascii="Calibri" w:eastAsia="SimSun" w:hAnsi="Calibri" w:cs="Times New Roman"/>
      <w:sz w:val="20"/>
      <w:szCs w:val="20"/>
      <w:lang w:eastAsia="zh-CN"/>
    </w:rPr>
  </w:style>
  <w:style w:type="paragraph" w:styleId="EndnoteText">
    <w:name w:val="endnote text"/>
    <w:basedOn w:val="Normal"/>
    <w:link w:val="EndnoteTextChar"/>
    <w:uiPriority w:val="99"/>
    <w:semiHidden/>
    <w:unhideWhenUsed/>
    <w:rsid w:val="007F35B9"/>
    <w:rPr>
      <w:rFonts w:eastAsia="SimSun"/>
      <w:sz w:val="20"/>
      <w:szCs w:val="20"/>
      <w:lang w:eastAsia="zh-CN"/>
    </w:rPr>
  </w:style>
  <w:style w:type="paragraph" w:styleId="NormalWeb">
    <w:name w:val="Normal (Web)"/>
    <w:aliases w:val="Normal (Web) Char1,Normal (Web) Char Char,Normal (Web) Char1 Char,Normal (Web) Char Char Char"/>
    <w:basedOn w:val="Normal"/>
    <w:rsid w:val="00DE0BC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link w:val="DefaultChar"/>
    <w:rsid w:val="00DE0BC3"/>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customStyle="1" w:styleId="Sangradetindependiente">
    <w:name w:val="Sangría de t. independiente"/>
    <w:basedOn w:val="Normal"/>
    <w:rsid w:val="00DE0BC3"/>
    <w:pPr>
      <w:spacing w:after="0" w:line="240" w:lineRule="auto"/>
      <w:jc w:val="both"/>
    </w:pPr>
    <w:rPr>
      <w:rFonts w:ascii="Helvetica" w:eastAsia="Times New Roman" w:hAnsi="Helvetica"/>
      <w:sz w:val="18"/>
      <w:szCs w:val="20"/>
      <w:lang w:val="es-ES_tradnl" w:eastAsia="es-ES"/>
    </w:rPr>
  </w:style>
  <w:style w:type="character" w:customStyle="1" w:styleId="ListParagraphChar">
    <w:name w:val="List Paragraph Char"/>
    <w:link w:val="ListParagraph"/>
    <w:uiPriority w:val="34"/>
    <w:locked/>
    <w:rsid w:val="00DE0BC3"/>
    <w:rPr>
      <w:rFonts w:ascii="Cambria" w:eastAsia="Cambria" w:hAnsi="Cambria" w:cs="Cambria"/>
      <w:color w:val="000000"/>
      <w:sz w:val="24"/>
      <w:szCs w:val="24"/>
      <w:u w:color="000000"/>
      <w:bdr w:val="nil"/>
      <w:lang w:eastAsia="es-ES"/>
    </w:rPr>
  </w:style>
  <w:style w:type="character" w:customStyle="1" w:styleId="DefaultChar">
    <w:name w:val="Default Char"/>
    <w:link w:val="Default"/>
    <w:rsid w:val="00DE0BC3"/>
    <w:rPr>
      <w:rFonts w:ascii="Times New Roman" w:eastAsia="Times New Roman" w:hAnsi="Times New Roman" w:cs="Times New Roman"/>
      <w:color w:val="000000"/>
      <w:sz w:val="24"/>
      <w:szCs w:val="24"/>
      <w:lang w:eastAsia="zh-CN"/>
    </w:rPr>
  </w:style>
  <w:style w:type="character" w:customStyle="1" w:styleId="Heading2Char">
    <w:name w:val="Heading 2 Char"/>
    <w:basedOn w:val="DefaultParagraphFont"/>
    <w:link w:val="Heading2"/>
    <w:uiPriority w:val="9"/>
    <w:rsid w:val="006B64E9"/>
    <w:rPr>
      <w:rFonts w:ascii="Cambria" w:eastAsiaTheme="majorEastAsia" w:hAnsi="Cambria" w:cstheme="majorBidi"/>
      <w:b/>
      <w:bCs/>
      <w:sz w:val="20"/>
      <w:szCs w:val="20"/>
    </w:rPr>
  </w:style>
  <w:style w:type="character" w:customStyle="1" w:styleId="Heading3Char">
    <w:name w:val="Heading 3 Char"/>
    <w:basedOn w:val="DefaultParagraphFont"/>
    <w:link w:val="Heading3"/>
    <w:uiPriority w:val="9"/>
    <w:rsid w:val="006B64E9"/>
    <w:rPr>
      <w:rFonts w:ascii="Cambria" w:eastAsiaTheme="majorEastAsia" w:hAnsi="Cambria" w:cstheme="majorBidi"/>
      <w:b/>
      <w:bCs/>
      <w:sz w:val="20"/>
      <w:szCs w:val="20"/>
    </w:rPr>
  </w:style>
  <w:style w:type="paragraph" w:styleId="TOC1">
    <w:name w:val="toc 1"/>
    <w:basedOn w:val="Normal"/>
    <w:next w:val="Normal"/>
    <w:autoRedefine/>
    <w:uiPriority w:val="39"/>
    <w:unhideWhenUsed/>
    <w:rsid w:val="00845EA8"/>
    <w:pPr>
      <w:tabs>
        <w:tab w:val="left" w:pos="660"/>
        <w:tab w:val="right" w:leader="dot" w:pos="9350"/>
      </w:tabs>
      <w:spacing w:before="120" w:after="120"/>
      <w:jc w:val="both"/>
    </w:pPr>
    <w:rPr>
      <w:rFonts w:asciiTheme="minorHAnsi" w:hAnsiTheme="minorHAnsi"/>
      <w:b/>
      <w:bCs/>
      <w:caps/>
      <w:sz w:val="20"/>
      <w:szCs w:val="20"/>
    </w:rPr>
  </w:style>
  <w:style w:type="paragraph" w:styleId="TOC2">
    <w:name w:val="toc 2"/>
    <w:basedOn w:val="Normal"/>
    <w:next w:val="Normal"/>
    <w:autoRedefine/>
    <w:uiPriority w:val="39"/>
    <w:unhideWhenUsed/>
    <w:rsid w:val="00C07D55"/>
    <w:pPr>
      <w:tabs>
        <w:tab w:val="left" w:pos="660"/>
        <w:tab w:val="right" w:leader="dot" w:pos="9350"/>
      </w:tabs>
      <w:spacing w:after="0"/>
      <w:ind w:left="220"/>
    </w:pPr>
    <w:rPr>
      <w:rFonts w:ascii="Cambria" w:hAnsi="Cambria"/>
      <w:noProof/>
      <w:sz w:val="20"/>
      <w:szCs w:val="20"/>
    </w:rPr>
  </w:style>
  <w:style w:type="paragraph" w:styleId="TOC3">
    <w:name w:val="toc 3"/>
    <w:basedOn w:val="Normal"/>
    <w:next w:val="Normal"/>
    <w:autoRedefine/>
    <w:uiPriority w:val="39"/>
    <w:unhideWhenUsed/>
    <w:rsid w:val="00845EA8"/>
    <w:pPr>
      <w:tabs>
        <w:tab w:val="left" w:pos="880"/>
        <w:tab w:val="right" w:leader="dot" w:pos="9350"/>
      </w:tabs>
      <w:spacing w:after="0"/>
      <w:ind w:left="440"/>
    </w:pPr>
    <w:rPr>
      <w:rFonts w:ascii="Cambria" w:hAnsi="Cambria"/>
      <w:iCs/>
      <w:noProof/>
      <w:sz w:val="20"/>
      <w:szCs w:val="20"/>
    </w:rPr>
  </w:style>
  <w:style w:type="paragraph" w:styleId="TOC4">
    <w:name w:val="toc 4"/>
    <w:basedOn w:val="Normal"/>
    <w:next w:val="Normal"/>
    <w:autoRedefine/>
    <w:uiPriority w:val="39"/>
    <w:unhideWhenUsed/>
    <w:rsid w:val="00C07D55"/>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C07D55"/>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C07D55"/>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C07D55"/>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C07D55"/>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C07D55"/>
    <w:pPr>
      <w:spacing w:after="0"/>
      <w:ind w:left="1760"/>
    </w:pPr>
    <w:rPr>
      <w:rFonts w:asciiTheme="minorHAnsi" w:hAnsiTheme="minorHAnsi"/>
      <w:sz w:val="18"/>
      <w:szCs w:val="18"/>
    </w:rPr>
  </w:style>
  <w:style w:type="paragraph" w:styleId="BodyTextIndent">
    <w:name w:val="Body Text Indent"/>
    <w:link w:val="BodyTextIndentChar"/>
    <w:uiPriority w:val="99"/>
    <w:rsid w:val="00343DD3"/>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uiPriority w:val="99"/>
    <w:rsid w:val="00343DD3"/>
    <w:rPr>
      <w:rFonts w:ascii="Times New Roman" w:eastAsia="Times New Roman" w:hAnsi="Times New Roman" w:cs="Times New Roman"/>
      <w:color w:val="000000"/>
      <w:sz w:val="24"/>
      <w:szCs w:val="24"/>
      <w:u w:color="000000"/>
      <w:bdr w:val="nil"/>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3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6253B"/>
    <w:pPr>
      <w:keepNext/>
      <w:numPr>
        <w:numId w:val="3"/>
      </w:numPr>
      <w:tabs>
        <w:tab w:val="clear" w:pos="1080"/>
        <w:tab w:val="num" w:pos="1440"/>
      </w:tabs>
      <w:spacing w:after="0" w:line="240" w:lineRule="auto"/>
      <w:ind w:left="1440"/>
      <w:outlineLvl w:val="0"/>
    </w:pPr>
    <w:rPr>
      <w:rFonts w:ascii="Cambria" w:eastAsia="Times New Roman" w:hAnsi="Cambria"/>
      <w:b/>
      <w:sz w:val="20"/>
      <w:szCs w:val="20"/>
      <w:lang w:val="es-ES_tradnl"/>
    </w:rPr>
  </w:style>
  <w:style w:type="paragraph" w:styleId="Heading2">
    <w:name w:val="heading 2"/>
    <w:basedOn w:val="Normal"/>
    <w:next w:val="Normal"/>
    <w:link w:val="Heading2Char"/>
    <w:uiPriority w:val="9"/>
    <w:unhideWhenUsed/>
    <w:qFormat/>
    <w:rsid w:val="006B64E9"/>
    <w:pPr>
      <w:keepNext/>
      <w:keepLines/>
      <w:numPr>
        <w:numId w:val="33"/>
      </w:numPr>
      <w:spacing w:after="0" w:line="240" w:lineRule="auto"/>
      <w:ind w:hanging="720"/>
      <w:outlineLvl w:val="1"/>
    </w:pPr>
    <w:rPr>
      <w:rFonts w:ascii="Cambria" w:eastAsiaTheme="majorEastAsia" w:hAnsi="Cambria" w:cstheme="majorBidi"/>
      <w:b/>
      <w:bCs/>
      <w:sz w:val="20"/>
      <w:szCs w:val="20"/>
    </w:rPr>
  </w:style>
  <w:style w:type="paragraph" w:styleId="Heading3">
    <w:name w:val="heading 3"/>
    <w:basedOn w:val="Normal"/>
    <w:next w:val="Normal"/>
    <w:link w:val="Heading3Char"/>
    <w:uiPriority w:val="9"/>
    <w:unhideWhenUsed/>
    <w:qFormat/>
    <w:rsid w:val="006B64E9"/>
    <w:pPr>
      <w:keepNext/>
      <w:keepLines/>
      <w:numPr>
        <w:numId w:val="35"/>
      </w:numPr>
      <w:spacing w:after="0" w:line="240" w:lineRule="auto"/>
      <w:ind w:hanging="578"/>
      <w:outlineLvl w:val="2"/>
    </w:pPr>
    <w:rPr>
      <w:rFonts w:ascii="Cambria" w:eastAsiaTheme="majorEastAsia" w:hAnsi="Cambria"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53B"/>
    <w:rPr>
      <w:rFonts w:ascii="Cambria" w:eastAsia="Times New Roman" w:hAnsi="Cambria" w:cs="Times New Roman"/>
      <w:b/>
      <w:sz w:val="20"/>
      <w:szCs w:val="20"/>
      <w:lang w:val="es-ES_tradnl"/>
    </w:rPr>
  </w:style>
  <w:style w:type="paragraph" w:styleId="Footer">
    <w:name w:val="footer"/>
    <w:link w:val="FooterChar"/>
    <w:uiPriority w:val="99"/>
    <w:rsid w:val="0076253B"/>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76253B"/>
    <w:rPr>
      <w:rFonts w:ascii="Cambria" w:eastAsia="Cambria" w:hAnsi="Cambria" w:cs="Cambria"/>
      <w:color w:val="000000"/>
      <w:sz w:val="24"/>
      <w:szCs w:val="24"/>
      <w:u w:color="000000"/>
      <w:bdr w:val="nil"/>
      <w:lang w:eastAsia="es-ES"/>
    </w:rPr>
  </w:style>
  <w:style w:type="paragraph" w:styleId="ListParagraph">
    <w:name w:val="List Paragraph"/>
    <w:link w:val="ListParagraphChar"/>
    <w:uiPriority w:val="34"/>
    <w:qFormat/>
    <w:rsid w:val="0076253B"/>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76253B"/>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76253B"/>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76253B"/>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basedOn w:val="DefaultParagraphFont"/>
    <w:link w:val="Header"/>
    <w:uiPriority w:val="99"/>
    <w:rsid w:val="0076253B"/>
    <w:rPr>
      <w:rFonts w:ascii="Univers" w:eastAsia="Times New Roman" w:hAnsi="Univers" w:cs="Univers"/>
      <w:sz w:val="24"/>
      <w:szCs w:val="24"/>
    </w:rPr>
  </w:style>
  <w:style w:type="character" w:styleId="PageNumber">
    <w:name w:val="page number"/>
    <w:rsid w:val="0076253B"/>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qFormat/>
    <w:rsid w:val="0076253B"/>
    <w:rPr>
      <w:rFonts w:cs="Times New Roman"/>
      <w:vertAlign w:val="superscript"/>
    </w:rPr>
  </w:style>
  <w:style w:type="paragraph" w:customStyle="1" w:styleId="Style1">
    <w:name w:val="Style1"/>
    <w:basedOn w:val="FootnoteText"/>
    <w:link w:val="Style1Char"/>
    <w:autoRedefine/>
    <w:qFormat/>
    <w:rsid w:val="0076253B"/>
    <w:pPr>
      <w:numPr>
        <w:numId w:val="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pPr>
    <w:rPr>
      <w:rFonts w:ascii="Cambria" w:eastAsia="Times New Roman" w:hAnsi="Cambria" w:cs="Times New Roman"/>
      <w:b/>
      <w:color w:val="auto"/>
      <w:bdr w:val="none" w:sz="0" w:space="0" w:color="auto"/>
      <w:lang w:val="es-PY" w:eastAsia="en-US"/>
    </w:rPr>
  </w:style>
  <w:style w:type="character" w:customStyle="1" w:styleId="Style1Char">
    <w:name w:val="Style1 Char"/>
    <w:link w:val="Style1"/>
    <w:rsid w:val="0076253B"/>
    <w:rPr>
      <w:rFonts w:ascii="Cambria" w:eastAsia="Times New Roman" w:hAnsi="Cambria" w:cs="Times New Roman"/>
      <w:b/>
      <w:sz w:val="20"/>
      <w:szCs w:val="20"/>
      <w:u w:color="000000"/>
      <w:lang w:val="es-PY"/>
    </w:rPr>
  </w:style>
  <w:style w:type="character" w:styleId="Emphasis">
    <w:name w:val="Emphasis"/>
    <w:uiPriority w:val="20"/>
    <w:qFormat/>
    <w:rsid w:val="0076253B"/>
    <w:rPr>
      <w:i/>
      <w:iCs/>
    </w:rPr>
  </w:style>
  <w:style w:type="character" w:customStyle="1" w:styleId="st1">
    <w:name w:val="st1"/>
    <w:basedOn w:val="DefaultParagraphFont"/>
    <w:rsid w:val="0076253B"/>
  </w:style>
  <w:style w:type="character" w:customStyle="1" w:styleId="apple-converted-space">
    <w:name w:val="apple-converted-space"/>
    <w:rsid w:val="0076253B"/>
    <w:rPr>
      <w:rFonts w:cs="Times New Roman"/>
    </w:rPr>
  </w:style>
  <w:style w:type="paragraph" w:styleId="NoSpacing">
    <w:name w:val="No Spacing"/>
    <w:uiPriority w:val="1"/>
    <w:qFormat/>
    <w:rsid w:val="0076253B"/>
    <w:pPr>
      <w:spacing w:after="0" w:line="240" w:lineRule="auto"/>
    </w:pPr>
    <w:rPr>
      <w:rFonts w:ascii="Calibri" w:eastAsia="Calibri" w:hAnsi="Calibri" w:cs="Times New Roman"/>
    </w:rPr>
  </w:style>
  <w:style w:type="paragraph" w:styleId="BalloonText">
    <w:name w:val="Balloon Text"/>
    <w:basedOn w:val="Normal"/>
    <w:link w:val="BalloonTextChar"/>
    <w:unhideWhenUsed/>
    <w:rsid w:val="00D24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08"/>
    <w:rPr>
      <w:rFonts w:ascii="Tahoma" w:eastAsia="Calibri" w:hAnsi="Tahoma" w:cs="Tahoma"/>
      <w:sz w:val="16"/>
      <w:szCs w:val="16"/>
    </w:rPr>
  </w:style>
  <w:style w:type="paragraph" w:customStyle="1" w:styleId="MediumGrid21">
    <w:name w:val="Medium Grid 21"/>
    <w:uiPriority w:val="1"/>
    <w:qFormat/>
    <w:rsid w:val="007F35B9"/>
    <w:pPr>
      <w:spacing w:after="0" w:line="240" w:lineRule="auto"/>
    </w:pPr>
    <w:rPr>
      <w:rFonts w:ascii="Calibri" w:eastAsia="SimSun" w:hAnsi="Calibri" w:cs="Times New Roman"/>
      <w:lang w:eastAsia="zh-CN"/>
    </w:rPr>
  </w:style>
  <w:style w:type="character" w:styleId="Strong">
    <w:name w:val="Strong"/>
    <w:uiPriority w:val="22"/>
    <w:qFormat/>
    <w:rsid w:val="007F35B9"/>
    <w:rPr>
      <w:b/>
      <w:bCs/>
    </w:rPr>
  </w:style>
  <w:style w:type="character" w:styleId="Hyperlink">
    <w:name w:val="Hyperlink"/>
    <w:uiPriority w:val="99"/>
    <w:unhideWhenUsed/>
    <w:rsid w:val="007F35B9"/>
    <w:rPr>
      <w:color w:val="0000FF"/>
      <w:u w:val="single"/>
    </w:rPr>
  </w:style>
  <w:style w:type="paragraph" w:customStyle="1" w:styleId="ColorfulList-Accent11">
    <w:name w:val="Colorful List - Accent 11"/>
    <w:basedOn w:val="Normal"/>
    <w:uiPriority w:val="34"/>
    <w:qFormat/>
    <w:rsid w:val="007F35B9"/>
    <w:pPr>
      <w:ind w:left="720"/>
    </w:pPr>
    <w:rPr>
      <w:rFonts w:eastAsia="SimSun"/>
      <w:lang w:eastAsia="zh-CN"/>
    </w:rPr>
  </w:style>
  <w:style w:type="paragraph" w:styleId="CommentText">
    <w:name w:val="annotation text"/>
    <w:basedOn w:val="Normal"/>
    <w:link w:val="CommentTextChar"/>
    <w:uiPriority w:val="99"/>
    <w:semiHidden/>
    <w:unhideWhenUsed/>
    <w:rsid w:val="007F35B9"/>
    <w:rPr>
      <w:rFonts w:eastAsia="SimSun"/>
      <w:sz w:val="20"/>
      <w:szCs w:val="20"/>
      <w:lang w:eastAsia="zh-CN"/>
    </w:rPr>
  </w:style>
  <w:style w:type="character" w:customStyle="1" w:styleId="CommentTextChar">
    <w:name w:val="Comment Text Char"/>
    <w:basedOn w:val="DefaultParagraphFont"/>
    <w:link w:val="CommentText"/>
    <w:uiPriority w:val="99"/>
    <w:semiHidden/>
    <w:rsid w:val="007F35B9"/>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F35B9"/>
    <w:rPr>
      <w:b/>
      <w:bCs/>
    </w:rPr>
  </w:style>
  <w:style w:type="character" w:customStyle="1" w:styleId="CommentSubjectChar">
    <w:name w:val="Comment Subject Char"/>
    <w:basedOn w:val="CommentTextChar"/>
    <w:link w:val="CommentSubject"/>
    <w:uiPriority w:val="99"/>
    <w:semiHidden/>
    <w:rsid w:val="007F35B9"/>
    <w:rPr>
      <w:rFonts w:ascii="Calibri" w:eastAsia="SimSun" w:hAnsi="Calibri" w:cs="Times New Roman"/>
      <w:b/>
      <w:bCs/>
      <w:sz w:val="20"/>
      <w:szCs w:val="20"/>
      <w:lang w:eastAsia="zh-CN"/>
    </w:rPr>
  </w:style>
  <w:style w:type="character" w:customStyle="1" w:styleId="hps">
    <w:name w:val="hps"/>
    <w:rsid w:val="007F35B9"/>
  </w:style>
  <w:style w:type="character" w:customStyle="1" w:styleId="EndnoteTextChar">
    <w:name w:val="Endnote Text Char"/>
    <w:basedOn w:val="DefaultParagraphFont"/>
    <w:link w:val="EndnoteText"/>
    <w:uiPriority w:val="99"/>
    <w:semiHidden/>
    <w:rsid w:val="007F35B9"/>
    <w:rPr>
      <w:rFonts w:ascii="Calibri" w:eastAsia="SimSun" w:hAnsi="Calibri" w:cs="Times New Roman"/>
      <w:sz w:val="20"/>
      <w:szCs w:val="20"/>
      <w:lang w:eastAsia="zh-CN"/>
    </w:rPr>
  </w:style>
  <w:style w:type="paragraph" w:styleId="EndnoteText">
    <w:name w:val="endnote text"/>
    <w:basedOn w:val="Normal"/>
    <w:link w:val="EndnoteTextChar"/>
    <w:uiPriority w:val="99"/>
    <w:semiHidden/>
    <w:unhideWhenUsed/>
    <w:rsid w:val="007F35B9"/>
    <w:rPr>
      <w:rFonts w:eastAsia="SimSun"/>
      <w:sz w:val="20"/>
      <w:szCs w:val="20"/>
      <w:lang w:eastAsia="zh-CN"/>
    </w:rPr>
  </w:style>
  <w:style w:type="paragraph" w:styleId="NormalWeb">
    <w:name w:val="Normal (Web)"/>
    <w:aliases w:val="Normal (Web) Char1,Normal (Web) Char Char,Normal (Web) Char1 Char,Normal (Web) Char Char Char"/>
    <w:basedOn w:val="Normal"/>
    <w:rsid w:val="00DE0BC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link w:val="DefaultChar"/>
    <w:rsid w:val="00DE0BC3"/>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customStyle="1" w:styleId="Sangradetindependiente">
    <w:name w:val="Sangría de t. independiente"/>
    <w:basedOn w:val="Normal"/>
    <w:rsid w:val="00DE0BC3"/>
    <w:pPr>
      <w:spacing w:after="0" w:line="240" w:lineRule="auto"/>
      <w:jc w:val="both"/>
    </w:pPr>
    <w:rPr>
      <w:rFonts w:ascii="Helvetica" w:eastAsia="Times New Roman" w:hAnsi="Helvetica"/>
      <w:sz w:val="18"/>
      <w:szCs w:val="20"/>
      <w:lang w:val="es-ES_tradnl" w:eastAsia="es-ES"/>
    </w:rPr>
  </w:style>
  <w:style w:type="character" w:customStyle="1" w:styleId="ListParagraphChar">
    <w:name w:val="List Paragraph Char"/>
    <w:link w:val="ListParagraph"/>
    <w:uiPriority w:val="34"/>
    <w:locked/>
    <w:rsid w:val="00DE0BC3"/>
    <w:rPr>
      <w:rFonts w:ascii="Cambria" w:eastAsia="Cambria" w:hAnsi="Cambria" w:cs="Cambria"/>
      <w:color w:val="000000"/>
      <w:sz w:val="24"/>
      <w:szCs w:val="24"/>
      <w:u w:color="000000"/>
      <w:bdr w:val="nil"/>
      <w:lang w:eastAsia="es-ES"/>
    </w:rPr>
  </w:style>
  <w:style w:type="character" w:customStyle="1" w:styleId="DefaultChar">
    <w:name w:val="Default Char"/>
    <w:link w:val="Default"/>
    <w:rsid w:val="00DE0BC3"/>
    <w:rPr>
      <w:rFonts w:ascii="Times New Roman" w:eastAsia="Times New Roman" w:hAnsi="Times New Roman" w:cs="Times New Roman"/>
      <w:color w:val="000000"/>
      <w:sz w:val="24"/>
      <w:szCs w:val="24"/>
      <w:lang w:eastAsia="zh-CN"/>
    </w:rPr>
  </w:style>
  <w:style w:type="character" w:customStyle="1" w:styleId="Heading2Char">
    <w:name w:val="Heading 2 Char"/>
    <w:basedOn w:val="DefaultParagraphFont"/>
    <w:link w:val="Heading2"/>
    <w:uiPriority w:val="9"/>
    <w:rsid w:val="006B64E9"/>
    <w:rPr>
      <w:rFonts w:ascii="Cambria" w:eastAsiaTheme="majorEastAsia" w:hAnsi="Cambria" w:cstheme="majorBidi"/>
      <w:b/>
      <w:bCs/>
      <w:sz w:val="20"/>
      <w:szCs w:val="20"/>
    </w:rPr>
  </w:style>
  <w:style w:type="character" w:customStyle="1" w:styleId="Heading3Char">
    <w:name w:val="Heading 3 Char"/>
    <w:basedOn w:val="DefaultParagraphFont"/>
    <w:link w:val="Heading3"/>
    <w:uiPriority w:val="9"/>
    <w:rsid w:val="006B64E9"/>
    <w:rPr>
      <w:rFonts w:ascii="Cambria" w:eastAsiaTheme="majorEastAsia" w:hAnsi="Cambria" w:cstheme="majorBidi"/>
      <w:b/>
      <w:bCs/>
      <w:sz w:val="20"/>
      <w:szCs w:val="20"/>
    </w:rPr>
  </w:style>
  <w:style w:type="paragraph" w:styleId="TOC1">
    <w:name w:val="toc 1"/>
    <w:basedOn w:val="Normal"/>
    <w:next w:val="Normal"/>
    <w:autoRedefine/>
    <w:uiPriority w:val="39"/>
    <w:unhideWhenUsed/>
    <w:rsid w:val="00845EA8"/>
    <w:pPr>
      <w:tabs>
        <w:tab w:val="left" w:pos="660"/>
        <w:tab w:val="right" w:leader="dot" w:pos="9350"/>
      </w:tabs>
      <w:spacing w:before="120" w:after="120"/>
      <w:jc w:val="both"/>
    </w:pPr>
    <w:rPr>
      <w:rFonts w:asciiTheme="minorHAnsi" w:hAnsiTheme="minorHAnsi"/>
      <w:b/>
      <w:bCs/>
      <w:caps/>
      <w:sz w:val="20"/>
      <w:szCs w:val="20"/>
    </w:rPr>
  </w:style>
  <w:style w:type="paragraph" w:styleId="TOC2">
    <w:name w:val="toc 2"/>
    <w:basedOn w:val="Normal"/>
    <w:next w:val="Normal"/>
    <w:autoRedefine/>
    <w:uiPriority w:val="39"/>
    <w:unhideWhenUsed/>
    <w:rsid w:val="00C07D55"/>
    <w:pPr>
      <w:tabs>
        <w:tab w:val="left" w:pos="660"/>
        <w:tab w:val="right" w:leader="dot" w:pos="9350"/>
      </w:tabs>
      <w:spacing w:after="0"/>
      <w:ind w:left="220"/>
    </w:pPr>
    <w:rPr>
      <w:rFonts w:ascii="Cambria" w:hAnsi="Cambria"/>
      <w:noProof/>
      <w:sz w:val="20"/>
      <w:szCs w:val="20"/>
    </w:rPr>
  </w:style>
  <w:style w:type="paragraph" w:styleId="TOC3">
    <w:name w:val="toc 3"/>
    <w:basedOn w:val="Normal"/>
    <w:next w:val="Normal"/>
    <w:autoRedefine/>
    <w:uiPriority w:val="39"/>
    <w:unhideWhenUsed/>
    <w:rsid w:val="00845EA8"/>
    <w:pPr>
      <w:tabs>
        <w:tab w:val="left" w:pos="880"/>
        <w:tab w:val="right" w:leader="dot" w:pos="9350"/>
      </w:tabs>
      <w:spacing w:after="0"/>
      <w:ind w:left="440"/>
    </w:pPr>
    <w:rPr>
      <w:rFonts w:ascii="Cambria" w:hAnsi="Cambria"/>
      <w:iCs/>
      <w:noProof/>
      <w:sz w:val="20"/>
      <w:szCs w:val="20"/>
    </w:rPr>
  </w:style>
  <w:style w:type="paragraph" w:styleId="TOC4">
    <w:name w:val="toc 4"/>
    <w:basedOn w:val="Normal"/>
    <w:next w:val="Normal"/>
    <w:autoRedefine/>
    <w:uiPriority w:val="39"/>
    <w:unhideWhenUsed/>
    <w:rsid w:val="00C07D55"/>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C07D55"/>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C07D55"/>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C07D55"/>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C07D55"/>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C07D55"/>
    <w:pPr>
      <w:spacing w:after="0"/>
      <w:ind w:left="1760"/>
    </w:pPr>
    <w:rPr>
      <w:rFonts w:asciiTheme="minorHAnsi" w:hAnsiTheme="minorHAnsi"/>
      <w:sz w:val="18"/>
      <w:szCs w:val="18"/>
    </w:rPr>
  </w:style>
  <w:style w:type="paragraph" w:styleId="BodyTextIndent">
    <w:name w:val="Body Text Indent"/>
    <w:link w:val="BodyTextIndentChar"/>
    <w:uiPriority w:val="99"/>
    <w:rsid w:val="00343DD3"/>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uiPriority w:val="99"/>
    <w:rsid w:val="00343DD3"/>
    <w:rPr>
      <w:rFonts w:ascii="Times New Roman" w:eastAsia="Times New Roman" w:hAnsi="Times New Roman" w:cs="Times New Roman"/>
      <w:color w:val="000000"/>
      <w:sz w:val="24"/>
      <w:szCs w:val="24"/>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docs/informes/anuales/2014_04_22_IA_2013_ESP_FINAL_WEB.pdf" TargetMode="External"/><Relationship Id="rId2" Type="http://schemas.openxmlformats.org/officeDocument/2006/relationships/hyperlink" Target="http://joomla.corteidh.or.cr:8080/joomla/es/jurisprudencia-oc-avanzado/38-jurisprudencia/1902-corte-idh-caso-velez-restrepo-y-familiares-vs-colombia-excepcion-preliminar-fondo-reparaciones-y-costas-sentencia-de-3-de-septiembre-de-2012-serie-c-no-248" TargetMode="External"/><Relationship Id="rId1" Type="http://schemas.openxmlformats.org/officeDocument/2006/relationships/hyperlink" Target="http://www.trf3.jus.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C39E-D369-4142-A9C9-FB54A86A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26595</Words>
  <Characters>146273</Characters>
  <Application>Microsoft Office Word</Application>
  <DocSecurity>0</DocSecurity>
  <Lines>1218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Fontana, Maria Eva</cp:lastModifiedBy>
  <cp:revision>3</cp:revision>
  <dcterms:created xsi:type="dcterms:W3CDTF">2016-03-18T21:26:00Z</dcterms:created>
  <dcterms:modified xsi:type="dcterms:W3CDTF">2016-06-30T14:49:00Z</dcterms:modified>
</cp:coreProperties>
</file>