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AB31D" w14:textId="6E4DD05E" w:rsidR="00040C3A" w:rsidRPr="00420489" w:rsidRDefault="00F30897" w:rsidP="00627C9F">
      <w:pPr>
        <w:jc w:val="both"/>
        <w:rPr>
          <w:rFonts w:asciiTheme="majorHAnsi" w:hAnsiTheme="majorHAnsi" w:cs="Univers"/>
          <w:b/>
          <w:bCs/>
          <w:sz w:val="20"/>
          <w:szCs w:val="20"/>
          <w:lang w:val="es-ES_tradnl"/>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C85927C" wp14:editId="0EB5F565">
                <wp:simplePos x="0" y="0"/>
                <wp:positionH relativeFrom="column">
                  <wp:posOffset>-188925</wp:posOffset>
                </wp:positionH>
                <wp:positionV relativeFrom="paragraph">
                  <wp:posOffset>-401955</wp:posOffset>
                </wp:positionV>
                <wp:extent cx="1409700" cy="8977630"/>
                <wp:effectExtent l="0" t="0" r="0" b="0"/>
                <wp:wrapNone/>
                <wp:docPr id="12" name="Rectangle 12"/>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w="25400" cap="flat" cmpd="sng" algn="ctr">
                          <a:noFill/>
                          <a:prstDash val="solid"/>
                        </a:ln>
                        <a:effectLst/>
                      </wps:spPr>
                      <wps:txbx>
                        <w:txbxContent>
                          <w:p w14:paraId="21F3E249" w14:textId="77777777" w:rsidR="00F30897" w:rsidRDefault="00F30897" w:rsidP="00F30897">
                            <w:pPr>
                              <w:pBdr>
                                <w:top w:val="nil"/>
                              </w:pBdr>
                              <w:jc w:val="center"/>
                              <w:rPr>
                                <w:rFonts w:asciiTheme="minorHAnsi" w:hAnsiTheme="minorHAnsi"/>
                                <w:b/>
                                <w:color w:val="FFFFFF" w:themeColor="background1"/>
                                <w:lang w:val="pt-BR"/>
                              </w:rPr>
                            </w:pPr>
                          </w:p>
                          <w:p w14:paraId="243CDC6B" w14:textId="77777777" w:rsidR="00F30897" w:rsidRDefault="00F30897" w:rsidP="00F30897">
                            <w:pPr>
                              <w:pBdr>
                                <w:top w:val="nil"/>
                              </w:pBdr>
                              <w:jc w:val="center"/>
                              <w:rPr>
                                <w:rFonts w:asciiTheme="minorHAnsi" w:hAnsiTheme="minorHAnsi"/>
                                <w:b/>
                                <w:color w:val="FFFFFF" w:themeColor="background1"/>
                                <w:lang w:val="pt-BR"/>
                              </w:rPr>
                            </w:pPr>
                          </w:p>
                          <w:p w14:paraId="4DE0BCCD" w14:textId="77777777" w:rsidR="00F30897" w:rsidRDefault="00F30897" w:rsidP="00F30897">
                            <w:pPr>
                              <w:pBdr>
                                <w:top w:val="nil"/>
                              </w:pBdr>
                              <w:jc w:val="center"/>
                              <w:rPr>
                                <w:rFonts w:asciiTheme="minorHAnsi" w:hAnsiTheme="minorHAnsi"/>
                                <w:b/>
                                <w:color w:val="FFFFFF" w:themeColor="background1"/>
                                <w:lang w:val="pt-BR"/>
                              </w:rPr>
                            </w:pPr>
                          </w:p>
                          <w:p w14:paraId="41B7ECB3" w14:textId="77777777" w:rsidR="00F30897" w:rsidRDefault="00F30897" w:rsidP="00F30897">
                            <w:pPr>
                              <w:pBdr>
                                <w:top w:val="nil"/>
                              </w:pBdr>
                              <w:jc w:val="center"/>
                              <w:rPr>
                                <w:rFonts w:asciiTheme="minorHAnsi" w:hAnsiTheme="minorHAnsi"/>
                                <w:b/>
                                <w:color w:val="FFFFFF" w:themeColor="background1"/>
                                <w:lang w:val="pt-BR"/>
                              </w:rPr>
                            </w:pPr>
                          </w:p>
                          <w:p w14:paraId="48005BE7" w14:textId="77777777" w:rsidR="00F30897" w:rsidRDefault="00F30897" w:rsidP="00F30897">
                            <w:pPr>
                              <w:pBdr>
                                <w:top w:val="nil"/>
                              </w:pBdr>
                              <w:jc w:val="center"/>
                              <w:rPr>
                                <w:rFonts w:asciiTheme="minorHAnsi" w:hAnsiTheme="minorHAnsi"/>
                                <w:b/>
                                <w:color w:val="FFFFFF" w:themeColor="background1"/>
                                <w:lang w:val="pt-BR"/>
                              </w:rPr>
                            </w:pPr>
                          </w:p>
                          <w:p w14:paraId="50D294B1" w14:textId="77777777" w:rsidR="00F30897" w:rsidRDefault="00F30897" w:rsidP="00F30897">
                            <w:pPr>
                              <w:pBdr>
                                <w:top w:val="nil"/>
                              </w:pBdr>
                              <w:jc w:val="center"/>
                              <w:rPr>
                                <w:rFonts w:asciiTheme="minorHAnsi" w:hAnsiTheme="minorHAnsi"/>
                                <w:b/>
                                <w:color w:val="FFFFFF" w:themeColor="background1"/>
                                <w:lang w:val="pt-BR"/>
                              </w:rPr>
                            </w:pPr>
                          </w:p>
                          <w:p w14:paraId="399F3A18" w14:textId="77777777" w:rsidR="00F30897" w:rsidRDefault="00F30897" w:rsidP="00F30897">
                            <w:pPr>
                              <w:pBdr>
                                <w:top w:val="nil"/>
                              </w:pBdr>
                              <w:jc w:val="center"/>
                              <w:rPr>
                                <w:rFonts w:asciiTheme="minorHAnsi" w:hAnsiTheme="minorHAnsi"/>
                                <w:b/>
                                <w:color w:val="FFFFFF" w:themeColor="background1"/>
                                <w:lang w:val="pt-BR"/>
                              </w:rPr>
                            </w:pPr>
                          </w:p>
                          <w:p w14:paraId="2C8484DC" w14:textId="77777777" w:rsidR="00F30897" w:rsidRDefault="00F30897" w:rsidP="00F30897">
                            <w:pPr>
                              <w:pBdr>
                                <w:top w:val="nil"/>
                              </w:pBdr>
                              <w:jc w:val="center"/>
                              <w:rPr>
                                <w:rFonts w:asciiTheme="minorHAnsi" w:hAnsiTheme="minorHAnsi"/>
                                <w:b/>
                                <w:color w:val="FFFFFF" w:themeColor="background1"/>
                                <w:lang w:val="pt-BR"/>
                              </w:rPr>
                            </w:pPr>
                          </w:p>
                          <w:p w14:paraId="72E9B31A" w14:textId="77777777" w:rsidR="00F30897" w:rsidRDefault="00F30897" w:rsidP="00F30897">
                            <w:pPr>
                              <w:pBdr>
                                <w:top w:val="nil"/>
                              </w:pBdr>
                              <w:jc w:val="center"/>
                              <w:rPr>
                                <w:rFonts w:asciiTheme="minorHAnsi" w:hAnsiTheme="minorHAnsi"/>
                                <w:b/>
                                <w:color w:val="FFFFFF" w:themeColor="background1"/>
                                <w:lang w:val="pt-BR"/>
                              </w:rPr>
                            </w:pPr>
                          </w:p>
                          <w:p w14:paraId="0A88DBB8" w14:textId="77777777" w:rsidR="00F30897" w:rsidRDefault="00F30897" w:rsidP="00F30897">
                            <w:pPr>
                              <w:pBdr>
                                <w:top w:val="nil"/>
                              </w:pBdr>
                              <w:jc w:val="center"/>
                              <w:rPr>
                                <w:rFonts w:asciiTheme="minorHAnsi" w:hAnsiTheme="minorHAnsi"/>
                                <w:b/>
                                <w:color w:val="FFFFFF" w:themeColor="background1"/>
                                <w:lang w:val="pt-BR"/>
                              </w:rPr>
                            </w:pPr>
                          </w:p>
                          <w:p w14:paraId="3F61CB48" w14:textId="77777777" w:rsidR="00F30897" w:rsidRDefault="00F30897" w:rsidP="00F30897">
                            <w:pPr>
                              <w:pBdr>
                                <w:top w:val="nil"/>
                              </w:pBdr>
                              <w:jc w:val="center"/>
                              <w:rPr>
                                <w:rFonts w:asciiTheme="minorHAnsi" w:hAnsiTheme="minorHAnsi"/>
                                <w:b/>
                                <w:color w:val="FFFFFF" w:themeColor="background1"/>
                                <w:lang w:val="pt-BR"/>
                              </w:rPr>
                            </w:pPr>
                          </w:p>
                          <w:p w14:paraId="543289A3" w14:textId="77777777" w:rsidR="00F30897" w:rsidRPr="0094120E" w:rsidRDefault="00F30897" w:rsidP="00F30897">
                            <w:pPr>
                              <w:pBdr>
                                <w:top w:val="nil"/>
                              </w:pBd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14:paraId="31D70948" w14:textId="77777777" w:rsidR="00F30897" w:rsidRPr="0094120E" w:rsidRDefault="00F30897" w:rsidP="00F30897">
                            <w:pPr>
                              <w:pBdr>
                                <w:top w:val="nil"/>
                              </w:pBd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w:t>
                            </w:r>
                          </w:p>
                          <w:p w14:paraId="218BEB8C" w14:textId="77777777" w:rsidR="00F30897" w:rsidRPr="00B06C1C" w:rsidRDefault="00F30897" w:rsidP="00F30897">
                            <w:pPr>
                              <w:pBdr>
                                <w:top w:val="nil"/>
                              </w:pBd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28 October</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5</w:t>
                            </w:r>
                          </w:p>
                          <w:p w14:paraId="0FD80BEA" w14:textId="77777777" w:rsidR="00F30897" w:rsidRPr="005B29D4" w:rsidRDefault="00F30897" w:rsidP="00F30897">
                            <w:pPr>
                              <w:pBdr>
                                <w:top w:val="nil"/>
                              </w:pBd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w:t>
                            </w:r>
                            <w:r w:rsidRPr="005B29D4">
                              <w:rPr>
                                <w:rFonts w:asciiTheme="minorHAnsi" w:hAnsiTheme="minorHAnsi"/>
                                <w:color w:val="FFFFFF" w:themeColor="background1"/>
                                <w:sz w:val="22"/>
                              </w:rPr>
                              <w:t>panish</w:t>
                            </w:r>
                          </w:p>
                          <w:p w14:paraId="25C04DCB" w14:textId="77777777" w:rsidR="00F30897" w:rsidRDefault="00F30897" w:rsidP="00F30897">
                            <w:pPr>
                              <w:pBdr>
                                <w:top w:val="nil"/>
                              </w:pBdr>
                              <w:jc w:val="center"/>
                              <w:rPr>
                                <w:rFonts w:asciiTheme="minorHAnsi" w:hAnsiTheme="minorHAnsi"/>
                                <w:b/>
                                <w:color w:val="FFFFFF" w:themeColor="background1"/>
                                <w:lang w:val="pt-BR"/>
                              </w:rPr>
                            </w:pPr>
                          </w:p>
                          <w:p w14:paraId="5D7526E8" w14:textId="77777777" w:rsidR="00F30897" w:rsidRDefault="00F30897" w:rsidP="00F30897">
                            <w:pPr>
                              <w:pBdr>
                                <w:top w:val="nil"/>
                              </w:pBdr>
                              <w:jc w:val="center"/>
                              <w:rPr>
                                <w:rFonts w:asciiTheme="minorHAnsi" w:hAnsiTheme="minorHAnsi"/>
                                <w:b/>
                                <w:color w:val="FFFFFF" w:themeColor="background1"/>
                                <w:lang w:val="pt-BR"/>
                              </w:rPr>
                            </w:pPr>
                          </w:p>
                          <w:p w14:paraId="72627B07" w14:textId="77777777" w:rsidR="00F30897" w:rsidRDefault="00F30897" w:rsidP="00F30897">
                            <w:pPr>
                              <w:pBdr>
                                <w:top w:val="nil"/>
                              </w:pBdr>
                              <w:jc w:val="center"/>
                              <w:rPr>
                                <w:rFonts w:asciiTheme="minorHAnsi" w:hAnsiTheme="minorHAnsi"/>
                                <w:b/>
                                <w:color w:val="FFFFFF" w:themeColor="background1"/>
                                <w:lang w:val="pt-BR"/>
                              </w:rPr>
                            </w:pPr>
                          </w:p>
                          <w:p w14:paraId="4716B933" w14:textId="77777777" w:rsidR="00F30897" w:rsidRDefault="00F30897" w:rsidP="00F30897">
                            <w:pPr>
                              <w:pBdr>
                                <w:top w:val="nil"/>
                              </w:pBdr>
                              <w:jc w:val="center"/>
                              <w:rPr>
                                <w:rFonts w:asciiTheme="minorHAnsi" w:hAnsiTheme="minorHAnsi"/>
                                <w:b/>
                                <w:color w:val="FFFFFF" w:themeColor="background1"/>
                                <w:lang w:val="pt-BR"/>
                              </w:rPr>
                            </w:pPr>
                          </w:p>
                          <w:p w14:paraId="4DCBA488" w14:textId="77777777" w:rsidR="00F30897" w:rsidRDefault="00F30897" w:rsidP="00F30897">
                            <w:pPr>
                              <w:pBdr>
                                <w:top w:val="nil"/>
                              </w:pBdr>
                              <w:jc w:val="center"/>
                              <w:rPr>
                                <w:rFonts w:asciiTheme="minorHAnsi" w:hAnsiTheme="minorHAnsi"/>
                                <w:b/>
                                <w:color w:val="FFFFFF" w:themeColor="background1"/>
                                <w:lang w:val="pt-BR"/>
                              </w:rPr>
                            </w:pPr>
                          </w:p>
                          <w:p w14:paraId="1873C86E" w14:textId="77777777" w:rsidR="00F30897" w:rsidRDefault="00F30897" w:rsidP="00F30897">
                            <w:pPr>
                              <w:pBdr>
                                <w:top w:val="nil"/>
                              </w:pBdr>
                              <w:jc w:val="center"/>
                              <w:rPr>
                                <w:rFonts w:asciiTheme="minorHAnsi" w:hAnsiTheme="minorHAnsi"/>
                                <w:b/>
                                <w:color w:val="FFFFFF" w:themeColor="background1"/>
                                <w:lang w:val="pt-BR"/>
                              </w:rPr>
                            </w:pPr>
                          </w:p>
                          <w:p w14:paraId="2CDCE154" w14:textId="77777777" w:rsidR="00F30897" w:rsidRDefault="00F30897" w:rsidP="00F30897">
                            <w:pPr>
                              <w:pBdr>
                                <w:top w:val="nil"/>
                              </w:pBdr>
                              <w:jc w:val="center"/>
                              <w:rPr>
                                <w:rFonts w:asciiTheme="minorHAnsi" w:hAnsiTheme="minorHAnsi"/>
                                <w:b/>
                                <w:color w:val="FFFFFF" w:themeColor="background1"/>
                                <w:lang w:val="pt-BR"/>
                              </w:rPr>
                            </w:pPr>
                          </w:p>
                          <w:p w14:paraId="30BD244A" w14:textId="77777777" w:rsidR="00F30897" w:rsidRDefault="00F30897" w:rsidP="00F30897">
                            <w:pPr>
                              <w:pBdr>
                                <w:top w:val="nil"/>
                              </w:pBdr>
                              <w:jc w:val="center"/>
                              <w:rPr>
                                <w:rFonts w:asciiTheme="minorHAnsi" w:hAnsiTheme="minorHAnsi"/>
                                <w:b/>
                                <w:color w:val="FFFFFF" w:themeColor="background1"/>
                                <w:lang w:val="pt-BR"/>
                              </w:rPr>
                            </w:pPr>
                          </w:p>
                          <w:p w14:paraId="6325FD61" w14:textId="77777777" w:rsidR="00F30897" w:rsidRDefault="00F30897" w:rsidP="00F30897">
                            <w:pPr>
                              <w:pBdr>
                                <w:top w:val="nil"/>
                              </w:pBdr>
                              <w:jc w:val="center"/>
                              <w:rPr>
                                <w:rFonts w:asciiTheme="minorHAnsi" w:hAnsiTheme="minorHAnsi"/>
                                <w:b/>
                                <w:color w:val="FFFFFF" w:themeColor="background1"/>
                                <w:lang w:val="pt-BR"/>
                              </w:rPr>
                            </w:pPr>
                          </w:p>
                          <w:p w14:paraId="43764B8E" w14:textId="77777777" w:rsidR="00F30897" w:rsidRDefault="00F30897" w:rsidP="00F30897">
                            <w:pPr>
                              <w:pBdr>
                                <w:top w:val="nil"/>
                              </w:pBdr>
                              <w:jc w:val="center"/>
                              <w:rPr>
                                <w:rFonts w:asciiTheme="minorHAnsi" w:hAnsiTheme="minorHAnsi"/>
                                <w:b/>
                                <w:color w:val="FFFFFF" w:themeColor="background1"/>
                                <w:lang w:val="pt-BR"/>
                              </w:rPr>
                            </w:pPr>
                          </w:p>
                          <w:p w14:paraId="2C3D4DD8" w14:textId="77777777" w:rsidR="00F30897" w:rsidRDefault="00F30897" w:rsidP="00F30897">
                            <w:pPr>
                              <w:pBdr>
                                <w:top w:val="nil"/>
                              </w:pBdr>
                              <w:jc w:val="center"/>
                              <w:rPr>
                                <w:rFonts w:asciiTheme="minorHAnsi" w:hAnsiTheme="minorHAnsi"/>
                                <w:b/>
                                <w:color w:val="FFFFFF" w:themeColor="background1"/>
                                <w:lang w:val="pt-BR"/>
                              </w:rPr>
                            </w:pPr>
                          </w:p>
                          <w:p w14:paraId="46E02758" w14:textId="77777777" w:rsidR="00F30897" w:rsidRDefault="00F30897" w:rsidP="00F30897">
                            <w:pPr>
                              <w:pBdr>
                                <w:top w:val="nil"/>
                              </w:pBdr>
                              <w:jc w:val="center"/>
                              <w:rPr>
                                <w:rFonts w:asciiTheme="minorHAnsi" w:hAnsiTheme="minorHAnsi"/>
                                <w:b/>
                                <w:color w:val="FFFFFF" w:themeColor="background1"/>
                                <w:lang w:val="pt-BR"/>
                              </w:rPr>
                            </w:pPr>
                          </w:p>
                          <w:p w14:paraId="20522693" w14:textId="77777777" w:rsidR="00F30897" w:rsidRDefault="00F30897" w:rsidP="00F30897">
                            <w:pPr>
                              <w:pBdr>
                                <w:top w:val="nil"/>
                              </w:pBdr>
                              <w:jc w:val="center"/>
                              <w:rPr>
                                <w:rFonts w:asciiTheme="minorHAnsi" w:hAnsiTheme="minorHAnsi"/>
                                <w:b/>
                                <w:color w:val="FFFFFF" w:themeColor="background1"/>
                                <w:lang w:val="pt-BR"/>
                              </w:rPr>
                            </w:pPr>
                          </w:p>
                          <w:p w14:paraId="0A9E9372" w14:textId="77777777" w:rsidR="00F30897" w:rsidRDefault="00F30897" w:rsidP="00F30897">
                            <w:pPr>
                              <w:pBdr>
                                <w:top w:val="nil"/>
                              </w:pBdr>
                              <w:jc w:val="center"/>
                              <w:rPr>
                                <w:rFonts w:asciiTheme="minorHAnsi" w:hAnsiTheme="minorHAnsi"/>
                                <w:b/>
                                <w:color w:val="FFFFFF" w:themeColor="background1"/>
                                <w:lang w:val="pt-BR"/>
                              </w:rPr>
                            </w:pPr>
                          </w:p>
                          <w:p w14:paraId="008B3F2E" w14:textId="77777777" w:rsidR="00F30897" w:rsidRDefault="00F30897" w:rsidP="00F30897">
                            <w:pPr>
                              <w:pBdr>
                                <w:top w:val="nil"/>
                              </w:pBdr>
                              <w:jc w:val="center"/>
                              <w:rPr>
                                <w:rFonts w:asciiTheme="minorHAnsi" w:hAnsiTheme="minorHAnsi"/>
                                <w:b/>
                                <w:color w:val="FFFFFF" w:themeColor="background1"/>
                                <w:lang w:val="pt-BR"/>
                              </w:rPr>
                            </w:pPr>
                          </w:p>
                          <w:p w14:paraId="7903751D" w14:textId="77777777" w:rsidR="00F30897" w:rsidRDefault="00F30897" w:rsidP="00F30897">
                            <w:pPr>
                              <w:pBdr>
                                <w:top w:val="nil"/>
                              </w:pBdr>
                              <w:jc w:val="center"/>
                              <w:rPr>
                                <w:rFonts w:asciiTheme="minorHAnsi" w:hAnsiTheme="minorHAnsi"/>
                                <w:b/>
                                <w:color w:val="FFFFFF" w:themeColor="background1"/>
                                <w:lang w:val="pt-BR"/>
                              </w:rPr>
                            </w:pPr>
                          </w:p>
                          <w:p w14:paraId="14B0DC97" w14:textId="77777777" w:rsidR="00F30897" w:rsidRDefault="00F30897" w:rsidP="00F30897">
                            <w:pPr>
                              <w:pBdr>
                                <w:top w:val="nil"/>
                              </w:pBdr>
                              <w:jc w:val="center"/>
                              <w:rPr>
                                <w:rFonts w:asciiTheme="minorHAnsi" w:hAnsiTheme="minorHAnsi"/>
                                <w:b/>
                                <w:color w:val="FFFFFF" w:themeColor="background1"/>
                                <w:lang w:val="pt-BR"/>
                              </w:rPr>
                            </w:pPr>
                          </w:p>
                          <w:p w14:paraId="600B4008" w14:textId="77777777" w:rsidR="00F30897" w:rsidRDefault="00F30897" w:rsidP="00F30897">
                            <w:pPr>
                              <w:pBdr>
                                <w:top w:val="nil"/>
                              </w:pBdr>
                              <w:jc w:val="center"/>
                              <w:rPr>
                                <w:rFonts w:asciiTheme="minorHAnsi" w:hAnsiTheme="minorHAnsi"/>
                                <w:b/>
                                <w:color w:val="FFFFFF" w:themeColor="background1"/>
                                <w:lang w:val="pt-BR"/>
                              </w:rPr>
                            </w:pPr>
                          </w:p>
                          <w:p w14:paraId="2AA44F12" w14:textId="77777777" w:rsidR="00F30897" w:rsidRDefault="00F30897" w:rsidP="00F30897">
                            <w:pPr>
                              <w:pBdr>
                                <w:top w:val="nil"/>
                              </w:pBdr>
                              <w:jc w:val="center"/>
                              <w:rPr>
                                <w:rFonts w:asciiTheme="minorHAnsi" w:hAnsiTheme="minorHAnsi"/>
                                <w:b/>
                                <w:color w:val="FFFFFF" w:themeColor="background1"/>
                                <w:lang w:val="pt-BR"/>
                              </w:rPr>
                            </w:pPr>
                          </w:p>
                          <w:p w14:paraId="7C7A290C" w14:textId="77777777" w:rsidR="00F30897" w:rsidRDefault="00F30897" w:rsidP="00F30897">
                            <w:pPr>
                              <w:pBdr>
                                <w:top w:val="nil"/>
                              </w:pBdr>
                              <w:jc w:val="center"/>
                              <w:rPr>
                                <w:rFonts w:asciiTheme="minorHAnsi" w:hAnsiTheme="minorHAnsi"/>
                                <w:b/>
                                <w:color w:val="FFFFFF" w:themeColor="background1"/>
                                <w:lang w:val="pt-BR"/>
                              </w:rPr>
                            </w:pPr>
                          </w:p>
                          <w:p w14:paraId="7585A472" w14:textId="77777777" w:rsidR="00F30897" w:rsidRDefault="00F30897" w:rsidP="00F30897">
                            <w:pPr>
                              <w:pBdr>
                                <w:top w:val="nil"/>
                              </w:pBdr>
                              <w:jc w:val="center"/>
                              <w:rPr>
                                <w:rFonts w:asciiTheme="minorHAnsi" w:hAnsiTheme="minorHAnsi"/>
                                <w:b/>
                                <w:color w:val="FFFFFF" w:themeColor="background1"/>
                                <w:lang w:val="pt-BR"/>
                              </w:rPr>
                            </w:pPr>
                          </w:p>
                          <w:p w14:paraId="2302A99E" w14:textId="77777777" w:rsidR="00F30897" w:rsidRDefault="00F30897" w:rsidP="00F30897">
                            <w:pPr>
                              <w:pBdr>
                                <w:top w:val="nil"/>
                              </w:pBdr>
                              <w:jc w:val="center"/>
                              <w:rPr>
                                <w:rFonts w:asciiTheme="minorHAnsi" w:hAnsiTheme="minorHAnsi"/>
                                <w:b/>
                                <w:color w:val="FFFFFF" w:themeColor="background1"/>
                                <w:lang w:val="pt-BR"/>
                              </w:rPr>
                            </w:pPr>
                          </w:p>
                          <w:p w14:paraId="3831E425" w14:textId="77777777" w:rsidR="00F30897" w:rsidRDefault="00F30897" w:rsidP="00F30897">
                            <w:pPr>
                              <w:pBdr>
                                <w:top w:val="nil"/>
                              </w:pBdr>
                              <w:jc w:val="center"/>
                              <w:rPr>
                                <w:rFonts w:asciiTheme="minorHAnsi" w:hAnsiTheme="minorHAnsi"/>
                                <w:b/>
                                <w:color w:val="FFFFFF" w:themeColor="background1"/>
                                <w:lang w:val="pt-BR"/>
                              </w:rPr>
                            </w:pPr>
                          </w:p>
                          <w:p w14:paraId="6D0A3FCC" w14:textId="77777777" w:rsidR="00F30897" w:rsidRDefault="00F30897" w:rsidP="00F30897">
                            <w:pPr>
                              <w:pBdr>
                                <w:top w:val="nil"/>
                              </w:pBdr>
                              <w:jc w:val="center"/>
                              <w:rPr>
                                <w:rFonts w:asciiTheme="minorHAnsi" w:hAnsiTheme="minorHAnsi"/>
                                <w:b/>
                                <w:color w:val="FFFFFF" w:themeColor="background1"/>
                                <w:lang w:val="pt-BR"/>
                              </w:rPr>
                            </w:pPr>
                          </w:p>
                          <w:p w14:paraId="3D3E6594" w14:textId="77777777" w:rsidR="00F30897" w:rsidRDefault="00F30897" w:rsidP="00F30897">
                            <w:pPr>
                              <w:pBdr>
                                <w:top w:val="nil"/>
                              </w:pBdr>
                              <w:jc w:val="center"/>
                              <w:rPr>
                                <w:rFonts w:asciiTheme="minorHAnsi" w:hAnsiTheme="minorHAnsi"/>
                                <w:b/>
                                <w:color w:val="FFFFFF" w:themeColor="background1"/>
                                <w:lang w:val="pt-BR"/>
                              </w:rPr>
                            </w:pPr>
                          </w:p>
                          <w:p w14:paraId="1DCBAAF8" w14:textId="77777777" w:rsidR="00F30897" w:rsidRDefault="00F30897" w:rsidP="00F30897">
                            <w:pPr>
                              <w:pBdr>
                                <w:top w:val="nil"/>
                              </w:pBdr>
                              <w:jc w:val="center"/>
                              <w:rPr>
                                <w:rFonts w:asciiTheme="minorHAnsi" w:hAnsiTheme="minorHAnsi"/>
                                <w:b/>
                                <w:color w:val="FFFFFF" w:themeColor="background1"/>
                                <w:lang w:val="pt-BR"/>
                              </w:rPr>
                            </w:pPr>
                          </w:p>
                          <w:p w14:paraId="296ABB85" w14:textId="77777777" w:rsidR="00F30897" w:rsidRDefault="00F30897" w:rsidP="00F30897">
                            <w:pPr>
                              <w:pBdr>
                                <w:top w:val="nil"/>
                              </w:pBdr>
                              <w:jc w:val="center"/>
                              <w:rPr>
                                <w:rFonts w:asciiTheme="minorHAnsi" w:hAnsiTheme="minorHAnsi"/>
                                <w:b/>
                                <w:color w:val="FFFFFF" w:themeColor="background1"/>
                                <w:lang w:val="pt-BR"/>
                              </w:rPr>
                            </w:pPr>
                          </w:p>
                          <w:p w14:paraId="7EA8A578" w14:textId="77777777" w:rsidR="00F30897" w:rsidRDefault="00F30897" w:rsidP="00F30897">
                            <w:pPr>
                              <w:pBdr>
                                <w:top w:val="nil"/>
                              </w:pBdr>
                              <w:jc w:val="center"/>
                              <w:rPr>
                                <w:rFonts w:asciiTheme="minorHAnsi" w:hAnsiTheme="minorHAnsi"/>
                                <w:b/>
                                <w:color w:val="FFFFFF" w:themeColor="background1"/>
                                <w:lang w:val="pt-BR"/>
                              </w:rPr>
                            </w:pPr>
                          </w:p>
                          <w:p w14:paraId="26E0E9BA" w14:textId="77777777" w:rsidR="00F30897" w:rsidRDefault="00F30897" w:rsidP="00F30897">
                            <w:pPr>
                              <w:pBdr>
                                <w:top w:val="nil"/>
                              </w:pBdr>
                              <w:jc w:val="center"/>
                              <w:rPr>
                                <w:rFonts w:asciiTheme="minorHAnsi" w:hAnsiTheme="minorHAnsi"/>
                                <w:b/>
                                <w:color w:val="FFFFFF" w:themeColor="background1"/>
                                <w:lang w:val="pt-BR"/>
                              </w:rPr>
                            </w:pPr>
                          </w:p>
                          <w:p w14:paraId="1D73453C" w14:textId="77777777" w:rsidR="00F30897" w:rsidRDefault="00F30897" w:rsidP="00F30897">
                            <w:pPr>
                              <w:pBdr>
                                <w:top w:val="nil"/>
                              </w:pBdr>
                              <w:jc w:val="center"/>
                              <w:rPr>
                                <w:rFonts w:asciiTheme="minorHAnsi" w:hAnsiTheme="minorHAnsi"/>
                                <w:b/>
                                <w:color w:val="FFFFFF" w:themeColor="background1"/>
                                <w:lang w:val="pt-BR"/>
                              </w:rPr>
                            </w:pPr>
                          </w:p>
                          <w:p w14:paraId="6A33DF45" w14:textId="77777777" w:rsidR="00F30897" w:rsidRDefault="00F30897" w:rsidP="00F30897">
                            <w:pPr>
                              <w:pBdr>
                                <w:top w:val="nil"/>
                              </w:pBdr>
                              <w:jc w:val="center"/>
                              <w:rPr>
                                <w:rFonts w:asciiTheme="minorHAnsi" w:hAnsiTheme="minorHAnsi"/>
                                <w:b/>
                                <w:color w:val="FFFFFF" w:themeColor="background1"/>
                                <w:lang w:val="pt-BR"/>
                              </w:rPr>
                            </w:pPr>
                          </w:p>
                          <w:p w14:paraId="6309370D" w14:textId="77777777" w:rsidR="00F30897" w:rsidRDefault="00F30897" w:rsidP="00F30897">
                            <w:pPr>
                              <w:pBdr>
                                <w:top w:val="nil"/>
                              </w:pBdr>
                              <w:jc w:val="center"/>
                              <w:rPr>
                                <w:rFonts w:asciiTheme="minorHAnsi" w:hAnsiTheme="minorHAnsi"/>
                                <w:b/>
                                <w:color w:val="FFFFFF" w:themeColor="background1"/>
                                <w:lang w:val="pt-BR"/>
                              </w:rPr>
                            </w:pPr>
                          </w:p>
                          <w:p w14:paraId="7391D785" w14:textId="77777777" w:rsidR="00F30897" w:rsidRDefault="00F30897" w:rsidP="00F30897">
                            <w:pPr>
                              <w:pBdr>
                                <w:top w:val="nil"/>
                              </w:pBdr>
                              <w:jc w:val="center"/>
                              <w:rPr>
                                <w:rFonts w:asciiTheme="minorHAnsi" w:hAnsiTheme="minorHAnsi"/>
                                <w:b/>
                                <w:color w:val="FFFFFF" w:themeColor="background1"/>
                                <w:lang w:val="pt-BR"/>
                              </w:rPr>
                            </w:pPr>
                          </w:p>
                          <w:p w14:paraId="3D05F570" w14:textId="77777777" w:rsidR="00F30897" w:rsidRDefault="00F30897" w:rsidP="00F30897">
                            <w:pPr>
                              <w:pBdr>
                                <w:top w:val="nil"/>
                              </w:pBdr>
                              <w:jc w:val="center"/>
                              <w:rPr>
                                <w:rFonts w:asciiTheme="minorHAnsi" w:hAnsiTheme="minorHAnsi"/>
                                <w:b/>
                                <w:color w:val="FFFFFF" w:themeColor="background1"/>
                                <w:lang w:val="pt-BR"/>
                              </w:rPr>
                            </w:pPr>
                          </w:p>
                          <w:p w14:paraId="28A5A7B9" w14:textId="77777777" w:rsidR="00F30897" w:rsidRDefault="00F30897" w:rsidP="00F30897">
                            <w:pPr>
                              <w:pBdr>
                                <w:top w:val="nil"/>
                              </w:pBdr>
                              <w:jc w:val="center"/>
                              <w:rPr>
                                <w:rFonts w:asciiTheme="minorHAnsi" w:hAnsiTheme="minorHAnsi"/>
                                <w:b/>
                                <w:color w:val="FFFFFF" w:themeColor="background1"/>
                                <w:lang w:val="pt-BR"/>
                              </w:rPr>
                            </w:pPr>
                          </w:p>
                          <w:p w14:paraId="591551E7" w14:textId="77777777" w:rsidR="00F30897" w:rsidRPr="004B7EB6" w:rsidRDefault="00F30897" w:rsidP="00F30897">
                            <w:pPr>
                              <w:pBdr>
                                <w:top w:val="nil"/>
                              </w:pBd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p w14:paraId="5266FEA7" w14:textId="77777777" w:rsidR="00F30897" w:rsidRDefault="00F30897" w:rsidP="00F30897">
                            <w:pPr>
                              <w:pBdr>
                                <w:top w:val="nil"/>
                              </w:pBd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14.9pt;margin-top:-31.65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" fillcolor="#67ae3c" stroked="f" strokeweight="2pt">
                <v:textbox>
                  <w:txbxContent>
                    <w:p w14:paraId="21F3E249" w14:textId="77777777" w:rsidR="00F30897" w:rsidRDefault="00F30897" w:rsidP="00F30897">
                      <w:pPr>
                        <w:pBdr>
                          <w:top w:val="nil"/>
                        </w:pBdr>
                        <w:jc w:val="center"/>
                        <w:rPr>
                          <w:rFonts w:asciiTheme="minorHAnsi" w:hAnsiTheme="minorHAnsi"/>
                          <w:b/>
                          <w:color w:val="FFFFFF" w:themeColor="background1"/>
                          <w:lang w:val="pt-BR"/>
                        </w:rPr>
                      </w:pPr>
                    </w:p>
                    <w:p w14:paraId="243CDC6B" w14:textId="77777777" w:rsidR="00F30897" w:rsidRDefault="00F30897" w:rsidP="00F30897">
                      <w:pPr>
                        <w:pBdr>
                          <w:top w:val="nil"/>
                        </w:pBdr>
                        <w:jc w:val="center"/>
                        <w:rPr>
                          <w:rFonts w:asciiTheme="minorHAnsi" w:hAnsiTheme="minorHAnsi"/>
                          <w:b/>
                          <w:color w:val="FFFFFF" w:themeColor="background1"/>
                          <w:lang w:val="pt-BR"/>
                        </w:rPr>
                      </w:pPr>
                    </w:p>
                    <w:p w14:paraId="4DE0BCCD" w14:textId="77777777" w:rsidR="00F30897" w:rsidRDefault="00F30897" w:rsidP="00F30897">
                      <w:pPr>
                        <w:pBdr>
                          <w:top w:val="nil"/>
                        </w:pBdr>
                        <w:jc w:val="center"/>
                        <w:rPr>
                          <w:rFonts w:asciiTheme="minorHAnsi" w:hAnsiTheme="minorHAnsi"/>
                          <w:b/>
                          <w:color w:val="FFFFFF" w:themeColor="background1"/>
                          <w:lang w:val="pt-BR"/>
                        </w:rPr>
                      </w:pPr>
                    </w:p>
                    <w:p w14:paraId="41B7ECB3" w14:textId="77777777" w:rsidR="00F30897" w:rsidRDefault="00F30897" w:rsidP="00F30897">
                      <w:pPr>
                        <w:pBdr>
                          <w:top w:val="nil"/>
                        </w:pBdr>
                        <w:jc w:val="center"/>
                        <w:rPr>
                          <w:rFonts w:asciiTheme="minorHAnsi" w:hAnsiTheme="minorHAnsi"/>
                          <w:b/>
                          <w:color w:val="FFFFFF" w:themeColor="background1"/>
                          <w:lang w:val="pt-BR"/>
                        </w:rPr>
                      </w:pPr>
                    </w:p>
                    <w:p w14:paraId="48005BE7" w14:textId="77777777" w:rsidR="00F30897" w:rsidRDefault="00F30897" w:rsidP="00F30897">
                      <w:pPr>
                        <w:pBdr>
                          <w:top w:val="nil"/>
                        </w:pBdr>
                        <w:jc w:val="center"/>
                        <w:rPr>
                          <w:rFonts w:asciiTheme="minorHAnsi" w:hAnsiTheme="minorHAnsi"/>
                          <w:b/>
                          <w:color w:val="FFFFFF" w:themeColor="background1"/>
                          <w:lang w:val="pt-BR"/>
                        </w:rPr>
                      </w:pPr>
                    </w:p>
                    <w:p w14:paraId="50D294B1" w14:textId="77777777" w:rsidR="00F30897" w:rsidRDefault="00F30897" w:rsidP="00F30897">
                      <w:pPr>
                        <w:pBdr>
                          <w:top w:val="nil"/>
                        </w:pBdr>
                        <w:jc w:val="center"/>
                        <w:rPr>
                          <w:rFonts w:asciiTheme="minorHAnsi" w:hAnsiTheme="minorHAnsi"/>
                          <w:b/>
                          <w:color w:val="FFFFFF" w:themeColor="background1"/>
                          <w:lang w:val="pt-BR"/>
                        </w:rPr>
                      </w:pPr>
                    </w:p>
                    <w:p w14:paraId="399F3A18" w14:textId="77777777" w:rsidR="00F30897" w:rsidRDefault="00F30897" w:rsidP="00F30897">
                      <w:pPr>
                        <w:pBdr>
                          <w:top w:val="nil"/>
                        </w:pBdr>
                        <w:jc w:val="center"/>
                        <w:rPr>
                          <w:rFonts w:asciiTheme="minorHAnsi" w:hAnsiTheme="minorHAnsi"/>
                          <w:b/>
                          <w:color w:val="FFFFFF" w:themeColor="background1"/>
                          <w:lang w:val="pt-BR"/>
                        </w:rPr>
                      </w:pPr>
                    </w:p>
                    <w:p w14:paraId="2C8484DC" w14:textId="77777777" w:rsidR="00F30897" w:rsidRDefault="00F30897" w:rsidP="00F30897">
                      <w:pPr>
                        <w:pBdr>
                          <w:top w:val="nil"/>
                        </w:pBdr>
                        <w:jc w:val="center"/>
                        <w:rPr>
                          <w:rFonts w:asciiTheme="minorHAnsi" w:hAnsiTheme="minorHAnsi"/>
                          <w:b/>
                          <w:color w:val="FFFFFF" w:themeColor="background1"/>
                          <w:lang w:val="pt-BR"/>
                        </w:rPr>
                      </w:pPr>
                    </w:p>
                    <w:p w14:paraId="72E9B31A" w14:textId="77777777" w:rsidR="00F30897" w:rsidRDefault="00F30897" w:rsidP="00F30897">
                      <w:pPr>
                        <w:pBdr>
                          <w:top w:val="nil"/>
                        </w:pBdr>
                        <w:jc w:val="center"/>
                        <w:rPr>
                          <w:rFonts w:asciiTheme="minorHAnsi" w:hAnsiTheme="minorHAnsi"/>
                          <w:b/>
                          <w:color w:val="FFFFFF" w:themeColor="background1"/>
                          <w:lang w:val="pt-BR"/>
                        </w:rPr>
                      </w:pPr>
                    </w:p>
                    <w:p w14:paraId="0A88DBB8" w14:textId="77777777" w:rsidR="00F30897" w:rsidRDefault="00F30897" w:rsidP="00F30897">
                      <w:pPr>
                        <w:pBdr>
                          <w:top w:val="nil"/>
                        </w:pBdr>
                        <w:jc w:val="center"/>
                        <w:rPr>
                          <w:rFonts w:asciiTheme="minorHAnsi" w:hAnsiTheme="minorHAnsi"/>
                          <w:b/>
                          <w:color w:val="FFFFFF" w:themeColor="background1"/>
                          <w:lang w:val="pt-BR"/>
                        </w:rPr>
                      </w:pPr>
                    </w:p>
                    <w:p w14:paraId="3F61CB48" w14:textId="77777777" w:rsidR="00F30897" w:rsidRDefault="00F30897" w:rsidP="00F30897">
                      <w:pPr>
                        <w:pBdr>
                          <w:top w:val="nil"/>
                        </w:pBdr>
                        <w:jc w:val="center"/>
                        <w:rPr>
                          <w:rFonts w:asciiTheme="minorHAnsi" w:hAnsiTheme="minorHAnsi"/>
                          <w:b/>
                          <w:color w:val="FFFFFF" w:themeColor="background1"/>
                          <w:lang w:val="pt-BR"/>
                        </w:rPr>
                      </w:pPr>
                    </w:p>
                    <w:p w14:paraId="543289A3" w14:textId="77777777" w:rsidR="00F30897" w:rsidRPr="0094120E" w:rsidRDefault="00F30897" w:rsidP="00F30897">
                      <w:pPr>
                        <w:pBdr>
                          <w:top w:val="nil"/>
                        </w:pBd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14:paraId="31D70948" w14:textId="77777777" w:rsidR="00F30897" w:rsidRPr="0094120E" w:rsidRDefault="00F30897" w:rsidP="00F30897">
                      <w:pPr>
                        <w:pBdr>
                          <w:top w:val="nil"/>
                        </w:pBd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w:t>
                      </w:r>
                    </w:p>
                    <w:p w14:paraId="218BEB8C" w14:textId="77777777" w:rsidR="00F30897" w:rsidRPr="00B06C1C" w:rsidRDefault="00F30897" w:rsidP="00F30897">
                      <w:pPr>
                        <w:pBdr>
                          <w:top w:val="nil"/>
                        </w:pBd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28 October</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5</w:t>
                      </w:r>
                    </w:p>
                    <w:p w14:paraId="0FD80BEA" w14:textId="77777777" w:rsidR="00F30897" w:rsidRPr="005B29D4" w:rsidRDefault="00F30897" w:rsidP="00F30897">
                      <w:pPr>
                        <w:pBdr>
                          <w:top w:val="nil"/>
                        </w:pBd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w:t>
                      </w:r>
                      <w:r w:rsidRPr="005B29D4">
                        <w:rPr>
                          <w:rFonts w:asciiTheme="minorHAnsi" w:hAnsiTheme="minorHAnsi"/>
                          <w:color w:val="FFFFFF" w:themeColor="background1"/>
                          <w:sz w:val="22"/>
                        </w:rPr>
                        <w:t>panish</w:t>
                      </w:r>
                    </w:p>
                    <w:p w14:paraId="25C04DCB" w14:textId="77777777" w:rsidR="00F30897" w:rsidRDefault="00F30897" w:rsidP="00F30897">
                      <w:pPr>
                        <w:pBdr>
                          <w:top w:val="nil"/>
                        </w:pBdr>
                        <w:jc w:val="center"/>
                        <w:rPr>
                          <w:rFonts w:asciiTheme="minorHAnsi" w:hAnsiTheme="minorHAnsi"/>
                          <w:b/>
                          <w:color w:val="FFFFFF" w:themeColor="background1"/>
                          <w:lang w:val="pt-BR"/>
                        </w:rPr>
                      </w:pPr>
                    </w:p>
                    <w:p w14:paraId="5D7526E8" w14:textId="77777777" w:rsidR="00F30897" w:rsidRDefault="00F30897" w:rsidP="00F30897">
                      <w:pPr>
                        <w:pBdr>
                          <w:top w:val="nil"/>
                        </w:pBdr>
                        <w:jc w:val="center"/>
                        <w:rPr>
                          <w:rFonts w:asciiTheme="minorHAnsi" w:hAnsiTheme="minorHAnsi"/>
                          <w:b/>
                          <w:color w:val="FFFFFF" w:themeColor="background1"/>
                          <w:lang w:val="pt-BR"/>
                        </w:rPr>
                      </w:pPr>
                    </w:p>
                    <w:p w14:paraId="72627B07" w14:textId="77777777" w:rsidR="00F30897" w:rsidRDefault="00F30897" w:rsidP="00F30897">
                      <w:pPr>
                        <w:pBdr>
                          <w:top w:val="nil"/>
                        </w:pBdr>
                        <w:jc w:val="center"/>
                        <w:rPr>
                          <w:rFonts w:asciiTheme="minorHAnsi" w:hAnsiTheme="minorHAnsi"/>
                          <w:b/>
                          <w:color w:val="FFFFFF" w:themeColor="background1"/>
                          <w:lang w:val="pt-BR"/>
                        </w:rPr>
                      </w:pPr>
                    </w:p>
                    <w:p w14:paraId="4716B933" w14:textId="77777777" w:rsidR="00F30897" w:rsidRDefault="00F30897" w:rsidP="00F30897">
                      <w:pPr>
                        <w:pBdr>
                          <w:top w:val="nil"/>
                        </w:pBdr>
                        <w:jc w:val="center"/>
                        <w:rPr>
                          <w:rFonts w:asciiTheme="minorHAnsi" w:hAnsiTheme="minorHAnsi"/>
                          <w:b/>
                          <w:color w:val="FFFFFF" w:themeColor="background1"/>
                          <w:lang w:val="pt-BR"/>
                        </w:rPr>
                      </w:pPr>
                    </w:p>
                    <w:p w14:paraId="4DCBA488" w14:textId="77777777" w:rsidR="00F30897" w:rsidRDefault="00F30897" w:rsidP="00F30897">
                      <w:pPr>
                        <w:pBdr>
                          <w:top w:val="nil"/>
                        </w:pBdr>
                        <w:jc w:val="center"/>
                        <w:rPr>
                          <w:rFonts w:asciiTheme="minorHAnsi" w:hAnsiTheme="minorHAnsi"/>
                          <w:b/>
                          <w:color w:val="FFFFFF" w:themeColor="background1"/>
                          <w:lang w:val="pt-BR"/>
                        </w:rPr>
                      </w:pPr>
                    </w:p>
                    <w:p w14:paraId="1873C86E" w14:textId="77777777" w:rsidR="00F30897" w:rsidRDefault="00F30897" w:rsidP="00F30897">
                      <w:pPr>
                        <w:pBdr>
                          <w:top w:val="nil"/>
                        </w:pBdr>
                        <w:jc w:val="center"/>
                        <w:rPr>
                          <w:rFonts w:asciiTheme="minorHAnsi" w:hAnsiTheme="minorHAnsi"/>
                          <w:b/>
                          <w:color w:val="FFFFFF" w:themeColor="background1"/>
                          <w:lang w:val="pt-BR"/>
                        </w:rPr>
                      </w:pPr>
                    </w:p>
                    <w:p w14:paraId="2CDCE154" w14:textId="77777777" w:rsidR="00F30897" w:rsidRDefault="00F30897" w:rsidP="00F30897">
                      <w:pPr>
                        <w:pBdr>
                          <w:top w:val="nil"/>
                        </w:pBdr>
                        <w:jc w:val="center"/>
                        <w:rPr>
                          <w:rFonts w:asciiTheme="minorHAnsi" w:hAnsiTheme="minorHAnsi"/>
                          <w:b/>
                          <w:color w:val="FFFFFF" w:themeColor="background1"/>
                          <w:lang w:val="pt-BR"/>
                        </w:rPr>
                      </w:pPr>
                    </w:p>
                    <w:p w14:paraId="30BD244A" w14:textId="77777777" w:rsidR="00F30897" w:rsidRDefault="00F30897" w:rsidP="00F30897">
                      <w:pPr>
                        <w:pBdr>
                          <w:top w:val="nil"/>
                        </w:pBdr>
                        <w:jc w:val="center"/>
                        <w:rPr>
                          <w:rFonts w:asciiTheme="minorHAnsi" w:hAnsiTheme="minorHAnsi"/>
                          <w:b/>
                          <w:color w:val="FFFFFF" w:themeColor="background1"/>
                          <w:lang w:val="pt-BR"/>
                        </w:rPr>
                      </w:pPr>
                    </w:p>
                    <w:p w14:paraId="6325FD61" w14:textId="77777777" w:rsidR="00F30897" w:rsidRDefault="00F30897" w:rsidP="00F30897">
                      <w:pPr>
                        <w:pBdr>
                          <w:top w:val="nil"/>
                        </w:pBdr>
                        <w:jc w:val="center"/>
                        <w:rPr>
                          <w:rFonts w:asciiTheme="minorHAnsi" w:hAnsiTheme="minorHAnsi"/>
                          <w:b/>
                          <w:color w:val="FFFFFF" w:themeColor="background1"/>
                          <w:lang w:val="pt-BR"/>
                        </w:rPr>
                      </w:pPr>
                    </w:p>
                    <w:p w14:paraId="43764B8E" w14:textId="77777777" w:rsidR="00F30897" w:rsidRDefault="00F30897" w:rsidP="00F30897">
                      <w:pPr>
                        <w:pBdr>
                          <w:top w:val="nil"/>
                        </w:pBdr>
                        <w:jc w:val="center"/>
                        <w:rPr>
                          <w:rFonts w:asciiTheme="minorHAnsi" w:hAnsiTheme="minorHAnsi"/>
                          <w:b/>
                          <w:color w:val="FFFFFF" w:themeColor="background1"/>
                          <w:lang w:val="pt-BR"/>
                        </w:rPr>
                      </w:pPr>
                    </w:p>
                    <w:p w14:paraId="2C3D4DD8" w14:textId="77777777" w:rsidR="00F30897" w:rsidRDefault="00F30897" w:rsidP="00F30897">
                      <w:pPr>
                        <w:pBdr>
                          <w:top w:val="nil"/>
                        </w:pBdr>
                        <w:jc w:val="center"/>
                        <w:rPr>
                          <w:rFonts w:asciiTheme="minorHAnsi" w:hAnsiTheme="minorHAnsi"/>
                          <w:b/>
                          <w:color w:val="FFFFFF" w:themeColor="background1"/>
                          <w:lang w:val="pt-BR"/>
                        </w:rPr>
                      </w:pPr>
                    </w:p>
                    <w:p w14:paraId="46E02758" w14:textId="77777777" w:rsidR="00F30897" w:rsidRDefault="00F30897" w:rsidP="00F30897">
                      <w:pPr>
                        <w:pBdr>
                          <w:top w:val="nil"/>
                        </w:pBdr>
                        <w:jc w:val="center"/>
                        <w:rPr>
                          <w:rFonts w:asciiTheme="minorHAnsi" w:hAnsiTheme="minorHAnsi"/>
                          <w:b/>
                          <w:color w:val="FFFFFF" w:themeColor="background1"/>
                          <w:lang w:val="pt-BR"/>
                        </w:rPr>
                      </w:pPr>
                    </w:p>
                    <w:p w14:paraId="20522693" w14:textId="77777777" w:rsidR="00F30897" w:rsidRDefault="00F30897" w:rsidP="00F30897">
                      <w:pPr>
                        <w:pBdr>
                          <w:top w:val="nil"/>
                        </w:pBdr>
                        <w:jc w:val="center"/>
                        <w:rPr>
                          <w:rFonts w:asciiTheme="minorHAnsi" w:hAnsiTheme="minorHAnsi"/>
                          <w:b/>
                          <w:color w:val="FFFFFF" w:themeColor="background1"/>
                          <w:lang w:val="pt-BR"/>
                        </w:rPr>
                      </w:pPr>
                    </w:p>
                    <w:p w14:paraId="0A9E9372" w14:textId="77777777" w:rsidR="00F30897" w:rsidRDefault="00F30897" w:rsidP="00F30897">
                      <w:pPr>
                        <w:pBdr>
                          <w:top w:val="nil"/>
                        </w:pBdr>
                        <w:jc w:val="center"/>
                        <w:rPr>
                          <w:rFonts w:asciiTheme="minorHAnsi" w:hAnsiTheme="minorHAnsi"/>
                          <w:b/>
                          <w:color w:val="FFFFFF" w:themeColor="background1"/>
                          <w:lang w:val="pt-BR"/>
                        </w:rPr>
                      </w:pPr>
                    </w:p>
                    <w:p w14:paraId="008B3F2E" w14:textId="77777777" w:rsidR="00F30897" w:rsidRDefault="00F30897" w:rsidP="00F30897">
                      <w:pPr>
                        <w:pBdr>
                          <w:top w:val="nil"/>
                        </w:pBdr>
                        <w:jc w:val="center"/>
                        <w:rPr>
                          <w:rFonts w:asciiTheme="minorHAnsi" w:hAnsiTheme="minorHAnsi"/>
                          <w:b/>
                          <w:color w:val="FFFFFF" w:themeColor="background1"/>
                          <w:lang w:val="pt-BR"/>
                        </w:rPr>
                      </w:pPr>
                    </w:p>
                    <w:p w14:paraId="7903751D" w14:textId="77777777" w:rsidR="00F30897" w:rsidRDefault="00F30897" w:rsidP="00F30897">
                      <w:pPr>
                        <w:pBdr>
                          <w:top w:val="nil"/>
                        </w:pBdr>
                        <w:jc w:val="center"/>
                        <w:rPr>
                          <w:rFonts w:asciiTheme="minorHAnsi" w:hAnsiTheme="minorHAnsi"/>
                          <w:b/>
                          <w:color w:val="FFFFFF" w:themeColor="background1"/>
                          <w:lang w:val="pt-BR"/>
                        </w:rPr>
                      </w:pPr>
                    </w:p>
                    <w:p w14:paraId="14B0DC97" w14:textId="77777777" w:rsidR="00F30897" w:rsidRDefault="00F30897" w:rsidP="00F30897">
                      <w:pPr>
                        <w:pBdr>
                          <w:top w:val="nil"/>
                        </w:pBdr>
                        <w:jc w:val="center"/>
                        <w:rPr>
                          <w:rFonts w:asciiTheme="minorHAnsi" w:hAnsiTheme="minorHAnsi"/>
                          <w:b/>
                          <w:color w:val="FFFFFF" w:themeColor="background1"/>
                          <w:lang w:val="pt-BR"/>
                        </w:rPr>
                      </w:pPr>
                    </w:p>
                    <w:p w14:paraId="600B4008" w14:textId="77777777" w:rsidR="00F30897" w:rsidRDefault="00F30897" w:rsidP="00F30897">
                      <w:pPr>
                        <w:pBdr>
                          <w:top w:val="nil"/>
                        </w:pBdr>
                        <w:jc w:val="center"/>
                        <w:rPr>
                          <w:rFonts w:asciiTheme="minorHAnsi" w:hAnsiTheme="minorHAnsi"/>
                          <w:b/>
                          <w:color w:val="FFFFFF" w:themeColor="background1"/>
                          <w:lang w:val="pt-BR"/>
                        </w:rPr>
                      </w:pPr>
                    </w:p>
                    <w:p w14:paraId="2AA44F12" w14:textId="77777777" w:rsidR="00F30897" w:rsidRDefault="00F30897" w:rsidP="00F30897">
                      <w:pPr>
                        <w:pBdr>
                          <w:top w:val="nil"/>
                        </w:pBdr>
                        <w:jc w:val="center"/>
                        <w:rPr>
                          <w:rFonts w:asciiTheme="minorHAnsi" w:hAnsiTheme="minorHAnsi"/>
                          <w:b/>
                          <w:color w:val="FFFFFF" w:themeColor="background1"/>
                          <w:lang w:val="pt-BR"/>
                        </w:rPr>
                      </w:pPr>
                    </w:p>
                    <w:p w14:paraId="7C7A290C" w14:textId="77777777" w:rsidR="00F30897" w:rsidRDefault="00F30897" w:rsidP="00F30897">
                      <w:pPr>
                        <w:pBdr>
                          <w:top w:val="nil"/>
                        </w:pBdr>
                        <w:jc w:val="center"/>
                        <w:rPr>
                          <w:rFonts w:asciiTheme="minorHAnsi" w:hAnsiTheme="minorHAnsi"/>
                          <w:b/>
                          <w:color w:val="FFFFFF" w:themeColor="background1"/>
                          <w:lang w:val="pt-BR"/>
                        </w:rPr>
                      </w:pPr>
                    </w:p>
                    <w:p w14:paraId="7585A472" w14:textId="77777777" w:rsidR="00F30897" w:rsidRDefault="00F30897" w:rsidP="00F30897">
                      <w:pPr>
                        <w:pBdr>
                          <w:top w:val="nil"/>
                        </w:pBdr>
                        <w:jc w:val="center"/>
                        <w:rPr>
                          <w:rFonts w:asciiTheme="minorHAnsi" w:hAnsiTheme="minorHAnsi"/>
                          <w:b/>
                          <w:color w:val="FFFFFF" w:themeColor="background1"/>
                          <w:lang w:val="pt-BR"/>
                        </w:rPr>
                      </w:pPr>
                    </w:p>
                    <w:p w14:paraId="2302A99E" w14:textId="77777777" w:rsidR="00F30897" w:rsidRDefault="00F30897" w:rsidP="00F30897">
                      <w:pPr>
                        <w:pBdr>
                          <w:top w:val="nil"/>
                        </w:pBdr>
                        <w:jc w:val="center"/>
                        <w:rPr>
                          <w:rFonts w:asciiTheme="minorHAnsi" w:hAnsiTheme="minorHAnsi"/>
                          <w:b/>
                          <w:color w:val="FFFFFF" w:themeColor="background1"/>
                          <w:lang w:val="pt-BR"/>
                        </w:rPr>
                      </w:pPr>
                    </w:p>
                    <w:p w14:paraId="3831E425" w14:textId="77777777" w:rsidR="00F30897" w:rsidRDefault="00F30897" w:rsidP="00F30897">
                      <w:pPr>
                        <w:pBdr>
                          <w:top w:val="nil"/>
                        </w:pBdr>
                        <w:jc w:val="center"/>
                        <w:rPr>
                          <w:rFonts w:asciiTheme="minorHAnsi" w:hAnsiTheme="minorHAnsi"/>
                          <w:b/>
                          <w:color w:val="FFFFFF" w:themeColor="background1"/>
                          <w:lang w:val="pt-BR"/>
                        </w:rPr>
                      </w:pPr>
                    </w:p>
                    <w:p w14:paraId="6D0A3FCC" w14:textId="77777777" w:rsidR="00F30897" w:rsidRDefault="00F30897" w:rsidP="00F30897">
                      <w:pPr>
                        <w:pBdr>
                          <w:top w:val="nil"/>
                        </w:pBdr>
                        <w:jc w:val="center"/>
                        <w:rPr>
                          <w:rFonts w:asciiTheme="minorHAnsi" w:hAnsiTheme="minorHAnsi"/>
                          <w:b/>
                          <w:color w:val="FFFFFF" w:themeColor="background1"/>
                          <w:lang w:val="pt-BR"/>
                        </w:rPr>
                      </w:pPr>
                    </w:p>
                    <w:p w14:paraId="3D3E6594" w14:textId="77777777" w:rsidR="00F30897" w:rsidRDefault="00F30897" w:rsidP="00F30897">
                      <w:pPr>
                        <w:pBdr>
                          <w:top w:val="nil"/>
                        </w:pBdr>
                        <w:jc w:val="center"/>
                        <w:rPr>
                          <w:rFonts w:asciiTheme="minorHAnsi" w:hAnsiTheme="minorHAnsi"/>
                          <w:b/>
                          <w:color w:val="FFFFFF" w:themeColor="background1"/>
                          <w:lang w:val="pt-BR"/>
                        </w:rPr>
                      </w:pPr>
                    </w:p>
                    <w:p w14:paraId="1DCBAAF8" w14:textId="77777777" w:rsidR="00F30897" w:rsidRDefault="00F30897" w:rsidP="00F30897">
                      <w:pPr>
                        <w:pBdr>
                          <w:top w:val="nil"/>
                        </w:pBdr>
                        <w:jc w:val="center"/>
                        <w:rPr>
                          <w:rFonts w:asciiTheme="minorHAnsi" w:hAnsiTheme="minorHAnsi"/>
                          <w:b/>
                          <w:color w:val="FFFFFF" w:themeColor="background1"/>
                          <w:lang w:val="pt-BR"/>
                        </w:rPr>
                      </w:pPr>
                    </w:p>
                    <w:p w14:paraId="296ABB85" w14:textId="77777777" w:rsidR="00F30897" w:rsidRDefault="00F30897" w:rsidP="00F30897">
                      <w:pPr>
                        <w:pBdr>
                          <w:top w:val="nil"/>
                        </w:pBdr>
                        <w:jc w:val="center"/>
                        <w:rPr>
                          <w:rFonts w:asciiTheme="minorHAnsi" w:hAnsiTheme="minorHAnsi"/>
                          <w:b/>
                          <w:color w:val="FFFFFF" w:themeColor="background1"/>
                          <w:lang w:val="pt-BR"/>
                        </w:rPr>
                      </w:pPr>
                    </w:p>
                    <w:p w14:paraId="7EA8A578" w14:textId="77777777" w:rsidR="00F30897" w:rsidRDefault="00F30897" w:rsidP="00F30897">
                      <w:pPr>
                        <w:pBdr>
                          <w:top w:val="nil"/>
                        </w:pBdr>
                        <w:jc w:val="center"/>
                        <w:rPr>
                          <w:rFonts w:asciiTheme="minorHAnsi" w:hAnsiTheme="minorHAnsi"/>
                          <w:b/>
                          <w:color w:val="FFFFFF" w:themeColor="background1"/>
                          <w:lang w:val="pt-BR"/>
                        </w:rPr>
                      </w:pPr>
                    </w:p>
                    <w:p w14:paraId="26E0E9BA" w14:textId="77777777" w:rsidR="00F30897" w:rsidRDefault="00F30897" w:rsidP="00F30897">
                      <w:pPr>
                        <w:pBdr>
                          <w:top w:val="nil"/>
                        </w:pBdr>
                        <w:jc w:val="center"/>
                        <w:rPr>
                          <w:rFonts w:asciiTheme="minorHAnsi" w:hAnsiTheme="minorHAnsi"/>
                          <w:b/>
                          <w:color w:val="FFFFFF" w:themeColor="background1"/>
                          <w:lang w:val="pt-BR"/>
                        </w:rPr>
                      </w:pPr>
                    </w:p>
                    <w:p w14:paraId="1D73453C" w14:textId="77777777" w:rsidR="00F30897" w:rsidRDefault="00F30897" w:rsidP="00F30897">
                      <w:pPr>
                        <w:pBdr>
                          <w:top w:val="nil"/>
                        </w:pBdr>
                        <w:jc w:val="center"/>
                        <w:rPr>
                          <w:rFonts w:asciiTheme="minorHAnsi" w:hAnsiTheme="minorHAnsi"/>
                          <w:b/>
                          <w:color w:val="FFFFFF" w:themeColor="background1"/>
                          <w:lang w:val="pt-BR"/>
                        </w:rPr>
                      </w:pPr>
                    </w:p>
                    <w:p w14:paraId="6A33DF45" w14:textId="77777777" w:rsidR="00F30897" w:rsidRDefault="00F30897" w:rsidP="00F30897">
                      <w:pPr>
                        <w:pBdr>
                          <w:top w:val="nil"/>
                        </w:pBdr>
                        <w:jc w:val="center"/>
                        <w:rPr>
                          <w:rFonts w:asciiTheme="minorHAnsi" w:hAnsiTheme="minorHAnsi"/>
                          <w:b/>
                          <w:color w:val="FFFFFF" w:themeColor="background1"/>
                          <w:lang w:val="pt-BR"/>
                        </w:rPr>
                      </w:pPr>
                    </w:p>
                    <w:p w14:paraId="6309370D" w14:textId="77777777" w:rsidR="00F30897" w:rsidRDefault="00F30897" w:rsidP="00F30897">
                      <w:pPr>
                        <w:pBdr>
                          <w:top w:val="nil"/>
                        </w:pBdr>
                        <w:jc w:val="center"/>
                        <w:rPr>
                          <w:rFonts w:asciiTheme="minorHAnsi" w:hAnsiTheme="minorHAnsi"/>
                          <w:b/>
                          <w:color w:val="FFFFFF" w:themeColor="background1"/>
                          <w:lang w:val="pt-BR"/>
                        </w:rPr>
                      </w:pPr>
                    </w:p>
                    <w:p w14:paraId="7391D785" w14:textId="77777777" w:rsidR="00F30897" w:rsidRDefault="00F30897" w:rsidP="00F30897">
                      <w:pPr>
                        <w:pBdr>
                          <w:top w:val="nil"/>
                        </w:pBdr>
                        <w:jc w:val="center"/>
                        <w:rPr>
                          <w:rFonts w:asciiTheme="minorHAnsi" w:hAnsiTheme="minorHAnsi"/>
                          <w:b/>
                          <w:color w:val="FFFFFF" w:themeColor="background1"/>
                          <w:lang w:val="pt-BR"/>
                        </w:rPr>
                      </w:pPr>
                    </w:p>
                    <w:p w14:paraId="3D05F570" w14:textId="77777777" w:rsidR="00F30897" w:rsidRDefault="00F30897" w:rsidP="00F30897">
                      <w:pPr>
                        <w:pBdr>
                          <w:top w:val="nil"/>
                        </w:pBdr>
                        <w:jc w:val="center"/>
                        <w:rPr>
                          <w:rFonts w:asciiTheme="minorHAnsi" w:hAnsiTheme="minorHAnsi"/>
                          <w:b/>
                          <w:color w:val="FFFFFF" w:themeColor="background1"/>
                          <w:lang w:val="pt-BR"/>
                        </w:rPr>
                      </w:pPr>
                    </w:p>
                    <w:p w14:paraId="28A5A7B9" w14:textId="77777777" w:rsidR="00F30897" w:rsidRDefault="00F30897" w:rsidP="00F30897">
                      <w:pPr>
                        <w:pBdr>
                          <w:top w:val="nil"/>
                        </w:pBdr>
                        <w:jc w:val="center"/>
                        <w:rPr>
                          <w:rFonts w:asciiTheme="minorHAnsi" w:hAnsiTheme="minorHAnsi"/>
                          <w:b/>
                          <w:color w:val="FFFFFF" w:themeColor="background1"/>
                          <w:lang w:val="pt-BR"/>
                        </w:rPr>
                      </w:pPr>
                    </w:p>
                    <w:p w14:paraId="591551E7" w14:textId="77777777" w:rsidR="00F30897" w:rsidRPr="004B7EB6" w:rsidRDefault="00F30897" w:rsidP="00F30897">
                      <w:pPr>
                        <w:pBdr>
                          <w:top w:val="nil"/>
                        </w:pBd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p w14:paraId="5266FEA7" w14:textId="77777777" w:rsidR="00F30897" w:rsidRDefault="00F30897" w:rsidP="00F30897">
                      <w:pPr>
                        <w:pBdr>
                          <w:top w:val="nil"/>
                        </w:pBdr>
                        <w:jc w:val="center"/>
                      </w:pPr>
                    </w:p>
                  </w:txbxContent>
                </v:textbox>
              </v:rect>
            </w:pict>
          </mc:Fallback>
        </mc:AlternateContent>
      </w:r>
      <w:r w:rsidR="00C0075D">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E8B0562" wp14:editId="174742A5">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049EE" w14:textId="7B6E8836" w:rsidR="00C45C34" w:rsidRDefault="00C45C34" w:rsidP="00AE5488">
                            <w:r w:rsidRPr="001D502F">
                              <w:rPr>
                                <w:noProof/>
                              </w:rPr>
                              <w:drawing>
                                <wp:inline distT="0" distB="0" distL="0" distR="0" wp14:anchorId="1D21AA3E" wp14:editId="086F58F9">
                                  <wp:extent cx="2517775" cy="487045"/>
                                  <wp:effectExtent l="0" t="0" r="0" b="8255"/>
                                  <wp:docPr id="14" name="Imagen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48704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14:paraId="5C7049EE" w14:textId="7B6E8836" w:rsidR="00C45C34" w:rsidRDefault="00C45C34" w:rsidP="00AE5488">
                      <w:r w:rsidRPr="001D502F">
                        <w:rPr>
                          <w:noProof/>
                        </w:rPr>
                        <w:drawing>
                          <wp:inline distT="0" distB="0" distL="0" distR="0" wp14:anchorId="1D21AA3E" wp14:editId="086F58F9">
                            <wp:extent cx="2517775" cy="487045"/>
                            <wp:effectExtent l="0" t="0" r="0" b="8255"/>
                            <wp:docPr id="14" name="Imagen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487045"/>
                                    </a:xfrm>
                                    <a:prstGeom prst="rect">
                                      <a:avLst/>
                                    </a:prstGeom>
                                    <a:noFill/>
                                    <a:ln>
                                      <a:noFill/>
                                    </a:ln>
                                  </pic:spPr>
                                </pic:pic>
                              </a:graphicData>
                            </a:graphic>
                          </wp:inline>
                        </w:drawing>
                      </w:r>
                      <w:r>
                        <w:tab/>
                        <w:t xml:space="preserve"> </w:t>
                      </w:r>
                    </w:p>
                  </w:txbxContent>
                </v:textbox>
              </v:shape>
            </w:pict>
          </mc:Fallback>
        </mc:AlternateContent>
      </w:r>
    </w:p>
    <w:p w14:paraId="6AA66009" w14:textId="77777777" w:rsidR="00040C3A" w:rsidRPr="00420489" w:rsidRDefault="00040C3A" w:rsidP="00040C3A">
      <w:pPr>
        <w:tabs>
          <w:tab w:val="center" w:pos="5400"/>
        </w:tabs>
        <w:suppressAutoHyphens/>
        <w:jc w:val="both"/>
        <w:rPr>
          <w:rFonts w:asciiTheme="majorHAnsi" w:hAnsiTheme="majorHAnsi"/>
          <w:sz w:val="20"/>
          <w:szCs w:val="20"/>
          <w:lang w:val="es-ES_tradnl"/>
        </w:rPr>
      </w:pPr>
    </w:p>
    <w:p w14:paraId="0BBF26E5" w14:textId="77777777" w:rsidR="00040C3A" w:rsidRPr="00420489" w:rsidRDefault="00040C3A" w:rsidP="00040C3A">
      <w:pPr>
        <w:tabs>
          <w:tab w:val="center" w:pos="5400"/>
        </w:tabs>
        <w:suppressAutoHyphens/>
        <w:jc w:val="both"/>
        <w:rPr>
          <w:rFonts w:asciiTheme="majorHAnsi" w:hAnsiTheme="majorHAnsi"/>
          <w:sz w:val="20"/>
          <w:szCs w:val="20"/>
          <w:lang w:val="es-ES_tradnl"/>
        </w:rPr>
      </w:pPr>
    </w:p>
    <w:p w14:paraId="3F43C8B4" w14:textId="77777777" w:rsidR="005128E4" w:rsidRPr="00420489" w:rsidRDefault="005128E4" w:rsidP="00040C3A">
      <w:pPr>
        <w:tabs>
          <w:tab w:val="center" w:pos="5400"/>
        </w:tabs>
        <w:suppressAutoHyphens/>
        <w:rPr>
          <w:rFonts w:asciiTheme="majorHAnsi" w:hAnsiTheme="majorHAnsi"/>
          <w:sz w:val="20"/>
          <w:szCs w:val="20"/>
          <w:lang w:val="es-ES_tradnl"/>
        </w:rPr>
      </w:pPr>
    </w:p>
    <w:p w14:paraId="26776CFF" w14:textId="77777777" w:rsidR="005128E4" w:rsidRPr="00420489" w:rsidRDefault="005128E4" w:rsidP="00040C3A">
      <w:pPr>
        <w:tabs>
          <w:tab w:val="center" w:pos="5400"/>
        </w:tabs>
        <w:suppressAutoHyphens/>
        <w:rPr>
          <w:rFonts w:asciiTheme="majorHAnsi" w:hAnsiTheme="majorHAnsi"/>
          <w:sz w:val="20"/>
          <w:szCs w:val="20"/>
          <w:lang w:val="es-ES_tradnl"/>
        </w:rPr>
      </w:pPr>
    </w:p>
    <w:p w14:paraId="4E9D30AD" w14:textId="77777777" w:rsidR="005128E4" w:rsidRPr="00420489" w:rsidRDefault="005128E4" w:rsidP="00040C3A">
      <w:pPr>
        <w:tabs>
          <w:tab w:val="center" w:pos="5400"/>
        </w:tabs>
        <w:suppressAutoHyphens/>
        <w:rPr>
          <w:rFonts w:asciiTheme="majorHAnsi" w:hAnsiTheme="majorHAnsi"/>
          <w:sz w:val="20"/>
          <w:szCs w:val="20"/>
          <w:lang w:val="es-ES_tradnl"/>
        </w:rPr>
      </w:pPr>
    </w:p>
    <w:p w14:paraId="7F6145F8" w14:textId="77777777" w:rsidR="00040C3A" w:rsidRPr="00420489" w:rsidRDefault="00040C3A" w:rsidP="005128E4">
      <w:pPr>
        <w:tabs>
          <w:tab w:val="center" w:pos="5400"/>
        </w:tabs>
        <w:suppressAutoHyphens/>
        <w:jc w:val="center"/>
        <w:rPr>
          <w:rFonts w:asciiTheme="majorHAnsi" w:hAnsiTheme="majorHAnsi"/>
          <w:sz w:val="20"/>
          <w:szCs w:val="20"/>
          <w:lang w:val="es-ES_tradnl"/>
        </w:rPr>
      </w:pPr>
    </w:p>
    <w:p w14:paraId="51C6353A" w14:textId="77777777" w:rsidR="00040C3A" w:rsidRPr="00420489" w:rsidRDefault="00040C3A" w:rsidP="005128E4">
      <w:pPr>
        <w:tabs>
          <w:tab w:val="center" w:pos="5400"/>
        </w:tabs>
        <w:suppressAutoHyphens/>
        <w:jc w:val="center"/>
        <w:rPr>
          <w:rFonts w:asciiTheme="majorHAnsi" w:hAnsiTheme="majorHAnsi"/>
          <w:sz w:val="20"/>
          <w:szCs w:val="20"/>
          <w:lang w:val="es-ES_tradnl"/>
        </w:rPr>
      </w:pPr>
      <w:bookmarkStart w:id="0" w:name="_GoBack"/>
      <w:bookmarkEnd w:id="0"/>
    </w:p>
    <w:p w14:paraId="3BF4CEE8" w14:textId="77777777" w:rsidR="005B52B0" w:rsidRPr="00420489" w:rsidRDefault="005B52B0" w:rsidP="005128E4">
      <w:pPr>
        <w:tabs>
          <w:tab w:val="center" w:pos="5400"/>
        </w:tabs>
        <w:suppressAutoHyphens/>
        <w:jc w:val="center"/>
        <w:rPr>
          <w:rFonts w:asciiTheme="majorHAnsi" w:hAnsiTheme="majorHAnsi"/>
          <w:sz w:val="20"/>
          <w:szCs w:val="20"/>
          <w:lang w:val="es-ES_tradnl"/>
        </w:rPr>
      </w:pPr>
    </w:p>
    <w:p w14:paraId="39B27625" w14:textId="77777777" w:rsidR="005B52B0" w:rsidRPr="00420489" w:rsidRDefault="005B52B0" w:rsidP="005128E4">
      <w:pPr>
        <w:tabs>
          <w:tab w:val="center" w:pos="5400"/>
        </w:tabs>
        <w:suppressAutoHyphens/>
        <w:jc w:val="center"/>
        <w:rPr>
          <w:rFonts w:asciiTheme="majorHAnsi" w:hAnsiTheme="majorHAnsi"/>
          <w:sz w:val="20"/>
          <w:szCs w:val="20"/>
          <w:lang w:val="es-ES_tradnl"/>
        </w:rPr>
      </w:pPr>
    </w:p>
    <w:p w14:paraId="0E6B3772" w14:textId="77777777" w:rsidR="005B52B0" w:rsidRPr="00420489" w:rsidRDefault="005B52B0" w:rsidP="005128E4">
      <w:pPr>
        <w:tabs>
          <w:tab w:val="center" w:pos="5400"/>
        </w:tabs>
        <w:suppressAutoHyphens/>
        <w:jc w:val="center"/>
        <w:rPr>
          <w:rFonts w:asciiTheme="majorHAnsi" w:hAnsiTheme="majorHAnsi"/>
          <w:sz w:val="20"/>
          <w:szCs w:val="20"/>
          <w:lang w:val="es-ES_tradnl"/>
        </w:rPr>
      </w:pPr>
    </w:p>
    <w:p w14:paraId="423AC743" w14:textId="63E9F4BA" w:rsidR="00040C3A" w:rsidRPr="00420489" w:rsidRDefault="002D2C84" w:rsidP="002D2C84">
      <w:pPr>
        <w:tabs>
          <w:tab w:val="left" w:pos="4208"/>
          <w:tab w:val="center" w:pos="5400"/>
        </w:tabs>
        <w:suppressAutoHyphens/>
        <w:rPr>
          <w:rFonts w:asciiTheme="majorHAnsi" w:hAnsiTheme="majorHAnsi"/>
          <w:sz w:val="20"/>
          <w:szCs w:val="20"/>
          <w:lang w:val="es-ES_tradnl"/>
        </w:rPr>
      </w:pPr>
      <w:r>
        <w:rPr>
          <w:rFonts w:asciiTheme="majorHAnsi" w:hAnsiTheme="majorHAnsi"/>
          <w:sz w:val="20"/>
          <w:szCs w:val="20"/>
          <w:lang w:val="es-ES_tradnl"/>
        </w:rPr>
        <w:tab/>
      </w:r>
    </w:p>
    <w:p w14:paraId="63FB2DAE"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36144BF8" w14:textId="77777777" w:rsidR="00040C3A"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DB7267E" wp14:editId="664C80B2">
                <wp:simplePos x="0" y="0"/>
                <wp:positionH relativeFrom="column">
                  <wp:posOffset>1352550</wp:posOffset>
                </wp:positionH>
                <wp:positionV relativeFrom="paragraph">
                  <wp:posOffset>107315</wp:posOffset>
                </wp:positionV>
                <wp:extent cx="4441190"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9D9AA" w14:textId="2A800B8A" w:rsidR="00C45C34" w:rsidRPr="005B29D4" w:rsidRDefault="00C45C34" w:rsidP="00997BC5">
                            <w:pPr>
                              <w:spacing w:line="276" w:lineRule="auto"/>
                              <w:rPr>
                                <w:rFonts w:asciiTheme="majorHAnsi" w:hAnsiTheme="majorHAnsi" w:cs="Arial"/>
                                <w:b/>
                                <w:bCs/>
                                <w:color w:val="0D0D0D" w:themeColor="text1" w:themeTint="F2"/>
                                <w:sz w:val="36"/>
                                <w:szCs w:val="22"/>
                              </w:rPr>
                            </w:pPr>
                            <w:r w:rsidRPr="005B29D4">
                              <w:rPr>
                                <w:rFonts w:asciiTheme="majorHAnsi" w:hAnsiTheme="majorHAnsi" w:cs="Arial"/>
                                <w:b/>
                                <w:bCs/>
                                <w:color w:val="0D0D0D" w:themeColor="text1" w:themeTint="F2"/>
                                <w:sz w:val="36"/>
                                <w:szCs w:val="22"/>
                              </w:rPr>
                              <w:t xml:space="preserve">REPORT </w:t>
                            </w:r>
                            <w:r w:rsidRPr="005B29D4">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75</w:t>
                            </w:r>
                            <w:r w:rsidRPr="005B29D4">
                              <w:rPr>
                                <w:rFonts w:asciiTheme="majorHAnsi" w:hAnsiTheme="majorHAnsi" w:cs="Arial"/>
                                <w:b/>
                                <w:bCs/>
                                <w:color w:val="0D0D0D" w:themeColor="text1" w:themeTint="F2"/>
                                <w:sz w:val="36"/>
                                <w:szCs w:val="22"/>
                              </w:rPr>
                              <w:t>/15</w:t>
                            </w:r>
                          </w:p>
                          <w:p w14:paraId="2C20096E" w14:textId="7E046109" w:rsidR="00C45C34" w:rsidRPr="00EB25FE" w:rsidRDefault="00C45C34" w:rsidP="00997BC5">
                            <w:pPr>
                              <w:spacing w:line="276" w:lineRule="auto"/>
                              <w:rPr>
                                <w:rFonts w:asciiTheme="majorHAnsi" w:hAnsiTheme="majorHAnsi" w:cs="Arial"/>
                                <w:b/>
                                <w:color w:val="0D0D0D" w:themeColor="text1" w:themeTint="F2"/>
                                <w:sz w:val="36"/>
                                <w:szCs w:val="22"/>
                              </w:rPr>
                            </w:pPr>
                            <w:r w:rsidRPr="00EB25FE">
                              <w:rPr>
                                <w:rFonts w:asciiTheme="majorHAnsi" w:hAnsiTheme="majorHAnsi" w:cs="Arial"/>
                                <w:b/>
                                <w:color w:val="0D0D0D" w:themeColor="text1" w:themeTint="F2"/>
                                <w:sz w:val="36"/>
                                <w:szCs w:val="22"/>
                              </w:rPr>
                              <w:t>CASE 12.923</w:t>
                            </w:r>
                          </w:p>
                          <w:p w14:paraId="64167D0D" w14:textId="24D72B18" w:rsidR="00C45C34" w:rsidRPr="00EB25FE" w:rsidRDefault="00C45C3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EB25FE">
                              <w:rPr>
                                <w:rFonts w:asciiTheme="majorHAnsi" w:hAnsiTheme="majorHAnsi" w:cs="Arial"/>
                                <w:color w:val="0D0D0D" w:themeColor="text1" w:themeTint="F2"/>
                                <w:szCs w:val="22"/>
                              </w:rPr>
                              <w:t xml:space="preserve">MERITS </w:t>
                            </w:r>
                          </w:p>
                          <w:p w14:paraId="4DC84F7D" w14:textId="77777777" w:rsidR="00C45C34" w:rsidRPr="00EB25FE" w:rsidRDefault="00C45C34" w:rsidP="00997BC5">
                            <w:pPr>
                              <w:spacing w:line="276" w:lineRule="auto"/>
                              <w:rPr>
                                <w:rFonts w:asciiTheme="majorHAnsi" w:hAnsiTheme="majorHAnsi" w:cs="Arial"/>
                                <w:color w:val="0D0D0D" w:themeColor="text1" w:themeTint="F2"/>
                                <w:szCs w:val="22"/>
                              </w:rPr>
                            </w:pPr>
                            <w:bookmarkStart w:id="1" w:name="_ftnref1"/>
                          </w:p>
                          <w:bookmarkEnd w:id="1"/>
                          <w:p w14:paraId="189E3A3E" w14:textId="40E93779" w:rsidR="00C45C34" w:rsidRPr="00506E20" w:rsidRDefault="00C45C34" w:rsidP="00997BC5">
                            <w:pPr>
                              <w:spacing w:line="276" w:lineRule="auto"/>
                              <w:rPr>
                                <w:rFonts w:asciiTheme="majorHAnsi" w:hAnsiTheme="majorHAnsi" w:cs="Arial"/>
                                <w:color w:val="0D0D0D" w:themeColor="text1" w:themeTint="F2"/>
                                <w:szCs w:val="22"/>
                              </w:rPr>
                            </w:pPr>
                            <w:r>
                              <w:rPr>
                                <w:rFonts w:ascii="Cambria" w:hAnsi="Cambria"/>
                              </w:rPr>
                              <w:t xml:space="preserve">ROCÍO SAN MIGUEL SOSA AND OTHERS </w:t>
                            </w:r>
                          </w:p>
                          <w:p w14:paraId="092D091C" w14:textId="4E020615" w:rsidR="00C45C34" w:rsidRPr="0010736F" w:rsidRDefault="00C45C3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Venezuela </w:t>
                            </w:r>
                          </w:p>
                          <w:p w14:paraId="1FC32D92" w14:textId="77777777" w:rsidR="00C45C34" w:rsidRPr="00AE5488" w:rsidRDefault="00C45C3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14:paraId="20F9D9AA" w14:textId="2A800B8A" w:rsidR="00C45C34" w:rsidRPr="005B29D4" w:rsidRDefault="00C45C34" w:rsidP="00997BC5">
                      <w:pPr>
                        <w:spacing w:line="276" w:lineRule="auto"/>
                        <w:rPr>
                          <w:rFonts w:asciiTheme="majorHAnsi" w:hAnsiTheme="majorHAnsi" w:cs="Arial"/>
                          <w:b/>
                          <w:bCs/>
                          <w:color w:val="0D0D0D" w:themeColor="text1" w:themeTint="F2"/>
                          <w:sz w:val="36"/>
                          <w:szCs w:val="22"/>
                        </w:rPr>
                      </w:pPr>
                      <w:r w:rsidRPr="005B29D4">
                        <w:rPr>
                          <w:rFonts w:asciiTheme="majorHAnsi" w:hAnsiTheme="majorHAnsi" w:cs="Arial"/>
                          <w:b/>
                          <w:bCs/>
                          <w:color w:val="0D0D0D" w:themeColor="text1" w:themeTint="F2"/>
                          <w:sz w:val="36"/>
                          <w:szCs w:val="22"/>
                        </w:rPr>
                        <w:t xml:space="preserve">REPORT </w:t>
                      </w:r>
                      <w:r w:rsidRPr="005B29D4">
                        <w:rPr>
                          <w:rFonts w:asciiTheme="majorHAnsi" w:hAnsiTheme="majorHAnsi" w:cs="Arial"/>
                          <w:b/>
                          <w:bCs/>
                          <w:color w:val="0D0D0D" w:themeColor="text1" w:themeTint="F2"/>
                          <w:sz w:val="36"/>
                          <w:szCs w:val="40"/>
                        </w:rPr>
                        <w:t>No.</w:t>
                      </w:r>
                      <w:r>
                        <w:rPr>
                          <w:rFonts w:asciiTheme="majorHAnsi" w:hAnsiTheme="majorHAnsi" w:cs="Arial"/>
                          <w:b/>
                          <w:bCs/>
                          <w:color w:val="0D0D0D" w:themeColor="text1" w:themeTint="F2"/>
                          <w:sz w:val="36"/>
                          <w:szCs w:val="22"/>
                        </w:rPr>
                        <w:t xml:space="preserve"> 75</w:t>
                      </w:r>
                      <w:r w:rsidRPr="005B29D4">
                        <w:rPr>
                          <w:rFonts w:asciiTheme="majorHAnsi" w:hAnsiTheme="majorHAnsi" w:cs="Arial"/>
                          <w:b/>
                          <w:bCs/>
                          <w:color w:val="0D0D0D" w:themeColor="text1" w:themeTint="F2"/>
                          <w:sz w:val="36"/>
                          <w:szCs w:val="22"/>
                        </w:rPr>
                        <w:t>/15</w:t>
                      </w:r>
                    </w:p>
                    <w:p w14:paraId="2C20096E" w14:textId="7E046109" w:rsidR="00C45C34" w:rsidRPr="00EB25FE" w:rsidRDefault="00C45C34" w:rsidP="00997BC5">
                      <w:pPr>
                        <w:spacing w:line="276" w:lineRule="auto"/>
                        <w:rPr>
                          <w:rFonts w:asciiTheme="majorHAnsi" w:hAnsiTheme="majorHAnsi" w:cs="Arial"/>
                          <w:b/>
                          <w:color w:val="0D0D0D" w:themeColor="text1" w:themeTint="F2"/>
                          <w:sz w:val="36"/>
                          <w:szCs w:val="22"/>
                        </w:rPr>
                      </w:pPr>
                      <w:r w:rsidRPr="00EB25FE">
                        <w:rPr>
                          <w:rFonts w:asciiTheme="majorHAnsi" w:hAnsiTheme="majorHAnsi" w:cs="Arial"/>
                          <w:b/>
                          <w:color w:val="0D0D0D" w:themeColor="text1" w:themeTint="F2"/>
                          <w:sz w:val="36"/>
                          <w:szCs w:val="22"/>
                        </w:rPr>
                        <w:t>CASE 12.923</w:t>
                      </w:r>
                    </w:p>
                    <w:p w14:paraId="64167D0D" w14:textId="24D72B18" w:rsidR="00C45C34" w:rsidRPr="00EB25FE" w:rsidRDefault="00C45C3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Pr="00EB25FE">
                        <w:rPr>
                          <w:rFonts w:asciiTheme="majorHAnsi" w:hAnsiTheme="majorHAnsi" w:cs="Arial"/>
                          <w:color w:val="0D0D0D" w:themeColor="text1" w:themeTint="F2"/>
                          <w:szCs w:val="22"/>
                        </w:rPr>
                        <w:t xml:space="preserve">MERITS </w:t>
                      </w:r>
                    </w:p>
                    <w:p w14:paraId="4DC84F7D" w14:textId="77777777" w:rsidR="00C45C34" w:rsidRPr="00EB25FE" w:rsidRDefault="00C45C34" w:rsidP="00997BC5">
                      <w:pPr>
                        <w:spacing w:line="276" w:lineRule="auto"/>
                        <w:rPr>
                          <w:rFonts w:asciiTheme="majorHAnsi" w:hAnsiTheme="majorHAnsi" w:cs="Arial"/>
                          <w:color w:val="0D0D0D" w:themeColor="text1" w:themeTint="F2"/>
                          <w:szCs w:val="22"/>
                        </w:rPr>
                      </w:pPr>
                      <w:bookmarkStart w:id="1" w:name="_ftnref1"/>
                    </w:p>
                    <w:bookmarkEnd w:id="1"/>
                    <w:p w14:paraId="189E3A3E" w14:textId="40E93779" w:rsidR="00C45C34" w:rsidRPr="00506E20" w:rsidRDefault="00C45C34" w:rsidP="00997BC5">
                      <w:pPr>
                        <w:spacing w:line="276" w:lineRule="auto"/>
                        <w:rPr>
                          <w:rFonts w:asciiTheme="majorHAnsi" w:hAnsiTheme="majorHAnsi" w:cs="Arial"/>
                          <w:color w:val="0D0D0D" w:themeColor="text1" w:themeTint="F2"/>
                          <w:szCs w:val="22"/>
                        </w:rPr>
                      </w:pPr>
                      <w:r>
                        <w:rPr>
                          <w:rFonts w:ascii="Cambria" w:hAnsi="Cambria"/>
                        </w:rPr>
                        <w:t xml:space="preserve">ROCÍO SAN MIGUEL SOSA AND OTHERS </w:t>
                      </w:r>
                    </w:p>
                    <w:p w14:paraId="092D091C" w14:textId="4E020615" w:rsidR="00C45C34" w:rsidRPr="0010736F" w:rsidRDefault="00C45C3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Venezuela </w:t>
                      </w:r>
                    </w:p>
                    <w:p w14:paraId="1FC32D92" w14:textId="77777777" w:rsidR="00C45C34" w:rsidRPr="00AE5488" w:rsidRDefault="00C45C34" w:rsidP="007A5817">
                      <w:pPr>
                        <w:rPr>
                          <w:color w:val="0D0D0D" w:themeColor="text1" w:themeTint="F2"/>
                          <w:lang w:val="es-ES_tradnl"/>
                        </w:rPr>
                      </w:pP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FF20D19" wp14:editId="23ED492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1B8F2" w14:textId="77777777" w:rsidR="00C45C34" w:rsidRPr="0094120E" w:rsidRDefault="00C45C34" w:rsidP="0084799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14:paraId="5DC0F8C0" w14:textId="7BBED775" w:rsidR="00C45C34" w:rsidRPr="0094120E" w:rsidRDefault="00C45C34" w:rsidP="0084799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w:t>
                            </w:r>
                          </w:p>
                          <w:p w14:paraId="4F13B99D" w14:textId="7720ECC0" w:rsidR="00C45C34" w:rsidRPr="00B06C1C" w:rsidRDefault="00C45C34" w:rsidP="0084799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28 October</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5</w:t>
                            </w:r>
                          </w:p>
                          <w:p w14:paraId="42C48A09" w14:textId="2DFD5C91" w:rsidR="00C45C34" w:rsidRPr="005B29D4" w:rsidRDefault="00C45C34" w:rsidP="00847996">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w:t>
                            </w:r>
                            <w:r w:rsidRPr="005B29D4">
                              <w:rPr>
                                <w:rFonts w:asciiTheme="minorHAnsi" w:hAnsiTheme="minorHAnsi"/>
                                <w:color w:val="FFFFFF" w:themeColor="background1"/>
                                <w:sz w:val="22"/>
                              </w:rPr>
                              <w:t>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14:paraId="3921B8F2" w14:textId="77777777" w:rsidR="00C45C34" w:rsidRPr="0094120E" w:rsidRDefault="00C45C34" w:rsidP="0084799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14:paraId="5DC0F8C0" w14:textId="7BBED775" w:rsidR="00C45C34" w:rsidRPr="0094120E" w:rsidRDefault="00C45C34" w:rsidP="0084799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w:t>
                      </w:r>
                    </w:p>
                    <w:p w14:paraId="4F13B99D" w14:textId="7720ECC0" w:rsidR="00C45C34" w:rsidRPr="00B06C1C" w:rsidRDefault="00C45C34" w:rsidP="00847996">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28 October</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5</w:t>
                      </w:r>
                    </w:p>
                    <w:p w14:paraId="42C48A09" w14:textId="2DFD5C91" w:rsidR="00C45C34" w:rsidRPr="005B29D4" w:rsidRDefault="00C45C34" w:rsidP="00847996">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w:t>
                      </w:r>
                      <w:r w:rsidRPr="005B29D4">
                        <w:rPr>
                          <w:rFonts w:asciiTheme="minorHAnsi" w:hAnsiTheme="minorHAnsi"/>
                          <w:color w:val="FFFFFF" w:themeColor="background1"/>
                          <w:sz w:val="22"/>
                        </w:rPr>
                        <w:t>panish</w:t>
                      </w:r>
                    </w:p>
                  </w:txbxContent>
                </v:textbox>
              </v:shape>
            </w:pict>
          </mc:Fallback>
        </mc:AlternateContent>
      </w:r>
    </w:p>
    <w:p w14:paraId="43B3482E"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4FE4D371"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189081E0" w14:textId="77777777" w:rsidR="00040C3A" w:rsidRPr="00420489" w:rsidRDefault="00040C3A" w:rsidP="00040C3A">
      <w:pPr>
        <w:tabs>
          <w:tab w:val="center" w:pos="5400"/>
        </w:tabs>
        <w:suppressAutoHyphens/>
        <w:jc w:val="center"/>
        <w:rPr>
          <w:rFonts w:asciiTheme="majorHAnsi" w:hAnsiTheme="majorHAnsi" w:cs="Arial"/>
          <w:sz w:val="20"/>
          <w:szCs w:val="20"/>
          <w:lang w:val="es-ES_tradnl"/>
        </w:rPr>
      </w:pPr>
    </w:p>
    <w:p w14:paraId="7AD33075"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12F700A7"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28E0BBCB"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50912C44"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6C5C1E84"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250BAAC9"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4BA3AC2C"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6110F4F1"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62919D09" w14:textId="77777777" w:rsidR="005128E4" w:rsidRPr="00420489" w:rsidRDefault="005128E4" w:rsidP="00040C3A">
      <w:pPr>
        <w:tabs>
          <w:tab w:val="center" w:pos="5400"/>
        </w:tabs>
        <w:suppressAutoHyphens/>
        <w:jc w:val="center"/>
        <w:rPr>
          <w:rFonts w:asciiTheme="majorHAnsi" w:hAnsiTheme="majorHAnsi"/>
          <w:sz w:val="20"/>
          <w:szCs w:val="20"/>
          <w:lang w:val="es-ES_tradnl"/>
        </w:rPr>
      </w:pPr>
    </w:p>
    <w:p w14:paraId="07425A29"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17897BFD" w14:textId="77777777" w:rsidR="00040C3A" w:rsidRPr="00420489" w:rsidRDefault="00040C3A" w:rsidP="00040C3A">
      <w:pPr>
        <w:tabs>
          <w:tab w:val="center" w:pos="5400"/>
        </w:tabs>
        <w:suppressAutoHyphens/>
        <w:jc w:val="center"/>
        <w:rPr>
          <w:rFonts w:asciiTheme="majorHAnsi" w:hAnsiTheme="majorHAnsi"/>
          <w:sz w:val="20"/>
          <w:szCs w:val="20"/>
          <w:lang w:val="es-ES_tradnl"/>
        </w:rPr>
      </w:pPr>
    </w:p>
    <w:p w14:paraId="10664904"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3F0BE975"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47080086"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1908F869"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082EA4EC"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00799DDF"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54AA26F6"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1EA598FE"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51EAFD3F"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3F0243D6"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54F13C70"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45A86A68"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6906E9D3"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49453FE2"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00B0A117" w14:textId="77777777" w:rsidR="00A50FCF"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611C4B89" wp14:editId="158AB5F7">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14375" w14:textId="489B7A3B" w:rsidR="00C45C34" w:rsidRPr="001D502F" w:rsidRDefault="00C45C34" w:rsidP="007C7D76">
                            <w:pPr>
                              <w:tabs>
                                <w:tab w:val="center" w:pos="5400"/>
                              </w:tabs>
                              <w:suppressAutoHyphens/>
                              <w:spacing w:before="60"/>
                              <w:rPr>
                                <w:rFonts w:ascii="Cambria" w:hAnsi="Cambria"/>
                                <w:color w:val="0D0D0D"/>
                                <w:sz w:val="18"/>
                                <w:szCs w:val="22"/>
                              </w:rPr>
                            </w:pPr>
                            <w:r w:rsidRPr="001D502F">
                              <w:rPr>
                                <w:rFonts w:ascii="Cambria" w:hAnsi="Cambria"/>
                                <w:color w:val="0D0D0D"/>
                                <w:sz w:val="18"/>
                                <w:szCs w:val="20"/>
                              </w:rPr>
                              <w:t>Approved by the Co</w:t>
                            </w:r>
                            <w:r>
                              <w:rPr>
                                <w:rFonts w:ascii="Cambria" w:hAnsi="Cambria"/>
                                <w:color w:val="0D0D0D"/>
                                <w:sz w:val="18"/>
                                <w:szCs w:val="20"/>
                              </w:rPr>
                              <w:t>mmission at its session No. 21 held on October 28, 2015</w:t>
                            </w:r>
                            <w:r w:rsidRPr="001D502F">
                              <w:rPr>
                                <w:rFonts w:ascii="Cambria" w:hAnsi="Cambria"/>
                                <w:color w:val="0D0D0D"/>
                                <w:sz w:val="18"/>
                                <w:szCs w:val="20"/>
                              </w:rPr>
                              <w:br/>
                            </w:r>
                            <w:r>
                              <w:rPr>
                                <w:rFonts w:ascii="Cambria" w:hAnsi="Cambria" w:cs="Univers"/>
                                <w:color w:val="0D0D0D"/>
                                <w:sz w:val="18"/>
                                <w:szCs w:val="20"/>
                              </w:rPr>
                              <w:t>156</w:t>
                            </w:r>
                            <w:r w:rsidRPr="001D502F">
                              <w:rPr>
                                <w:rFonts w:ascii="Cambria" w:hAnsi="Cambria" w:cs="Univers"/>
                                <w:color w:val="0D0D0D"/>
                                <w:sz w:val="18"/>
                                <w:szCs w:val="20"/>
                              </w:rPr>
                              <w:t xml:space="preserve"> Regular Period of Sessions</w:t>
                            </w:r>
                          </w:p>
                          <w:p w14:paraId="077F3F07" w14:textId="1E16E08D" w:rsidR="00C45C34" w:rsidRPr="007C7D76" w:rsidRDefault="00C45C34" w:rsidP="00247403">
                            <w:pPr>
                              <w:tabs>
                                <w:tab w:val="center" w:pos="5400"/>
                              </w:tabs>
                              <w:suppressAutoHyphens/>
                              <w:spacing w:before="60"/>
                              <w:rPr>
                                <w:rFonts w:asciiTheme="majorHAnsi" w:hAnsiTheme="majorHAnsi" w:cs="Univers"/>
                                <w:color w:val="0D0D0D" w:themeColor="text1" w:themeTint="F2"/>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6EB14375" w14:textId="489B7A3B" w:rsidR="00C45C34" w:rsidRPr="001D502F" w:rsidRDefault="00C45C34" w:rsidP="007C7D76">
                      <w:pPr>
                        <w:tabs>
                          <w:tab w:val="center" w:pos="5400"/>
                        </w:tabs>
                        <w:suppressAutoHyphens/>
                        <w:spacing w:before="60"/>
                        <w:rPr>
                          <w:rFonts w:ascii="Cambria" w:hAnsi="Cambria"/>
                          <w:color w:val="0D0D0D"/>
                          <w:sz w:val="18"/>
                          <w:szCs w:val="22"/>
                        </w:rPr>
                      </w:pPr>
                      <w:r w:rsidRPr="001D502F">
                        <w:rPr>
                          <w:rFonts w:ascii="Cambria" w:hAnsi="Cambria"/>
                          <w:color w:val="0D0D0D"/>
                          <w:sz w:val="18"/>
                          <w:szCs w:val="20"/>
                        </w:rPr>
                        <w:t>Approved by the Co</w:t>
                      </w:r>
                      <w:r>
                        <w:rPr>
                          <w:rFonts w:ascii="Cambria" w:hAnsi="Cambria"/>
                          <w:color w:val="0D0D0D"/>
                          <w:sz w:val="18"/>
                          <w:szCs w:val="20"/>
                        </w:rPr>
                        <w:t>mmission at its session No. 21 held on October 28, 2015</w:t>
                      </w:r>
                      <w:r w:rsidRPr="001D502F">
                        <w:rPr>
                          <w:rFonts w:ascii="Cambria" w:hAnsi="Cambria"/>
                          <w:color w:val="0D0D0D"/>
                          <w:sz w:val="18"/>
                          <w:szCs w:val="20"/>
                        </w:rPr>
                        <w:br/>
                      </w:r>
                      <w:r>
                        <w:rPr>
                          <w:rFonts w:ascii="Cambria" w:hAnsi="Cambria" w:cs="Univers"/>
                          <w:color w:val="0D0D0D"/>
                          <w:sz w:val="18"/>
                          <w:szCs w:val="20"/>
                        </w:rPr>
                        <w:t>156</w:t>
                      </w:r>
                      <w:r w:rsidRPr="001D502F">
                        <w:rPr>
                          <w:rFonts w:ascii="Cambria" w:hAnsi="Cambria" w:cs="Univers"/>
                          <w:color w:val="0D0D0D"/>
                          <w:sz w:val="18"/>
                          <w:szCs w:val="20"/>
                        </w:rPr>
                        <w:t xml:space="preserve"> Regular Period of Sessions</w:t>
                      </w:r>
                    </w:p>
                    <w:p w14:paraId="077F3F07" w14:textId="1E16E08D" w:rsidR="00C45C34" w:rsidRPr="007C7D76" w:rsidRDefault="00C45C34" w:rsidP="00247403">
                      <w:pPr>
                        <w:tabs>
                          <w:tab w:val="center" w:pos="5400"/>
                        </w:tabs>
                        <w:suppressAutoHyphens/>
                        <w:spacing w:before="60"/>
                        <w:rPr>
                          <w:rFonts w:asciiTheme="majorHAnsi" w:hAnsiTheme="majorHAnsi" w:cs="Univers"/>
                          <w:color w:val="0D0D0D" w:themeColor="text1" w:themeTint="F2"/>
                          <w:sz w:val="18"/>
                          <w:szCs w:val="20"/>
                        </w:rPr>
                      </w:pPr>
                    </w:p>
                  </w:txbxContent>
                </v:textbox>
              </v:shape>
            </w:pict>
          </mc:Fallback>
        </mc:AlternateContent>
      </w:r>
    </w:p>
    <w:p w14:paraId="1320969F"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643F0C21"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61C1466F"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4EB7FCD2"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036ADEBB" w14:textId="77777777" w:rsidR="00A50FCF" w:rsidRPr="00420489" w:rsidRDefault="00C0075D" w:rsidP="00040C3A">
      <w:pPr>
        <w:tabs>
          <w:tab w:val="center" w:pos="5400"/>
        </w:tabs>
        <w:suppressAutoHyphens/>
        <w:jc w:val="center"/>
        <w:rPr>
          <w:rFonts w:asciiTheme="majorHAnsi" w:hAnsiTheme="majorHAnsi"/>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5738D7D" wp14:editId="3D07B633">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40AB1" w14:textId="7533A106" w:rsidR="00C45C34" w:rsidRPr="00506E20" w:rsidRDefault="00C45C34" w:rsidP="007C7D76">
                            <w:pPr>
                              <w:spacing w:line="276" w:lineRule="auto"/>
                              <w:rPr>
                                <w:rFonts w:ascii="Cambria" w:hAnsi="Cambria"/>
                                <w:color w:val="595959"/>
                                <w:sz w:val="18"/>
                              </w:rPr>
                            </w:pPr>
                            <w:r w:rsidRPr="001D502F">
                              <w:rPr>
                                <w:rFonts w:ascii="Cambria" w:hAnsi="Cambria"/>
                                <w:b/>
                                <w:color w:val="595959"/>
                                <w:sz w:val="18"/>
                              </w:rPr>
                              <w:t xml:space="preserve">Cite as: </w:t>
                            </w:r>
                            <w:r>
                              <w:rPr>
                                <w:rFonts w:ascii="Cambria" w:hAnsi="Cambria"/>
                                <w:color w:val="595959"/>
                                <w:sz w:val="18"/>
                              </w:rPr>
                              <w:t>IACHR, Report No. 75/15</w:t>
                            </w:r>
                            <w:r w:rsidRPr="001D502F">
                              <w:rPr>
                                <w:rFonts w:ascii="Cambria" w:hAnsi="Cambria"/>
                                <w:color w:val="595959"/>
                                <w:sz w:val="18"/>
                              </w:rPr>
                              <w:t>, Case 1</w:t>
                            </w:r>
                            <w:r>
                              <w:rPr>
                                <w:rFonts w:ascii="Cambria" w:hAnsi="Cambria"/>
                                <w:color w:val="595959"/>
                                <w:sz w:val="18"/>
                              </w:rPr>
                              <w:t>2.923</w:t>
                            </w:r>
                            <w:r w:rsidRPr="001D502F">
                              <w:rPr>
                                <w:rFonts w:ascii="Cambria" w:hAnsi="Cambria"/>
                                <w:color w:val="595959"/>
                                <w:sz w:val="18"/>
                              </w:rPr>
                              <w:t xml:space="preserve">. Merits. </w:t>
                            </w:r>
                            <w:proofErr w:type="spellStart"/>
                            <w:proofErr w:type="gramStart"/>
                            <w:r w:rsidRPr="00506E20">
                              <w:rPr>
                                <w:rFonts w:asciiTheme="majorHAnsi" w:hAnsiTheme="majorHAnsi"/>
                                <w:color w:val="595959" w:themeColor="text1" w:themeTint="A6"/>
                                <w:sz w:val="18"/>
                                <w:szCs w:val="18"/>
                              </w:rPr>
                              <w:t>Rocío</w:t>
                            </w:r>
                            <w:proofErr w:type="spellEnd"/>
                            <w:r w:rsidRPr="00506E20">
                              <w:rPr>
                                <w:rFonts w:asciiTheme="majorHAnsi" w:hAnsiTheme="majorHAnsi"/>
                                <w:color w:val="595959" w:themeColor="text1" w:themeTint="A6"/>
                                <w:sz w:val="18"/>
                                <w:szCs w:val="18"/>
                              </w:rPr>
                              <w:t xml:space="preserve"> San Miguel Sosa and others</w:t>
                            </w:r>
                            <w:r w:rsidRPr="00506E20">
                              <w:rPr>
                                <w:rFonts w:ascii="Cambria" w:hAnsi="Cambria"/>
                                <w:color w:val="595959"/>
                                <w:sz w:val="18"/>
                              </w:rPr>
                              <w:t>.</w:t>
                            </w:r>
                            <w:proofErr w:type="gramEnd"/>
                            <w:r w:rsidRPr="00506E20">
                              <w:rPr>
                                <w:rFonts w:ascii="Cambria" w:hAnsi="Cambria"/>
                                <w:color w:val="595959"/>
                                <w:sz w:val="18"/>
                              </w:rPr>
                              <w:t xml:space="preserve"> Venezuela. </w:t>
                            </w:r>
                            <w:r>
                              <w:rPr>
                                <w:rFonts w:ascii="Cambria" w:hAnsi="Cambria"/>
                                <w:color w:val="595959"/>
                                <w:sz w:val="18"/>
                              </w:rPr>
                              <w:t xml:space="preserve">October 28, </w:t>
                            </w:r>
                            <w:r w:rsidRPr="00506E20">
                              <w:rPr>
                                <w:rFonts w:ascii="Cambria" w:hAnsi="Cambria"/>
                                <w:color w:val="595959"/>
                                <w:sz w:val="18"/>
                              </w:rPr>
                              <w:t xml:space="preserve">2015. </w:t>
                            </w:r>
                          </w:p>
                          <w:p w14:paraId="515D12B7" w14:textId="3003BB9A" w:rsidR="00C45C34" w:rsidRPr="00506E20" w:rsidRDefault="00C45C34" w:rsidP="00113F73">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3A040AB1" w14:textId="7533A106" w:rsidR="00C45C34" w:rsidRPr="00506E20" w:rsidRDefault="00C45C34" w:rsidP="007C7D76">
                      <w:pPr>
                        <w:spacing w:line="276" w:lineRule="auto"/>
                        <w:rPr>
                          <w:rFonts w:ascii="Cambria" w:hAnsi="Cambria"/>
                          <w:color w:val="595959"/>
                          <w:sz w:val="18"/>
                        </w:rPr>
                      </w:pPr>
                      <w:r w:rsidRPr="001D502F">
                        <w:rPr>
                          <w:rFonts w:ascii="Cambria" w:hAnsi="Cambria"/>
                          <w:b/>
                          <w:color w:val="595959"/>
                          <w:sz w:val="18"/>
                        </w:rPr>
                        <w:t xml:space="preserve">Cite as: </w:t>
                      </w:r>
                      <w:r>
                        <w:rPr>
                          <w:rFonts w:ascii="Cambria" w:hAnsi="Cambria"/>
                          <w:color w:val="595959"/>
                          <w:sz w:val="18"/>
                        </w:rPr>
                        <w:t>IACHR, Report No. 75/15</w:t>
                      </w:r>
                      <w:r w:rsidRPr="001D502F">
                        <w:rPr>
                          <w:rFonts w:ascii="Cambria" w:hAnsi="Cambria"/>
                          <w:color w:val="595959"/>
                          <w:sz w:val="18"/>
                        </w:rPr>
                        <w:t>, Case 1</w:t>
                      </w:r>
                      <w:r>
                        <w:rPr>
                          <w:rFonts w:ascii="Cambria" w:hAnsi="Cambria"/>
                          <w:color w:val="595959"/>
                          <w:sz w:val="18"/>
                        </w:rPr>
                        <w:t>2.923</w:t>
                      </w:r>
                      <w:r w:rsidRPr="001D502F">
                        <w:rPr>
                          <w:rFonts w:ascii="Cambria" w:hAnsi="Cambria"/>
                          <w:color w:val="595959"/>
                          <w:sz w:val="18"/>
                        </w:rPr>
                        <w:t xml:space="preserve">. Merits. </w:t>
                      </w:r>
                      <w:proofErr w:type="spellStart"/>
                      <w:proofErr w:type="gramStart"/>
                      <w:r w:rsidRPr="00506E20">
                        <w:rPr>
                          <w:rFonts w:asciiTheme="majorHAnsi" w:hAnsiTheme="majorHAnsi"/>
                          <w:color w:val="595959" w:themeColor="text1" w:themeTint="A6"/>
                          <w:sz w:val="18"/>
                          <w:szCs w:val="18"/>
                        </w:rPr>
                        <w:t>Rocío</w:t>
                      </w:r>
                      <w:proofErr w:type="spellEnd"/>
                      <w:r w:rsidRPr="00506E20">
                        <w:rPr>
                          <w:rFonts w:asciiTheme="majorHAnsi" w:hAnsiTheme="majorHAnsi"/>
                          <w:color w:val="595959" w:themeColor="text1" w:themeTint="A6"/>
                          <w:sz w:val="18"/>
                          <w:szCs w:val="18"/>
                        </w:rPr>
                        <w:t xml:space="preserve"> San Miguel Sosa and others</w:t>
                      </w:r>
                      <w:r w:rsidRPr="00506E20">
                        <w:rPr>
                          <w:rFonts w:ascii="Cambria" w:hAnsi="Cambria"/>
                          <w:color w:val="595959"/>
                          <w:sz w:val="18"/>
                        </w:rPr>
                        <w:t>.</w:t>
                      </w:r>
                      <w:proofErr w:type="gramEnd"/>
                      <w:r w:rsidRPr="00506E20">
                        <w:rPr>
                          <w:rFonts w:ascii="Cambria" w:hAnsi="Cambria"/>
                          <w:color w:val="595959"/>
                          <w:sz w:val="18"/>
                        </w:rPr>
                        <w:t xml:space="preserve"> Venezuela. </w:t>
                      </w:r>
                      <w:r>
                        <w:rPr>
                          <w:rFonts w:ascii="Cambria" w:hAnsi="Cambria"/>
                          <w:color w:val="595959"/>
                          <w:sz w:val="18"/>
                        </w:rPr>
                        <w:t xml:space="preserve">October 28, </w:t>
                      </w:r>
                      <w:r w:rsidRPr="00506E20">
                        <w:rPr>
                          <w:rFonts w:ascii="Cambria" w:hAnsi="Cambria"/>
                          <w:color w:val="595959"/>
                          <w:sz w:val="18"/>
                        </w:rPr>
                        <w:t xml:space="preserve">2015. </w:t>
                      </w:r>
                    </w:p>
                    <w:p w14:paraId="515D12B7" w14:textId="3003BB9A" w:rsidR="00C45C34" w:rsidRPr="00506E20" w:rsidRDefault="00C45C34" w:rsidP="00113F73">
                      <w:pPr>
                        <w:spacing w:line="276" w:lineRule="auto"/>
                        <w:rPr>
                          <w:rFonts w:asciiTheme="majorHAnsi" w:hAnsiTheme="majorHAnsi"/>
                          <w:color w:val="595959" w:themeColor="text1" w:themeTint="A6"/>
                          <w:sz w:val="18"/>
                          <w:szCs w:val="18"/>
                        </w:rPr>
                      </w:pPr>
                    </w:p>
                  </w:txbxContent>
                </v:textbox>
              </v:shape>
            </w:pict>
          </mc:Fallback>
        </mc:AlternateContent>
      </w:r>
    </w:p>
    <w:p w14:paraId="35EF68A0" w14:textId="77777777" w:rsidR="00A50FCF" w:rsidRPr="00420489" w:rsidRDefault="00A50FCF" w:rsidP="00040C3A">
      <w:pPr>
        <w:tabs>
          <w:tab w:val="center" w:pos="5400"/>
        </w:tabs>
        <w:suppressAutoHyphens/>
        <w:jc w:val="center"/>
        <w:rPr>
          <w:rFonts w:asciiTheme="majorHAnsi" w:hAnsiTheme="majorHAnsi"/>
          <w:sz w:val="20"/>
          <w:szCs w:val="20"/>
          <w:lang w:val="es-ES_tradnl"/>
        </w:rPr>
      </w:pPr>
    </w:p>
    <w:p w14:paraId="3C8DA0E9" w14:textId="77777777" w:rsidR="0090270B" w:rsidRPr="00420489" w:rsidRDefault="00C0075D" w:rsidP="005516A1">
      <w:pPr>
        <w:tabs>
          <w:tab w:val="center" w:pos="5400"/>
        </w:tabs>
        <w:suppressAutoHyphens/>
        <w:jc w:val="center"/>
        <w:rPr>
          <w:rFonts w:asciiTheme="majorHAnsi" w:hAnsiTheme="majorHAnsi"/>
          <w:b/>
          <w:sz w:val="20"/>
          <w:szCs w:val="20"/>
          <w:lang w:val="es-ES_tradnl"/>
        </w:rPr>
      </w:pPr>
      <w:r>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BE5886F" wp14:editId="5FAFF638">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C323D" w14:textId="688A3EB2" w:rsidR="00C45C34" w:rsidRPr="00D72DC6" w:rsidRDefault="00C45C34" w:rsidP="00F02AD1">
                            <w:pPr>
                              <w:rPr>
                                <w:color w:val="FFFFFF" w:themeColor="background1"/>
                              </w:rPr>
                            </w:pPr>
                            <w:r w:rsidRPr="001D502F">
                              <w:rPr>
                                <w:noProof/>
                              </w:rPr>
                              <w:drawing>
                                <wp:inline distT="0" distB="0" distL="0" distR="0" wp14:anchorId="4A6E292A" wp14:editId="2BEE1AE3">
                                  <wp:extent cx="1127125" cy="382905"/>
                                  <wp:effectExtent l="0" t="0" r="0" b="0"/>
                                  <wp:docPr id="6" name="Imagen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125" cy="382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14:paraId="7BAC323D" w14:textId="688A3EB2" w:rsidR="00C45C34" w:rsidRPr="00D72DC6" w:rsidRDefault="00C45C34" w:rsidP="00F02AD1">
                      <w:pPr>
                        <w:rPr>
                          <w:color w:val="FFFFFF" w:themeColor="background1"/>
                        </w:rPr>
                      </w:pPr>
                      <w:r w:rsidRPr="001D502F">
                        <w:rPr>
                          <w:noProof/>
                        </w:rPr>
                        <w:drawing>
                          <wp:inline distT="0" distB="0" distL="0" distR="0" wp14:anchorId="4A6E292A" wp14:editId="2BEE1AE3">
                            <wp:extent cx="1127125" cy="382905"/>
                            <wp:effectExtent l="0" t="0" r="0" b="0"/>
                            <wp:docPr id="6" name="Imagen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125" cy="382905"/>
                                    </a:xfrm>
                                    <a:prstGeom prst="rect">
                                      <a:avLst/>
                                    </a:prstGeom>
                                    <a:noFill/>
                                    <a:ln>
                                      <a:noFill/>
                                    </a:ln>
                                  </pic:spPr>
                                </pic:pic>
                              </a:graphicData>
                            </a:graphic>
                          </wp:inline>
                        </w:drawing>
                      </w:r>
                    </w:p>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C85B1C2" wp14:editId="30016380">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A54B0" w14:textId="77777777" w:rsidR="00C45C34" w:rsidRPr="004B7EB6" w:rsidRDefault="00C45C3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14:paraId="44DA54B0" w14:textId="77777777" w:rsidR="00C45C34" w:rsidRPr="004B7EB6" w:rsidRDefault="00C45C3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062DBDE" w14:textId="77777777" w:rsidR="0070697F" w:rsidRPr="00420489" w:rsidRDefault="0070697F" w:rsidP="005516A1">
      <w:pPr>
        <w:tabs>
          <w:tab w:val="center" w:pos="5400"/>
        </w:tabs>
        <w:suppressAutoHyphens/>
        <w:jc w:val="center"/>
        <w:rPr>
          <w:rFonts w:asciiTheme="majorHAnsi" w:hAnsiTheme="majorHAnsi"/>
          <w:b/>
          <w:sz w:val="20"/>
          <w:szCs w:val="20"/>
          <w:lang w:val="es-ES_tradnl"/>
        </w:rPr>
        <w:sectPr w:rsidR="0070697F" w:rsidRPr="00420489"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0B99A998" w14:textId="14586404" w:rsidR="004B316C" w:rsidRPr="00506E20" w:rsidRDefault="00E551A3"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r w:rsidRPr="00506E20">
        <w:rPr>
          <w:rFonts w:asciiTheme="majorHAnsi" w:eastAsia="Times New Roman" w:hAnsiTheme="majorHAnsi"/>
          <w:b/>
          <w:sz w:val="20"/>
          <w:szCs w:val="20"/>
          <w:bdr w:val="none" w:sz="0" w:space="0" w:color="auto"/>
        </w:rPr>
        <w:lastRenderedPageBreak/>
        <w:t>REPORT</w:t>
      </w:r>
      <w:r w:rsidR="00847996">
        <w:rPr>
          <w:rFonts w:asciiTheme="majorHAnsi" w:eastAsia="Times New Roman" w:hAnsiTheme="majorHAnsi"/>
          <w:b/>
          <w:sz w:val="20"/>
          <w:szCs w:val="20"/>
          <w:bdr w:val="none" w:sz="0" w:space="0" w:color="auto"/>
        </w:rPr>
        <w:t xml:space="preserve"> No. 75</w:t>
      </w:r>
      <w:r w:rsidR="00B06C1C" w:rsidRPr="00506E20">
        <w:rPr>
          <w:rFonts w:asciiTheme="majorHAnsi" w:eastAsia="Times New Roman" w:hAnsiTheme="majorHAnsi"/>
          <w:b/>
          <w:sz w:val="20"/>
          <w:szCs w:val="20"/>
          <w:bdr w:val="none" w:sz="0" w:space="0" w:color="auto"/>
        </w:rPr>
        <w:t>/15</w:t>
      </w:r>
    </w:p>
    <w:p w14:paraId="210BECCF" w14:textId="26D2BD59" w:rsidR="004B316C" w:rsidRPr="00506E20" w:rsidRDefault="00E551A3"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r w:rsidRPr="00506E20">
        <w:rPr>
          <w:rFonts w:asciiTheme="majorHAnsi" w:eastAsia="Times New Roman" w:hAnsiTheme="majorHAnsi"/>
          <w:b/>
          <w:sz w:val="20"/>
          <w:szCs w:val="20"/>
          <w:bdr w:val="none" w:sz="0" w:space="0" w:color="auto"/>
        </w:rPr>
        <w:t>CASE</w:t>
      </w:r>
      <w:r w:rsidR="005E21D4" w:rsidRPr="00506E20">
        <w:rPr>
          <w:rFonts w:asciiTheme="majorHAnsi" w:eastAsia="Times New Roman" w:hAnsiTheme="majorHAnsi"/>
          <w:b/>
          <w:sz w:val="20"/>
          <w:szCs w:val="20"/>
          <w:bdr w:val="none" w:sz="0" w:space="0" w:color="auto"/>
        </w:rPr>
        <w:t xml:space="preserve"> 12.923</w:t>
      </w:r>
    </w:p>
    <w:p w14:paraId="61888AB4" w14:textId="66387262" w:rsidR="004B316C" w:rsidRPr="00506E20" w:rsidRDefault="00E551A3"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r w:rsidRPr="00506E20">
        <w:rPr>
          <w:rFonts w:asciiTheme="majorHAnsi" w:eastAsia="Times New Roman" w:hAnsiTheme="majorHAnsi"/>
          <w:sz w:val="20"/>
          <w:szCs w:val="20"/>
          <w:bdr w:val="none" w:sz="0" w:space="0" w:color="auto"/>
        </w:rPr>
        <w:t>MERITS</w:t>
      </w:r>
    </w:p>
    <w:p w14:paraId="4E3DFC7F" w14:textId="0EEC3EBB" w:rsidR="00B06C1C" w:rsidRPr="00506E20" w:rsidRDefault="00E551A3"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r w:rsidRPr="00506E20">
        <w:rPr>
          <w:rFonts w:asciiTheme="majorHAnsi" w:eastAsia="Times New Roman" w:hAnsiTheme="majorHAnsi"/>
          <w:sz w:val="20"/>
          <w:szCs w:val="20"/>
          <w:bdr w:val="none" w:sz="0" w:space="0" w:color="auto"/>
        </w:rPr>
        <w:t xml:space="preserve">ROCIO SAN MIGUEL SOSA </w:t>
      </w:r>
      <w:r w:rsidR="00506E20" w:rsidRPr="00506E20">
        <w:rPr>
          <w:rFonts w:asciiTheme="majorHAnsi" w:eastAsia="Times New Roman" w:hAnsiTheme="majorHAnsi"/>
          <w:sz w:val="20"/>
          <w:szCs w:val="20"/>
          <w:bdr w:val="none" w:sz="0" w:space="0" w:color="auto"/>
        </w:rPr>
        <w:t>AND OT</w:t>
      </w:r>
      <w:r w:rsidR="00506E20">
        <w:rPr>
          <w:rFonts w:asciiTheme="majorHAnsi" w:eastAsia="Times New Roman" w:hAnsiTheme="majorHAnsi"/>
          <w:sz w:val="20"/>
          <w:szCs w:val="20"/>
          <w:bdr w:val="none" w:sz="0" w:space="0" w:color="auto"/>
        </w:rPr>
        <w:t>HERS</w:t>
      </w:r>
    </w:p>
    <w:p w14:paraId="3B0C7D90" w14:textId="77777777" w:rsidR="00B06C1C" w:rsidRPr="00326F31" w:rsidRDefault="005E21D4"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r w:rsidRPr="00326F31">
        <w:rPr>
          <w:rFonts w:asciiTheme="majorHAnsi" w:eastAsia="Times New Roman" w:hAnsiTheme="majorHAnsi"/>
          <w:sz w:val="20"/>
          <w:szCs w:val="20"/>
          <w:bdr w:val="none" w:sz="0" w:space="0" w:color="auto"/>
        </w:rPr>
        <w:t>VENEZUELA</w:t>
      </w:r>
    </w:p>
    <w:p w14:paraId="6939C697" w14:textId="24C9F9DA" w:rsidR="0073741F" w:rsidRPr="00326F31" w:rsidRDefault="00847996"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r>
        <w:rPr>
          <w:rFonts w:asciiTheme="majorHAnsi" w:eastAsia="Times New Roman" w:hAnsiTheme="majorHAnsi"/>
          <w:sz w:val="20"/>
          <w:szCs w:val="20"/>
          <w:bdr w:val="none" w:sz="0" w:space="0" w:color="auto"/>
        </w:rPr>
        <w:t>October 28</w:t>
      </w:r>
      <w:r w:rsidR="00B26289" w:rsidRPr="00326F31">
        <w:rPr>
          <w:rFonts w:asciiTheme="majorHAnsi" w:eastAsia="Times New Roman" w:hAnsiTheme="majorHAnsi"/>
          <w:sz w:val="20"/>
          <w:szCs w:val="20"/>
          <w:bdr w:val="none" w:sz="0" w:space="0" w:color="auto"/>
        </w:rPr>
        <w:t xml:space="preserve">, </w:t>
      </w:r>
      <w:r w:rsidR="00E24E60" w:rsidRPr="00326F31">
        <w:rPr>
          <w:rFonts w:asciiTheme="majorHAnsi" w:eastAsia="Times New Roman" w:hAnsiTheme="majorHAnsi"/>
          <w:sz w:val="20"/>
          <w:szCs w:val="20"/>
          <w:bdr w:val="none" w:sz="0" w:space="0" w:color="auto"/>
        </w:rPr>
        <w:t>2015</w:t>
      </w:r>
    </w:p>
    <w:p w14:paraId="6884816B" w14:textId="77777777" w:rsidR="004B316C" w:rsidRPr="00326F31" w:rsidRDefault="004B316C"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rPr>
      </w:pPr>
    </w:p>
    <w:p w14:paraId="54C22040" w14:textId="794A4EA4" w:rsidR="00FB6151" w:rsidRPr="00FB6151" w:rsidRDefault="00FB6151" w:rsidP="00FB6151">
      <w:pPr>
        <w:tabs>
          <w:tab w:val="center" w:pos="5400"/>
        </w:tabs>
        <w:suppressAutoHyphens/>
        <w:jc w:val="center"/>
        <w:rPr>
          <w:rFonts w:asciiTheme="majorHAnsi" w:hAnsiTheme="majorHAnsi"/>
          <w:b/>
          <w:sz w:val="20"/>
          <w:szCs w:val="20"/>
        </w:rPr>
      </w:pPr>
      <w:r>
        <w:rPr>
          <w:rFonts w:asciiTheme="majorHAnsi" w:hAnsiTheme="majorHAnsi"/>
          <w:b/>
          <w:sz w:val="20"/>
          <w:szCs w:val="20"/>
        </w:rPr>
        <w:t>INDEX</w:t>
      </w:r>
    </w:p>
    <w:sdt>
      <w:sdtPr>
        <w:rPr>
          <w:rFonts w:ascii="Times New Roman" w:eastAsia="Arial Unicode MS" w:hAnsi="Times New Roman" w:cs="Times New Roman"/>
          <w:b w:val="0"/>
          <w:bCs w:val="0"/>
          <w:color w:val="auto"/>
          <w:sz w:val="24"/>
          <w:szCs w:val="24"/>
          <w:bdr w:val="nil"/>
          <w:lang w:eastAsia="en-US"/>
        </w:rPr>
        <w:id w:val="1553810457"/>
        <w:docPartObj>
          <w:docPartGallery w:val="Table of Contents"/>
          <w:docPartUnique/>
        </w:docPartObj>
      </w:sdtPr>
      <w:sdtEndPr>
        <w:rPr>
          <w:noProof/>
        </w:rPr>
      </w:sdtEndPr>
      <w:sdtContent>
        <w:p w14:paraId="365C1F07" w14:textId="148AFFC5" w:rsidR="00FB6151" w:rsidRPr="00D87B8E" w:rsidRDefault="00FB6151">
          <w:pPr>
            <w:pStyle w:val="TOCHeading"/>
            <w:rPr>
              <w:b w:val="0"/>
              <w:sz w:val="20"/>
              <w:szCs w:val="20"/>
            </w:rPr>
          </w:pPr>
        </w:p>
        <w:p w14:paraId="27F42164" w14:textId="77777777" w:rsidR="00D87B8E" w:rsidRPr="00D87B8E" w:rsidRDefault="00FB6151">
          <w:pPr>
            <w:pStyle w:val="TOC1"/>
            <w:rPr>
              <w:rFonts w:asciiTheme="majorHAnsi" w:eastAsiaTheme="minorEastAsia" w:hAnsiTheme="majorHAnsi" w:cstheme="minorBidi"/>
              <w:noProof/>
              <w:sz w:val="20"/>
              <w:szCs w:val="20"/>
              <w:bdr w:val="none" w:sz="0" w:space="0" w:color="auto"/>
            </w:rPr>
          </w:pPr>
          <w:r w:rsidRPr="00D87B8E">
            <w:rPr>
              <w:rFonts w:asciiTheme="majorHAnsi" w:hAnsiTheme="majorHAnsi"/>
              <w:sz w:val="20"/>
              <w:szCs w:val="20"/>
            </w:rPr>
            <w:fldChar w:fldCharType="begin"/>
          </w:r>
          <w:r w:rsidRPr="00D87B8E">
            <w:rPr>
              <w:rFonts w:asciiTheme="majorHAnsi" w:hAnsiTheme="majorHAnsi"/>
              <w:sz w:val="20"/>
              <w:szCs w:val="20"/>
            </w:rPr>
            <w:instrText xml:space="preserve"> TOC \o "1-3" \h \z \u </w:instrText>
          </w:r>
          <w:r w:rsidRPr="00D87B8E">
            <w:rPr>
              <w:rFonts w:asciiTheme="majorHAnsi" w:hAnsiTheme="majorHAnsi"/>
              <w:sz w:val="20"/>
              <w:szCs w:val="20"/>
            </w:rPr>
            <w:fldChar w:fldCharType="separate"/>
          </w:r>
          <w:hyperlink w:anchor="_Toc433311124" w:history="1">
            <w:r w:rsidR="00D87B8E" w:rsidRPr="00D87B8E">
              <w:rPr>
                <w:rStyle w:val="Hyperlink"/>
                <w:rFonts w:asciiTheme="majorHAnsi" w:hAnsiTheme="majorHAnsi"/>
                <w:noProof/>
                <w:sz w:val="20"/>
                <w:szCs w:val="20"/>
              </w:rPr>
              <w:t>I.</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SUMMARY</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_Toc433311124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2</w:t>
            </w:r>
            <w:r w:rsidR="00D87B8E" w:rsidRPr="00D87B8E">
              <w:rPr>
                <w:rFonts w:asciiTheme="majorHAnsi" w:hAnsiTheme="majorHAnsi"/>
                <w:noProof/>
                <w:webHidden/>
                <w:sz w:val="20"/>
                <w:szCs w:val="20"/>
              </w:rPr>
              <w:fldChar w:fldCharType="end"/>
            </w:r>
          </w:hyperlink>
        </w:p>
        <w:p w14:paraId="5BB1D377" w14:textId="77777777" w:rsidR="00D87B8E" w:rsidRPr="00D87B8E" w:rsidRDefault="00F30897">
          <w:pPr>
            <w:pStyle w:val="TOC1"/>
            <w:rPr>
              <w:rFonts w:asciiTheme="majorHAnsi" w:eastAsiaTheme="minorEastAsia" w:hAnsiTheme="majorHAnsi" w:cstheme="minorBidi"/>
              <w:noProof/>
              <w:sz w:val="20"/>
              <w:szCs w:val="20"/>
              <w:bdr w:val="none" w:sz="0" w:space="0" w:color="auto"/>
            </w:rPr>
          </w:pPr>
          <w:hyperlink w:anchor="_Toc433311125" w:history="1">
            <w:r w:rsidR="00D87B8E" w:rsidRPr="00D87B8E">
              <w:rPr>
                <w:rStyle w:val="Hyperlink"/>
                <w:rFonts w:asciiTheme="majorHAnsi" w:hAnsiTheme="majorHAnsi"/>
                <w:noProof/>
                <w:sz w:val="20"/>
                <w:szCs w:val="20"/>
              </w:rPr>
              <w:t>II.</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PROCEEDINGS BEFORE THE COMMISSION</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_Toc433311125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2</w:t>
            </w:r>
            <w:r w:rsidR="00D87B8E" w:rsidRPr="00D87B8E">
              <w:rPr>
                <w:rFonts w:asciiTheme="majorHAnsi" w:hAnsiTheme="majorHAnsi"/>
                <w:noProof/>
                <w:webHidden/>
                <w:sz w:val="20"/>
                <w:szCs w:val="20"/>
              </w:rPr>
              <w:fldChar w:fldCharType="end"/>
            </w:r>
          </w:hyperlink>
        </w:p>
        <w:p w14:paraId="500A69C6" w14:textId="77777777" w:rsidR="00D87B8E" w:rsidRPr="00D87B8E" w:rsidRDefault="00F30897">
          <w:pPr>
            <w:pStyle w:val="TOC1"/>
            <w:rPr>
              <w:rFonts w:asciiTheme="majorHAnsi" w:eastAsiaTheme="minorEastAsia" w:hAnsiTheme="majorHAnsi" w:cstheme="minorBidi"/>
              <w:noProof/>
              <w:sz w:val="20"/>
              <w:szCs w:val="20"/>
              <w:bdr w:val="none" w:sz="0" w:space="0" w:color="auto"/>
            </w:rPr>
          </w:pPr>
          <w:hyperlink w:anchor="_Toc433311126" w:history="1">
            <w:r w:rsidR="00D87B8E" w:rsidRPr="00D87B8E">
              <w:rPr>
                <w:rStyle w:val="Hyperlink"/>
                <w:rFonts w:asciiTheme="majorHAnsi" w:hAnsiTheme="majorHAnsi"/>
                <w:noProof/>
                <w:sz w:val="20"/>
                <w:szCs w:val="20"/>
              </w:rPr>
              <w:t>III.</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POSITION OF THE PARTIES</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_Toc433311126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3</w:t>
            </w:r>
            <w:r w:rsidR="00D87B8E" w:rsidRPr="00D87B8E">
              <w:rPr>
                <w:rFonts w:asciiTheme="majorHAnsi" w:hAnsiTheme="majorHAnsi"/>
                <w:noProof/>
                <w:webHidden/>
                <w:sz w:val="20"/>
                <w:szCs w:val="20"/>
              </w:rPr>
              <w:fldChar w:fldCharType="end"/>
            </w:r>
          </w:hyperlink>
        </w:p>
        <w:p w14:paraId="3A88C033" w14:textId="77777777" w:rsidR="00D87B8E" w:rsidRPr="00D87B8E" w:rsidRDefault="00F30897">
          <w:pPr>
            <w:pStyle w:val="TOC2"/>
            <w:rPr>
              <w:rFonts w:asciiTheme="majorHAnsi" w:eastAsiaTheme="minorEastAsia" w:hAnsiTheme="majorHAnsi" w:cstheme="minorBidi"/>
              <w:noProof/>
              <w:sz w:val="20"/>
              <w:szCs w:val="20"/>
              <w:bdr w:val="none" w:sz="0" w:space="0" w:color="auto"/>
            </w:rPr>
          </w:pPr>
          <w:hyperlink w:anchor="_Toc433311127" w:history="1">
            <w:r w:rsidR="00D87B8E" w:rsidRPr="00D87B8E">
              <w:rPr>
                <w:rStyle w:val="Hyperlink"/>
                <w:rFonts w:asciiTheme="majorHAnsi" w:hAnsiTheme="majorHAnsi"/>
                <w:noProof/>
                <w:sz w:val="20"/>
                <w:szCs w:val="20"/>
              </w:rPr>
              <w:t>A.</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Position of the petitioners</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_Toc433311127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3</w:t>
            </w:r>
            <w:r w:rsidR="00D87B8E" w:rsidRPr="00D87B8E">
              <w:rPr>
                <w:rFonts w:asciiTheme="majorHAnsi" w:hAnsiTheme="majorHAnsi"/>
                <w:noProof/>
                <w:webHidden/>
                <w:sz w:val="20"/>
                <w:szCs w:val="20"/>
              </w:rPr>
              <w:fldChar w:fldCharType="end"/>
            </w:r>
          </w:hyperlink>
        </w:p>
        <w:p w14:paraId="2B423441" w14:textId="77777777" w:rsidR="00D87B8E" w:rsidRPr="00D87B8E" w:rsidRDefault="00F30897">
          <w:pPr>
            <w:pStyle w:val="TOC2"/>
            <w:rPr>
              <w:rFonts w:asciiTheme="majorHAnsi" w:eastAsiaTheme="minorEastAsia" w:hAnsiTheme="majorHAnsi" w:cstheme="minorBidi"/>
              <w:noProof/>
              <w:sz w:val="20"/>
              <w:szCs w:val="20"/>
              <w:bdr w:val="none" w:sz="0" w:space="0" w:color="auto"/>
            </w:rPr>
          </w:pPr>
          <w:hyperlink w:anchor="_Toc433311128" w:history="1">
            <w:r w:rsidR="00D87B8E" w:rsidRPr="00D87B8E">
              <w:rPr>
                <w:rStyle w:val="Hyperlink"/>
                <w:rFonts w:asciiTheme="majorHAnsi" w:hAnsiTheme="majorHAnsi"/>
                <w:noProof/>
                <w:sz w:val="20"/>
                <w:szCs w:val="20"/>
              </w:rPr>
              <w:t>B.</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Position of the State</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_Toc433311128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6</w:t>
            </w:r>
            <w:r w:rsidR="00D87B8E" w:rsidRPr="00D87B8E">
              <w:rPr>
                <w:rFonts w:asciiTheme="majorHAnsi" w:hAnsiTheme="majorHAnsi"/>
                <w:noProof/>
                <w:webHidden/>
                <w:sz w:val="20"/>
                <w:szCs w:val="20"/>
              </w:rPr>
              <w:fldChar w:fldCharType="end"/>
            </w:r>
          </w:hyperlink>
        </w:p>
        <w:p w14:paraId="25DB5F48" w14:textId="77777777" w:rsidR="00D87B8E" w:rsidRPr="00D87B8E" w:rsidRDefault="00F30897">
          <w:pPr>
            <w:pStyle w:val="TOC1"/>
            <w:rPr>
              <w:rFonts w:asciiTheme="majorHAnsi" w:eastAsiaTheme="minorEastAsia" w:hAnsiTheme="majorHAnsi" w:cstheme="minorBidi"/>
              <w:noProof/>
              <w:sz w:val="20"/>
              <w:szCs w:val="20"/>
              <w:bdr w:val="none" w:sz="0" w:space="0" w:color="auto"/>
            </w:rPr>
          </w:pPr>
          <w:hyperlink w:anchor="_Toc433311129" w:history="1">
            <w:r w:rsidR="00D87B8E" w:rsidRPr="00D87B8E">
              <w:rPr>
                <w:rStyle w:val="Hyperlink"/>
                <w:rFonts w:asciiTheme="majorHAnsi" w:hAnsiTheme="majorHAnsi"/>
                <w:noProof/>
                <w:sz w:val="20"/>
                <w:szCs w:val="20"/>
              </w:rPr>
              <w:t>IV.</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PROVEN FACTS</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_Toc433311129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9</w:t>
            </w:r>
            <w:r w:rsidR="00D87B8E" w:rsidRPr="00D87B8E">
              <w:rPr>
                <w:rFonts w:asciiTheme="majorHAnsi" w:hAnsiTheme="majorHAnsi"/>
                <w:noProof/>
                <w:webHidden/>
                <w:sz w:val="20"/>
                <w:szCs w:val="20"/>
              </w:rPr>
              <w:fldChar w:fldCharType="end"/>
            </w:r>
          </w:hyperlink>
        </w:p>
        <w:p w14:paraId="6BE31370" w14:textId="77777777" w:rsidR="00D87B8E" w:rsidRPr="00D87B8E" w:rsidRDefault="00F30897">
          <w:pPr>
            <w:pStyle w:val="TOC2"/>
            <w:rPr>
              <w:rFonts w:asciiTheme="majorHAnsi" w:eastAsiaTheme="minorEastAsia" w:hAnsiTheme="majorHAnsi" w:cstheme="minorBidi"/>
              <w:noProof/>
              <w:sz w:val="20"/>
              <w:szCs w:val="20"/>
              <w:bdr w:val="none" w:sz="0" w:space="0" w:color="auto"/>
            </w:rPr>
          </w:pPr>
          <w:hyperlink w:anchor="_Toc433311130" w:history="1">
            <w:r w:rsidR="00D87B8E" w:rsidRPr="00D87B8E">
              <w:rPr>
                <w:rStyle w:val="Hyperlink"/>
                <w:rFonts w:asciiTheme="majorHAnsi" w:hAnsiTheme="majorHAnsi"/>
                <w:noProof/>
                <w:sz w:val="20"/>
                <w:szCs w:val="20"/>
              </w:rPr>
              <w:t>A.</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Preliminary issue on the use of certain evidence</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_Toc433311130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9</w:t>
            </w:r>
            <w:r w:rsidR="00D87B8E" w:rsidRPr="00D87B8E">
              <w:rPr>
                <w:rFonts w:asciiTheme="majorHAnsi" w:hAnsiTheme="majorHAnsi"/>
                <w:noProof/>
                <w:webHidden/>
                <w:sz w:val="20"/>
                <w:szCs w:val="20"/>
              </w:rPr>
              <w:fldChar w:fldCharType="end"/>
            </w:r>
          </w:hyperlink>
        </w:p>
        <w:p w14:paraId="016D9811" w14:textId="77777777" w:rsidR="00D87B8E" w:rsidRPr="00D87B8E" w:rsidRDefault="00F30897">
          <w:pPr>
            <w:pStyle w:val="TOC2"/>
            <w:rPr>
              <w:rFonts w:asciiTheme="majorHAnsi" w:eastAsiaTheme="minorEastAsia" w:hAnsiTheme="majorHAnsi" w:cstheme="minorBidi"/>
              <w:noProof/>
              <w:sz w:val="20"/>
              <w:szCs w:val="20"/>
              <w:bdr w:val="none" w:sz="0" w:space="0" w:color="auto"/>
            </w:rPr>
          </w:pPr>
          <w:hyperlink w:anchor="_Toc433311131" w:history="1">
            <w:r w:rsidR="00D87B8E" w:rsidRPr="00D87B8E">
              <w:rPr>
                <w:rStyle w:val="Hyperlink"/>
                <w:rFonts w:asciiTheme="majorHAnsi" w:hAnsiTheme="majorHAnsi"/>
                <w:noProof/>
                <w:sz w:val="20"/>
                <w:szCs w:val="20"/>
              </w:rPr>
              <w:t>B.</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Context of the petition for signatures for convening the consultative and recall referendum of the President of the Republic</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_Toc433311131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10</w:t>
            </w:r>
            <w:r w:rsidR="00D87B8E" w:rsidRPr="00D87B8E">
              <w:rPr>
                <w:rFonts w:asciiTheme="majorHAnsi" w:hAnsiTheme="majorHAnsi"/>
                <w:noProof/>
                <w:webHidden/>
                <w:sz w:val="20"/>
                <w:szCs w:val="20"/>
              </w:rPr>
              <w:fldChar w:fldCharType="end"/>
            </w:r>
          </w:hyperlink>
        </w:p>
        <w:p w14:paraId="646F78B3" w14:textId="77777777" w:rsidR="00D87B8E" w:rsidRPr="00D87B8E" w:rsidRDefault="00F30897">
          <w:pPr>
            <w:pStyle w:val="TOC2"/>
            <w:rPr>
              <w:rFonts w:asciiTheme="majorHAnsi" w:eastAsiaTheme="minorEastAsia" w:hAnsiTheme="majorHAnsi" w:cstheme="minorBidi"/>
              <w:noProof/>
              <w:sz w:val="20"/>
              <w:szCs w:val="20"/>
              <w:bdr w:val="none" w:sz="0" w:space="0" w:color="auto"/>
            </w:rPr>
          </w:pPr>
          <w:hyperlink w:anchor="_Toc433311132" w:history="1">
            <w:r w:rsidR="00D87B8E" w:rsidRPr="00D87B8E">
              <w:rPr>
                <w:rStyle w:val="Hyperlink"/>
                <w:rFonts w:asciiTheme="majorHAnsi" w:hAnsiTheme="majorHAnsi"/>
                <w:noProof/>
                <w:sz w:val="20"/>
                <w:szCs w:val="20"/>
              </w:rPr>
              <w:t>C.</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The work relationship and termination of contracts of Rocío San Miguel Sosa, Magally Chang Girón, and Thais Coromoto Peña</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_Toc433311132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17</w:t>
            </w:r>
            <w:r w:rsidR="00D87B8E" w:rsidRPr="00D87B8E">
              <w:rPr>
                <w:rFonts w:asciiTheme="majorHAnsi" w:hAnsiTheme="majorHAnsi"/>
                <w:noProof/>
                <w:webHidden/>
                <w:sz w:val="20"/>
                <w:szCs w:val="20"/>
              </w:rPr>
              <w:fldChar w:fldCharType="end"/>
            </w:r>
          </w:hyperlink>
        </w:p>
        <w:p w14:paraId="23765188" w14:textId="77777777" w:rsidR="00D87B8E" w:rsidRPr="00D87B8E" w:rsidRDefault="00F30897">
          <w:pPr>
            <w:pStyle w:val="TOC2"/>
            <w:rPr>
              <w:rFonts w:asciiTheme="majorHAnsi" w:eastAsiaTheme="minorEastAsia" w:hAnsiTheme="majorHAnsi" w:cstheme="minorBidi"/>
              <w:noProof/>
              <w:sz w:val="20"/>
              <w:szCs w:val="20"/>
              <w:bdr w:val="none" w:sz="0" w:space="0" w:color="auto"/>
            </w:rPr>
          </w:pPr>
          <w:hyperlink w:anchor="_Toc433311133" w:history="1">
            <w:r w:rsidR="00D87B8E" w:rsidRPr="00D87B8E">
              <w:rPr>
                <w:rStyle w:val="Hyperlink"/>
                <w:rFonts w:asciiTheme="majorHAnsi" w:hAnsiTheme="majorHAnsi"/>
                <w:noProof/>
                <w:sz w:val="20"/>
                <w:szCs w:val="20"/>
              </w:rPr>
              <w:t>D.</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Internal processes initiated in relation to the termination of the contracts</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_Toc433311133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22</w:t>
            </w:r>
            <w:r w:rsidR="00D87B8E" w:rsidRPr="00D87B8E">
              <w:rPr>
                <w:rFonts w:asciiTheme="majorHAnsi" w:hAnsiTheme="majorHAnsi"/>
                <w:noProof/>
                <w:webHidden/>
                <w:sz w:val="20"/>
                <w:szCs w:val="20"/>
              </w:rPr>
              <w:fldChar w:fldCharType="end"/>
            </w:r>
          </w:hyperlink>
        </w:p>
        <w:p w14:paraId="0D229FEF" w14:textId="77777777" w:rsidR="00D87B8E" w:rsidRPr="00D87B8E" w:rsidRDefault="00F30897">
          <w:pPr>
            <w:pStyle w:val="TOC1"/>
            <w:rPr>
              <w:rFonts w:asciiTheme="majorHAnsi" w:eastAsiaTheme="minorEastAsia" w:hAnsiTheme="majorHAnsi" w:cstheme="minorBidi"/>
              <w:noProof/>
              <w:sz w:val="20"/>
              <w:szCs w:val="20"/>
              <w:bdr w:val="none" w:sz="0" w:space="0" w:color="auto"/>
            </w:rPr>
          </w:pPr>
          <w:hyperlink w:anchor="_Toc433311134" w:history="1">
            <w:r w:rsidR="00D87B8E" w:rsidRPr="00D87B8E">
              <w:rPr>
                <w:rStyle w:val="Hyperlink"/>
                <w:rFonts w:asciiTheme="majorHAnsi" w:hAnsiTheme="majorHAnsi"/>
                <w:noProof/>
                <w:sz w:val="20"/>
                <w:szCs w:val="20"/>
              </w:rPr>
              <w:t>V.</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LEGAL ANALYSIS</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_Toc433311134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27</w:t>
            </w:r>
            <w:r w:rsidR="00D87B8E" w:rsidRPr="00D87B8E">
              <w:rPr>
                <w:rFonts w:asciiTheme="majorHAnsi" w:hAnsiTheme="majorHAnsi"/>
                <w:noProof/>
                <w:webHidden/>
                <w:sz w:val="20"/>
                <w:szCs w:val="20"/>
              </w:rPr>
              <w:fldChar w:fldCharType="end"/>
            </w:r>
          </w:hyperlink>
        </w:p>
        <w:p w14:paraId="045E38EB" w14:textId="77777777" w:rsidR="00D87B8E" w:rsidRPr="00D87B8E" w:rsidRDefault="00F30897">
          <w:pPr>
            <w:pStyle w:val="TOC2"/>
            <w:rPr>
              <w:rFonts w:asciiTheme="majorHAnsi" w:eastAsiaTheme="minorEastAsia" w:hAnsiTheme="majorHAnsi" w:cstheme="minorBidi"/>
              <w:noProof/>
              <w:sz w:val="20"/>
              <w:szCs w:val="20"/>
              <w:bdr w:val="none" w:sz="0" w:space="0" w:color="auto"/>
            </w:rPr>
          </w:pPr>
          <w:hyperlink w:anchor="_Toc433311135" w:history="1">
            <w:r w:rsidR="00D87B8E" w:rsidRPr="00D87B8E">
              <w:rPr>
                <w:rStyle w:val="Hyperlink"/>
                <w:rFonts w:asciiTheme="majorHAnsi" w:hAnsiTheme="majorHAnsi"/>
                <w:noProof/>
                <w:sz w:val="20"/>
                <w:szCs w:val="20"/>
              </w:rPr>
              <w:t>A.</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Political rights, freedom of expression and the principle of equality and non-discrimination in the context of the dismissal (Articles 23.1, 13.1 and 13.3, 24 and 1.1 of the American Convention)</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_Toc433311135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27</w:t>
            </w:r>
            <w:r w:rsidR="00D87B8E" w:rsidRPr="00D87B8E">
              <w:rPr>
                <w:rFonts w:asciiTheme="majorHAnsi" w:hAnsiTheme="majorHAnsi"/>
                <w:noProof/>
                <w:webHidden/>
                <w:sz w:val="20"/>
                <w:szCs w:val="20"/>
              </w:rPr>
              <w:fldChar w:fldCharType="end"/>
            </w:r>
          </w:hyperlink>
        </w:p>
        <w:p w14:paraId="2DBA3F7A" w14:textId="77777777" w:rsidR="00D87B8E" w:rsidRPr="00D87B8E" w:rsidRDefault="00F30897">
          <w:pPr>
            <w:pStyle w:val="TOC2"/>
            <w:rPr>
              <w:rFonts w:asciiTheme="majorHAnsi" w:eastAsiaTheme="minorEastAsia" w:hAnsiTheme="majorHAnsi" w:cstheme="minorBidi"/>
              <w:noProof/>
              <w:sz w:val="20"/>
              <w:szCs w:val="20"/>
              <w:bdr w:val="none" w:sz="0" w:space="0" w:color="auto"/>
            </w:rPr>
          </w:pPr>
          <w:hyperlink w:anchor="_Toc433311136" w:history="1">
            <w:r w:rsidR="00D87B8E" w:rsidRPr="00D87B8E">
              <w:rPr>
                <w:rStyle w:val="Hyperlink"/>
                <w:rFonts w:asciiTheme="majorHAnsi" w:hAnsiTheme="majorHAnsi"/>
                <w:noProof/>
                <w:sz w:val="20"/>
                <w:szCs w:val="20"/>
              </w:rPr>
              <w:t>B.</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hAnsiTheme="majorHAnsi"/>
                <w:noProof/>
                <w:sz w:val="20"/>
                <w:szCs w:val="20"/>
              </w:rPr>
              <w:t>The rights to a fair trial and judicial protection (Articles 8.1, 25.1 of the American Convention), in relation to the obligation to respect rights (Article 1.1 of the American Convention)</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_Toc433311136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36</w:t>
            </w:r>
            <w:r w:rsidR="00D87B8E" w:rsidRPr="00D87B8E">
              <w:rPr>
                <w:rFonts w:asciiTheme="majorHAnsi" w:hAnsiTheme="majorHAnsi"/>
                <w:noProof/>
                <w:webHidden/>
                <w:sz w:val="20"/>
                <w:szCs w:val="20"/>
              </w:rPr>
              <w:fldChar w:fldCharType="end"/>
            </w:r>
          </w:hyperlink>
        </w:p>
        <w:p w14:paraId="5D21F652" w14:textId="77777777" w:rsidR="00D87B8E" w:rsidRPr="00D87B8E" w:rsidRDefault="00F30897">
          <w:pPr>
            <w:pStyle w:val="TOC1"/>
            <w:rPr>
              <w:rFonts w:asciiTheme="majorHAnsi" w:eastAsiaTheme="minorEastAsia" w:hAnsiTheme="majorHAnsi" w:cstheme="minorBidi"/>
              <w:noProof/>
              <w:sz w:val="20"/>
              <w:szCs w:val="20"/>
              <w:bdr w:val="none" w:sz="0" w:space="0" w:color="auto"/>
            </w:rPr>
          </w:pPr>
          <w:hyperlink w:anchor="_Toc433311137" w:history="1">
            <w:r w:rsidR="00D87B8E" w:rsidRPr="00D87B8E">
              <w:rPr>
                <w:rStyle w:val="Hyperlink"/>
                <w:rFonts w:asciiTheme="majorHAnsi" w:eastAsia="Times New Roman" w:hAnsiTheme="majorHAnsi"/>
                <w:bCs/>
                <w:noProof/>
                <w:sz w:val="20"/>
                <w:szCs w:val="20"/>
                <w:lang w:val="es-AR"/>
              </w:rPr>
              <w:t>VI.</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eastAsia="Times New Roman" w:hAnsiTheme="majorHAnsi"/>
                <w:noProof/>
                <w:sz w:val="20"/>
                <w:szCs w:val="20"/>
                <w:lang w:val="es-ES_tradnl"/>
              </w:rPr>
              <w:t>CONCLUSIONS</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_Toc433311137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43</w:t>
            </w:r>
            <w:r w:rsidR="00D87B8E" w:rsidRPr="00D87B8E">
              <w:rPr>
                <w:rFonts w:asciiTheme="majorHAnsi" w:hAnsiTheme="majorHAnsi"/>
                <w:noProof/>
                <w:webHidden/>
                <w:sz w:val="20"/>
                <w:szCs w:val="20"/>
              </w:rPr>
              <w:fldChar w:fldCharType="end"/>
            </w:r>
          </w:hyperlink>
        </w:p>
        <w:p w14:paraId="7AF3A12B" w14:textId="77777777" w:rsidR="00D87B8E" w:rsidRPr="00D87B8E" w:rsidRDefault="00F30897">
          <w:pPr>
            <w:pStyle w:val="TOC1"/>
            <w:rPr>
              <w:rFonts w:asciiTheme="majorHAnsi" w:eastAsiaTheme="minorEastAsia" w:hAnsiTheme="majorHAnsi" w:cstheme="minorBidi"/>
              <w:noProof/>
              <w:sz w:val="20"/>
              <w:szCs w:val="20"/>
              <w:bdr w:val="none" w:sz="0" w:space="0" w:color="auto"/>
            </w:rPr>
          </w:pPr>
          <w:hyperlink w:anchor="_Toc433311138" w:history="1">
            <w:r w:rsidR="00D87B8E" w:rsidRPr="00D87B8E">
              <w:rPr>
                <w:rStyle w:val="Hyperlink"/>
                <w:rFonts w:asciiTheme="majorHAnsi" w:eastAsia="Times New Roman" w:hAnsiTheme="majorHAnsi"/>
                <w:noProof/>
                <w:sz w:val="20"/>
                <w:szCs w:val="20"/>
                <w:lang w:val="es-ES_tradnl"/>
              </w:rPr>
              <w:t>VII.</w:t>
            </w:r>
            <w:r w:rsidR="00D87B8E" w:rsidRPr="00D87B8E">
              <w:rPr>
                <w:rFonts w:asciiTheme="majorHAnsi" w:eastAsiaTheme="minorEastAsia" w:hAnsiTheme="majorHAnsi" w:cstheme="minorBidi"/>
                <w:noProof/>
                <w:sz w:val="20"/>
                <w:szCs w:val="20"/>
                <w:bdr w:val="none" w:sz="0" w:space="0" w:color="auto"/>
              </w:rPr>
              <w:tab/>
            </w:r>
            <w:r w:rsidR="00D87B8E" w:rsidRPr="00D87B8E">
              <w:rPr>
                <w:rStyle w:val="Hyperlink"/>
                <w:rFonts w:asciiTheme="majorHAnsi" w:eastAsia="Times New Roman" w:hAnsiTheme="majorHAnsi"/>
                <w:noProof/>
                <w:sz w:val="20"/>
                <w:szCs w:val="20"/>
                <w:lang w:val="es-ES_tradnl"/>
              </w:rPr>
              <w:t>RECOMMENDATIONS</w:t>
            </w:r>
            <w:r w:rsidR="00D87B8E" w:rsidRPr="00D87B8E">
              <w:rPr>
                <w:rFonts w:asciiTheme="majorHAnsi" w:hAnsiTheme="majorHAnsi"/>
                <w:noProof/>
                <w:webHidden/>
                <w:sz w:val="20"/>
                <w:szCs w:val="20"/>
              </w:rPr>
              <w:tab/>
            </w:r>
            <w:r w:rsidR="00D87B8E" w:rsidRPr="00D87B8E">
              <w:rPr>
                <w:rFonts w:asciiTheme="majorHAnsi" w:hAnsiTheme="majorHAnsi"/>
                <w:noProof/>
                <w:webHidden/>
                <w:sz w:val="20"/>
                <w:szCs w:val="20"/>
              </w:rPr>
              <w:fldChar w:fldCharType="begin"/>
            </w:r>
            <w:r w:rsidR="00D87B8E" w:rsidRPr="00D87B8E">
              <w:rPr>
                <w:rFonts w:asciiTheme="majorHAnsi" w:hAnsiTheme="majorHAnsi"/>
                <w:noProof/>
                <w:webHidden/>
                <w:sz w:val="20"/>
                <w:szCs w:val="20"/>
              </w:rPr>
              <w:instrText xml:space="preserve"> PAGEREF _Toc433311138 \h </w:instrText>
            </w:r>
            <w:r w:rsidR="00D87B8E" w:rsidRPr="00D87B8E">
              <w:rPr>
                <w:rFonts w:asciiTheme="majorHAnsi" w:hAnsiTheme="majorHAnsi"/>
                <w:noProof/>
                <w:webHidden/>
                <w:sz w:val="20"/>
                <w:szCs w:val="20"/>
              </w:rPr>
            </w:r>
            <w:r w:rsidR="00D87B8E" w:rsidRPr="00D87B8E">
              <w:rPr>
                <w:rFonts w:asciiTheme="majorHAnsi" w:hAnsiTheme="majorHAnsi"/>
                <w:noProof/>
                <w:webHidden/>
                <w:sz w:val="20"/>
                <w:szCs w:val="20"/>
              </w:rPr>
              <w:fldChar w:fldCharType="separate"/>
            </w:r>
            <w:r w:rsidR="00D87B8E" w:rsidRPr="00D87B8E">
              <w:rPr>
                <w:rFonts w:asciiTheme="majorHAnsi" w:hAnsiTheme="majorHAnsi"/>
                <w:noProof/>
                <w:webHidden/>
                <w:sz w:val="20"/>
                <w:szCs w:val="20"/>
              </w:rPr>
              <w:t>43</w:t>
            </w:r>
            <w:r w:rsidR="00D87B8E" w:rsidRPr="00D87B8E">
              <w:rPr>
                <w:rFonts w:asciiTheme="majorHAnsi" w:hAnsiTheme="majorHAnsi"/>
                <w:noProof/>
                <w:webHidden/>
                <w:sz w:val="20"/>
                <w:szCs w:val="20"/>
              </w:rPr>
              <w:fldChar w:fldCharType="end"/>
            </w:r>
          </w:hyperlink>
        </w:p>
        <w:p w14:paraId="071F18FA" w14:textId="7223A0F6" w:rsidR="00FB6151" w:rsidRDefault="00FB6151">
          <w:r w:rsidRPr="00D87B8E">
            <w:rPr>
              <w:rFonts w:asciiTheme="majorHAnsi" w:hAnsiTheme="majorHAnsi"/>
              <w:bCs/>
              <w:noProof/>
              <w:sz w:val="20"/>
              <w:szCs w:val="20"/>
            </w:rPr>
            <w:fldChar w:fldCharType="end"/>
          </w:r>
        </w:p>
      </w:sdtContent>
    </w:sdt>
    <w:p w14:paraId="76D18778" w14:textId="2AE2AAE0" w:rsidR="002D2B26" w:rsidRPr="00326F31" w:rsidRDefault="002D2B26" w:rsidP="00326F31">
      <w:pPr>
        <w:jc w:val="both"/>
        <w:rPr>
          <w:rFonts w:asciiTheme="majorHAnsi" w:hAnsiTheme="majorHAnsi"/>
          <w:sz w:val="20"/>
          <w:szCs w:val="20"/>
        </w:rPr>
      </w:pPr>
    </w:p>
    <w:p w14:paraId="6B7F0C2E" w14:textId="77777777" w:rsidR="00FB6151" w:rsidRDefault="00FB6151"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04032844" w14:textId="77777777" w:rsidR="00FB6151" w:rsidRDefault="00FB6151" w:rsidP="00FB6151">
      <w:pPr>
        <w:pBdr>
          <w:top w:val="none" w:sz="0" w:space="0" w:color="auto"/>
          <w:left w:val="none" w:sz="0" w:space="0" w:color="auto"/>
          <w:bottom w:val="none" w:sz="0" w:space="0" w:color="auto"/>
          <w:right w:val="none" w:sz="0" w:space="0" w:color="auto"/>
          <w:between w:val="none" w:sz="0" w:space="0" w:color="auto"/>
          <w:bar w:val="none" w:sz="0" w:color="auto"/>
        </w:pBdr>
        <w:tabs>
          <w:tab w:val="left" w:pos="9360"/>
        </w:tabs>
        <w:ind w:right="90"/>
        <w:jc w:val="center"/>
        <w:rPr>
          <w:rFonts w:asciiTheme="majorHAnsi" w:eastAsia="Times New Roman" w:hAnsiTheme="majorHAnsi"/>
          <w:b/>
          <w:sz w:val="20"/>
          <w:szCs w:val="20"/>
          <w:bdr w:val="none" w:sz="0" w:space="0" w:color="auto"/>
        </w:rPr>
      </w:pPr>
    </w:p>
    <w:p w14:paraId="082C6D62" w14:textId="77777777" w:rsidR="00FB6151" w:rsidRDefault="00FB6151"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2B6CF051" w14:textId="77777777" w:rsidR="00FB6151" w:rsidRDefault="00FB6151"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0D4C113F" w14:textId="77777777" w:rsidR="00FB6151" w:rsidRDefault="00FB6151"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3A3E4BBE" w14:textId="77777777" w:rsidR="00FB6151" w:rsidRDefault="00FB6151"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02EC9829" w14:textId="77777777" w:rsidR="00FB6151" w:rsidRDefault="00FB6151"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49961218" w14:textId="77777777" w:rsidR="00FB6151" w:rsidRDefault="00FB6151"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1D40FB37" w14:textId="77777777" w:rsidR="00FB6151" w:rsidRDefault="00FB6151"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60F224F3" w14:textId="77777777" w:rsidR="00FB6151" w:rsidRDefault="00FB6151"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4480726B" w14:textId="77777777" w:rsidR="00FB6151" w:rsidRDefault="00FB6151"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0EB23B2E" w14:textId="77777777" w:rsidR="00FB6151" w:rsidRDefault="00FB6151"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3501B22A" w14:textId="77777777" w:rsidR="00D87B8E" w:rsidRDefault="00D87B8E"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rPr>
      </w:pPr>
    </w:p>
    <w:p w14:paraId="1D9D7888" w14:textId="77777777" w:rsidR="00FB6151" w:rsidRDefault="00FB6151" w:rsidP="00FB6151">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sz w:val="20"/>
          <w:szCs w:val="20"/>
          <w:bdr w:val="none" w:sz="0" w:space="0" w:color="auto"/>
        </w:rPr>
      </w:pPr>
    </w:p>
    <w:p w14:paraId="6CE7461A" w14:textId="2F3B1F30" w:rsidR="00B26289" w:rsidRPr="00165F1E" w:rsidRDefault="00847996"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VE"/>
        </w:rPr>
      </w:pPr>
      <w:r>
        <w:rPr>
          <w:rFonts w:asciiTheme="majorHAnsi" w:eastAsia="Times New Roman" w:hAnsiTheme="majorHAnsi"/>
          <w:b/>
          <w:sz w:val="20"/>
          <w:szCs w:val="20"/>
          <w:bdr w:val="none" w:sz="0" w:space="0" w:color="auto"/>
          <w:lang w:val="es-VE"/>
        </w:rPr>
        <w:lastRenderedPageBreak/>
        <w:t>REPORT No. 75</w:t>
      </w:r>
      <w:r w:rsidR="00B26289" w:rsidRPr="00165F1E">
        <w:rPr>
          <w:rFonts w:asciiTheme="majorHAnsi" w:eastAsia="Times New Roman" w:hAnsiTheme="majorHAnsi"/>
          <w:b/>
          <w:sz w:val="20"/>
          <w:szCs w:val="20"/>
          <w:bdr w:val="none" w:sz="0" w:space="0" w:color="auto"/>
          <w:lang w:val="es-VE"/>
        </w:rPr>
        <w:t>/15</w:t>
      </w:r>
    </w:p>
    <w:p w14:paraId="7F794C00" w14:textId="77777777" w:rsidR="00B26289" w:rsidRPr="00165F1E" w:rsidRDefault="00B26289"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VE"/>
        </w:rPr>
      </w:pPr>
      <w:r w:rsidRPr="00165F1E">
        <w:rPr>
          <w:rFonts w:asciiTheme="majorHAnsi" w:eastAsia="Times New Roman" w:hAnsiTheme="majorHAnsi"/>
          <w:b/>
          <w:sz w:val="20"/>
          <w:szCs w:val="20"/>
          <w:bdr w:val="none" w:sz="0" w:space="0" w:color="auto"/>
          <w:lang w:val="es-VE"/>
        </w:rPr>
        <w:t>CASE 12.923</w:t>
      </w:r>
    </w:p>
    <w:p w14:paraId="6B65A63E" w14:textId="77777777" w:rsidR="00B26289" w:rsidRPr="00506E20" w:rsidRDefault="00B26289"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VE"/>
        </w:rPr>
      </w:pPr>
      <w:r w:rsidRPr="00506E20">
        <w:rPr>
          <w:rFonts w:asciiTheme="majorHAnsi" w:eastAsia="Times New Roman" w:hAnsiTheme="majorHAnsi"/>
          <w:sz w:val="20"/>
          <w:szCs w:val="20"/>
          <w:bdr w:val="none" w:sz="0" w:space="0" w:color="auto"/>
          <w:lang w:val="es-VE"/>
        </w:rPr>
        <w:t>MERITS</w:t>
      </w:r>
    </w:p>
    <w:p w14:paraId="35A7774F" w14:textId="77777777" w:rsidR="00B26289" w:rsidRPr="00326F31" w:rsidRDefault="00B26289"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326F31">
        <w:rPr>
          <w:rFonts w:asciiTheme="majorHAnsi" w:eastAsia="Times New Roman" w:hAnsiTheme="majorHAnsi"/>
          <w:sz w:val="20"/>
          <w:szCs w:val="20"/>
          <w:bdr w:val="none" w:sz="0" w:space="0" w:color="auto"/>
          <w:lang w:val="es-ES_tradnl"/>
        </w:rPr>
        <w:t>ROCIO SAN MIGUEL SOSA ET AL</w:t>
      </w:r>
    </w:p>
    <w:p w14:paraId="7498E2FE" w14:textId="77777777" w:rsidR="00B26289" w:rsidRPr="00326F31" w:rsidRDefault="00B26289"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326F31">
        <w:rPr>
          <w:rFonts w:asciiTheme="majorHAnsi" w:eastAsia="Times New Roman" w:hAnsiTheme="majorHAnsi"/>
          <w:sz w:val="20"/>
          <w:szCs w:val="20"/>
          <w:bdr w:val="none" w:sz="0" w:space="0" w:color="auto"/>
          <w:lang w:val="es-ES_tradnl"/>
        </w:rPr>
        <w:t>VENEZUELA</w:t>
      </w:r>
    </w:p>
    <w:p w14:paraId="28492D8D" w14:textId="73F0C72B" w:rsidR="00B26289" w:rsidRPr="00326F31" w:rsidRDefault="00847996" w:rsidP="00326F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proofErr w:type="spellStart"/>
      <w:r>
        <w:rPr>
          <w:rFonts w:asciiTheme="majorHAnsi" w:eastAsia="Times New Roman" w:hAnsiTheme="majorHAnsi"/>
          <w:sz w:val="20"/>
          <w:szCs w:val="20"/>
          <w:bdr w:val="none" w:sz="0" w:space="0" w:color="auto"/>
          <w:lang w:val="es-ES_tradnl"/>
        </w:rPr>
        <w:t>October</w:t>
      </w:r>
      <w:proofErr w:type="spellEnd"/>
      <w:r>
        <w:rPr>
          <w:rFonts w:asciiTheme="majorHAnsi" w:eastAsia="Times New Roman" w:hAnsiTheme="majorHAnsi"/>
          <w:sz w:val="20"/>
          <w:szCs w:val="20"/>
          <w:bdr w:val="none" w:sz="0" w:space="0" w:color="auto"/>
          <w:lang w:val="es-ES_tradnl"/>
        </w:rPr>
        <w:t xml:space="preserve"> 28</w:t>
      </w:r>
      <w:r w:rsidR="00B26289" w:rsidRPr="00326F31">
        <w:rPr>
          <w:rFonts w:asciiTheme="majorHAnsi" w:eastAsia="Times New Roman" w:hAnsiTheme="majorHAnsi"/>
          <w:sz w:val="20"/>
          <w:szCs w:val="20"/>
          <w:bdr w:val="none" w:sz="0" w:space="0" w:color="auto"/>
          <w:lang w:val="es-ES_tradnl"/>
        </w:rPr>
        <w:t>, 2015</w:t>
      </w:r>
    </w:p>
    <w:p w14:paraId="0E113258" w14:textId="77777777" w:rsidR="004B316C" w:rsidRPr="00326F31" w:rsidRDefault="004B316C" w:rsidP="00326F31">
      <w:pPr>
        <w:jc w:val="both"/>
        <w:rPr>
          <w:rFonts w:asciiTheme="majorHAnsi" w:eastAsia="Times New Roman" w:hAnsiTheme="majorHAnsi"/>
          <w:b/>
          <w:sz w:val="20"/>
          <w:szCs w:val="20"/>
          <w:bdr w:val="none" w:sz="0" w:space="0" w:color="auto"/>
          <w:lang w:val="es-ES_tradnl"/>
        </w:rPr>
      </w:pPr>
    </w:p>
    <w:p w14:paraId="44C5122A" w14:textId="77777777" w:rsidR="004B316C" w:rsidRPr="00326F31" w:rsidRDefault="004B316C" w:rsidP="00326F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14:paraId="5756B7F0" w14:textId="73582007" w:rsidR="00E40449" w:rsidRPr="00326F31" w:rsidRDefault="00B26289" w:rsidP="00326F31">
      <w:pPr>
        <w:pStyle w:val="Heading1"/>
        <w:numPr>
          <w:ilvl w:val="0"/>
          <w:numId w:val="55"/>
        </w:numPr>
        <w:tabs>
          <w:tab w:val="clear" w:pos="1440"/>
        </w:tabs>
        <w:jc w:val="both"/>
      </w:pPr>
      <w:bookmarkStart w:id="2" w:name="_Toc433311124"/>
      <w:r w:rsidRPr="00326F31">
        <w:t>SUMMARY</w:t>
      </w:r>
      <w:bookmarkEnd w:id="2"/>
    </w:p>
    <w:p w14:paraId="34DB547F" w14:textId="77777777" w:rsidR="00E40449" w:rsidRPr="00326F31" w:rsidRDefault="00E40449" w:rsidP="00326F31">
      <w:pPr>
        <w:jc w:val="both"/>
        <w:rPr>
          <w:rFonts w:asciiTheme="majorHAnsi" w:hAnsiTheme="majorHAnsi" w:cs="Arial"/>
          <w:sz w:val="20"/>
          <w:szCs w:val="20"/>
          <w:lang w:val="es-ES"/>
        </w:rPr>
      </w:pPr>
    </w:p>
    <w:p w14:paraId="5D454B99" w14:textId="26C210FC" w:rsidR="005E21D4" w:rsidRPr="00326F31" w:rsidRDefault="005B29D4"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t>On March 7, 2006,</w:t>
      </w:r>
      <w:r w:rsidR="00E40449" w:rsidRPr="00326F31">
        <w:rPr>
          <w:rFonts w:asciiTheme="majorHAnsi" w:eastAsia="Calibri" w:hAnsiTheme="majorHAnsi"/>
          <w:sz w:val="20"/>
          <w:szCs w:val="20"/>
        </w:rPr>
        <w:t xml:space="preserve"> </w:t>
      </w:r>
      <w:r w:rsidRPr="00326F31">
        <w:rPr>
          <w:rFonts w:asciiTheme="majorHAnsi" w:hAnsiTheme="majorHAnsi"/>
          <w:sz w:val="20"/>
          <w:szCs w:val="20"/>
        </w:rPr>
        <w:t xml:space="preserve">the Inter-American Commission on Human Rights (hereinafter “the Inter-American Commission,” “the Commission” or “the IACHR”) received a petition lodged by </w:t>
      </w:r>
      <w:r w:rsidR="00C45C34">
        <w:rPr>
          <w:rFonts w:asciiTheme="majorHAnsi" w:eastAsia="Calibri" w:hAnsiTheme="majorHAnsi"/>
          <w:sz w:val="20"/>
          <w:szCs w:val="20"/>
        </w:rPr>
        <w:t xml:space="preserve">Ligia Bolívar </w:t>
      </w:r>
      <w:r w:rsidRPr="00326F31">
        <w:rPr>
          <w:rFonts w:asciiTheme="majorHAnsi" w:eastAsia="Calibri" w:hAnsiTheme="majorHAnsi"/>
          <w:sz w:val="20"/>
          <w:szCs w:val="20"/>
        </w:rPr>
        <w:t>Osuna and</w:t>
      </w:r>
      <w:r w:rsidR="005E21D4" w:rsidRPr="00326F31">
        <w:rPr>
          <w:rFonts w:asciiTheme="majorHAnsi" w:eastAsia="Calibri" w:hAnsiTheme="majorHAnsi"/>
          <w:sz w:val="20"/>
          <w:szCs w:val="20"/>
        </w:rPr>
        <w:t xml:space="preserve"> Héctor Faúndez Ledesma (</w:t>
      </w:r>
      <w:r w:rsidRPr="00326F31">
        <w:rPr>
          <w:rFonts w:asciiTheme="majorHAnsi" w:hAnsiTheme="majorHAnsi"/>
          <w:sz w:val="20"/>
          <w:szCs w:val="20"/>
        </w:rPr>
        <w:t>hereinafter “the petitioners”) alleging that the Bolivarian Republic of Venezuela (hereinafter “the State” or “the Venezuelan State”) is responsible for the violation of several provisions of the American Convention on Human Rights (hereinafter "the Convention" or "the American Convention") to the detriment of Rocío San</w:t>
      </w:r>
      <w:r w:rsidR="00326F31">
        <w:rPr>
          <w:rFonts w:asciiTheme="majorHAnsi" w:hAnsiTheme="majorHAnsi"/>
          <w:sz w:val="20"/>
          <w:szCs w:val="20"/>
        </w:rPr>
        <w:t xml:space="preserve"> Miguel Sosa, Magally Chang Giró</w:t>
      </w:r>
      <w:r w:rsidRPr="00326F31">
        <w:rPr>
          <w:rFonts w:asciiTheme="majorHAnsi" w:hAnsiTheme="majorHAnsi"/>
          <w:sz w:val="20"/>
          <w:szCs w:val="20"/>
        </w:rPr>
        <w:t>n</w:t>
      </w:r>
      <w:r w:rsidR="0070526E" w:rsidRPr="00326F31">
        <w:rPr>
          <w:rFonts w:asciiTheme="majorHAnsi" w:hAnsiTheme="majorHAnsi"/>
          <w:sz w:val="20"/>
          <w:szCs w:val="20"/>
        </w:rPr>
        <w:t>,</w:t>
      </w:r>
      <w:r w:rsidRPr="00326F31">
        <w:rPr>
          <w:rFonts w:asciiTheme="majorHAnsi" w:hAnsiTheme="majorHAnsi"/>
          <w:sz w:val="20"/>
          <w:szCs w:val="20"/>
        </w:rPr>
        <w:t xml:space="preserve"> and Thais Coromoto Peña (hereinafter "the alleged victims ").</w:t>
      </w:r>
      <w:r w:rsidR="00EF10AE" w:rsidRPr="00326F31">
        <w:rPr>
          <w:rFonts w:asciiTheme="majorHAnsi" w:eastAsia="Calibri" w:hAnsiTheme="majorHAnsi"/>
          <w:sz w:val="20"/>
          <w:szCs w:val="20"/>
        </w:rPr>
        <w:t xml:space="preserve"> </w:t>
      </w:r>
    </w:p>
    <w:p w14:paraId="46722704" w14:textId="77777777" w:rsidR="00E40449" w:rsidRPr="00326F31" w:rsidRDefault="00E40449" w:rsidP="00326F31">
      <w:pPr>
        <w:tabs>
          <w:tab w:val="left" w:pos="1440"/>
        </w:tabs>
        <w:jc w:val="both"/>
        <w:rPr>
          <w:rFonts w:asciiTheme="majorHAnsi" w:eastAsia="Calibri" w:hAnsiTheme="majorHAnsi"/>
          <w:sz w:val="20"/>
          <w:szCs w:val="20"/>
        </w:rPr>
      </w:pPr>
    </w:p>
    <w:p w14:paraId="13F86352" w14:textId="0AD509B5" w:rsidR="005B29D4" w:rsidRPr="00326F31" w:rsidRDefault="005B29D4"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t xml:space="preserve">The petitioners </w:t>
      </w:r>
      <w:r w:rsidR="00506E20">
        <w:rPr>
          <w:rFonts w:asciiTheme="majorHAnsi" w:eastAsia="Calibri" w:hAnsiTheme="majorHAnsi"/>
          <w:sz w:val="20"/>
          <w:szCs w:val="20"/>
        </w:rPr>
        <w:t>claim</w:t>
      </w:r>
      <w:r w:rsidRPr="00326F31">
        <w:rPr>
          <w:rFonts w:asciiTheme="majorHAnsi" w:eastAsia="Calibri" w:hAnsiTheme="majorHAnsi"/>
          <w:sz w:val="20"/>
          <w:szCs w:val="20"/>
        </w:rPr>
        <w:t xml:space="preserve"> that in 2004 the alleged victims were dismissed from their posts in the National </w:t>
      </w:r>
      <w:r w:rsidR="00FA20B3" w:rsidRPr="00326F31">
        <w:rPr>
          <w:rFonts w:asciiTheme="majorHAnsi" w:eastAsia="Calibri" w:hAnsiTheme="majorHAnsi"/>
          <w:sz w:val="20"/>
          <w:szCs w:val="20"/>
        </w:rPr>
        <w:t>Border Council (hereinafter "CNF</w:t>
      </w:r>
      <w:r w:rsidRPr="00326F31">
        <w:rPr>
          <w:rFonts w:asciiTheme="majorHAnsi" w:eastAsia="Calibri" w:hAnsiTheme="majorHAnsi"/>
          <w:sz w:val="20"/>
          <w:szCs w:val="20"/>
        </w:rPr>
        <w:t>"</w:t>
      </w:r>
      <w:r w:rsidR="00FA20B3" w:rsidRPr="00326F31">
        <w:rPr>
          <w:rFonts w:asciiTheme="majorHAnsi" w:eastAsia="Calibri" w:hAnsiTheme="majorHAnsi"/>
          <w:sz w:val="20"/>
          <w:szCs w:val="20"/>
        </w:rPr>
        <w:t>, for its initial</w:t>
      </w:r>
      <w:r w:rsidR="00506E20">
        <w:rPr>
          <w:rFonts w:asciiTheme="majorHAnsi" w:eastAsia="Calibri" w:hAnsiTheme="majorHAnsi"/>
          <w:sz w:val="20"/>
          <w:szCs w:val="20"/>
        </w:rPr>
        <w:t>s</w:t>
      </w:r>
      <w:r w:rsidR="00FA20B3" w:rsidRPr="00326F31">
        <w:rPr>
          <w:rFonts w:asciiTheme="majorHAnsi" w:eastAsia="Calibri" w:hAnsiTheme="majorHAnsi"/>
          <w:sz w:val="20"/>
          <w:szCs w:val="20"/>
        </w:rPr>
        <w:t xml:space="preserve"> in Spanish</w:t>
      </w:r>
      <w:r w:rsidRPr="00326F31">
        <w:rPr>
          <w:rFonts w:asciiTheme="majorHAnsi" w:eastAsia="Calibri" w:hAnsiTheme="majorHAnsi"/>
          <w:sz w:val="20"/>
          <w:szCs w:val="20"/>
        </w:rPr>
        <w:t>) in retaliation for signing</w:t>
      </w:r>
      <w:r w:rsidR="00632217" w:rsidRPr="00326F31">
        <w:rPr>
          <w:rFonts w:asciiTheme="majorHAnsi" w:eastAsia="Calibri" w:hAnsiTheme="majorHAnsi"/>
          <w:sz w:val="20"/>
          <w:szCs w:val="20"/>
        </w:rPr>
        <w:t xml:space="preserve"> the petitions</w:t>
      </w:r>
      <w:r w:rsidRPr="00326F31">
        <w:rPr>
          <w:rFonts w:asciiTheme="majorHAnsi" w:eastAsia="Calibri" w:hAnsiTheme="majorHAnsi"/>
          <w:sz w:val="20"/>
          <w:szCs w:val="20"/>
        </w:rPr>
        <w:t xml:space="preserve"> to carry out a recall referendum </w:t>
      </w:r>
      <w:r w:rsidR="00632217" w:rsidRPr="00326F31">
        <w:rPr>
          <w:rFonts w:asciiTheme="majorHAnsi" w:hAnsiTheme="majorHAnsi"/>
          <w:sz w:val="20"/>
          <w:szCs w:val="20"/>
        </w:rPr>
        <w:t>on the term of office of the President of the Republic</w:t>
      </w:r>
      <w:r w:rsidRPr="00326F31">
        <w:rPr>
          <w:rFonts w:asciiTheme="majorHAnsi" w:eastAsia="Calibri" w:hAnsiTheme="majorHAnsi"/>
          <w:sz w:val="20"/>
          <w:szCs w:val="20"/>
        </w:rPr>
        <w:t>, Hugo Chavez Frías in 2003. They also noted that the alleged victims we</w:t>
      </w:r>
      <w:r w:rsidR="00CB2513" w:rsidRPr="00326F31">
        <w:rPr>
          <w:rFonts w:asciiTheme="majorHAnsi" w:eastAsia="Calibri" w:hAnsiTheme="majorHAnsi"/>
          <w:sz w:val="20"/>
          <w:szCs w:val="20"/>
        </w:rPr>
        <w:t>re not heard by a court that me</w:t>
      </w:r>
      <w:r w:rsidRPr="00326F31">
        <w:rPr>
          <w:rFonts w:asciiTheme="majorHAnsi" w:eastAsia="Calibri" w:hAnsiTheme="majorHAnsi"/>
          <w:sz w:val="20"/>
          <w:szCs w:val="20"/>
        </w:rPr>
        <w:t>t the minimum requirements of independence and impartiality</w:t>
      </w:r>
      <w:r w:rsidR="00CB2513" w:rsidRPr="00326F31">
        <w:rPr>
          <w:rFonts w:asciiTheme="majorHAnsi" w:eastAsia="Calibri" w:hAnsiTheme="majorHAnsi"/>
          <w:sz w:val="20"/>
          <w:szCs w:val="20"/>
        </w:rPr>
        <w:t>,</w:t>
      </w:r>
      <w:r w:rsidRPr="00326F31">
        <w:rPr>
          <w:rFonts w:asciiTheme="majorHAnsi" w:eastAsia="Calibri" w:hAnsiTheme="majorHAnsi"/>
          <w:sz w:val="20"/>
          <w:szCs w:val="20"/>
        </w:rPr>
        <w:t xml:space="preserve"> and that</w:t>
      </w:r>
      <w:r w:rsidR="00506E20">
        <w:rPr>
          <w:rFonts w:asciiTheme="majorHAnsi" w:eastAsia="Calibri" w:hAnsiTheme="majorHAnsi"/>
          <w:sz w:val="20"/>
          <w:szCs w:val="20"/>
        </w:rPr>
        <w:t xml:space="preserve"> would hear them</w:t>
      </w:r>
      <w:r w:rsidRPr="00326F31">
        <w:rPr>
          <w:rFonts w:asciiTheme="majorHAnsi" w:eastAsia="Calibri" w:hAnsiTheme="majorHAnsi"/>
          <w:sz w:val="20"/>
          <w:szCs w:val="20"/>
        </w:rPr>
        <w:t xml:space="preserve"> with </w:t>
      </w:r>
      <w:r w:rsidR="00CB2513" w:rsidRPr="00326F31">
        <w:rPr>
          <w:rFonts w:asciiTheme="majorHAnsi" w:eastAsia="Calibri" w:hAnsiTheme="majorHAnsi"/>
          <w:sz w:val="20"/>
          <w:szCs w:val="20"/>
        </w:rPr>
        <w:t xml:space="preserve">the </w:t>
      </w:r>
      <w:r w:rsidRPr="00326F31">
        <w:rPr>
          <w:rFonts w:asciiTheme="majorHAnsi" w:eastAsia="Calibri" w:hAnsiTheme="majorHAnsi"/>
          <w:sz w:val="20"/>
          <w:szCs w:val="20"/>
        </w:rPr>
        <w:t>due guarantees for the restitution of their rights.</w:t>
      </w:r>
    </w:p>
    <w:p w14:paraId="151CFCA3" w14:textId="77777777" w:rsidR="00B97B72" w:rsidRPr="00326F31" w:rsidRDefault="00B97B72" w:rsidP="00326F31">
      <w:pPr>
        <w:jc w:val="both"/>
        <w:rPr>
          <w:rFonts w:asciiTheme="majorHAnsi" w:eastAsia="Calibri" w:hAnsiTheme="majorHAnsi"/>
          <w:sz w:val="20"/>
          <w:szCs w:val="20"/>
        </w:rPr>
      </w:pPr>
    </w:p>
    <w:p w14:paraId="716A2C04" w14:textId="77777777" w:rsidR="00632217" w:rsidRPr="00326F31" w:rsidRDefault="00B97B72"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t xml:space="preserve">For its part, the Venezuelan State did not </w:t>
      </w:r>
      <w:r w:rsidR="003A3D77" w:rsidRPr="00326F31">
        <w:rPr>
          <w:rFonts w:asciiTheme="majorHAnsi" w:eastAsia="Calibri" w:hAnsiTheme="majorHAnsi"/>
          <w:sz w:val="20"/>
          <w:szCs w:val="20"/>
        </w:rPr>
        <w:t>p</w:t>
      </w:r>
      <w:r w:rsidR="00F2093A" w:rsidRPr="00326F31">
        <w:rPr>
          <w:rFonts w:asciiTheme="majorHAnsi" w:eastAsia="Calibri" w:hAnsiTheme="majorHAnsi"/>
          <w:sz w:val="20"/>
          <w:szCs w:val="20"/>
        </w:rPr>
        <w:t xml:space="preserve">resent </w:t>
      </w:r>
      <w:r w:rsidRPr="00326F31">
        <w:rPr>
          <w:rFonts w:asciiTheme="majorHAnsi" w:eastAsia="Calibri" w:hAnsiTheme="majorHAnsi"/>
          <w:sz w:val="20"/>
          <w:szCs w:val="20"/>
        </w:rPr>
        <w:t>observations</w:t>
      </w:r>
      <w:r w:rsidR="00F2093A" w:rsidRPr="00326F31">
        <w:rPr>
          <w:rFonts w:asciiTheme="majorHAnsi" w:eastAsia="Calibri" w:hAnsiTheme="majorHAnsi"/>
          <w:sz w:val="20"/>
          <w:szCs w:val="20"/>
        </w:rPr>
        <w:t xml:space="preserve"> on the merits</w:t>
      </w:r>
      <w:r w:rsidRPr="00326F31">
        <w:rPr>
          <w:rFonts w:asciiTheme="majorHAnsi" w:eastAsia="Calibri" w:hAnsiTheme="majorHAnsi"/>
          <w:sz w:val="20"/>
          <w:szCs w:val="20"/>
        </w:rPr>
        <w:t>. The State's submissions available to the Commission correspond to the admissi</w:t>
      </w:r>
      <w:r w:rsidR="00DD5D7B" w:rsidRPr="00326F31">
        <w:rPr>
          <w:rFonts w:asciiTheme="majorHAnsi" w:eastAsia="Calibri" w:hAnsiTheme="majorHAnsi"/>
          <w:sz w:val="20"/>
          <w:szCs w:val="20"/>
        </w:rPr>
        <w:t>bility stage. In those communications</w:t>
      </w:r>
      <w:r w:rsidRPr="00326F31">
        <w:rPr>
          <w:rFonts w:asciiTheme="majorHAnsi" w:eastAsia="Calibri" w:hAnsiTheme="majorHAnsi"/>
          <w:sz w:val="20"/>
          <w:szCs w:val="20"/>
        </w:rPr>
        <w:t>, in addition to issues of admissibility</w:t>
      </w:r>
      <w:r w:rsidR="00DD5D7B" w:rsidRPr="00326F31">
        <w:rPr>
          <w:rFonts w:asciiTheme="majorHAnsi" w:eastAsia="Calibri" w:hAnsiTheme="majorHAnsi"/>
          <w:sz w:val="20"/>
          <w:szCs w:val="20"/>
        </w:rPr>
        <w:t>,</w:t>
      </w:r>
      <w:r w:rsidRPr="00326F31">
        <w:rPr>
          <w:rFonts w:asciiTheme="majorHAnsi" w:eastAsia="Calibri" w:hAnsiTheme="majorHAnsi"/>
          <w:sz w:val="20"/>
          <w:szCs w:val="20"/>
        </w:rPr>
        <w:t xml:space="preserve"> that are</w:t>
      </w:r>
      <w:r w:rsidR="00DD5D7B" w:rsidRPr="00326F31">
        <w:rPr>
          <w:rFonts w:asciiTheme="majorHAnsi" w:eastAsia="Calibri" w:hAnsiTheme="majorHAnsi"/>
          <w:sz w:val="20"/>
          <w:szCs w:val="20"/>
        </w:rPr>
        <w:t xml:space="preserve"> not relevant to the merits analysis, having</w:t>
      </w:r>
      <w:r w:rsidRPr="00326F31">
        <w:rPr>
          <w:rFonts w:asciiTheme="majorHAnsi" w:eastAsia="Calibri" w:hAnsiTheme="majorHAnsi"/>
          <w:sz w:val="20"/>
          <w:szCs w:val="20"/>
        </w:rPr>
        <w:t xml:space="preserve"> already be</w:t>
      </w:r>
      <w:r w:rsidR="00DD5D7B" w:rsidRPr="00326F31">
        <w:rPr>
          <w:rFonts w:asciiTheme="majorHAnsi" w:eastAsia="Calibri" w:hAnsiTheme="majorHAnsi"/>
          <w:sz w:val="20"/>
          <w:szCs w:val="20"/>
        </w:rPr>
        <w:t>en</w:t>
      </w:r>
      <w:r w:rsidRPr="00326F31">
        <w:rPr>
          <w:rFonts w:asciiTheme="majorHAnsi" w:eastAsia="Calibri" w:hAnsiTheme="majorHAnsi"/>
          <w:sz w:val="20"/>
          <w:szCs w:val="20"/>
        </w:rPr>
        <w:t xml:space="preserve"> resolved, the State argued that there is </w:t>
      </w:r>
      <w:r w:rsidR="00DD5D7B" w:rsidRPr="00326F31">
        <w:rPr>
          <w:rFonts w:asciiTheme="majorHAnsi" w:eastAsia="Calibri" w:hAnsiTheme="majorHAnsi"/>
          <w:sz w:val="20"/>
          <w:szCs w:val="20"/>
        </w:rPr>
        <w:t>no causal link between the signatures</w:t>
      </w:r>
      <w:r w:rsidRPr="00326F31">
        <w:rPr>
          <w:rFonts w:asciiTheme="majorHAnsi" w:eastAsia="Calibri" w:hAnsiTheme="majorHAnsi"/>
          <w:sz w:val="20"/>
          <w:szCs w:val="20"/>
        </w:rPr>
        <w:t xml:space="preserve"> and the termination of</w:t>
      </w:r>
      <w:r w:rsidR="00DD5D7B" w:rsidRPr="00326F31">
        <w:rPr>
          <w:rFonts w:asciiTheme="majorHAnsi" w:eastAsia="Calibri" w:hAnsiTheme="majorHAnsi"/>
          <w:sz w:val="20"/>
          <w:szCs w:val="20"/>
        </w:rPr>
        <w:t xml:space="preserve"> the alleged victims, because said termination was carried out in</w:t>
      </w:r>
      <w:r w:rsidRPr="00326F31">
        <w:rPr>
          <w:rFonts w:asciiTheme="majorHAnsi" w:eastAsia="Calibri" w:hAnsiTheme="majorHAnsi"/>
          <w:sz w:val="20"/>
          <w:szCs w:val="20"/>
        </w:rPr>
        <w:t xml:space="preserve"> application</w:t>
      </w:r>
      <w:r w:rsidR="00F44C2B" w:rsidRPr="00326F31">
        <w:rPr>
          <w:rFonts w:asciiTheme="majorHAnsi" w:eastAsia="Calibri" w:hAnsiTheme="majorHAnsi"/>
          <w:sz w:val="20"/>
          <w:szCs w:val="20"/>
        </w:rPr>
        <w:t xml:space="preserve"> of the</w:t>
      </w:r>
      <w:r w:rsidRPr="00326F31">
        <w:rPr>
          <w:rFonts w:asciiTheme="majorHAnsi" w:eastAsia="Calibri" w:hAnsiTheme="majorHAnsi"/>
          <w:sz w:val="20"/>
          <w:szCs w:val="20"/>
        </w:rPr>
        <w:t xml:space="preserve"> seventh clause of the</w:t>
      </w:r>
      <w:r w:rsidR="00F44C2B" w:rsidRPr="00326F31">
        <w:rPr>
          <w:rFonts w:asciiTheme="majorHAnsi" w:eastAsia="Calibri" w:hAnsiTheme="majorHAnsi"/>
          <w:sz w:val="20"/>
          <w:szCs w:val="20"/>
        </w:rPr>
        <w:t>ir</w:t>
      </w:r>
      <w:r w:rsidRPr="00326F31">
        <w:rPr>
          <w:rFonts w:asciiTheme="majorHAnsi" w:eastAsia="Calibri" w:hAnsiTheme="majorHAnsi"/>
          <w:sz w:val="20"/>
          <w:szCs w:val="20"/>
        </w:rPr>
        <w:t xml:space="preserve"> respective contracts, under which the employer is empowered to terminate the servi</w:t>
      </w:r>
      <w:r w:rsidR="008D5009" w:rsidRPr="00326F31">
        <w:rPr>
          <w:rFonts w:asciiTheme="majorHAnsi" w:eastAsia="Calibri" w:hAnsiTheme="majorHAnsi"/>
          <w:sz w:val="20"/>
          <w:szCs w:val="20"/>
        </w:rPr>
        <w:t>ces without any motivation. The State</w:t>
      </w:r>
      <w:r w:rsidRPr="00326F31">
        <w:rPr>
          <w:rFonts w:asciiTheme="majorHAnsi" w:eastAsia="Calibri" w:hAnsiTheme="majorHAnsi"/>
          <w:sz w:val="20"/>
          <w:szCs w:val="20"/>
        </w:rPr>
        <w:t xml:space="preserve"> also indicated that the alleged victims filed various r</w:t>
      </w:r>
      <w:r w:rsidR="008D5009" w:rsidRPr="00326F31">
        <w:rPr>
          <w:rFonts w:asciiTheme="majorHAnsi" w:eastAsia="Calibri" w:hAnsiTheme="majorHAnsi"/>
          <w:sz w:val="20"/>
          <w:szCs w:val="20"/>
        </w:rPr>
        <w:t>emedies</w:t>
      </w:r>
      <w:r w:rsidRPr="00326F31">
        <w:rPr>
          <w:rFonts w:asciiTheme="majorHAnsi" w:eastAsia="Calibri" w:hAnsiTheme="majorHAnsi"/>
          <w:sz w:val="20"/>
          <w:szCs w:val="20"/>
        </w:rPr>
        <w:t>, w</w:t>
      </w:r>
      <w:r w:rsidR="008D5009" w:rsidRPr="00326F31">
        <w:rPr>
          <w:rFonts w:asciiTheme="majorHAnsi" w:eastAsia="Calibri" w:hAnsiTheme="majorHAnsi"/>
          <w:sz w:val="20"/>
          <w:szCs w:val="20"/>
        </w:rPr>
        <w:t>hich were duly resolved by the judicial authorities</w:t>
      </w:r>
      <w:r w:rsidRPr="00326F31">
        <w:rPr>
          <w:rFonts w:asciiTheme="majorHAnsi" w:eastAsia="Calibri" w:hAnsiTheme="majorHAnsi"/>
          <w:sz w:val="20"/>
          <w:szCs w:val="20"/>
        </w:rPr>
        <w:t>.</w:t>
      </w:r>
    </w:p>
    <w:p w14:paraId="2A226D8B" w14:textId="77777777" w:rsidR="00632217" w:rsidRPr="00326F31" w:rsidRDefault="00632217"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76DCE3D3" w14:textId="10709F1E" w:rsidR="009A0CF3" w:rsidRPr="00462E55" w:rsidRDefault="00E21AB8" w:rsidP="00462E5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326F31">
        <w:rPr>
          <w:rFonts w:asciiTheme="majorHAnsi" w:hAnsiTheme="majorHAnsi"/>
          <w:sz w:val="20"/>
          <w:szCs w:val="20"/>
        </w:rPr>
        <w:t xml:space="preserve">After examining the positions of the parties, the Commission concluded that the Venezuelan State is responsible for the violation of the rights enshrined in Articles </w:t>
      </w:r>
      <w:r w:rsidRPr="00326F31">
        <w:rPr>
          <w:rFonts w:asciiTheme="majorHAnsi" w:eastAsia="Calibri" w:hAnsiTheme="majorHAnsi"/>
          <w:sz w:val="20"/>
          <w:szCs w:val="20"/>
        </w:rPr>
        <w:t>8</w:t>
      </w:r>
      <w:r w:rsidR="00506E20">
        <w:rPr>
          <w:rFonts w:asciiTheme="majorHAnsi" w:eastAsia="Calibri" w:hAnsiTheme="majorHAnsi"/>
          <w:sz w:val="20"/>
          <w:szCs w:val="20"/>
        </w:rPr>
        <w:t xml:space="preserve"> (right to a fair trial) </w:t>
      </w:r>
      <w:r w:rsidRPr="00326F31">
        <w:rPr>
          <w:rFonts w:asciiTheme="majorHAnsi" w:eastAsia="Calibri" w:hAnsiTheme="majorHAnsi"/>
          <w:sz w:val="20"/>
          <w:szCs w:val="20"/>
        </w:rPr>
        <w:t>, 13</w:t>
      </w:r>
      <w:r w:rsidR="00506E20">
        <w:rPr>
          <w:rFonts w:asciiTheme="majorHAnsi" w:eastAsia="Calibri" w:hAnsiTheme="majorHAnsi"/>
          <w:sz w:val="20"/>
          <w:szCs w:val="20"/>
        </w:rPr>
        <w:t xml:space="preserve"> (freedom of conscience and religion)</w:t>
      </w:r>
      <w:r w:rsidRPr="00326F31">
        <w:rPr>
          <w:rFonts w:asciiTheme="majorHAnsi" w:eastAsia="Calibri" w:hAnsiTheme="majorHAnsi"/>
          <w:sz w:val="20"/>
          <w:szCs w:val="20"/>
        </w:rPr>
        <w:t>, 23</w:t>
      </w:r>
      <w:r w:rsidR="00506E20">
        <w:rPr>
          <w:rFonts w:asciiTheme="majorHAnsi" w:eastAsia="Calibri" w:hAnsiTheme="majorHAnsi"/>
          <w:sz w:val="20"/>
          <w:szCs w:val="20"/>
        </w:rPr>
        <w:t xml:space="preserve"> (right to participate in government)</w:t>
      </w:r>
      <w:r w:rsidRPr="00326F31">
        <w:rPr>
          <w:rFonts w:asciiTheme="majorHAnsi" w:eastAsia="Calibri" w:hAnsiTheme="majorHAnsi"/>
          <w:sz w:val="20"/>
          <w:szCs w:val="20"/>
        </w:rPr>
        <w:t>, 24</w:t>
      </w:r>
      <w:r w:rsidR="00506E20">
        <w:rPr>
          <w:rFonts w:asciiTheme="majorHAnsi" w:eastAsia="Calibri" w:hAnsiTheme="majorHAnsi"/>
          <w:sz w:val="20"/>
          <w:szCs w:val="20"/>
        </w:rPr>
        <w:t xml:space="preserve"> (right to equal protection)</w:t>
      </w:r>
      <w:r w:rsidRPr="00326F31">
        <w:rPr>
          <w:rFonts w:asciiTheme="majorHAnsi" w:eastAsia="Calibri" w:hAnsiTheme="majorHAnsi"/>
          <w:sz w:val="20"/>
          <w:szCs w:val="20"/>
        </w:rPr>
        <w:t xml:space="preserve"> and 25</w:t>
      </w:r>
      <w:r w:rsidR="00506E20">
        <w:rPr>
          <w:rFonts w:asciiTheme="majorHAnsi" w:eastAsia="Calibri" w:hAnsiTheme="majorHAnsi"/>
          <w:sz w:val="20"/>
          <w:szCs w:val="20"/>
        </w:rPr>
        <w:t xml:space="preserve"> (right to judicial protection)</w:t>
      </w:r>
      <w:r w:rsidRPr="00326F31">
        <w:rPr>
          <w:rFonts w:asciiTheme="majorHAnsi" w:eastAsia="Calibri" w:hAnsiTheme="majorHAnsi"/>
          <w:sz w:val="20"/>
          <w:szCs w:val="20"/>
        </w:rPr>
        <w:t xml:space="preserve"> </w:t>
      </w:r>
      <w:r w:rsidRPr="00326F31">
        <w:rPr>
          <w:rFonts w:asciiTheme="majorHAnsi" w:hAnsiTheme="majorHAnsi"/>
          <w:sz w:val="20"/>
          <w:szCs w:val="20"/>
        </w:rPr>
        <w:t>of the American Convention, in connection with Articles 1.1</w:t>
      </w:r>
      <w:r w:rsidR="00506E20">
        <w:rPr>
          <w:rFonts w:asciiTheme="majorHAnsi" w:hAnsiTheme="majorHAnsi"/>
          <w:sz w:val="20"/>
          <w:szCs w:val="20"/>
        </w:rPr>
        <w:t xml:space="preserve"> (obligation to respect rights)</w:t>
      </w:r>
      <w:r w:rsidRPr="00326F31">
        <w:rPr>
          <w:rFonts w:asciiTheme="majorHAnsi" w:hAnsiTheme="majorHAnsi"/>
          <w:sz w:val="20"/>
          <w:szCs w:val="20"/>
        </w:rPr>
        <w:t xml:space="preserve"> and 2</w:t>
      </w:r>
      <w:r w:rsidR="00506E20">
        <w:rPr>
          <w:rFonts w:asciiTheme="majorHAnsi" w:hAnsiTheme="majorHAnsi"/>
          <w:sz w:val="20"/>
          <w:szCs w:val="20"/>
        </w:rPr>
        <w:t xml:space="preserve"> (domestic legal effects)</w:t>
      </w:r>
      <w:r w:rsidRPr="00326F31">
        <w:rPr>
          <w:rFonts w:asciiTheme="majorHAnsi" w:hAnsiTheme="majorHAnsi"/>
          <w:sz w:val="20"/>
          <w:szCs w:val="20"/>
        </w:rPr>
        <w:t xml:space="preserve"> thereof, to the detriment of </w:t>
      </w:r>
      <w:r w:rsidRPr="00326F31">
        <w:rPr>
          <w:rFonts w:asciiTheme="majorHAnsi" w:eastAsia="Calibri" w:hAnsiTheme="majorHAnsi"/>
          <w:sz w:val="20"/>
          <w:szCs w:val="20"/>
        </w:rPr>
        <w:t>Rocío San Mi</w:t>
      </w:r>
      <w:r w:rsidR="0070526E" w:rsidRPr="00326F31">
        <w:rPr>
          <w:rFonts w:asciiTheme="majorHAnsi" w:eastAsia="Calibri" w:hAnsiTheme="majorHAnsi"/>
          <w:sz w:val="20"/>
          <w:szCs w:val="20"/>
        </w:rPr>
        <w:t>guel Sosa, Magally Chang Girón, and</w:t>
      </w:r>
      <w:r w:rsidRPr="00326F31">
        <w:rPr>
          <w:rFonts w:asciiTheme="majorHAnsi" w:eastAsia="Calibri" w:hAnsiTheme="majorHAnsi"/>
          <w:sz w:val="20"/>
          <w:szCs w:val="20"/>
        </w:rPr>
        <w:t xml:space="preserve"> Thais Coromoto Peña</w:t>
      </w:r>
      <w:r w:rsidRPr="00326F31">
        <w:rPr>
          <w:rFonts w:asciiTheme="majorHAnsi" w:hAnsiTheme="majorHAnsi"/>
          <w:sz w:val="20"/>
          <w:szCs w:val="20"/>
        </w:rPr>
        <w:t>.</w:t>
      </w:r>
      <w:r w:rsidR="005E6C10">
        <w:rPr>
          <w:rFonts w:asciiTheme="majorHAnsi" w:hAnsiTheme="majorHAnsi"/>
          <w:sz w:val="20"/>
          <w:szCs w:val="20"/>
        </w:rPr>
        <w:t xml:space="preserve"> </w:t>
      </w:r>
      <w:r w:rsidR="009A0CF3">
        <w:rPr>
          <w:rFonts w:asciiTheme="majorHAnsi" w:hAnsiTheme="majorHAnsi"/>
          <w:sz w:val="20"/>
          <w:szCs w:val="20"/>
        </w:rPr>
        <w:t>In addition, the Commission concluded that it has no evidence in its possession to</w:t>
      </w:r>
      <w:r w:rsidR="00462E55">
        <w:rPr>
          <w:rFonts w:asciiTheme="majorHAnsi" w:hAnsiTheme="majorHAnsi"/>
          <w:sz w:val="20"/>
          <w:szCs w:val="20"/>
        </w:rPr>
        <w:t xml:space="preserve"> declare the State responsible for the violation of article 5 (humane treatment)</w:t>
      </w:r>
      <w:r w:rsidR="009A0CF3" w:rsidRPr="00462E55">
        <w:rPr>
          <w:rFonts w:asciiTheme="majorHAnsi" w:hAnsiTheme="majorHAnsi"/>
          <w:sz w:val="20"/>
          <w:szCs w:val="20"/>
        </w:rPr>
        <w:t xml:space="preserve"> of the American Convention, separately. Finally</w:t>
      </w:r>
      <w:r w:rsidR="00462E55" w:rsidRPr="00462E55">
        <w:rPr>
          <w:rFonts w:asciiTheme="majorHAnsi" w:hAnsiTheme="majorHAnsi"/>
          <w:sz w:val="20"/>
          <w:szCs w:val="20"/>
        </w:rPr>
        <w:t xml:space="preserve">, the Commission made the respective recommendations. </w:t>
      </w:r>
    </w:p>
    <w:p w14:paraId="612596F5" w14:textId="77777777" w:rsidR="00462E55" w:rsidRPr="00326F31" w:rsidRDefault="00462E55"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highlight w:val="yellow"/>
        </w:rPr>
      </w:pPr>
    </w:p>
    <w:p w14:paraId="5EEBBDAF" w14:textId="30F3E216" w:rsidR="00E40449" w:rsidRPr="00326F31" w:rsidRDefault="00B26289" w:rsidP="00326F31">
      <w:pPr>
        <w:pStyle w:val="Heading1"/>
        <w:numPr>
          <w:ilvl w:val="0"/>
          <w:numId w:val="55"/>
        </w:numPr>
        <w:tabs>
          <w:tab w:val="clear" w:pos="1440"/>
        </w:tabs>
        <w:jc w:val="both"/>
      </w:pPr>
      <w:bookmarkStart w:id="3" w:name="_Toc433311125"/>
      <w:bookmarkStart w:id="4" w:name="_Toc370840745"/>
      <w:bookmarkStart w:id="5" w:name="_Toc370840841"/>
      <w:r w:rsidRPr="00326F31">
        <w:t>PROCEEDINGS BEFORE THE COMMISSION</w:t>
      </w:r>
      <w:bookmarkEnd w:id="3"/>
    </w:p>
    <w:p w14:paraId="14D8D24C" w14:textId="77777777" w:rsidR="00E40449" w:rsidRPr="00326F31" w:rsidRDefault="00E40449" w:rsidP="00326F31">
      <w:pPr>
        <w:jc w:val="both"/>
        <w:rPr>
          <w:rFonts w:asciiTheme="majorHAnsi" w:hAnsiTheme="majorHAnsi"/>
          <w:sz w:val="20"/>
          <w:szCs w:val="20"/>
          <w:lang w:val="es-ES"/>
        </w:rPr>
      </w:pPr>
    </w:p>
    <w:p w14:paraId="5D085A6A" w14:textId="2935447D" w:rsidR="00E40449" w:rsidRPr="00326F31" w:rsidRDefault="00E40449" w:rsidP="00326F31">
      <w:pPr>
        <w:ind w:left="708"/>
        <w:jc w:val="both"/>
        <w:rPr>
          <w:rFonts w:asciiTheme="majorHAnsi" w:hAnsiTheme="majorHAnsi"/>
          <w:b/>
          <w:sz w:val="20"/>
          <w:szCs w:val="20"/>
        </w:rPr>
      </w:pPr>
      <w:r w:rsidRPr="00326F31">
        <w:rPr>
          <w:rFonts w:asciiTheme="majorHAnsi" w:hAnsiTheme="majorHAnsi"/>
          <w:b/>
          <w:sz w:val="20"/>
          <w:szCs w:val="20"/>
        </w:rPr>
        <w:t>A.</w:t>
      </w:r>
      <w:r w:rsidRPr="00326F31">
        <w:rPr>
          <w:rFonts w:asciiTheme="majorHAnsi" w:hAnsiTheme="majorHAnsi"/>
          <w:b/>
          <w:sz w:val="20"/>
          <w:szCs w:val="20"/>
        </w:rPr>
        <w:tab/>
      </w:r>
      <w:r w:rsidR="004C41EF" w:rsidRPr="00326F31">
        <w:rPr>
          <w:rFonts w:asciiTheme="majorHAnsi" w:hAnsiTheme="majorHAnsi"/>
          <w:b/>
          <w:sz w:val="20"/>
          <w:szCs w:val="20"/>
        </w:rPr>
        <w:t xml:space="preserve">Processing of the case </w:t>
      </w:r>
      <w:r w:rsidR="00AD7729">
        <w:rPr>
          <w:rFonts w:asciiTheme="majorHAnsi" w:hAnsiTheme="majorHAnsi"/>
          <w:b/>
          <w:sz w:val="20"/>
          <w:szCs w:val="20"/>
        </w:rPr>
        <w:t xml:space="preserve">subsequent to the admissibility </w:t>
      </w:r>
      <w:r w:rsidR="004C41EF" w:rsidRPr="00326F31">
        <w:rPr>
          <w:rFonts w:asciiTheme="majorHAnsi" w:hAnsiTheme="majorHAnsi"/>
          <w:b/>
          <w:sz w:val="20"/>
          <w:szCs w:val="20"/>
        </w:rPr>
        <w:t>report</w:t>
      </w:r>
    </w:p>
    <w:p w14:paraId="2481862D" w14:textId="77777777" w:rsidR="00E40449" w:rsidRPr="00326F31" w:rsidRDefault="00E40449" w:rsidP="00326F31">
      <w:pPr>
        <w:jc w:val="both"/>
        <w:rPr>
          <w:rFonts w:asciiTheme="majorHAnsi" w:hAnsiTheme="majorHAnsi"/>
          <w:sz w:val="20"/>
          <w:szCs w:val="20"/>
        </w:rPr>
      </w:pPr>
    </w:p>
    <w:p w14:paraId="78AAB7A0" w14:textId="0808ABE3" w:rsidR="004D4057" w:rsidRPr="00AD7729" w:rsidRDefault="00AD794D"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t xml:space="preserve">On March 7, 2006, the Commission received the petition and registered it under the number </w:t>
      </w:r>
      <w:r w:rsidR="00C35013" w:rsidRPr="00326F31">
        <w:rPr>
          <w:rFonts w:asciiTheme="majorHAnsi" w:eastAsia="Calibri" w:hAnsiTheme="majorHAnsi"/>
          <w:sz w:val="20"/>
          <w:szCs w:val="20"/>
        </w:rPr>
        <w:t>212-06</w:t>
      </w:r>
      <w:r w:rsidR="00E40449" w:rsidRPr="00326F31">
        <w:rPr>
          <w:rFonts w:asciiTheme="majorHAnsi" w:eastAsia="Calibri" w:hAnsiTheme="majorHAnsi"/>
          <w:sz w:val="20"/>
          <w:szCs w:val="20"/>
        </w:rPr>
        <w:t xml:space="preserve">. </w:t>
      </w:r>
      <w:r w:rsidRPr="00326F31">
        <w:rPr>
          <w:rFonts w:asciiTheme="majorHAnsi" w:eastAsia="Calibri" w:hAnsiTheme="majorHAnsi"/>
          <w:sz w:val="20"/>
          <w:szCs w:val="20"/>
        </w:rPr>
        <w:t>The procedure until the decision on admissibility is explained in detail in Report No. 59/13 of July 16, 2013</w:t>
      </w:r>
      <w:r w:rsidR="00E40449" w:rsidRPr="00326F31">
        <w:rPr>
          <w:rFonts w:asciiTheme="majorHAnsi" w:eastAsia="Calibri" w:hAnsiTheme="majorHAnsi"/>
          <w:sz w:val="20"/>
          <w:szCs w:val="20"/>
          <w:vertAlign w:val="superscript"/>
        </w:rPr>
        <w:footnoteReference w:id="2"/>
      </w:r>
      <w:r w:rsidR="00E40449" w:rsidRPr="00326F31">
        <w:rPr>
          <w:rFonts w:asciiTheme="majorHAnsi" w:eastAsia="Calibri" w:hAnsiTheme="majorHAnsi"/>
          <w:sz w:val="20"/>
          <w:szCs w:val="20"/>
        </w:rPr>
        <w:t xml:space="preserve">. </w:t>
      </w:r>
      <w:r w:rsidR="007C4605" w:rsidRPr="00326F31">
        <w:rPr>
          <w:rFonts w:asciiTheme="majorHAnsi" w:eastAsia="Calibri" w:hAnsiTheme="majorHAnsi"/>
          <w:sz w:val="20"/>
          <w:szCs w:val="20"/>
        </w:rPr>
        <w:t>In said report, the IACHR declared the petition admissible as to the possible violation of the rights enshrined in Articles 5, 8, 13, 23, 24 and 25 of the American Convention in connection with Articles 1.1 and 2 thereof.</w:t>
      </w:r>
    </w:p>
    <w:p w14:paraId="223CA75A" w14:textId="15A766F9" w:rsidR="00F2093A" w:rsidRPr="00326F31" w:rsidRDefault="00F2093A"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lastRenderedPageBreak/>
        <w:t>On August 21, 2013, the Commission notified the admissibility report to the parties. Also, in accordance with Article 38.2 of its Rules, the Commission made itself available to the parties to reach a friendly settlement and asked the petitioners to submit additional observations on the merits within four months. On January 30, 2015, the petitioners submitted their observations on the merits. These observations were forwarded to the Venezuelan State</w:t>
      </w:r>
      <w:r w:rsidR="00165F1E">
        <w:rPr>
          <w:rFonts w:asciiTheme="majorHAnsi" w:eastAsia="Calibri" w:hAnsiTheme="majorHAnsi"/>
          <w:sz w:val="20"/>
          <w:szCs w:val="20"/>
        </w:rPr>
        <w:t xml:space="preserve"> on March 31, 2015</w:t>
      </w:r>
      <w:r w:rsidRPr="00326F31">
        <w:rPr>
          <w:rFonts w:asciiTheme="majorHAnsi" w:eastAsia="Calibri" w:hAnsiTheme="majorHAnsi"/>
          <w:sz w:val="20"/>
          <w:szCs w:val="20"/>
        </w:rPr>
        <w:t xml:space="preserve"> requesting to submit any additional observations on the merits within the statutory period of four months. At the date of approval of this report, the Venezuelan State has not submitted its additional observations on the merits.</w:t>
      </w:r>
    </w:p>
    <w:p w14:paraId="0CD0BBB4" w14:textId="77777777" w:rsidR="00E40449" w:rsidRPr="00326F31" w:rsidRDefault="00E40449" w:rsidP="00326F31">
      <w:pPr>
        <w:jc w:val="both"/>
        <w:rPr>
          <w:rFonts w:asciiTheme="majorHAnsi" w:hAnsiTheme="majorHAnsi"/>
          <w:sz w:val="20"/>
          <w:szCs w:val="20"/>
        </w:rPr>
      </w:pPr>
    </w:p>
    <w:p w14:paraId="3EBD95A6" w14:textId="36524815" w:rsidR="00E40449" w:rsidRPr="00326F31" w:rsidRDefault="00B968A8" w:rsidP="00326F31">
      <w:pPr>
        <w:pStyle w:val="Heading1"/>
        <w:numPr>
          <w:ilvl w:val="0"/>
          <w:numId w:val="55"/>
        </w:numPr>
        <w:tabs>
          <w:tab w:val="clear" w:pos="1440"/>
        </w:tabs>
        <w:jc w:val="both"/>
      </w:pPr>
      <w:bookmarkStart w:id="6" w:name="_Toc433311126"/>
      <w:bookmarkEnd w:id="4"/>
      <w:bookmarkEnd w:id="5"/>
      <w:r w:rsidRPr="00326F31">
        <w:t>POSITION OF THE PARTIES</w:t>
      </w:r>
      <w:bookmarkEnd w:id="6"/>
    </w:p>
    <w:p w14:paraId="0A22D00F" w14:textId="77777777" w:rsidR="00E40449" w:rsidRPr="00326F31" w:rsidRDefault="00E40449" w:rsidP="00326F31">
      <w:pPr>
        <w:jc w:val="both"/>
        <w:rPr>
          <w:rFonts w:asciiTheme="majorHAnsi" w:hAnsiTheme="majorHAnsi"/>
          <w:sz w:val="20"/>
          <w:szCs w:val="20"/>
          <w:lang w:val="es-CO"/>
        </w:rPr>
      </w:pPr>
    </w:p>
    <w:p w14:paraId="74947F40" w14:textId="31F3C928" w:rsidR="00E40449" w:rsidRPr="00326F31" w:rsidRDefault="00B968A8" w:rsidP="00326F31">
      <w:pPr>
        <w:pStyle w:val="Heading2"/>
        <w:numPr>
          <w:ilvl w:val="0"/>
          <w:numId w:val="59"/>
        </w:numPr>
      </w:pPr>
      <w:bookmarkStart w:id="7" w:name="_Toc433311127"/>
      <w:r w:rsidRPr="00326F31">
        <w:t>P</w:t>
      </w:r>
      <w:r w:rsidR="00AD7729">
        <w:t xml:space="preserve">osition of </w:t>
      </w:r>
      <w:proofErr w:type="spellStart"/>
      <w:r w:rsidR="00AD7729">
        <w:t>the</w:t>
      </w:r>
      <w:proofErr w:type="spellEnd"/>
      <w:r w:rsidR="00AD7729">
        <w:t xml:space="preserve"> </w:t>
      </w:r>
      <w:proofErr w:type="spellStart"/>
      <w:r w:rsidR="00AD7729">
        <w:t>petitioners</w:t>
      </w:r>
      <w:bookmarkEnd w:id="7"/>
      <w:proofErr w:type="spellEnd"/>
      <w:r w:rsidR="00AD7729">
        <w:t xml:space="preserve"> </w:t>
      </w:r>
    </w:p>
    <w:p w14:paraId="7FE2B61A" w14:textId="77777777" w:rsidR="00424452" w:rsidRPr="00326F31" w:rsidRDefault="00424452"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14:paraId="4D1329D5" w14:textId="3F549670" w:rsidR="00FA20B3" w:rsidRPr="00326F31" w:rsidRDefault="00FA20B3"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t>During the merits stage the petitioners ratified in all its parts the content of their initial complaint of March 7, 2006. In this regard, they noted that the alleged victims Rocío San Mi</w:t>
      </w:r>
      <w:r w:rsidR="00897DCF" w:rsidRPr="00326F31">
        <w:rPr>
          <w:rFonts w:asciiTheme="majorHAnsi" w:eastAsia="Calibri" w:hAnsiTheme="majorHAnsi"/>
          <w:sz w:val="20"/>
          <w:szCs w:val="20"/>
        </w:rPr>
        <w:t>guel Sosa, Magally Chang Girón, and</w:t>
      </w:r>
      <w:r w:rsidRPr="00326F31">
        <w:rPr>
          <w:rFonts w:asciiTheme="majorHAnsi" w:eastAsia="Calibri" w:hAnsiTheme="majorHAnsi"/>
          <w:sz w:val="20"/>
          <w:szCs w:val="20"/>
        </w:rPr>
        <w:t xml:space="preserve"> Thais Coromoto Peña worked at the CNF, under the Ministry of Foreign Affairs of the Bolivarian Republic of Venezuela. They noted that: i) T</w:t>
      </w:r>
      <w:r w:rsidR="00897DCF" w:rsidRPr="00326F31">
        <w:rPr>
          <w:rFonts w:asciiTheme="majorHAnsi" w:eastAsia="Calibri" w:hAnsiTheme="majorHAnsi"/>
          <w:sz w:val="20"/>
          <w:szCs w:val="20"/>
        </w:rPr>
        <w:t>hais Coromoto Peña had worked at</w:t>
      </w:r>
      <w:r w:rsidRPr="00326F31">
        <w:rPr>
          <w:rFonts w:asciiTheme="majorHAnsi" w:eastAsia="Calibri" w:hAnsiTheme="majorHAnsi"/>
          <w:sz w:val="20"/>
          <w:szCs w:val="20"/>
        </w:rPr>
        <w:t xml:space="preserve"> the service of the Public Administration for 2</w:t>
      </w:r>
      <w:r w:rsidR="00897DCF" w:rsidRPr="00326F31">
        <w:rPr>
          <w:rFonts w:asciiTheme="majorHAnsi" w:eastAsia="Calibri" w:hAnsiTheme="majorHAnsi"/>
          <w:sz w:val="20"/>
          <w:szCs w:val="20"/>
        </w:rPr>
        <w:t>0 years, nine of them working for</w:t>
      </w:r>
      <w:r w:rsidRPr="00326F31">
        <w:rPr>
          <w:rFonts w:asciiTheme="majorHAnsi" w:eastAsia="Calibri" w:hAnsiTheme="majorHAnsi"/>
          <w:sz w:val="20"/>
          <w:szCs w:val="20"/>
        </w:rPr>
        <w:t xml:space="preserve"> the CNF; ii</w:t>
      </w:r>
      <w:r w:rsidR="00897DCF" w:rsidRPr="00326F31">
        <w:rPr>
          <w:rFonts w:asciiTheme="majorHAnsi" w:eastAsia="Calibri" w:hAnsiTheme="majorHAnsi"/>
          <w:sz w:val="20"/>
          <w:szCs w:val="20"/>
        </w:rPr>
        <w:t>) Rocío San Miguel Sosa had done so</w:t>
      </w:r>
      <w:r w:rsidRPr="00326F31">
        <w:rPr>
          <w:rFonts w:asciiTheme="majorHAnsi" w:eastAsia="Calibri" w:hAnsiTheme="majorHAnsi"/>
          <w:sz w:val="20"/>
          <w:szCs w:val="20"/>
        </w:rPr>
        <w:t xml:space="preserve"> for a total of 13</w:t>
      </w:r>
      <w:r w:rsidR="00897DCF" w:rsidRPr="00326F31">
        <w:rPr>
          <w:rFonts w:asciiTheme="majorHAnsi" w:eastAsia="Calibri" w:hAnsiTheme="majorHAnsi"/>
          <w:sz w:val="20"/>
          <w:szCs w:val="20"/>
        </w:rPr>
        <w:t xml:space="preserve"> years</w:t>
      </w:r>
      <w:r w:rsidRPr="00326F31">
        <w:rPr>
          <w:rFonts w:asciiTheme="majorHAnsi" w:eastAsia="Calibri" w:hAnsiTheme="majorHAnsi"/>
          <w:sz w:val="20"/>
          <w:szCs w:val="20"/>
        </w:rPr>
        <w:t xml:space="preserve">, seven of which he served in the CNF; and iii) </w:t>
      </w:r>
      <w:r w:rsidR="00897DCF" w:rsidRPr="00326F31">
        <w:rPr>
          <w:rFonts w:asciiTheme="majorHAnsi" w:eastAsia="Calibri" w:hAnsiTheme="majorHAnsi"/>
          <w:sz w:val="20"/>
          <w:szCs w:val="20"/>
        </w:rPr>
        <w:t>Magally Chang Girón</w:t>
      </w:r>
      <w:r w:rsidRPr="00326F31">
        <w:rPr>
          <w:rFonts w:asciiTheme="majorHAnsi" w:eastAsia="Calibri" w:hAnsiTheme="majorHAnsi"/>
          <w:sz w:val="20"/>
          <w:szCs w:val="20"/>
        </w:rPr>
        <w:t xml:space="preserve">, </w:t>
      </w:r>
      <w:r w:rsidR="00897DCF" w:rsidRPr="00326F31">
        <w:rPr>
          <w:rFonts w:asciiTheme="majorHAnsi" w:eastAsia="Calibri" w:hAnsiTheme="majorHAnsi"/>
          <w:sz w:val="20"/>
          <w:szCs w:val="20"/>
        </w:rPr>
        <w:t>on its part, had worked six years at</w:t>
      </w:r>
      <w:r w:rsidRPr="00326F31">
        <w:rPr>
          <w:rFonts w:asciiTheme="majorHAnsi" w:eastAsia="Calibri" w:hAnsiTheme="majorHAnsi"/>
          <w:sz w:val="20"/>
          <w:szCs w:val="20"/>
        </w:rPr>
        <w:t xml:space="preserve"> the service of</w:t>
      </w:r>
      <w:r w:rsidR="00897DCF" w:rsidRPr="00326F31">
        <w:rPr>
          <w:rFonts w:asciiTheme="majorHAnsi" w:eastAsia="Calibri" w:hAnsiTheme="majorHAnsi"/>
          <w:sz w:val="20"/>
          <w:szCs w:val="20"/>
        </w:rPr>
        <w:t xml:space="preserve"> the</w:t>
      </w:r>
      <w:r w:rsidRPr="00326F31">
        <w:rPr>
          <w:rFonts w:asciiTheme="majorHAnsi" w:eastAsia="Calibri" w:hAnsiTheme="majorHAnsi"/>
          <w:sz w:val="20"/>
          <w:szCs w:val="20"/>
        </w:rPr>
        <w:t xml:space="preserve"> CNF.</w:t>
      </w:r>
    </w:p>
    <w:p w14:paraId="3293B302" w14:textId="77777777" w:rsidR="004D4057" w:rsidRPr="00326F31" w:rsidRDefault="004D4057" w:rsidP="00326F31">
      <w:pPr>
        <w:pStyle w:val="ListParagraph"/>
        <w:jc w:val="both"/>
        <w:rPr>
          <w:rFonts w:asciiTheme="majorHAnsi" w:eastAsia="Calibri" w:hAnsiTheme="majorHAnsi"/>
          <w:sz w:val="20"/>
          <w:szCs w:val="20"/>
        </w:rPr>
      </w:pPr>
    </w:p>
    <w:p w14:paraId="1B654C10" w14:textId="133B6F2B" w:rsidR="00897DCF" w:rsidRPr="00326F31" w:rsidRDefault="00897DCF"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t xml:space="preserve">The petitioners reported that in March 2004, Rocío San Miguel Sosa, Magally Chang Girón, and Thais Coromoto Peña were informed of the decision of the President of the National Border Council to terminate their employment contract with that institution. In their view, that decision was based on "purely political reasons" linked to the decision of the alleged victims to sign the </w:t>
      </w:r>
      <w:r w:rsidR="00632217" w:rsidRPr="00326F31">
        <w:rPr>
          <w:rFonts w:asciiTheme="majorHAnsi" w:eastAsia="Calibri" w:hAnsiTheme="majorHAnsi"/>
          <w:sz w:val="20"/>
          <w:szCs w:val="20"/>
        </w:rPr>
        <w:t>peti</w:t>
      </w:r>
      <w:r w:rsidRPr="00326F31">
        <w:rPr>
          <w:rFonts w:asciiTheme="majorHAnsi" w:eastAsia="Calibri" w:hAnsiTheme="majorHAnsi"/>
          <w:sz w:val="20"/>
          <w:szCs w:val="20"/>
        </w:rPr>
        <w:t>t</w:t>
      </w:r>
      <w:r w:rsidR="00632217" w:rsidRPr="00326F31">
        <w:rPr>
          <w:rFonts w:asciiTheme="majorHAnsi" w:eastAsia="Calibri" w:hAnsiTheme="majorHAnsi"/>
          <w:sz w:val="20"/>
          <w:szCs w:val="20"/>
        </w:rPr>
        <w:t>ion</w:t>
      </w:r>
      <w:r w:rsidRPr="00326F31">
        <w:rPr>
          <w:rFonts w:asciiTheme="majorHAnsi" w:eastAsia="Calibri" w:hAnsiTheme="majorHAnsi"/>
          <w:sz w:val="20"/>
          <w:szCs w:val="20"/>
        </w:rPr>
        <w:t xml:space="preserve"> to carry out the recall referendum </w:t>
      </w:r>
      <w:r w:rsidR="00632217" w:rsidRPr="00326F31">
        <w:rPr>
          <w:rFonts w:asciiTheme="majorHAnsi" w:hAnsiTheme="majorHAnsi"/>
          <w:sz w:val="20"/>
          <w:szCs w:val="20"/>
        </w:rPr>
        <w:t>on the term of office of the President of the Republic</w:t>
      </w:r>
      <w:r w:rsidRPr="00326F31">
        <w:rPr>
          <w:rFonts w:asciiTheme="majorHAnsi" w:eastAsia="Calibri" w:hAnsiTheme="majorHAnsi"/>
          <w:sz w:val="20"/>
          <w:szCs w:val="20"/>
        </w:rPr>
        <w:t>, under Article 72 of the Constitution of that country.</w:t>
      </w:r>
    </w:p>
    <w:p w14:paraId="038E1640" w14:textId="77777777" w:rsidR="004D4057" w:rsidRPr="00326F31" w:rsidRDefault="004D4057" w:rsidP="00326F31">
      <w:pPr>
        <w:pStyle w:val="ListParagraph"/>
        <w:jc w:val="both"/>
        <w:rPr>
          <w:rFonts w:asciiTheme="majorHAnsi" w:eastAsia="Calibri" w:hAnsiTheme="majorHAnsi"/>
          <w:sz w:val="20"/>
          <w:szCs w:val="20"/>
        </w:rPr>
      </w:pPr>
    </w:p>
    <w:p w14:paraId="36F08E01" w14:textId="25B6F205" w:rsidR="004D4057" w:rsidRPr="00326F31" w:rsidRDefault="004D4057"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t xml:space="preserve">By way of background, the petitioners indicated that, in August 2002, several organizations submitted a list of signatures to the National Electoral Council (hereinafter "the CNE" for its initials in Spanish) requesting to carry out an advisory referendum to achieve the resignation of the President of the Republic. On December 3, 2002, the referendum on the presidential term was convened, however afterwards the Acting Chamber for Electoral Matters of the Supreme Court of Justice called off the above-mentioned referendum process until the National Assembly appointed new members to the CNE. In February 2003 a new </w:t>
      </w:r>
      <w:r w:rsidR="00CE61EF">
        <w:rPr>
          <w:rFonts w:asciiTheme="majorHAnsi" w:eastAsia="Calibri" w:hAnsiTheme="majorHAnsi"/>
          <w:sz w:val="20"/>
          <w:szCs w:val="20"/>
        </w:rPr>
        <w:t>gathering of signatures</w:t>
      </w:r>
      <w:r w:rsidRPr="00326F31">
        <w:rPr>
          <w:rFonts w:asciiTheme="majorHAnsi" w:eastAsia="Calibri" w:hAnsiTheme="majorHAnsi"/>
          <w:sz w:val="20"/>
          <w:szCs w:val="20"/>
        </w:rPr>
        <w:t xml:space="preserve"> got underway popularly known as “</w:t>
      </w:r>
      <w:r w:rsidRPr="00326F31">
        <w:rPr>
          <w:rFonts w:asciiTheme="majorHAnsi" w:eastAsia="Calibri" w:hAnsiTheme="majorHAnsi"/>
          <w:i/>
          <w:sz w:val="20"/>
          <w:szCs w:val="20"/>
        </w:rPr>
        <w:t xml:space="preserve">El </w:t>
      </w:r>
      <w:proofErr w:type="spellStart"/>
      <w:r w:rsidR="00632217" w:rsidRPr="00326F31">
        <w:rPr>
          <w:rFonts w:asciiTheme="majorHAnsi" w:eastAsia="Calibri" w:hAnsiTheme="majorHAnsi"/>
          <w:i/>
          <w:sz w:val="20"/>
          <w:szCs w:val="20"/>
        </w:rPr>
        <w:t>F</w:t>
      </w:r>
      <w:r w:rsidRPr="00326F31">
        <w:rPr>
          <w:rFonts w:asciiTheme="majorHAnsi" w:eastAsia="Calibri" w:hAnsiTheme="majorHAnsi"/>
          <w:i/>
          <w:sz w:val="20"/>
          <w:szCs w:val="20"/>
        </w:rPr>
        <w:t>irmazo</w:t>
      </w:r>
      <w:proofErr w:type="spellEnd"/>
      <w:r w:rsidRPr="00326F31">
        <w:rPr>
          <w:rFonts w:asciiTheme="majorHAnsi" w:eastAsia="Calibri" w:hAnsiTheme="majorHAnsi"/>
          <w:sz w:val="20"/>
          <w:szCs w:val="20"/>
        </w:rPr>
        <w:t>”, presenting on August 20, 2003 more than 3 million signatures before the CNE. However, on this occasion the CNE found the petition inadmissible because it had been filed tardily and established over thirty technical conditions to carry out the referendum.</w:t>
      </w:r>
    </w:p>
    <w:p w14:paraId="03AACE97" w14:textId="77777777" w:rsidR="004D4057" w:rsidRPr="00326F31" w:rsidRDefault="004D4057" w:rsidP="00326F31">
      <w:pPr>
        <w:jc w:val="both"/>
        <w:rPr>
          <w:rStyle w:val="StyleUnivers10pt"/>
          <w:rFonts w:asciiTheme="majorHAnsi" w:hAnsiTheme="majorHAnsi"/>
          <w:szCs w:val="20"/>
        </w:rPr>
      </w:pPr>
    </w:p>
    <w:p w14:paraId="1372E94B" w14:textId="4692D1EF" w:rsidR="004D4057" w:rsidRPr="00326F31" w:rsidRDefault="004D4057"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Style w:val="StyleUnivers10pt"/>
          <w:rFonts w:asciiTheme="majorHAnsi" w:eastAsia="Calibri" w:hAnsiTheme="majorHAnsi"/>
          <w:szCs w:val="20"/>
        </w:rPr>
      </w:pPr>
      <w:r w:rsidRPr="00326F31">
        <w:rPr>
          <w:rStyle w:val="StyleUnivers10pt"/>
          <w:rFonts w:asciiTheme="majorHAnsi" w:hAnsiTheme="majorHAnsi"/>
          <w:szCs w:val="20"/>
        </w:rPr>
        <w:t xml:space="preserve">Finally, the CNE convened and organized a new period for collection of signatures, which ran from November 28 to December 1, 2003, and that </w:t>
      </w:r>
      <w:r w:rsidR="00CE61EF">
        <w:rPr>
          <w:rStyle w:val="StyleUnivers10pt"/>
          <w:rFonts w:asciiTheme="majorHAnsi" w:hAnsiTheme="majorHAnsi"/>
          <w:szCs w:val="20"/>
        </w:rPr>
        <w:t xml:space="preserve">was </w:t>
      </w:r>
      <w:r w:rsidRPr="00326F31">
        <w:rPr>
          <w:rStyle w:val="StyleUnivers10pt"/>
          <w:rFonts w:asciiTheme="majorHAnsi" w:hAnsiTheme="majorHAnsi"/>
          <w:szCs w:val="20"/>
        </w:rPr>
        <w:t>popularly known as “</w:t>
      </w:r>
      <w:r w:rsidRPr="00326F31">
        <w:rPr>
          <w:rStyle w:val="StyleUnivers10pt"/>
          <w:rFonts w:asciiTheme="majorHAnsi" w:hAnsiTheme="majorHAnsi"/>
          <w:i/>
          <w:szCs w:val="20"/>
        </w:rPr>
        <w:t xml:space="preserve">El </w:t>
      </w:r>
      <w:proofErr w:type="spellStart"/>
      <w:r w:rsidRPr="00326F31">
        <w:rPr>
          <w:rStyle w:val="StyleUnivers10pt"/>
          <w:rFonts w:asciiTheme="majorHAnsi" w:hAnsiTheme="majorHAnsi"/>
          <w:i/>
          <w:szCs w:val="20"/>
        </w:rPr>
        <w:t>reafirmazo</w:t>
      </w:r>
      <w:proofErr w:type="spellEnd"/>
      <w:r w:rsidRPr="00326F31">
        <w:rPr>
          <w:rStyle w:val="StyleUnivers10pt"/>
          <w:rFonts w:asciiTheme="majorHAnsi" w:hAnsiTheme="majorHAnsi"/>
          <w:i/>
          <w:szCs w:val="20"/>
        </w:rPr>
        <w:t>”</w:t>
      </w:r>
      <w:r w:rsidRPr="00326F31">
        <w:rPr>
          <w:rStyle w:val="StyleUnivers10pt"/>
          <w:rFonts w:asciiTheme="majorHAnsi" w:hAnsiTheme="majorHAnsi"/>
          <w:szCs w:val="20"/>
        </w:rPr>
        <w:t>.</w:t>
      </w:r>
      <w:r w:rsidR="005E6C10">
        <w:rPr>
          <w:rStyle w:val="StyleUnivers10pt"/>
          <w:rFonts w:asciiTheme="majorHAnsi" w:hAnsiTheme="majorHAnsi"/>
          <w:szCs w:val="20"/>
        </w:rPr>
        <w:t xml:space="preserve"> </w:t>
      </w:r>
      <w:r w:rsidRPr="00326F31">
        <w:rPr>
          <w:rStyle w:val="StyleUnivers10pt"/>
          <w:rFonts w:asciiTheme="majorHAnsi" w:hAnsiTheme="majorHAnsi"/>
          <w:szCs w:val="20"/>
        </w:rPr>
        <w:t>The petitioners contended that in the weeks prior to this signature collection drive, both the President of the Republic and other high-ranking government officials made threatening public statements to intimidate citizens into not participating in the signature collection process.</w:t>
      </w:r>
      <w:r w:rsidR="005E6C10">
        <w:rPr>
          <w:rStyle w:val="StyleUnivers10pt"/>
          <w:rFonts w:asciiTheme="majorHAnsi" w:hAnsiTheme="majorHAnsi"/>
          <w:szCs w:val="20"/>
        </w:rPr>
        <w:t xml:space="preserve"> </w:t>
      </w:r>
    </w:p>
    <w:p w14:paraId="72EC698C" w14:textId="77777777" w:rsidR="004D4057" w:rsidRPr="00326F31" w:rsidRDefault="004D4057" w:rsidP="00326F31">
      <w:pPr>
        <w:pStyle w:val="ListParagraph"/>
        <w:jc w:val="both"/>
        <w:rPr>
          <w:rStyle w:val="StyleUnivers10pt"/>
          <w:rFonts w:asciiTheme="majorHAnsi" w:hAnsiTheme="majorHAnsi"/>
          <w:szCs w:val="20"/>
        </w:rPr>
      </w:pPr>
    </w:p>
    <w:p w14:paraId="1E0E8B12" w14:textId="6A63EE17" w:rsidR="004D4057" w:rsidRPr="00326F31" w:rsidRDefault="004D4057"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Style w:val="StyleUnivers10pt"/>
          <w:rFonts w:asciiTheme="majorHAnsi" w:hAnsiTheme="majorHAnsi"/>
          <w:szCs w:val="20"/>
        </w:rPr>
        <w:t>On December 2, 2003, the Ministry of Infrastructure reported to the country that the signatures gathered during “</w:t>
      </w:r>
      <w:r w:rsidR="00C9052E">
        <w:rPr>
          <w:rStyle w:val="StyleUnivers10pt"/>
          <w:rFonts w:asciiTheme="majorHAnsi" w:hAnsiTheme="majorHAnsi"/>
          <w:i/>
          <w:szCs w:val="20"/>
        </w:rPr>
        <w:t>E</w:t>
      </w:r>
      <w:r w:rsidRPr="00326F31">
        <w:rPr>
          <w:rStyle w:val="StyleUnivers10pt"/>
          <w:rFonts w:asciiTheme="majorHAnsi" w:hAnsiTheme="majorHAnsi"/>
          <w:i/>
          <w:szCs w:val="20"/>
        </w:rPr>
        <w:t xml:space="preserve">l Reafirmazo” </w:t>
      </w:r>
      <w:r w:rsidRPr="00326F31">
        <w:rPr>
          <w:rStyle w:val="StyleUnivers10pt"/>
          <w:rFonts w:asciiTheme="majorHAnsi" w:hAnsiTheme="majorHAnsi"/>
          <w:szCs w:val="20"/>
        </w:rPr>
        <w:t>would be posted at the collection centers so that all Venezuelans could verify them.</w:t>
      </w:r>
      <w:r w:rsidR="005E6C10">
        <w:rPr>
          <w:rStyle w:val="StyleUnivers10pt"/>
          <w:rFonts w:asciiTheme="majorHAnsi" w:hAnsiTheme="majorHAnsi"/>
          <w:szCs w:val="20"/>
        </w:rPr>
        <w:t xml:space="preserve"> </w:t>
      </w:r>
      <w:r w:rsidRPr="00326F31">
        <w:rPr>
          <w:rStyle w:val="StyleUnivers10pt"/>
          <w:rFonts w:asciiTheme="majorHAnsi" w:hAnsiTheme="majorHAnsi"/>
          <w:szCs w:val="20"/>
        </w:rPr>
        <w:t>They added that the signatures collected were submitted to the CNE on December 19, 2003 for validation.</w:t>
      </w:r>
      <w:r w:rsidR="005E6C10">
        <w:rPr>
          <w:rStyle w:val="StyleUnivers10pt"/>
          <w:rFonts w:asciiTheme="majorHAnsi" w:hAnsiTheme="majorHAnsi"/>
          <w:szCs w:val="20"/>
        </w:rPr>
        <w:t xml:space="preserve"> </w:t>
      </w:r>
    </w:p>
    <w:p w14:paraId="03146856" w14:textId="77777777" w:rsidR="00030EEC" w:rsidRPr="00326F31" w:rsidRDefault="00030EEC"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498A545A" w14:textId="2A11603C" w:rsidR="00785BFC" w:rsidRPr="00326F31" w:rsidRDefault="008D5572"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Style w:val="StyleUnivers10pt"/>
          <w:rFonts w:asciiTheme="majorHAnsi" w:eastAsia="Calibri" w:hAnsiTheme="majorHAnsi"/>
          <w:szCs w:val="20"/>
        </w:rPr>
      </w:pPr>
      <w:r w:rsidRPr="00326F31">
        <w:rPr>
          <w:rStyle w:val="StyleUnivers10pt"/>
          <w:rFonts w:asciiTheme="majorHAnsi" w:hAnsiTheme="majorHAnsi"/>
          <w:szCs w:val="20"/>
        </w:rPr>
        <w:t xml:space="preserve">The petitioners </w:t>
      </w:r>
      <w:r w:rsidR="003C08D7">
        <w:rPr>
          <w:rStyle w:val="StyleUnivers10pt"/>
          <w:rFonts w:asciiTheme="majorHAnsi" w:hAnsiTheme="majorHAnsi"/>
          <w:szCs w:val="20"/>
        </w:rPr>
        <w:t>underscored</w:t>
      </w:r>
      <w:r w:rsidRPr="00326F31">
        <w:rPr>
          <w:rStyle w:val="StyleUnivers10pt"/>
          <w:rFonts w:asciiTheme="majorHAnsi" w:hAnsiTheme="majorHAnsi"/>
          <w:szCs w:val="20"/>
        </w:rPr>
        <w:t xml:space="preserve"> that on January 30, 2004, prior to the CNE validating the signatures turned over to it, the President of the Republic filed a request with the CNE to hand over </w:t>
      </w:r>
      <w:r w:rsidR="000038FC" w:rsidRPr="00326F31">
        <w:rPr>
          <w:rStyle w:val="StyleUnivers10pt"/>
          <w:rFonts w:asciiTheme="majorHAnsi" w:hAnsiTheme="majorHAnsi"/>
          <w:szCs w:val="20"/>
        </w:rPr>
        <w:t xml:space="preserve">to congressman Luis Tascón </w:t>
      </w:r>
      <w:r w:rsidRPr="00326F31">
        <w:rPr>
          <w:rStyle w:val="StyleUnivers10pt"/>
          <w:rFonts w:asciiTheme="majorHAnsi" w:hAnsiTheme="majorHAnsi"/>
          <w:szCs w:val="20"/>
        </w:rPr>
        <w:t xml:space="preserve">a copy of the original signature sheets of all persons signing the </w:t>
      </w:r>
      <w:r w:rsidR="000038FC" w:rsidRPr="00326F31">
        <w:rPr>
          <w:rStyle w:val="StyleUnivers10pt"/>
          <w:rFonts w:asciiTheme="majorHAnsi" w:hAnsiTheme="majorHAnsi"/>
          <w:szCs w:val="20"/>
        </w:rPr>
        <w:t xml:space="preserve">petition, who after obtaining them published them on its website along with allegations of fraud of the signatories. </w:t>
      </w:r>
      <w:r w:rsidR="000038FC" w:rsidRPr="00326F31">
        <w:rPr>
          <w:rFonts w:asciiTheme="majorHAnsi" w:hAnsiTheme="majorHAnsi" w:cs="Arial"/>
          <w:sz w:val="20"/>
          <w:szCs w:val="20"/>
        </w:rPr>
        <w:t>They asserted that on February 15, 2004, on the Sunday television program of the President of the Republic, he urged the consult the “</w:t>
      </w:r>
      <w:r w:rsidR="000038FC" w:rsidRPr="00326F31">
        <w:rPr>
          <w:rFonts w:asciiTheme="majorHAnsi" w:hAnsiTheme="majorHAnsi" w:cs="Arial"/>
          <w:i/>
          <w:sz w:val="20"/>
          <w:szCs w:val="20"/>
        </w:rPr>
        <w:t>Tascón List</w:t>
      </w:r>
      <w:r w:rsidR="000038FC" w:rsidRPr="00326F31">
        <w:rPr>
          <w:rFonts w:asciiTheme="majorHAnsi" w:hAnsiTheme="majorHAnsi" w:cs="Arial"/>
          <w:sz w:val="20"/>
          <w:szCs w:val="20"/>
        </w:rPr>
        <w:t>”, indicating the Web site where people could view who had signed the petition to remove him from office.</w:t>
      </w:r>
      <w:r w:rsidR="000038FC" w:rsidRPr="00326F31">
        <w:rPr>
          <w:rFonts w:asciiTheme="majorHAnsi" w:hAnsiTheme="majorHAnsi"/>
          <w:sz w:val="20"/>
          <w:szCs w:val="20"/>
        </w:rPr>
        <w:t xml:space="preserve"> </w:t>
      </w:r>
      <w:r w:rsidR="000038FC" w:rsidRPr="00326F31">
        <w:rPr>
          <w:rFonts w:asciiTheme="majorHAnsi" w:hAnsiTheme="majorHAnsi" w:cs="Arial"/>
          <w:sz w:val="20"/>
          <w:szCs w:val="20"/>
        </w:rPr>
        <w:t xml:space="preserve">The petitioners alleged that the Web featured a built-in signature browser function </w:t>
      </w:r>
      <w:r w:rsidR="000038FC" w:rsidRPr="00326F31">
        <w:rPr>
          <w:rFonts w:asciiTheme="majorHAnsi" w:hAnsiTheme="majorHAnsi" w:cs="Arial"/>
          <w:sz w:val="20"/>
          <w:szCs w:val="20"/>
        </w:rPr>
        <w:lastRenderedPageBreak/>
        <w:t>that made it possible to investigate the names of the signers by entering a signer’s national identity card number. They also contended that this browser function included accusation that signers had committed fraud and were traitors to the nation.</w:t>
      </w:r>
      <w:r w:rsidR="005E6C10">
        <w:rPr>
          <w:rFonts w:asciiTheme="majorHAnsi" w:hAnsiTheme="majorHAnsi" w:cs="Arial"/>
          <w:sz w:val="20"/>
          <w:szCs w:val="20"/>
        </w:rPr>
        <w:t xml:space="preserve"> </w:t>
      </w:r>
      <w:r w:rsidR="003C08D7">
        <w:rPr>
          <w:rFonts w:asciiTheme="majorHAnsi" w:hAnsiTheme="majorHAnsi" w:cs="Arial"/>
          <w:sz w:val="20"/>
          <w:szCs w:val="20"/>
        </w:rPr>
        <w:t xml:space="preserve">In view </w:t>
      </w:r>
      <w:r w:rsidR="000038FC" w:rsidRPr="00326F31">
        <w:rPr>
          <w:rFonts w:asciiTheme="majorHAnsi" w:hAnsiTheme="majorHAnsi" w:cs="Arial"/>
          <w:sz w:val="20"/>
          <w:szCs w:val="20"/>
        </w:rPr>
        <w:t xml:space="preserve">of the petitioners, after the creation of this website, public employees and officials began to be pressured to disavow their signatures in the referendum or retract them in </w:t>
      </w:r>
      <w:r w:rsidR="00632217" w:rsidRPr="00326F31">
        <w:rPr>
          <w:rFonts w:asciiTheme="majorHAnsi" w:hAnsiTheme="majorHAnsi" w:cs="Arial"/>
          <w:sz w:val="20"/>
          <w:szCs w:val="20"/>
        </w:rPr>
        <w:t>the process of challenge</w:t>
      </w:r>
      <w:r w:rsidR="000038FC" w:rsidRPr="00326F31">
        <w:rPr>
          <w:rFonts w:asciiTheme="majorHAnsi" w:hAnsiTheme="majorHAnsi" w:cs="Arial"/>
          <w:sz w:val="20"/>
          <w:szCs w:val="20"/>
        </w:rPr>
        <w:t>.</w:t>
      </w:r>
      <w:r w:rsidR="005E6C10">
        <w:rPr>
          <w:rFonts w:asciiTheme="majorHAnsi" w:hAnsiTheme="majorHAnsi" w:cs="Arial"/>
          <w:sz w:val="20"/>
          <w:szCs w:val="20"/>
        </w:rPr>
        <w:t xml:space="preserve"> </w:t>
      </w:r>
      <w:r w:rsidR="000038FC" w:rsidRPr="00326F31">
        <w:rPr>
          <w:rFonts w:asciiTheme="majorHAnsi" w:hAnsiTheme="majorHAnsi" w:cs="Arial"/>
          <w:sz w:val="20"/>
          <w:szCs w:val="20"/>
        </w:rPr>
        <w:t>According to the information provided, the signatures of more than one million citizens were challenged in this process.</w:t>
      </w:r>
    </w:p>
    <w:p w14:paraId="66EE21BD" w14:textId="77777777" w:rsidR="00785BFC" w:rsidRPr="00326F31" w:rsidRDefault="00785BFC"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Style w:val="StyleUnivers10pt"/>
          <w:rFonts w:asciiTheme="majorHAnsi" w:eastAsia="Calibri" w:hAnsiTheme="majorHAnsi"/>
          <w:szCs w:val="20"/>
        </w:rPr>
      </w:pPr>
    </w:p>
    <w:p w14:paraId="1465FEEF" w14:textId="74731992" w:rsidR="000038FC" w:rsidRPr="00326F31" w:rsidRDefault="000038FC"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cs="Arial"/>
          <w:sz w:val="20"/>
          <w:szCs w:val="20"/>
        </w:rPr>
        <w:t xml:space="preserve">The petitioners argued that, precisely in this particular context, </w:t>
      </w:r>
      <w:r w:rsidRPr="00326F31">
        <w:rPr>
          <w:rFonts w:asciiTheme="majorHAnsi" w:hAnsiTheme="majorHAnsi"/>
          <w:sz w:val="20"/>
          <w:szCs w:val="20"/>
        </w:rPr>
        <w:t>Rocío San Miguel Sosa, Magally Chang Girón</w:t>
      </w:r>
      <w:r w:rsidR="00C9052E">
        <w:rPr>
          <w:rFonts w:asciiTheme="majorHAnsi" w:hAnsiTheme="majorHAnsi"/>
          <w:sz w:val="20"/>
          <w:szCs w:val="20"/>
        </w:rPr>
        <w:t>,</w:t>
      </w:r>
      <w:r w:rsidRPr="00326F31">
        <w:rPr>
          <w:rFonts w:asciiTheme="majorHAnsi" w:hAnsiTheme="majorHAnsi"/>
          <w:sz w:val="20"/>
          <w:szCs w:val="20"/>
        </w:rPr>
        <w:t xml:space="preserve"> and Thais Coromoto Peña were advised of the decision of the Chairman of the National Border Council to terminate their labor contract with said institution.</w:t>
      </w:r>
      <w:r w:rsidR="005E6C10">
        <w:rPr>
          <w:rFonts w:asciiTheme="majorHAnsi" w:hAnsiTheme="majorHAnsi"/>
          <w:sz w:val="20"/>
          <w:szCs w:val="20"/>
        </w:rPr>
        <w:t xml:space="preserve"> </w:t>
      </w:r>
      <w:r w:rsidRPr="00326F31">
        <w:rPr>
          <w:rFonts w:asciiTheme="majorHAnsi" w:hAnsiTheme="majorHAnsi"/>
          <w:sz w:val="20"/>
          <w:szCs w:val="20"/>
        </w:rPr>
        <w:t>According to the petitioners, of the 22 individuals who were employed at the National Border Council at that time, the only ones who appeared on the list that was released to the public by congressman Tascón as signers of the recall referendum petition on the term of office of the President of the Republic were Rocío San Miguel Sosa, Magally Chang Girón</w:t>
      </w:r>
      <w:r w:rsidR="00C9052E">
        <w:rPr>
          <w:rFonts w:asciiTheme="majorHAnsi" w:hAnsiTheme="majorHAnsi"/>
          <w:sz w:val="20"/>
          <w:szCs w:val="20"/>
        </w:rPr>
        <w:t>,</w:t>
      </w:r>
      <w:r w:rsidRPr="00326F31">
        <w:rPr>
          <w:rFonts w:asciiTheme="majorHAnsi" w:hAnsiTheme="majorHAnsi"/>
          <w:sz w:val="20"/>
          <w:szCs w:val="20"/>
        </w:rPr>
        <w:t xml:space="preserve"> and Thais Coromoto Peña and Jorge Guerra Navarro</w:t>
      </w:r>
      <w:r w:rsidR="00785BFC" w:rsidRPr="00326F31">
        <w:rPr>
          <w:rFonts w:asciiTheme="majorHAnsi" w:hAnsiTheme="majorHAnsi"/>
          <w:sz w:val="20"/>
          <w:szCs w:val="20"/>
        </w:rPr>
        <w:t>;</w:t>
      </w:r>
      <w:r w:rsidRPr="00326F31">
        <w:rPr>
          <w:rFonts w:asciiTheme="majorHAnsi" w:hAnsiTheme="majorHAnsi"/>
          <w:sz w:val="20"/>
          <w:szCs w:val="20"/>
        </w:rPr>
        <w:t xml:space="preserve"> and that those four persons were notified of </w:t>
      </w:r>
      <w:r w:rsidR="000C326B">
        <w:rPr>
          <w:rFonts w:asciiTheme="majorHAnsi" w:hAnsiTheme="majorHAnsi"/>
          <w:sz w:val="20"/>
          <w:szCs w:val="20"/>
        </w:rPr>
        <w:t xml:space="preserve">the </w:t>
      </w:r>
      <w:r w:rsidRPr="00326F31">
        <w:rPr>
          <w:rFonts w:asciiTheme="majorHAnsi" w:hAnsiTheme="majorHAnsi"/>
          <w:sz w:val="20"/>
          <w:szCs w:val="20"/>
        </w:rPr>
        <w:t xml:space="preserve">early termination of their </w:t>
      </w:r>
      <w:r w:rsidR="000C326B">
        <w:rPr>
          <w:rFonts w:asciiTheme="majorHAnsi" w:hAnsiTheme="majorHAnsi"/>
          <w:sz w:val="20"/>
          <w:szCs w:val="20"/>
        </w:rPr>
        <w:t>contracts</w:t>
      </w:r>
      <w:r w:rsidRPr="00326F31">
        <w:rPr>
          <w:rFonts w:asciiTheme="majorHAnsi" w:hAnsiTheme="majorHAnsi"/>
          <w:sz w:val="20"/>
          <w:szCs w:val="20"/>
        </w:rPr>
        <w:t xml:space="preserve">. </w:t>
      </w:r>
    </w:p>
    <w:p w14:paraId="4036E117" w14:textId="77777777" w:rsidR="000038FC" w:rsidRPr="00326F31" w:rsidRDefault="000038FC"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7B24F038" w14:textId="3A337CCA" w:rsidR="00785BFC" w:rsidRPr="00326F31" w:rsidRDefault="00785BFC"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cs="Arial"/>
          <w:sz w:val="20"/>
          <w:szCs w:val="20"/>
        </w:rPr>
        <w:t>The petitioners asserted that the written dismissal notification did not state the reason for the action.</w:t>
      </w:r>
      <w:r w:rsidR="005E6C10">
        <w:rPr>
          <w:rFonts w:asciiTheme="majorHAnsi" w:hAnsiTheme="majorHAnsi" w:cs="Arial"/>
          <w:sz w:val="20"/>
          <w:szCs w:val="20"/>
        </w:rPr>
        <w:t xml:space="preserve"> </w:t>
      </w:r>
      <w:r w:rsidRPr="00326F31">
        <w:rPr>
          <w:rFonts w:asciiTheme="majorHAnsi" w:hAnsiTheme="majorHAnsi" w:cs="Arial"/>
          <w:sz w:val="20"/>
          <w:szCs w:val="20"/>
        </w:rPr>
        <w:t>They claimed, however, that at the time they were served the written notice, the Executive Secretary of the institution orally informed the alleged victims, separately, that their dismissals were the consequence of signing the petition for the recall of the term of office of the President of the Republic.</w:t>
      </w:r>
      <w:r w:rsidR="005E6C10">
        <w:rPr>
          <w:rFonts w:asciiTheme="majorHAnsi" w:hAnsiTheme="majorHAnsi" w:cs="Arial"/>
          <w:sz w:val="20"/>
          <w:szCs w:val="20"/>
        </w:rPr>
        <w:t xml:space="preserve"> </w:t>
      </w:r>
      <w:r w:rsidRPr="00326F31">
        <w:rPr>
          <w:rFonts w:asciiTheme="majorHAnsi" w:hAnsiTheme="majorHAnsi" w:cs="Arial"/>
          <w:sz w:val="20"/>
          <w:szCs w:val="20"/>
        </w:rPr>
        <w:t>The petitioners alleged that the offer was made to Mrs. Thais Coromoto Peña that the measure would be vacated in exchange for disavowing her signature on the day of challenge called by the National Electoral Council.</w:t>
      </w:r>
      <w:r w:rsidR="005E6C10">
        <w:rPr>
          <w:rFonts w:asciiTheme="majorHAnsi" w:hAnsiTheme="majorHAnsi" w:cs="Arial"/>
          <w:sz w:val="20"/>
          <w:szCs w:val="20"/>
        </w:rPr>
        <w:t xml:space="preserve"> </w:t>
      </w:r>
      <w:r w:rsidRPr="00326F31">
        <w:rPr>
          <w:rFonts w:asciiTheme="majorHAnsi" w:hAnsiTheme="majorHAnsi" w:cs="Arial"/>
          <w:sz w:val="20"/>
          <w:szCs w:val="20"/>
        </w:rPr>
        <w:t xml:space="preserve">They also contended that the dismissal of Mr. Guerra Navarro did not actually occur because he accepted the pledge to not validate his signature before the election authorities. </w:t>
      </w:r>
    </w:p>
    <w:p w14:paraId="0F1B12F2" w14:textId="77777777" w:rsidR="00911364" w:rsidRPr="00326F31" w:rsidRDefault="00911364" w:rsidP="00326F31">
      <w:pPr>
        <w:pStyle w:val="ListParagraph"/>
        <w:jc w:val="both"/>
        <w:rPr>
          <w:rFonts w:asciiTheme="majorHAnsi" w:hAnsiTheme="majorHAnsi" w:cs="Arial"/>
          <w:sz w:val="20"/>
          <w:szCs w:val="20"/>
        </w:rPr>
      </w:pPr>
    </w:p>
    <w:p w14:paraId="3856B83C" w14:textId="7EA8FC75" w:rsidR="00632217" w:rsidRPr="00326F31" w:rsidRDefault="00632217"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cs="Arial"/>
          <w:sz w:val="20"/>
          <w:szCs w:val="20"/>
        </w:rPr>
        <w:t>The petitioners alleged that on April 20, 2004, the Chairman of the CNE announced that more than one million signatures would undergo the process of challenge, noting that during the “day of challenge,” in addition to the validation of signatures, the signatures of any of the signers of the petition, who may have changed their minds, could be retracted.</w:t>
      </w:r>
      <w:r w:rsidR="005E6C10">
        <w:rPr>
          <w:rFonts w:asciiTheme="majorHAnsi" w:hAnsiTheme="majorHAnsi" w:cs="Arial"/>
          <w:sz w:val="20"/>
          <w:szCs w:val="20"/>
        </w:rPr>
        <w:t xml:space="preserve"> </w:t>
      </w:r>
      <w:r w:rsidR="00911364" w:rsidRPr="00326F31">
        <w:rPr>
          <w:rFonts w:asciiTheme="majorHAnsi" w:hAnsiTheme="majorHAnsi" w:cs="Arial"/>
          <w:sz w:val="20"/>
          <w:szCs w:val="20"/>
        </w:rPr>
        <w:t xml:space="preserve">They indicated that </w:t>
      </w:r>
      <w:r w:rsidR="000C326B">
        <w:rPr>
          <w:rFonts w:asciiTheme="majorHAnsi" w:hAnsiTheme="majorHAnsi" w:cs="Arial"/>
          <w:sz w:val="20"/>
          <w:szCs w:val="20"/>
        </w:rPr>
        <w:t xml:space="preserve">the </w:t>
      </w:r>
      <w:r w:rsidR="00911364" w:rsidRPr="00326F31">
        <w:rPr>
          <w:rFonts w:asciiTheme="majorHAnsi" w:hAnsiTheme="majorHAnsi" w:cs="Arial"/>
          <w:sz w:val="20"/>
          <w:szCs w:val="20"/>
        </w:rPr>
        <w:t>abovementioned</w:t>
      </w:r>
      <w:r w:rsidRPr="00326F31">
        <w:rPr>
          <w:rFonts w:asciiTheme="majorHAnsi" w:hAnsiTheme="majorHAnsi" w:cs="Arial"/>
          <w:sz w:val="20"/>
          <w:szCs w:val="20"/>
        </w:rPr>
        <w:t xml:space="preserve"> day of challenge was convened by the CNE and was held on June 27, 2004.</w:t>
      </w:r>
      <w:r w:rsidR="005E6C10">
        <w:rPr>
          <w:rFonts w:asciiTheme="majorHAnsi" w:hAnsiTheme="majorHAnsi" w:cs="Arial"/>
          <w:sz w:val="20"/>
          <w:szCs w:val="20"/>
        </w:rPr>
        <w:t xml:space="preserve"> </w:t>
      </w:r>
      <w:r w:rsidRPr="00326F31">
        <w:rPr>
          <w:rFonts w:asciiTheme="majorHAnsi" w:hAnsiTheme="majorHAnsi" w:cs="Arial"/>
          <w:sz w:val="20"/>
          <w:szCs w:val="20"/>
        </w:rPr>
        <w:t xml:space="preserve">The petitioners noted that Rocío San Miguel, whose signature had been challenged, validated </w:t>
      </w:r>
      <w:r w:rsidR="00911364" w:rsidRPr="00326F31">
        <w:rPr>
          <w:rFonts w:asciiTheme="majorHAnsi" w:hAnsiTheme="majorHAnsi" w:cs="Arial"/>
          <w:sz w:val="20"/>
          <w:szCs w:val="20"/>
        </w:rPr>
        <w:t>her signature on that occasion.</w:t>
      </w:r>
      <w:r w:rsidRPr="00326F31">
        <w:rPr>
          <w:rFonts w:asciiTheme="majorHAnsi" w:hAnsiTheme="majorHAnsi" w:cs="Arial"/>
          <w:sz w:val="20"/>
          <w:szCs w:val="20"/>
        </w:rPr>
        <w:t xml:space="preserve"> They added that the actual presidential term recall referendum was held on August 15, 2004, as </w:t>
      </w:r>
      <w:r w:rsidR="00911364" w:rsidRPr="00326F31">
        <w:rPr>
          <w:rFonts w:asciiTheme="majorHAnsi" w:hAnsiTheme="majorHAnsi" w:cs="Arial"/>
          <w:sz w:val="20"/>
          <w:szCs w:val="20"/>
        </w:rPr>
        <w:t>convened</w:t>
      </w:r>
      <w:r w:rsidRPr="00326F31">
        <w:rPr>
          <w:rFonts w:asciiTheme="majorHAnsi" w:hAnsiTheme="majorHAnsi" w:cs="Arial"/>
          <w:sz w:val="20"/>
          <w:szCs w:val="20"/>
        </w:rPr>
        <w:t xml:space="preserve"> by the CNE, and that </w:t>
      </w:r>
      <w:r w:rsidRPr="00326F31">
        <w:rPr>
          <w:rFonts w:asciiTheme="majorHAnsi" w:hAnsiTheme="majorHAnsi"/>
          <w:sz w:val="20"/>
          <w:szCs w:val="20"/>
        </w:rPr>
        <w:t>Rocío San Miguel Sosa, Magally Chang Girón and Thais Coromoto Peña participated in it.</w:t>
      </w:r>
    </w:p>
    <w:p w14:paraId="1B9D8E6D" w14:textId="77777777" w:rsidR="00632217" w:rsidRPr="00326F31" w:rsidRDefault="00632217"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16D1D1C9" w14:textId="6E6DE462" w:rsidR="007D0764" w:rsidRPr="00326F31" w:rsidRDefault="007D0764"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cs="Arial"/>
          <w:sz w:val="20"/>
          <w:szCs w:val="20"/>
        </w:rPr>
        <w:t>The petitioners alleged that the referendum was followed by retaliation of those who signed and that, particularly, “at the end of 2004, Mrs. Rocío San Miguel was also expelled from the Advanced Air Force Academy and the Advanced Naval War School, where she had been serving as a professor.”</w:t>
      </w:r>
      <w:r w:rsidR="005E6C10">
        <w:rPr>
          <w:rFonts w:asciiTheme="majorHAnsi" w:hAnsiTheme="majorHAnsi" w:cs="Arial"/>
          <w:sz w:val="20"/>
          <w:szCs w:val="20"/>
        </w:rPr>
        <w:t xml:space="preserve"> </w:t>
      </w:r>
      <w:r w:rsidRPr="00326F31">
        <w:rPr>
          <w:rFonts w:asciiTheme="majorHAnsi" w:hAnsiTheme="majorHAnsi" w:cs="Arial"/>
          <w:sz w:val="20"/>
          <w:szCs w:val="20"/>
        </w:rPr>
        <w:t xml:space="preserve">Furthermore, her husband, an active-duty officer of the </w:t>
      </w:r>
      <w:r w:rsidR="005534FC" w:rsidRPr="00326F31">
        <w:rPr>
          <w:rFonts w:asciiTheme="majorHAnsi" w:hAnsiTheme="majorHAnsi" w:cs="Arial"/>
          <w:sz w:val="20"/>
          <w:szCs w:val="20"/>
        </w:rPr>
        <w:t>National Armed Forces</w:t>
      </w:r>
      <w:r w:rsidRPr="00326F31">
        <w:rPr>
          <w:rFonts w:asciiTheme="majorHAnsi" w:hAnsiTheme="majorHAnsi" w:cs="Arial"/>
          <w:sz w:val="20"/>
          <w:szCs w:val="20"/>
        </w:rPr>
        <w:t xml:space="preserve">, </w:t>
      </w:r>
      <w:r w:rsidR="005534FC" w:rsidRPr="00326F31">
        <w:rPr>
          <w:rFonts w:asciiTheme="majorHAnsi" w:eastAsia="Calibri" w:hAnsiTheme="majorHAnsi"/>
          <w:sz w:val="20"/>
          <w:szCs w:val="20"/>
        </w:rPr>
        <w:t xml:space="preserve">with the rank of " Aviation Colonel” </w:t>
      </w:r>
      <w:r w:rsidRPr="00326F31">
        <w:rPr>
          <w:rFonts w:asciiTheme="majorHAnsi" w:hAnsiTheme="majorHAnsi" w:cs="Arial"/>
          <w:sz w:val="20"/>
          <w:szCs w:val="20"/>
        </w:rPr>
        <w:t>had not been assigned to any position in</w:t>
      </w:r>
      <w:r w:rsidR="00257466" w:rsidRPr="00326F31">
        <w:rPr>
          <w:rFonts w:asciiTheme="majorHAnsi" w:hAnsiTheme="majorHAnsi" w:cs="Arial"/>
          <w:sz w:val="20"/>
          <w:szCs w:val="20"/>
        </w:rPr>
        <w:t xml:space="preserve"> the</w:t>
      </w:r>
      <w:r w:rsidR="00257466" w:rsidRPr="00326F31">
        <w:rPr>
          <w:rFonts w:asciiTheme="majorHAnsi" w:hAnsiTheme="majorHAnsi"/>
          <w:sz w:val="20"/>
          <w:szCs w:val="20"/>
        </w:rPr>
        <w:t xml:space="preserve"> </w:t>
      </w:r>
      <w:r w:rsidR="00257466" w:rsidRPr="00326F31">
        <w:rPr>
          <w:rFonts w:asciiTheme="majorHAnsi" w:hAnsiTheme="majorHAnsi" w:cs="Arial"/>
          <w:sz w:val="20"/>
          <w:szCs w:val="20"/>
        </w:rPr>
        <w:t>Military Aviation</w:t>
      </w:r>
      <w:r w:rsidRPr="00326F31">
        <w:rPr>
          <w:rFonts w:asciiTheme="majorHAnsi" w:hAnsiTheme="majorHAnsi" w:cs="Arial"/>
          <w:sz w:val="20"/>
          <w:szCs w:val="20"/>
        </w:rPr>
        <w:t xml:space="preserve"> unit since August 18, 2004 as of the d</w:t>
      </w:r>
      <w:r w:rsidR="00257466" w:rsidRPr="00326F31">
        <w:rPr>
          <w:rFonts w:asciiTheme="majorHAnsi" w:hAnsiTheme="majorHAnsi" w:cs="Arial"/>
          <w:sz w:val="20"/>
          <w:szCs w:val="20"/>
        </w:rPr>
        <w:t>ate of submission of the initial</w:t>
      </w:r>
      <w:r w:rsidRPr="00326F31">
        <w:rPr>
          <w:rFonts w:asciiTheme="majorHAnsi" w:hAnsiTheme="majorHAnsi" w:cs="Arial"/>
          <w:sz w:val="20"/>
          <w:szCs w:val="20"/>
        </w:rPr>
        <w:t xml:space="preserve"> claim by the petitioners.</w:t>
      </w:r>
      <w:r w:rsidR="005E6C10">
        <w:rPr>
          <w:rFonts w:asciiTheme="majorHAnsi" w:hAnsiTheme="majorHAnsi" w:cs="Arial"/>
          <w:sz w:val="20"/>
          <w:szCs w:val="20"/>
        </w:rPr>
        <w:t xml:space="preserve"> </w:t>
      </w:r>
    </w:p>
    <w:p w14:paraId="55D3F354" w14:textId="77777777" w:rsidR="00424452" w:rsidRPr="00326F31" w:rsidRDefault="00424452"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083AA3F4" w14:textId="0AE02A4F" w:rsidR="00257466" w:rsidRPr="00326F31" w:rsidRDefault="0025746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cs="Arial"/>
          <w:sz w:val="20"/>
          <w:szCs w:val="20"/>
        </w:rPr>
        <w:t>The petitioners asserted that on April 15, 2005, then President of the Republic, Hugo Chávez Frías, publically ordered Congressman Luis Tascón’s list to be “buried.”</w:t>
      </w:r>
      <w:r w:rsidR="005E6C10">
        <w:rPr>
          <w:rFonts w:asciiTheme="majorHAnsi" w:hAnsiTheme="majorHAnsi" w:cs="Arial"/>
          <w:sz w:val="20"/>
          <w:szCs w:val="20"/>
        </w:rPr>
        <w:t xml:space="preserve"> </w:t>
      </w:r>
      <w:r w:rsidRPr="00326F31">
        <w:rPr>
          <w:rFonts w:asciiTheme="majorHAnsi" w:hAnsiTheme="majorHAnsi" w:cs="Arial"/>
          <w:sz w:val="20"/>
          <w:szCs w:val="20"/>
        </w:rPr>
        <w:t xml:space="preserve">They further noted that on April 26, 2005, the Attorney General of the Republic commissioned Prosecuting Attorney </w:t>
      </w:r>
      <w:r w:rsidR="00165F1E" w:rsidRPr="00326F31">
        <w:rPr>
          <w:rFonts w:asciiTheme="majorHAnsi" w:hAnsiTheme="majorHAnsi" w:cs="Arial"/>
          <w:sz w:val="20"/>
          <w:szCs w:val="20"/>
        </w:rPr>
        <w:t>Number</w:t>
      </w:r>
      <w:r w:rsidRPr="00326F31">
        <w:rPr>
          <w:rFonts w:asciiTheme="majorHAnsi" w:hAnsiTheme="majorHAnsi" w:cs="Arial"/>
          <w:sz w:val="20"/>
          <w:szCs w:val="20"/>
        </w:rPr>
        <w:t xml:space="preserve"> 49 of the Metropolitan Area of Caracas to investigate the complaints of political discrimination; nonetheless, the alleged victims were never called by said prosecutor, even though a complaint had</w:t>
      </w:r>
      <w:r w:rsidR="00165F1E">
        <w:rPr>
          <w:rFonts w:asciiTheme="majorHAnsi" w:hAnsiTheme="majorHAnsi" w:cs="Arial"/>
          <w:sz w:val="20"/>
          <w:szCs w:val="20"/>
        </w:rPr>
        <w:t xml:space="preserve"> been filed by them since May 2004.</w:t>
      </w:r>
      <w:r w:rsidR="005E6C10">
        <w:rPr>
          <w:rFonts w:asciiTheme="majorHAnsi" w:hAnsiTheme="majorHAnsi" w:cs="Arial"/>
          <w:sz w:val="20"/>
          <w:szCs w:val="20"/>
        </w:rPr>
        <w:t xml:space="preserve"> </w:t>
      </w:r>
    </w:p>
    <w:p w14:paraId="66895B8E" w14:textId="77777777" w:rsidR="00424452" w:rsidRPr="00326F31" w:rsidRDefault="00424452"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16820D3B" w14:textId="20EF54CE" w:rsidR="00257466" w:rsidRPr="00326F31" w:rsidRDefault="0025746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cs="Arial"/>
          <w:sz w:val="20"/>
          <w:szCs w:val="20"/>
        </w:rPr>
        <w:t xml:space="preserve">The petitioners asserted that on August 24, 2005, the Association for the Defense of the Signers of the Petition reported that there was a “second Tascón List” called the “Maisanta List” or “Maisanta Program,” which had been copied onto a compact disc and distributed throughout the different agencies of </w:t>
      </w:r>
      <w:r w:rsidRPr="00326F31">
        <w:rPr>
          <w:rFonts w:asciiTheme="majorHAnsi" w:eastAsia="Calibri" w:hAnsiTheme="majorHAnsi"/>
          <w:sz w:val="20"/>
          <w:szCs w:val="20"/>
        </w:rPr>
        <w:t>the Public Administration</w:t>
      </w:r>
      <w:r w:rsidRPr="00326F31">
        <w:rPr>
          <w:rFonts w:asciiTheme="majorHAnsi" w:hAnsiTheme="majorHAnsi" w:cs="Arial"/>
          <w:sz w:val="20"/>
          <w:szCs w:val="20"/>
        </w:rPr>
        <w:t xml:space="preserve"> for discriminatory purposes. </w:t>
      </w:r>
    </w:p>
    <w:p w14:paraId="58A06F2E" w14:textId="77777777" w:rsidR="00257466" w:rsidRPr="00326F31" w:rsidRDefault="00257466" w:rsidP="00326F31">
      <w:pPr>
        <w:pStyle w:val="ListParagraph"/>
        <w:jc w:val="both"/>
        <w:rPr>
          <w:rFonts w:asciiTheme="majorHAnsi" w:eastAsia="Calibri" w:hAnsiTheme="majorHAnsi"/>
          <w:sz w:val="20"/>
          <w:szCs w:val="20"/>
        </w:rPr>
      </w:pPr>
    </w:p>
    <w:p w14:paraId="75C408E0" w14:textId="391122AB" w:rsidR="00257466" w:rsidRPr="00326F31" w:rsidRDefault="0025746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t xml:space="preserve">As to the procedures followed by the alleged victims under the domestic legal system, the petitioners noted that on May 27, 2004, </w:t>
      </w:r>
      <w:proofErr w:type="spellStart"/>
      <w:r w:rsidRPr="00326F31">
        <w:rPr>
          <w:rFonts w:asciiTheme="majorHAnsi" w:eastAsia="Calibri" w:hAnsiTheme="majorHAnsi"/>
          <w:sz w:val="20"/>
          <w:szCs w:val="20"/>
        </w:rPr>
        <w:t>Rocío</w:t>
      </w:r>
      <w:proofErr w:type="spellEnd"/>
      <w:r w:rsidRPr="00326F31">
        <w:rPr>
          <w:rFonts w:asciiTheme="majorHAnsi" w:eastAsia="Calibri" w:hAnsiTheme="majorHAnsi"/>
          <w:sz w:val="20"/>
          <w:szCs w:val="20"/>
        </w:rPr>
        <w:t xml:space="preserve"> San Miguel Sosa, Magally Chang Girón and Thais Coromoto Peña filed charges with the Attorney General of the Republic of Venezuela regarding the facts that are the subject of </w:t>
      </w:r>
      <w:r w:rsidRPr="00326F31">
        <w:rPr>
          <w:rFonts w:asciiTheme="majorHAnsi" w:eastAsia="Calibri" w:hAnsiTheme="majorHAnsi"/>
          <w:sz w:val="20"/>
          <w:szCs w:val="20"/>
        </w:rPr>
        <w:lastRenderedPageBreak/>
        <w:t>the initial petition.</w:t>
      </w:r>
      <w:r w:rsidR="005E6C10">
        <w:rPr>
          <w:rFonts w:asciiTheme="majorHAnsi" w:eastAsia="Calibri" w:hAnsiTheme="majorHAnsi"/>
          <w:sz w:val="20"/>
          <w:szCs w:val="20"/>
        </w:rPr>
        <w:t xml:space="preserve"> </w:t>
      </w:r>
      <w:r w:rsidRPr="00326F31">
        <w:rPr>
          <w:rFonts w:asciiTheme="majorHAnsi" w:eastAsia="Calibri" w:hAnsiTheme="majorHAnsi"/>
          <w:sz w:val="20"/>
          <w:szCs w:val="20"/>
        </w:rPr>
        <w:t xml:space="preserve">They noted that on April 4, 2005, Control Court 21 of the Criminal Judicial Circuit of the Metropolitan Area of Caracas gave its judgement dismissing the charges on the grounds that the facts stated in the complaint were not criminal offenses under the law, adding that on May 12, 2005, the appellate court upheld the dismissal of the case. The petitioners indicated that the </w:t>
      </w:r>
      <w:r w:rsidR="00AA552C">
        <w:rPr>
          <w:rFonts w:asciiTheme="majorHAnsi" w:eastAsia="Calibri" w:hAnsiTheme="majorHAnsi"/>
          <w:sz w:val="20"/>
          <w:szCs w:val="20"/>
        </w:rPr>
        <w:t>appeal remedy (</w:t>
      </w:r>
      <w:r w:rsidR="00871501">
        <w:rPr>
          <w:rFonts w:asciiTheme="majorHAnsi" w:eastAsia="Calibri" w:hAnsiTheme="majorHAnsi"/>
          <w:sz w:val="20"/>
          <w:szCs w:val="20"/>
        </w:rPr>
        <w:t>cas</w:t>
      </w:r>
      <w:r w:rsidR="00AA552C">
        <w:rPr>
          <w:rFonts w:asciiTheme="majorHAnsi" w:eastAsia="Calibri" w:hAnsiTheme="majorHAnsi"/>
          <w:sz w:val="20"/>
          <w:szCs w:val="20"/>
        </w:rPr>
        <w:t>ación)</w:t>
      </w:r>
      <w:r w:rsidR="00871501">
        <w:rPr>
          <w:rFonts w:asciiTheme="majorHAnsi" w:eastAsia="Calibri" w:hAnsiTheme="majorHAnsi"/>
          <w:sz w:val="20"/>
          <w:szCs w:val="20"/>
        </w:rPr>
        <w:t xml:space="preserve"> </w:t>
      </w:r>
      <w:r w:rsidR="00706840" w:rsidRPr="00326F31">
        <w:rPr>
          <w:rFonts w:asciiTheme="majorHAnsi" w:eastAsia="Calibri" w:hAnsiTheme="majorHAnsi"/>
          <w:sz w:val="20"/>
          <w:szCs w:val="20"/>
        </w:rPr>
        <w:t>was also dismissed.</w:t>
      </w:r>
    </w:p>
    <w:p w14:paraId="793FF020" w14:textId="77777777" w:rsidR="00257466" w:rsidRPr="00326F31" w:rsidRDefault="00257466" w:rsidP="00326F31">
      <w:pPr>
        <w:pStyle w:val="ListParagraph"/>
        <w:jc w:val="both"/>
        <w:rPr>
          <w:rFonts w:asciiTheme="majorHAnsi" w:hAnsiTheme="majorHAnsi" w:cs="Arial"/>
          <w:sz w:val="20"/>
          <w:szCs w:val="20"/>
        </w:rPr>
      </w:pPr>
    </w:p>
    <w:p w14:paraId="3A3CF14E" w14:textId="71D2A3AE" w:rsidR="00257466" w:rsidRPr="00326F31" w:rsidRDefault="0025746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cs="Arial"/>
          <w:sz w:val="20"/>
          <w:szCs w:val="20"/>
        </w:rPr>
        <w:t>The petitioners also argued that the alleged victims reported the incidents on May 27, 2004, to the Office of the People’s Ombudsman.</w:t>
      </w:r>
      <w:r w:rsidR="005E6C10">
        <w:rPr>
          <w:rFonts w:asciiTheme="majorHAnsi" w:hAnsiTheme="majorHAnsi" w:cs="Arial"/>
          <w:sz w:val="20"/>
          <w:szCs w:val="20"/>
        </w:rPr>
        <w:t xml:space="preserve"> </w:t>
      </w:r>
      <w:r w:rsidRPr="00326F31">
        <w:rPr>
          <w:rFonts w:asciiTheme="majorHAnsi" w:hAnsiTheme="majorHAnsi" w:cs="Arial"/>
          <w:sz w:val="20"/>
          <w:szCs w:val="20"/>
        </w:rPr>
        <w:t>According to the account of the petitioners, the complaint was lost by this Office and after resubmitting the documents, this office officially opened a case on June 29, 2004.</w:t>
      </w:r>
      <w:r w:rsidR="005E6C10">
        <w:rPr>
          <w:rFonts w:asciiTheme="majorHAnsi" w:hAnsiTheme="majorHAnsi" w:cs="Arial"/>
          <w:sz w:val="20"/>
          <w:szCs w:val="20"/>
        </w:rPr>
        <w:t xml:space="preserve"> </w:t>
      </w:r>
      <w:r w:rsidRPr="00326F31">
        <w:rPr>
          <w:rFonts w:asciiTheme="majorHAnsi" w:hAnsiTheme="majorHAnsi" w:cs="Arial"/>
          <w:sz w:val="20"/>
          <w:szCs w:val="20"/>
        </w:rPr>
        <w:t>On August 7, that same year, the O</w:t>
      </w:r>
      <w:r w:rsidR="00871501">
        <w:rPr>
          <w:rFonts w:asciiTheme="majorHAnsi" w:hAnsiTheme="majorHAnsi" w:cs="Arial"/>
          <w:sz w:val="20"/>
          <w:szCs w:val="20"/>
        </w:rPr>
        <w:t>ffice of the People’s Ombudsman</w:t>
      </w:r>
      <w:r w:rsidR="00A955FA">
        <w:rPr>
          <w:rFonts w:asciiTheme="majorHAnsi" w:hAnsiTheme="majorHAnsi" w:cs="Arial"/>
          <w:sz w:val="20"/>
          <w:szCs w:val="20"/>
        </w:rPr>
        <w:t xml:space="preserve"> </w:t>
      </w:r>
      <w:r w:rsidRPr="00326F31">
        <w:rPr>
          <w:rFonts w:asciiTheme="majorHAnsi" w:hAnsiTheme="majorHAnsi" w:cs="Arial"/>
          <w:sz w:val="20"/>
          <w:szCs w:val="20"/>
        </w:rPr>
        <w:t xml:space="preserve">archived the case file. </w:t>
      </w:r>
    </w:p>
    <w:p w14:paraId="1876485F" w14:textId="77777777" w:rsidR="00257466" w:rsidRPr="00326F31" w:rsidRDefault="00257466"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4DC80305" w14:textId="0E8F9A62" w:rsidR="00257466" w:rsidRPr="00326F31" w:rsidRDefault="0025746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sz w:val="20"/>
          <w:szCs w:val="20"/>
        </w:rPr>
        <w:t xml:space="preserve">Additionally, the petitioners noted that on July 22, 2004, the alleged victims filed an appeal for constitutional relief through an </w:t>
      </w:r>
      <w:r w:rsidRPr="00326F31">
        <w:rPr>
          <w:rFonts w:asciiTheme="majorHAnsi" w:hAnsiTheme="majorHAnsi"/>
          <w:i/>
          <w:sz w:val="20"/>
          <w:szCs w:val="20"/>
        </w:rPr>
        <w:t xml:space="preserve">amparo </w:t>
      </w:r>
      <w:r w:rsidRPr="00326F31">
        <w:rPr>
          <w:rFonts w:asciiTheme="majorHAnsi" w:hAnsiTheme="majorHAnsi"/>
          <w:sz w:val="20"/>
          <w:szCs w:val="20"/>
        </w:rPr>
        <w:t>proceeding with the Fourth Trial Court for Labor Matters of the Metropolitan Area of Caracas; said appeal was found to be groundless on the merits on July 27, 2005.</w:t>
      </w:r>
      <w:r w:rsidR="005E6C10">
        <w:rPr>
          <w:rFonts w:asciiTheme="majorHAnsi" w:hAnsiTheme="majorHAnsi"/>
          <w:sz w:val="20"/>
          <w:szCs w:val="20"/>
        </w:rPr>
        <w:t xml:space="preserve"> </w:t>
      </w:r>
      <w:r w:rsidRPr="00326F31">
        <w:rPr>
          <w:rFonts w:asciiTheme="majorHAnsi" w:hAnsiTheme="majorHAnsi"/>
          <w:sz w:val="20"/>
          <w:szCs w:val="20"/>
        </w:rPr>
        <w:t>This trial court judgment was upheld on September 9, 2005, by the Third Superior Court for Labor Matters of the Labor Circuit Court of the Judicial District of the Metropolitan Area of Caracas.</w:t>
      </w:r>
      <w:r w:rsidR="005E6C10">
        <w:rPr>
          <w:rFonts w:asciiTheme="majorHAnsi" w:hAnsiTheme="majorHAnsi"/>
          <w:sz w:val="20"/>
          <w:szCs w:val="20"/>
        </w:rPr>
        <w:t xml:space="preserve"> </w:t>
      </w:r>
    </w:p>
    <w:p w14:paraId="242C139F" w14:textId="77777777" w:rsidR="00E10F7B" w:rsidRPr="00326F31" w:rsidRDefault="00E10F7B" w:rsidP="00326F31">
      <w:pPr>
        <w:pStyle w:val="ListParagraph"/>
        <w:jc w:val="both"/>
        <w:rPr>
          <w:rFonts w:asciiTheme="majorHAnsi" w:eastAsia="Calibri" w:hAnsiTheme="majorHAnsi"/>
          <w:sz w:val="20"/>
          <w:szCs w:val="20"/>
        </w:rPr>
      </w:pPr>
    </w:p>
    <w:p w14:paraId="1581B7E0" w14:textId="62A0C436" w:rsidR="00E10F7B" w:rsidRPr="00326F31" w:rsidRDefault="00E10F7B"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t xml:space="preserve">As for the </w:t>
      </w:r>
      <w:r w:rsidR="00706840" w:rsidRPr="00326F31">
        <w:rPr>
          <w:rFonts w:asciiTheme="majorHAnsi" w:eastAsia="Calibri" w:hAnsiTheme="majorHAnsi"/>
          <w:sz w:val="20"/>
          <w:szCs w:val="20"/>
        </w:rPr>
        <w:t>merits</w:t>
      </w:r>
      <w:r w:rsidRPr="00326F31">
        <w:rPr>
          <w:rFonts w:asciiTheme="majorHAnsi" w:eastAsia="Calibri" w:hAnsiTheme="majorHAnsi"/>
          <w:sz w:val="20"/>
          <w:szCs w:val="20"/>
        </w:rPr>
        <w:t xml:space="preserve"> issues raised by the State during the admissibility stage, the petitioners indicated that while Venezuela claims that the Tasc</w:t>
      </w:r>
      <w:r w:rsidR="00A84A6C" w:rsidRPr="00326F31">
        <w:rPr>
          <w:rFonts w:asciiTheme="majorHAnsi" w:eastAsia="Calibri" w:hAnsiTheme="majorHAnsi"/>
          <w:sz w:val="20"/>
          <w:szCs w:val="20"/>
        </w:rPr>
        <w:t>ó</w:t>
      </w:r>
      <w:r w:rsidRPr="00326F31">
        <w:rPr>
          <w:rFonts w:asciiTheme="majorHAnsi" w:eastAsia="Calibri" w:hAnsiTheme="majorHAnsi"/>
          <w:sz w:val="20"/>
          <w:szCs w:val="20"/>
        </w:rPr>
        <w:t>n list was a citizen tool to verify the legality of the signatures for the recall referendum, since 17 October 2003, then-President Hugo Chavez threatened to take political reprisals against the signatories in a televised public event.</w:t>
      </w:r>
    </w:p>
    <w:p w14:paraId="38FEF148" w14:textId="77777777" w:rsidR="00E10F7B" w:rsidRPr="00326F31" w:rsidRDefault="00E10F7B" w:rsidP="00F5380C">
      <w:pPr>
        <w:jc w:val="both"/>
        <w:rPr>
          <w:rFonts w:asciiTheme="majorHAnsi" w:eastAsia="Calibri" w:hAnsiTheme="majorHAnsi"/>
          <w:sz w:val="20"/>
          <w:szCs w:val="20"/>
        </w:rPr>
      </w:pPr>
    </w:p>
    <w:p w14:paraId="087A283E" w14:textId="54941C93" w:rsidR="007155B6" w:rsidRPr="00F5380C" w:rsidRDefault="00E10F7B" w:rsidP="00F5380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t xml:space="preserve">As for the argument </w:t>
      </w:r>
      <w:r w:rsidR="00F5380C">
        <w:rPr>
          <w:rFonts w:asciiTheme="majorHAnsi" w:eastAsia="Calibri" w:hAnsiTheme="majorHAnsi"/>
          <w:sz w:val="20"/>
          <w:szCs w:val="20"/>
        </w:rPr>
        <w:t xml:space="preserve">according to which a contractual provision allowed for the State to terminate such contracts, </w:t>
      </w:r>
      <w:r w:rsidRPr="00F5380C">
        <w:rPr>
          <w:rFonts w:asciiTheme="majorHAnsi" w:eastAsia="Calibri" w:hAnsiTheme="majorHAnsi"/>
          <w:sz w:val="20"/>
          <w:szCs w:val="20"/>
        </w:rPr>
        <w:t>the petitioners pointed out that this should not be construed as an authorization for arbitrariness or that it absolves the State from invoking legitimate and rational reasons, other than any form of discrimination prohibited by Article 1.1 of the Convention.</w:t>
      </w:r>
      <w:r w:rsidR="007470B2" w:rsidRPr="00F5380C">
        <w:rPr>
          <w:rFonts w:asciiTheme="majorHAnsi" w:eastAsia="Calibri" w:hAnsiTheme="majorHAnsi"/>
          <w:sz w:val="20"/>
          <w:szCs w:val="20"/>
        </w:rPr>
        <w:t xml:space="preserve"> </w:t>
      </w:r>
    </w:p>
    <w:p w14:paraId="0BBA2A3D" w14:textId="77777777" w:rsidR="00E10F7B" w:rsidRPr="00326F31" w:rsidRDefault="00E10F7B" w:rsidP="00326F31">
      <w:pPr>
        <w:jc w:val="both"/>
        <w:rPr>
          <w:rFonts w:asciiTheme="majorHAnsi" w:eastAsia="Calibri" w:hAnsiTheme="majorHAnsi"/>
          <w:sz w:val="20"/>
          <w:szCs w:val="20"/>
        </w:rPr>
      </w:pPr>
    </w:p>
    <w:p w14:paraId="7646ACCA" w14:textId="0E7B2623" w:rsidR="00EE0F71" w:rsidRPr="00326F31" w:rsidRDefault="00E10F7B"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eastAsia="Calibri" w:hAnsiTheme="majorHAnsi"/>
          <w:sz w:val="20"/>
          <w:szCs w:val="20"/>
        </w:rPr>
        <w:t xml:space="preserve">The petitioners argued that given the facts described above, the State violated Articles 5, 8, 13, 16, 23, 24, 25 and 26 of the American Convention, in conjunction with Articles 1 (1), 2 and 29 thereof , to the detriment of Rocío San Miguel Sosa, </w:t>
      </w:r>
      <w:proofErr w:type="spellStart"/>
      <w:r w:rsidRPr="00326F31">
        <w:rPr>
          <w:rFonts w:asciiTheme="majorHAnsi" w:eastAsia="Calibri" w:hAnsiTheme="majorHAnsi"/>
          <w:sz w:val="20"/>
          <w:szCs w:val="20"/>
        </w:rPr>
        <w:t>Magally</w:t>
      </w:r>
      <w:proofErr w:type="spellEnd"/>
      <w:r w:rsidRPr="00326F31">
        <w:rPr>
          <w:rFonts w:asciiTheme="majorHAnsi" w:eastAsia="Calibri" w:hAnsiTheme="majorHAnsi"/>
          <w:sz w:val="20"/>
          <w:szCs w:val="20"/>
        </w:rPr>
        <w:t xml:space="preserve"> Chang </w:t>
      </w:r>
      <w:proofErr w:type="spellStart"/>
      <w:r w:rsidRPr="00326F31">
        <w:rPr>
          <w:rFonts w:asciiTheme="majorHAnsi" w:eastAsia="Calibri" w:hAnsiTheme="majorHAnsi"/>
          <w:sz w:val="20"/>
          <w:szCs w:val="20"/>
        </w:rPr>
        <w:t>Girón</w:t>
      </w:r>
      <w:proofErr w:type="spellEnd"/>
      <w:r w:rsidRPr="00326F31">
        <w:rPr>
          <w:rFonts w:asciiTheme="majorHAnsi" w:eastAsia="Calibri" w:hAnsiTheme="majorHAnsi"/>
          <w:sz w:val="20"/>
          <w:szCs w:val="20"/>
        </w:rPr>
        <w:t xml:space="preserve">, and Thais </w:t>
      </w:r>
      <w:proofErr w:type="spellStart"/>
      <w:r w:rsidRPr="00326F31">
        <w:rPr>
          <w:rFonts w:asciiTheme="majorHAnsi" w:eastAsia="Calibri" w:hAnsiTheme="majorHAnsi"/>
          <w:sz w:val="20"/>
          <w:szCs w:val="20"/>
        </w:rPr>
        <w:t>Coromoto</w:t>
      </w:r>
      <w:proofErr w:type="spellEnd"/>
      <w:r w:rsidRPr="00326F31">
        <w:rPr>
          <w:rFonts w:asciiTheme="majorHAnsi" w:eastAsia="Calibri" w:hAnsiTheme="majorHAnsi"/>
          <w:sz w:val="20"/>
          <w:szCs w:val="20"/>
        </w:rPr>
        <w:t xml:space="preserve"> Peña</w:t>
      </w:r>
      <w:r w:rsidR="00BB7104">
        <w:rPr>
          <w:rFonts w:asciiTheme="majorHAnsi" w:eastAsia="Calibri" w:hAnsiTheme="majorHAnsi"/>
          <w:sz w:val="20"/>
          <w:szCs w:val="20"/>
        </w:rPr>
        <w:t>.</w:t>
      </w:r>
    </w:p>
    <w:p w14:paraId="721AF9C4" w14:textId="77777777" w:rsidR="00003585" w:rsidRPr="00326F31" w:rsidRDefault="00003585" w:rsidP="00326F31">
      <w:pPr>
        <w:jc w:val="both"/>
        <w:rPr>
          <w:rFonts w:asciiTheme="majorHAnsi" w:hAnsiTheme="majorHAnsi"/>
          <w:sz w:val="20"/>
          <w:szCs w:val="20"/>
        </w:rPr>
      </w:pPr>
    </w:p>
    <w:p w14:paraId="160686D5" w14:textId="77777777" w:rsidR="00762237" w:rsidRPr="00326F31" w:rsidRDefault="009D4083"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sz w:val="20"/>
          <w:szCs w:val="20"/>
        </w:rPr>
        <w:t>As to the alleged violation of</w:t>
      </w:r>
      <w:r w:rsidR="00003585" w:rsidRPr="00326F31">
        <w:rPr>
          <w:rFonts w:asciiTheme="majorHAnsi" w:hAnsiTheme="majorHAnsi"/>
          <w:sz w:val="20"/>
          <w:szCs w:val="20"/>
        </w:rPr>
        <w:t xml:space="preserve"> the</w:t>
      </w:r>
      <w:r w:rsidRPr="00326F31">
        <w:rPr>
          <w:rFonts w:asciiTheme="majorHAnsi" w:hAnsiTheme="majorHAnsi"/>
          <w:sz w:val="20"/>
          <w:szCs w:val="20"/>
        </w:rPr>
        <w:t xml:space="preserve"> </w:t>
      </w:r>
      <w:r w:rsidR="00003585" w:rsidRPr="00326F31">
        <w:rPr>
          <w:rFonts w:asciiTheme="majorHAnsi" w:hAnsiTheme="majorHAnsi"/>
          <w:b/>
          <w:sz w:val="20"/>
          <w:szCs w:val="20"/>
        </w:rPr>
        <w:t>right to humane treatment</w:t>
      </w:r>
      <w:r w:rsidRPr="00326F31">
        <w:rPr>
          <w:rFonts w:asciiTheme="majorHAnsi" w:hAnsiTheme="majorHAnsi"/>
          <w:sz w:val="20"/>
          <w:szCs w:val="20"/>
        </w:rPr>
        <w:t xml:space="preserve">, the petitioners assert that the Venezuelan State subjected the alleged victims to cruel, inhuman and degrading treatment, by punishing them for exercising a legitimate right, which deprived them of their livelihood, </w:t>
      </w:r>
      <w:r w:rsidR="00003585" w:rsidRPr="00326F31">
        <w:rPr>
          <w:rFonts w:asciiTheme="majorHAnsi" w:hAnsiTheme="majorHAnsi"/>
          <w:sz w:val="20"/>
          <w:szCs w:val="20"/>
        </w:rPr>
        <w:t xml:space="preserve">and </w:t>
      </w:r>
      <w:r w:rsidRPr="00326F31">
        <w:rPr>
          <w:rFonts w:asciiTheme="majorHAnsi" w:hAnsiTheme="majorHAnsi"/>
          <w:sz w:val="20"/>
          <w:szCs w:val="20"/>
        </w:rPr>
        <w:t xml:space="preserve">stigmatized them in the eyes of the rest of society, </w:t>
      </w:r>
      <w:r w:rsidR="00003585" w:rsidRPr="00326F31">
        <w:rPr>
          <w:rFonts w:asciiTheme="majorHAnsi" w:hAnsiTheme="majorHAnsi"/>
          <w:sz w:val="20"/>
          <w:szCs w:val="20"/>
        </w:rPr>
        <w:t>upsetting</w:t>
      </w:r>
      <w:r w:rsidRPr="00326F31">
        <w:rPr>
          <w:rFonts w:asciiTheme="majorHAnsi" w:hAnsiTheme="majorHAnsi"/>
          <w:sz w:val="20"/>
          <w:szCs w:val="20"/>
        </w:rPr>
        <w:t xml:space="preserve"> their spiritual and family life, leading to </w:t>
      </w:r>
      <w:r w:rsidR="00003585" w:rsidRPr="00326F31">
        <w:rPr>
          <w:rFonts w:asciiTheme="majorHAnsi" w:hAnsiTheme="majorHAnsi"/>
          <w:sz w:val="20"/>
          <w:szCs w:val="20"/>
        </w:rPr>
        <w:t>feelings of frustration, which severely affected</w:t>
      </w:r>
      <w:r w:rsidRPr="00326F31">
        <w:rPr>
          <w:rFonts w:asciiTheme="majorHAnsi" w:hAnsiTheme="majorHAnsi"/>
          <w:sz w:val="20"/>
          <w:szCs w:val="20"/>
        </w:rPr>
        <w:t xml:space="preserve"> their life </w:t>
      </w:r>
      <w:r w:rsidR="00003585" w:rsidRPr="00326F31">
        <w:rPr>
          <w:rFonts w:asciiTheme="majorHAnsi" w:hAnsiTheme="majorHAnsi"/>
          <w:sz w:val="20"/>
          <w:szCs w:val="20"/>
        </w:rPr>
        <w:t>plans.</w:t>
      </w:r>
    </w:p>
    <w:p w14:paraId="2F6B902A" w14:textId="77777777" w:rsidR="00762237" w:rsidRPr="00326F31" w:rsidRDefault="00762237" w:rsidP="00326F31">
      <w:pPr>
        <w:pStyle w:val="ListParagraph"/>
        <w:jc w:val="both"/>
        <w:rPr>
          <w:rFonts w:asciiTheme="majorHAnsi" w:hAnsiTheme="majorHAnsi"/>
          <w:sz w:val="20"/>
          <w:szCs w:val="20"/>
        </w:rPr>
      </w:pPr>
    </w:p>
    <w:p w14:paraId="1795F5F0" w14:textId="7CBD64FE" w:rsidR="00762237" w:rsidRPr="00326F31" w:rsidRDefault="00003585"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sz w:val="20"/>
          <w:szCs w:val="20"/>
        </w:rPr>
        <w:t xml:space="preserve">As to the alleged violation of their </w:t>
      </w:r>
      <w:r w:rsidRPr="00326F31">
        <w:rPr>
          <w:rFonts w:asciiTheme="majorHAnsi" w:hAnsiTheme="majorHAnsi"/>
          <w:b/>
          <w:sz w:val="20"/>
          <w:szCs w:val="20"/>
        </w:rPr>
        <w:t>right to a fair trial</w:t>
      </w:r>
      <w:r w:rsidRPr="00326F31">
        <w:rPr>
          <w:rFonts w:asciiTheme="majorHAnsi" w:hAnsiTheme="majorHAnsi"/>
          <w:sz w:val="20"/>
          <w:szCs w:val="20"/>
        </w:rPr>
        <w:t>, the petitioners contended, first and foremost, that the dismissal of the alleged victims from their positions of employment was an actual administrative sanction for exercising their rights.</w:t>
      </w:r>
      <w:r w:rsidR="005E6C10">
        <w:rPr>
          <w:rFonts w:asciiTheme="majorHAnsi" w:hAnsiTheme="majorHAnsi"/>
          <w:sz w:val="20"/>
          <w:szCs w:val="20"/>
        </w:rPr>
        <w:t xml:space="preserve"> </w:t>
      </w:r>
      <w:r w:rsidRPr="00326F31">
        <w:rPr>
          <w:rFonts w:asciiTheme="majorHAnsi" w:hAnsiTheme="majorHAnsi"/>
          <w:sz w:val="20"/>
          <w:szCs w:val="20"/>
        </w:rPr>
        <w:t>In the view of the petitioners, if the State was charging the alleged victims with having committed an offense, it had the duty to properly serve notice of the charges to them, bring the evidence against them to their atten</w:t>
      </w:r>
      <w:r w:rsidR="00762237" w:rsidRPr="00326F31">
        <w:rPr>
          <w:rFonts w:asciiTheme="majorHAnsi" w:hAnsiTheme="majorHAnsi"/>
          <w:sz w:val="20"/>
          <w:szCs w:val="20"/>
        </w:rPr>
        <w:t xml:space="preserve">tion and to hear their defense. Secondly, the petitioners alleged that both the criminal proceeding and the </w:t>
      </w:r>
      <w:r w:rsidR="00762237" w:rsidRPr="00326F31">
        <w:rPr>
          <w:rFonts w:asciiTheme="majorHAnsi" w:hAnsiTheme="majorHAnsi"/>
          <w:i/>
          <w:sz w:val="20"/>
          <w:szCs w:val="20"/>
        </w:rPr>
        <w:t>amparo</w:t>
      </w:r>
      <w:r w:rsidR="00762237" w:rsidRPr="00326F31">
        <w:rPr>
          <w:rFonts w:asciiTheme="majorHAnsi" w:hAnsiTheme="majorHAnsi"/>
          <w:sz w:val="20"/>
          <w:szCs w:val="20"/>
        </w:rPr>
        <w:t xml:space="preserve"> proceeding for constitutional relief were marred by many irregularities and that the State did not fulfill the minimum standard of </w:t>
      </w:r>
      <w:r w:rsidR="00A955FA">
        <w:rPr>
          <w:rFonts w:asciiTheme="majorHAnsi" w:hAnsiTheme="majorHAnsi"/>
          <w:sz w:val="20"/>
          <w:szCs w:val="20"/>
        </w:rPr>
        <w:t xml:space="preserve">due diligence </w:t>
      </w:r>
      <w:r w:rsidR="00762237" w:rsidRPr="00326F31">
        <w:rPr>
          <w:rFonts w:asciiTheme="majorHAnsi" w:hAnsiTheme="majorHAnsi"/>
          <w:sz w:val="20"/>
          <w:szCs w:val="20"/>
        </w:rPr>
        <w:t>to investigate this type of.</w:t>
      </w:r>
      <w:r w:rsidR="005E6C10">
        <w:rPr>
          <w:rFonts w:asciiTheme="majorHAnsi" w:hAnsiTheme="majorHAnsi"/>
          <w:sz w:val="20"/>
          <w:szCs w:val="20"/>
        </w:rPr>
        <w:t xml:space="preserve"> </w:t>
      </w:r>
      <w:r w:rsidR="00762237" w:rsidRPr="00326F31">
        <w:rPr>
          <w:rFonts w:asciiTheme="majorHAnsi" w:hAnsiTheme="majorHAnsi"/>
          <w:sz w:val="20"/>
          <w:szCs w:val="20"/>
        </w:rPr>
        <w:t xml:space="preserve">They added that, in the proceeding to seek constitutional relief through </w:t>
      </w:r>
      <w:r w:rsidR="00762237" w:rsidRPr="00326F31">
        <w:rPr>
          <w:rFonts w:asciiTheme="majorHAnsi" w:hAnsiTheme="majorHAnsi"/>
          <w:i/>
          <w:sz w:val="20"/>
          <w:szCs w:val="20"/>
        </w:rPr>
        <w:t xml:space="preserve">amparo, </w:t>
      </w:r>
      <w:r w:rsidR="00762237" w:rsidRPr="00326F31">
        <w:rPr>
          <w:rFonts w:asciiTheme="majorHAnsi" w:hAnsiTheme="majorHAnsi"/>
          <w:sz w:val="20"/>
          <w:szCs w:val="20"/>
        </w:rPr>
        <w:t xml:space="preserve">the alleged victims were not heard by an independent and impartial tribunal, within a reasonable time and under the </w:t>
      </w:r>
      <w:r w:rsidR="00A955FA">
        <w:rPr>
          <w:rFonts w:asciiTheme="majorHAnsi" w:hAnsiTheme="majorHAnsi"/>
          <w:sz w:val="20"/>
          <w:szCs w:val="20"/>
        </w:rPr>
        <w:t xml:space="preserve">guarantees of due process. </w:t>
      </w:r>
    </w:p>
    <w:p w14:paraId="0901E1F2" w14:textId="77777777" w:rsidR="00762237" w:rsidRPr="00326F31" w:rsidRDefault="00762237"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both"/>
        <w:rPr>
          <w:rFonts w:asciiTheme="majorHAnsi" w:eastAsia="Calibri" w:hAnsiTheme="majorHAnsi"/>
          <w:sz w:val="20"/>
          <w:szCs w:val="20"/>
        </w:rPr>
      </w:pPr>
    </w:p>
    <w:p w14:paraId="0604A115" w14:textId="02CBCFA9" w:rsidR="00762237" w:rsidRPr="00326F31" w:rsidRDefault="00762237"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sz w:val="20"/>
          <w:szCs w:val="20"/>
        </w:rPr>
        <w:t>As for the criminal complaint, the petitioners contended that the Office of the Public Prosecutor failed to take the necessary measures in the investigation, such as an</w:t>
      </w:r>
      <w:r w:rsidR="00A955FA">
        <w:rPr>
          <w:rFonts w:asciiTheme="majorHAnsi" w:hAnsiTheme="majorHAnsi"/>
          <w:sz w:val="20"/>
          <w:szCs w:val="20"/>
        </w:rPr>
        <w:t xml:space="preserve"> on-site inspection</w:t>
      </w:r>
      <w:r w:rsidRPr="00326F31">
        <w:rPr>
          <w:rFonts w:asciiTheme="majorHAnsi" w:hAnsiTheme="majorHAnsi"/>
          <w:sz w:val="20"/>
          <w:szCs w:val="20"/>
        </w:rPr>
        <w:t xml:space="preserve"> to w</w:t>
      </w:r>
      <w:r w:rsidR="00F5380C">
        <w:rPr>
          <w:rFonts w:asciiTheme="majorHAnsi" w:hAnsiTheme="majorHAnsi"/>
          <w:sz w:val="20"/>
          <w:szCs w:val="20"/>
        </w:rPr>
        <w:t>h</w:t>
      </w:r>
      <w:r w:rsidRPr="00326F31">
        <w:rPr>
          <w:rFonts w:asciiTheme="majorHAnsi" w:hAnsiTheme="majorHAnsi"/>
          <w:sz w:val="20"/>
          <w:szCs w:val="20"/>
        </w:rPr>
        <w:t>ere the incidents occurred, or interviews to staff members assigned to the National Border Council.</w:t>
      </w:r>
      <w:r w:rsidR="005E6C10">
        <w:rPr>
          <w:rFonts w:asciiTheme="majorHAnsi" w:hAnsiTheme="majorHAnsi"/>
          <w:sz w:val="20"/>
          <w:szCs w:val="20"/>
        </w:rPr>
        <w:t xml:space="preserve"> </w:t>
      </w:r>
      <w:r w:rsidRPr="00326F31">
        <w:rPr>
          <w:rFonts w:asciiTheme="majorHAnsi" w:hAnsiTheme="majorHAnsi"/>
          <w:sz w:val="20"/>
          <w:szCs w:val="20"/>
        </w:rPr>
        <w:t>They further claimed that the decision to dismiss the case took place “behind the backs of the [alleged] victims.”</w:t>
      </w:r>
      <w:r w:rsidR="005E6C10">
        <w:rPr>
          <w:rFonts w:asciiTheme="majorHAnsi" w:hAnsiTheme="majorHAnsi"/>
          <w:sz w:val="20"/>
          <w:szCs w:val="20"/>
        </w:rPr>
        <w:t xml:space="preserve"> </w:t>
      </w:r>
      <w:r w:rsidRPr="00326F31">
        <w:rPr>
          <w:rFonts w:asciiTheme="majorHAnsi" w:hAnsiTheme="majorHAnsi"/>
          <w:sz w:val="20"/>
          <w:szCs w:val="20"/>
        </w:rPr>
        <w:t>In this regard, the petitioners argued that the Control Court did not summon the parties to the oral hearing that was held to receive their arguments on the motion for dismissal of the case filed by the Office of the Public Prosecutor, as required by Venezuelan legislation.</w:t>
      </w:r>
      <w:r w:rsidR="005E6C10">
        <w:rPr>
          <w:rFonts w:asciiTheme="majorHAnsi" w:hAnsiTheme="majorHAnsi"/>
          <w:sz w:val="20"/>
          <w:szCs w:val="20"/>
        </w:rPr>
        <w:t xml:space="preserve"> </w:t>
      </w:r>
      <w:r w:rsidRPr="00326F31">
        <w:rPr>
          <w:rFonts w:asciiTheme="majorHAnsi" w:hAnsiTheme="majorHAnsi"/>
          <w:sz w:val="20"/>
          <w:szCs w:val="20"/>
        </w:rPr>
        <w:t xml:space="preserve">They asserted that they appealed to the Chamber for </w:t>
      </w:r>
      <w:r w:rsidRPr="00326F31">
        <w:rPr>
          <w:rFonts w:asciiTheme="majorHAnsi" w:hAnsiTheme="majorHAnsi"/>
          <w:sz w:val="20"/>
          <w:szCs w:val="20"/>
        </w:rPr>
        <w:lastRenderedPageBreak/>
        <w:t>Appeals on Criminal Matters of the Supreme Court of Justice, to order the case to be reheard, because a hearing on the dismissal had not be conducted, which was d</w:t>
      </w:r>
      <w:r w:rsidR="00F5380C">
        <w:rPr>
          <w:rFonts w:asciiTheme="majorHAnsi" w:hAnsiTheme="majorHAnsi"/>
          <w:sz w:val="20"/>
          <w:szCs w:val="20"/>
        </w:rPr>
        <w:t xml:space="preserve">enied even though </w:t>
      </w:r>
      <w:r w:rsidRPr="00326F31">
        <w:rPr>
          <w:rFonts w:asciiTheme="majorHAnsi" w:hAnsiTheme="majorHAnsi"/>
          <w:sz w:val="20"/>
          <w:szCs w:val="20"/>
        </w:rPr>
        <w:t xml:space="preserve"> a consistent legal precedent supporting their claim</w:t>
      </w:r>
      <w:r w:rsidR="00F5380C">
        <w:rPr>
          <w:rFonts w:asciiTheme="majorHAnsi" w:hAnsiTheme="majorHAnsi"/>
          <w:sz w:val="20"/>
          <w:szCs w:val="20"/>
        </w:rPr>
        <w:t xml:space="preserve"> existed</w:t>
      </w:r>
      <w:r w:rsidRPr="00326F31">
        <w:rPr>
          <w:rFonts w:asciiTheme="majorHAnsi" w:hAnsiTheme="majorHAnsi"/>
          <w:sz w:val="20"/>
          <w:szCs w:val="20"/>
        </w:rPr>
        <w:t xml:space="preserve">. </w:t>
      </w:r>
    </w:p>
    <w:p w14:paraId="5DA809D4" w14:textId="5FEA4422" w:rsidR="00424452" w:rsidRPr="00326F31" w:rsidRDefault="00424452"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55996265" w14:textId="04F7F0F6" w:rsidR="005C491E" w:rsidRPr="00326F31" w:rsidRDefault="005C491E"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sz w:val="20"/>
          <w:szCs w:val="20"/>
        </w:rPr>
        <w:t xml:space="preserve">As for the alleged violation of </w:t>
      </w:r>
      <w:r w:rsidRPr="00326F31">
        <w:rPr>
          <w:rFonts w:asciiTheme="majorHAnsi" w:hAnsiTheme="majorHAnsi"/>
          <w:b/>
          <w:sz w:val="20"/>
          <w:szCs w:val="20"/>
        </w:rPr>
        <w:t>freedom of thought and expression</w:t>
      </w:r>
      <w:r w:rsidRPr="00326F31">
        <w:rPr>
          <w:rFonts w:asciiTheme="majorHAnsi" w:hAnsiTheme="majorHAnsi"/>
          <w:sz w:val="20"/>
          <w:szCs w:val="20"/>
        </w:rPr>
        <w:t>, the petitioners argued that the alleged victims were dismissed as punishment for expressing their political opinion by signing the petition for the recall referendum and, in so doing, their own opinion on the performance of the Venezuelan government.</w:t>
      </w:r>
      <w:r w:rsidR="005E6C10">
        <w:rPr>
          <w:rFonts w:asciiTheme="majorHAnsi" w:hAnsiTheme="majorHAnsi"/>
          <w:sz w:val="20"/>
          <w:szCs w:val="20"/>
        </w:rPr>
        <w:t xml:space="preserve"> </w:t>
      </w:r>
      <w:r w:rsidRPr="00326F31">
        <w:rPr>
          <w:rFonts w:asciiTheme="majorHAnsi" w:hAnsiTheme="majorHAnsi"/>
          <w:sz w:val="20"/>
          <w:szCs w:val="20"/>
        </w:rPr>
        <w:t>The petitioners also believed that the aforementioned punishment has a chilling effect.</w:t>
      </w:r>
      <w:r w:rsidR="005E6C10">
        <w:rPr>
          <w:rFonts w:asciiTheme="majorHAnsi" w:hAnsiTheme="majorHAnsi"/>
          <w:sz w:val="20"/>
          <w:szCs w:val="20"/>
        </w:rPr>
        <w:t xml:space="preserve"> </w:t>
      </w:r>
      <w:r w:rsidRPr="00326F31">
        <w:rPr>
          <w:rFonts w:asciiTheme="majorHAnsi" w:hAnsiTheme="majorHAnsi"/>
          <w:sz w:val="20"/>
          <w:szCs w:val="20"/>
        </w:rPr>
        <w:t>They stressed that there must be a wide margin of tolerance for statements about public officials, when matters of public interest are involved.</w:t>
      </w:r>
    </w:p>
    <w:p w14:paraId="22C408FC" w14:textId="77777777" w:rsidR="005C491E" w:rsidRPr="00326F31" w:rsidRDefault="005C491E"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07B440FB" w14:textId="7F9AD143" w:rsidR="007025F2" w:rsidRPr="007025F2" w:rsidRDefault="005C491E"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sz w:val="20"/>
          <w:szCs w:val="20"/>
        </w:rPr>
        <w:t xml:space="preserve">Concerning the </w:t>
      </w:r>
      <w:r w:rsidRPr="00326F31">
        <w:rPr>
          <w:rFonts w:asciiTheme="majorHAnsi" w:hAnsiTheme="majorHAnsi"/>
          <w:b/>
          <w:sz w:val="20"/>
          <w:szCs w:val="20"/>
        </w:rPr>
        <w:t>right to association</w:t>
      </w:r>
      <w:r w:rsidRPr="00326F31">
        <w:rPr>
          <w:rFonts w:asciiTheme="majorHAnsi" w:hAnsiTheme="majorHAnsi"/>
          <w:sz w:val="20"/>
          <w:szCs w:val="20"/>
        </w:rPr>
        <w:t xml:space="preserve">, the petitioners noted that a transitory association of citizens </w:t>
      </w:r>
      <w:r w:rsidR="007025F2">
        <w:rPr>
          <w:rFonts w:asciiTheme="majorHAnsi" w:hAnsiTheme="majorHAnsi"/>
          <w:sz w:val="20"/>
          <w:szCs w:val="20"/>
        </w:rPr>
        <w:t xml:space="preserve">with the legitimate aim of revoking the mandate of President of the Republic, should not have been interfered by the State as it happen when the alleged victims were remove from their posts. </w:t>
      </w:r>
    </w:p>
    <w:p w14:paraId="292D9F0C" w14:textId="77777777" w:rsidR="007025F2" w:rsidRPr="00326F31" w:rsidRDefault="007025F2" w:rsidP="00326F31">
      <w:pPr>
        <w:jc w:val="both"/>
        <w:rPr>
          <w:rFonts w:asciiTheme="majorHAnsi" w:hAnsiTheme="majorHAnsi"/>
          <w:sz w:val="20"/>
          <w:szCs w:val="20"/>
        </w:rPr>
      </w:pPr>
    </w:p>
    <w:p w14:paraId="6B45AA20" w14:textId="59759B22" w:rsidR="005C491E" w:rsidRPr="00326F31" w:rsidRDefault="005C491E"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sz w:val="20"/>
          <w:szCs w:val="20"/>
        </w:rPr>
        <w:t xml:space="preserve">With regard to the alleged violation of the </w:t>
      </w:r>
      <w:r w:rsidRPr="00326F31">
        <w:rPr>
          <w:rFonts w:asciiTheme="majorHAnsi" w:hAnsiTheme="majorHAnsi"/>
          <w:b/>
          <w:sz w:val="20"/>
          <w:szCs w:val="20"/>
        </w:rPr>
        <w:t>right to participate in government</w:t>
      </w:r>
      <w:r w:rsidRPr="00326F31">
        <w:rPr>
          <w:rFonts w:asciiTheme="majorHAnsi" w:hAnsiTheme="majorHAnsi"/>
          <w:sz w:val="20"/>
          <w:szCs w:val="20"/>
        </w:rPr>
        <w:t>, the petitioners claimed that the alleged victims were the target of pressure to not exercise their political right to participate in the process of convening a recall referendum on the president’s term in office, and that their subsequent dismissal from their job amounted to a punishment for exercising said right.</w:t>
      </w:r>
      <w:r w:rsidR="005E6C10">
        <w:rPr>
          <w:rFonts w:asciiTheme="majorHAnsi" w:hAnsiTheme="majorHAnsi"/>
          <w:sz w:val="20"/>
          <w:szCs w:val="20"/>
        </w:rPr>
        <w:t xml:space="preserve"> </w:t>
      </w:r>
      <w:r w:rsidRPr="00326F31">
        <w:rPr>
          <w:rFonts w:asciiTheme="majorHAnsi" w:hAnsiTheme="majorHAnsi"/>
          <w:sz w:val="20"/>
          <w:szCs w:val="20"/>
        </w:rPr>
        <w:t xml:space="preserve">The petitioners also alleged that when the list of people who signed the petition to call for the referendum was made public, the right to vote by secret ballot, as provided for by Article 23.1.b of the Convention, was infringed. The petitioners further claimed the violation to Article 23.1.c of the Convention, given that excluding people from government jobs who do not share the official ideology of the government, fosters a system of political </w:t>
      </w:r>
      <w:r w:rsidRPr="00326F31">
        <w:rPr>
          <w:rFonts w:asciiTheme="majorHAnsi" w:hAnsiTheme="majorHAnsi"/>
          <w:i/>
          <w:sz w:val="20"/>
          <w:szCs w:val="20"/>
        </w:rPr>
        <w:t>apartheid.</w:t>
      </w:r>
    </w:p>
    <w:p w14:paraId="0DCCAB76" w14:textId="77777777" w:rsidR="005C491E" w:rsidRPr="00326F31" w:rsidRDefault="005C491E" w:rsidP="00326F31">
      <w:pPr>
        <w:pStyle w:val="ListParagraph"/>
        <w:jc w:val="both"/>
        <w:rPr>
          <w:rFonts w:asciiTheme="majorHAnsi" w:hAnsiTheme="majorHAnsi"/>
          <w:sz w:val="20"/>
          <w:szCs w:val="20"/>
        </w:rPr>
      </w:pPr>
    </w:p>
    <w:p w14:paraId="39C30392" w14:textId="0548BC1F" w:rsidR="005C491E" w:rsidRPr="00326F31" w:rsidRDefault="005C491E"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sz w:val="20"/>
          <w:szCs w:val="20"/>
        </w:rPr>
        <w:t xml:space="preserve">With regard to the </w:t>
      </w:r>
      <w:r w:rsidRPr="00326F31">
        <w:rPr>
          <w:rFonts w:asciiTheme="majorHAnsi" w:hAnsiTheme="majorHAnsi"/>
          <w:b/>
          <w:sz w:val="20"/>
          <w:szCs w:val="20"/>
        </w:rPr>
        <w:t>right to equal protection and the principle of nondiscrimination</w:t>
      </w:r>
      <w:r w:rsidRPr="00326F31">
        <w:rPr>
          <w:rFonts w:asciiTheme="majorHAnsi" w:hAnsiTheme="majorHAnsi"/>
          <w:sz w:val="20"/>
          <w:szCs w:val="20"/>
        </w:rPr>
        <w:t>, the petitioners stated that unlike the alleged victims, public officials who were committed to the political project of the then President of the Republic could freely express their views without being fired. They also alleged that the case is a clear example of political discrimination since the publication of the "Tascon list" had the effect of exposing to public hatred and contempt to thos</w:t>
      </w:r>
      <w:r w:rsidR="00706840" w:rsidRPr="00326F31">
        <w:rPr>
          <w:rFonts w:asciiTheme="majorHAnsi" w:hAnsiTheme="majorHAnsi"/>
          <w:sz w:val="20"/>
          <w:szCs w:val="20"/>
        </w:rPr>
        <w:t>e who signed the petit</w:t>
      </w:r>
      <w:r w:rsidRPr="00326F31">
        <w:rPr>
          <w:rFonts w:asciiTheme="majorHAnsi" w:hAnsiTheme="majorHAnsi"/>
          <w:sz w:val="20"/>
          <w:szCs w:val="20"/>
        </w:rPr>
        <w:t>ion for the recall referendum. They added that the signatories of the list suffered various reprisals, like watching their access to public facilities being prevented, the cancelation of their contracts with the public administration, obstacles in obtaining identity documents, as well as the publication of their names on billboards of public offices and their classification as "traitors to the nation".</w:t>
      </w:r>
    </w:p>
    <w:p w14:paraId="225198D1" w14:textId="77777777" w:rsidR="00900B16" w:rsidRPr="00326F31" w:rsidRDefault="00900B16" w:rsidP="00326F31">
      <w:pPr>
        <w:jc w:val="both"/>
        <w:rPr>
          <w:rFonts w:asciiTheme="majorHAnsi" w:hAnsiTheme="majorHAnsi"/>
          <w:sz w:val="20"/>
          <w:szCs w:val="20"/>
        </w:rPr>
      </w:pPr>
    </w:p>
    <w:p w14:paraId="6AEF8696" w14:textId="7F92C4A3" w:rsidR="009F55E8" w:rsidRPr="00326F31" w:rsidRDefault="009F55E8"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sz w:val="20"/>
          <w:szCs w:val="20"/>
        </w:rPr>
        <w:t xml:space="preserve">As for the </w:t>
      </w:r>
      <w:r w:rsidRPr="00326F31">
        <w:rPr>
          <w:rFonts w:asciiTheme="majorHAnsi" w:hAnsiTheme="majorHAnsi"/>
          <w:b/>
          <w:sz w:val="20"/>
          <w:szCs w:val="20"/>
        </w:rPr>
        <w:t>right to judicial protection</w:t>
      </w:r>
      <w:r w:rsidRPr="00326F31">
        <w:rPr>
          <w:rFonts w:asciiTheme="majorHAnsi" w:hAnsiTheme="majorHAnsi"/>
          <w:sz w:val="20"/>
          <w:szCs w:val="20"/>
        </w:rPr>
        <w:t>, the petitioners claimed that the alleged victims did not occupy positions of trust, inasmuch as: (i) the State had not complied with the provisions of Article 53 of the Law of the Public Service Statute, which sets forth that positions of trust must expressly be listed in the organic regulations of the entities of the civil service; (ii) the alleged victims were never invited to take part at high-level meetings; and (iii) all of them had served in the civil service on the National Border Council for more than two administrations, without being replaced due to the change in government.</w:t>
      </w:r>
      <w:r w:rsidR="005E6C10">
        <w:rPr>
          <w:rFonts w:asciiTheme="majorHAnsi" w:hAnsiTheme="majorHAnsi"/>
          <w:sz w:val="20"/>
          <w:szCs w:val="20"/>
        </w:rPr>
        <w:t xml:space="preserve"> </w:t>
      </w:r>
      <w:r w:rsidRPr="00326F31">
        <w:rPr>
          <w:rFonts w:asciiTheme="majorHAnsi" w:hAnsiTheme="majorHAnsi"/>
          <w:sz w:val="20"/>
          <w:szCs w:val="20"/>
        </w:rPr>
        <w:t>Based on this classification, the petitioners contended, the alleged victims did not have access to a simple and prompt remedy to provide relief to them from the decisions of the administration.</w:t>
      </w:r>
      <w:r w:rsidR="005E6C10">
        <w:rPr>
          <w:rFonts w:asciiTheme="majorHAnsi" w:hAnsiTheme="majorHAnsi"/>
          <w:sz w:val="20"/>
          <w:szCs w:val="20"/>
        </w:rPr>
        <w:t xml:space="preserve"> </w:t>
      </w:r>
      <w:r w:rsidR="00900B16" w:rsidRPr="00326F31">
        <w:rPr>
          <w:rFonts w:asciiTheme="majorHAnsi" w:hAnsiTheme="majorHAnsi"/>
          <w:sz w:val="20"/>
          <w:szCs w:val="20"/>
        </w:rPr>
        <w:t>In general, they</w:t>
      </w:r>
      <w:r w:rsidRPr="00326F31">
        <w:rPr>
          <w:rFonts w:asciiTheme="majorHAnsi" w:hAnsiTheme="majorHAnsi"/>
          <w:sz w:val="20"/>
          <w:szCs w:val="20"/>
        </w:rPr>
        <w:t xml:space="preserve"> contended that “in the absence of the rule of law, in which independent and impartial tribunals operate, any remedy providing relief before the Venezuelan courts would have proven to be ineffective.”</w:t>
      </w:r>
      <w:r w:rsidR="005E6C10">
        <w:rPr>
          <w:rFonts w:asciiTheme="majorHAnsi" w:hAnsiTheme="majorHAnsi"/>
          <w:sz w:val="20"/>
          <w:szCs w:val="20"/>
        </w:rPr>
        <w:t xml:space="preserve"> </w:t>
      </w:r>
    </w:p>
    <w:p w14:paraId="57072778" w14:textId="77777777" w:rsidR="00900B16" w:rsidRPr="00326F31" w:rsidRDefault="00900B16"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1FE8D931" w14:textId="44245674" w:rsidR="00900B16" w:rsidRPr="00326F31" w:rsidRDefault="00900B1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Calibri" w:hAnsiTheme="majorHAnsi"/>
          <w:sz w:val="20"/>
          <w:szCs w:val="20"/>
        </w:rPr>
      </w:pPr>
      <w:r w:rsidRPr="00326F31">
        <w:rPr>
          <w:rFonts w:asciiTheme="majorHAnsi" w:hAnsiTheme="majorHAnsi"/>
          <w:sz w:val="20"/>
          <w:szCs w:val="20"/>
        </w:rPr>
        <w:t xml:space="preserve">Concerning the </w:t>
      </w:r>
      <w:r w:rsidRPr="00326F31">
        <w:rPr>
          <w:rFonts w:asciiTheme="majorHAnsi" w:hAnsiTheme="majorHAnsi"/>
          <w:b/>
          <w:sz w:val="20"/>
          <w:szCs w:val="20"/>
        </w:rPr>
        <w:t>progressive development of economic, social and cultural rights</w:t>
      </w:r>
      <w:r w:rsidRPr="00326F31">
        <w:rPr>
          <w:rFonts w:asciiTheme="majorHAnsi" w:hAnsiTheme="majorHAnsi"/>
          <w:sz w:val="20"/>
          <w:szCs w:val="20"/>
        </w:rPr>
        <w:t>, the petitioners argued that the dismissal of the victims from their jobs was an infringement of their right to work, set forth in Article 45 of the OAS Charter, to which Article 26 the Convention refers to They added that the principle of non-discrimination is fundamental in terms of economic, social and cultural rights.</w:t>
      </w:r>
      <w:r w:rsidR="005E6C10">
        <w:rPr>
          <w:rFonts w:asciiTheme="majorHAnsi" w:hAnsiTheme="majorHAnsi"/>
          <w:sz w:val="20"/>
          <w:szCs w:val="20"/>
        </w:rPr>
        <w:t xml:space="preserve"> </w:t>
      </w:r>
    </w:p>
    <w:p w14:paraId="1EB79080" w14:textId="77777777" w:rsidR="00424452" w:rsidRPr="00326F31" w:rsidRDefault="00424452"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rPr>
      </w:pPr>
    </w:p>
    <w:p w14:paraId="032F40D1" w14:textId="54B9685F" w:rsidR="00E40449" w:rsidRPr="00326F31" w:rsidRDefault="00DE2D1E" w:rsidP="00326F31">
      <w:pPr>
        <w:pStyle w:val="Heading2"/>
        <w:numPr>
          <w:ilvl w:val="0"/>
          <w:numId w:val="59"/>
        </w:numPr>
      </w:pPr>
      <w:bookmarkStart w:id="8" w:name="_Toc433311128"/>
      <w:r w:rsidRPr="00326F31">
        <w:t>Position</w:t>
      </w:r>
      <w:r w:rsidR="00175ABB">
        <w:t xml:space="preserve"> of </w:t>
      </w:r>
      <w:proofErr w:type="spellStart"/>
      <w:r w:rsidR="00175ABB">
        <w:t>the</w:t>
      </w:r>
      <w:proofErr w:type="spellEnd"/>
      <w:r w:rsidR="00175ABB">
        <w:t xml:space="preserve"> </w:t>
      </w:r>
      <w:proofErr w:type="spellStart"/>
      <w:r w:rsidR="00175ABB">
        <w:t>State</w:t>
      </w:r>
      <w:bookmarkEnd w:id="8"/>
      <w:proofErr w:type="spellEnd"/>
      <w:r w:rsidR="00175ABB">
        <w:t xml:space="preserve"> </w:t>
      </w:r>
    </w:p>
    <w:p w14:paraId="46D63BE3" w14:textId="77777777" w:rsidR="00E40449" w:rsidRPr="00326F31" w:rsidRDefault="00E40449" w:rsidP="00326F31">
      <w:pPr>
        <w:jc w:val="both"/>
        <w:rPr>
          <w:rFonts w:asciiTheme="majorHAnsi" w:hAnsiTheme="majorHAnsi"/>
          <w:sz w:val="20"/>
          <w:szCs w:val="20"/>
        </w:rPr>
      </w:pPr>
    </w:p>
    <w:p w14:paraId="262E10D1" w14:textId="51362B28" w:rsidR="00576D03" w:rsidRPr="00326F31" w:rsidRDefault="00576D03"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326F31">
        <w:rPr>
          <w:rFonts w:asciiTheme="majorHAnsi" w:hAnsiTheme="majorHAnsi"/>
          <w:sz w:val="20"/>
          <w:szCs w:val="20"/>
        </w:rPr>
        <w:t>The State did not submit additional observations on the merits. In that sense, this section is based on the arguments of the State on the admissibility stage, as far as relevant for the analysis of the merits.</w:t>
      </w:r>
    </w:p>
    <w:p w14:paraId="1DD0C5C8" w14:textId="77777777" w:rsidR="006907CC" w:rsidRPr="00326F31" w:rsidRDefault="006907CC" w:rsidP="00326F31">
      <w:pPr>
        <w:jc w:val="both"/>
        <w:rPr>
          <w:rFonts w:asciiTheme="majorHAnsi" w:hAnsiTheme="majorHAnsi"/>
          <w:sz w:val="20"/>
          <w:szCs w:val="20"/>
        </w:rPr>
      </w:pPr>
    </w:p>
    <w:p w14:paraId="352B94BF" w14:textId="053B8427" w:rsidR="00182E76" w:rsidRPr="00326F31" w:rsidRDefault="00576D03"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lastRenderedPageBreak/>
        <w:t>In addressing the petition process to gather signatures for convening the recall referendum of the President of the Republic, the State explained that the process requires the signatures of at least twenty per cent of all voters, as set forth in Article 72 of the Constitution of that country.</w:t>
      </w:r>
      <w:r w:rsidR="005E6C10">
        <w:rPr>
          <w:rFonts w:asciiTheme="majorHAnsi" w:hAnsiTheme="majorHAnsi"/>
          <w:sz w:val="20"/>
          <w:szCs w:val="20"/>
        </w:rPr>
        <w:t xml:space="preserve"> </w:t>
      </w:r>
      <w:r w:rsidRPr="00326F31">
        <w:rPr>
          <w:rFonts w:asciiTheme="majorHAnsi" w:hAnsiTheme="majorHAnsi"/>
          <w:sz w:val="20"/>
          <w:szCs w:val="20"/>
        </w:rPr>
        <w:t>Accordingly, the CNE examined the signatures it had received and challenged some of them citing irregularities.</w:t>
      </w:r>
      <w:r w:rsidR="005E6C10">
        <w:rPr>
          <w:rFonts w:asciiTheme="majorHAnsi" w:hAnsiTheme="majorHAnsi"/>
          <w:sz w:val="20"/>
          <w:szCs w:val="20"/>
        </w:rPr>
        <w:t xml:space="preserve"> </w:t>
      </w:r>
      <w:r w:rsidRPr="00326F31">
        <w:rPr>
          <w:rFonts w:asciiTheme="majorHAnsi" w:hAnsiTheme="majorHAnsi"/>
          <w:sz w:val="20"/>
          <w:szCs w:val="20"/>
        </w:rPr>
        <w:t xml:space="preserve">According to the State, this is what led the CNE to create the database questioned by the petitioners, which was intended to be a citizens’ instrument to help verify whether or not signatures had been fraudulently included in the petition. </w:t>
      </w:r>
    </w:p>
    <w:p w14:paraId="77CE74CB" w14:textId="77777777" w:rsidR="00182E76" w:rsidRPr="00326F31" w:rsidRDefault="00182E76" w:rsidP="00326F31">
      <w:pPr>
        <w:pStyle w:val="ListParagraph"/>
        <w:jc w:val="both"/>
        <w:rPr>
          <w:rFonts w:asciiTheme="majorHAnsi" w:hAnsiTheme="majorHAnsi"/>
          <w:sz w:val="20"/>
          <w:szCs w:val="20"/>
        </w:rPr>
      </w:pPr>
    </w:p>
    <w:p w14:paraId="6AF7D349" w14:textId="7DEBD765" w:rsidR="00182E76" w:rsidRPr="00326F31" w:rsidRDefault="00182E7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The State explained that on March 2, 2004, the CNE issued rules to regulate the challenge process in order to verify the legitimacy of the signatures and that this process was to take place on April 20, 2004.</w:t>
      </w:r>
      <w:r w:rsidR="005E6C10">
        <w:rPr>
          <w:rFonts w:asciiTheme="majorHAnsi" w:hAnsiTheme="majorHAnsi"/>
          <w:sz w:val="20"/>
          <w:szCs w:val="20"/>
        </w:rPr>
        <w:t xml:space="preserve"> </w:t>
      </w:r>
      <w:r w:rsidRPr="00326F31">
        <w:rPr>
          <w:rFonts w:asciiTheme="majorHAnsi" w:hAnsiTheme="majorHAnsi"/>
          <w:sz w:val="20"/>
          <w:szCs w:val="20"/>
        </w:rPr>
        <w:t>The State contends that the signature verification day was actually held on June 27, 2004, and that because the signature of Rocío San Miguel was one of the ones that had been challenged for a</w:t>
      </w:r>
      <w:r w:rsidR="00175ABB">
        <w:rPr>
          <w:rFonts w:asciiTheme="majorHAnsi" w:hAnsiTheme="majorHAnsi"/>
          <w:sz w:val="20"/>
          <w:szCs w:val="20"/>
        </w:rPr>
        <w:t>lleged irregularities, the</w:t>
      </w:r>
      <w:r w:rsidRPr="00326F31">
        <w:rPr>
          <w:rFonts w:asciiTheme="majorHAnsi" w:hAnsiTheme="majorHAnsi"/>
          <w:sz w:val="20"/>
          <w:szCs w:val="20"/>
        </w:rPr>
        <w:t xml:space="preserve"> contract of </w:t>
      </w:r>
      <w:proofErr w:type="spellStart"/>
      <w:r w:rsidRPr="00326F31">
        <w:rPr>
          <w:rFonts w:asciiTheme="majorHAnsi" w:hAnsiTheme="majorHAnsi"/>
          <w:sz w:val="20"/>
          <w:szCs w:val="20"/>
        </w:rPr>
        <w:t>Rocío</w:t>
      </w:r>
      <w:proofErr w:type="spellEnd"/>
      <w:r w:rsidRPr="00326F31">
        <w:rPr>
          <w:rFonts w:asciiTheme="majorHAnsi" w:hAnsiTheme="majorHAnsi"/>
          <w:sz w:val="20"/>
          <w:szCs w:val="20"/>
        </w:rPr>
        <w:t xml:space="preserve"> San Miguel could not have been decided on the basis of a signature that took legal effect as of the time of the challenge, in other words, once the whole petition process on the presidential referendum had concluded.</w:t>
      </w:r>
      <w:r w:rsidR="005E6C10">
        <w:rPr>
          <w:rFonts w:asciiTheme="majorHAnsi" w:hAnsiTheme="majorHAnsi"/>
          <w:sz w:val="20"/>
          <w:szCs w:val="20"/>
        </w:rPr>
        <w:t xml:space="preserve"> </w:t>
      </w:r>
    </w:p>
    <w:p w14:paraId="5CAEECBB" w14:textId="77777777" w:rsidR="00182E76" w:rsidRPr="00326F31" w:rsidRDefault="00182E76" w:rsidP="00326F31">
      <w:pPr>
        <w:pStyle w:val="ListParagraph"/>
        <w:jc w:val="both"/>
        <w:rPr>
          <w:rFonts w:asciiTheme="majorHAnsi" w:hAnsiTheme="majorHAnsi"/>
          <w:sz w:val="20"/>
          <w:szCs w:val="20"/>
        </w:rPr>
      </w:pPr>
    </w:p>
    <w:p w14:paraId="75261193" w14:textId="51CEE482" w:rsidR="00182E76" w:rsidRDefault="00182E7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By the account of the</w:t>
      </w:r>
      <w:r w:rsidR="00503826">
        <w:rPr>
          <w:rFonts w:asciiTheme="majorHAnsi" w:hAnsiTheme="majorHAnsi"/>
          <w:sz w:val="20"/>
          <w:szCs w:val="20"/>
        </w:rPr>
        <w:t xml:space="preserve"> State, the processes of rescis</w:t>
      </w:r>
      <w:r w:rsidR="00503826" w:rsidRPr="00326F31">
        <w:rPr>
          <w:rFonts w:asciiTheme="majorHAnsi" w:hAnsiTheme="majorHAnsi"/>
          <w:sz w:val="20"/>
          <w:szCs w:val="20"/>
        </w:rPr>
        <w:t>sion</w:t>
      </w:r>
      <w:r w:rsidRPr="00326F31">
        <w:rPr>
          <w:rFonts w:asciiTheme="majorHAnsi" w:hAnsiTheme="majorHAnsi"/>
          <w:sz w:val="20"/>
          <w:szCs w:val="20"/>
        </w:rPr>
        <w:t xml:space="preserve"> of contracts of the alleged victims were conducted with strict adherence to the law and respecting the principle of the will of the signatory parties to said contracts.</w:t>
      </w:r>
      <w:r w:rsidR="005E6C10">
        <w:rPr>
          <w:rFonts w:asciiTheme="majorHAnsi" w:hAnsiTheme="majorHAnsi"/>
          <w:sz w:val="20"/>
          <w:szCs w:val="20"/>
        </w:rPr>
        <w:t xml:space="preserve"> </w:t>
      </w:r>
      <w:r w:rsidRPr="00326F31">
        <w:rPr>
          <w:rFonts w:asciiTheme="majorHAnsi" w:hAnsiTheme="majorHAnsi"/>
          <w:sz w:val="20"/>
          <w:szCs w:val="20"/>
        </w:rPr>
        <w:t>According to the State, on December 31, 2003, the alleged victims signed a new contract with the National Border Council, which went into effect on January 1, until December 31, 2004.</w:t>
      </w:r>
      <w:r w:rsidR="005E6C10">
        <w:rPr>
          <w:rFonts w:asciiTheme="majorHAnsi" w:hAnsiTheme="majorHAnsi"/>
          <w:sz w:val="20"/>
          <w:szCs w:val="20"/>
        </w:rPr>
        <w:t xml:space="preserve"> </w:t>
      </w:r>
      <w:r w:rsidRPr="00326F31">
        <w:rPr>
          <w:rFonts w:asciiTheme="majorHAnsi" w:hAnsiTheme="majorHAnsi"/>
          <w:sz w:val="20"/>
          <w:szCs w:val="20"/>
        </w:rPr>
        <w:t>The State asserted that on March 12, 2004, the chairman of the National Border Council decided to terminate the contracts of Rocío San Miguel Sosa, Magally Chang Girón</w:t>
      </w:r>
      <w:r w:rsidR="00C9052E">
        <w:rPr>
          <w:rFonts w:asciiTheme="majorHAnsi" w:hAnsiTheme="majorHAnsi"/>
          <w:sz w:val="20"/>
          <w:szCs w:val="20"/>
        </w:rPr>
        <w:t>,</w:t>
      </w:r>
      <w:r w:rsidRPr="00326F31">
        <w:rPr>
          <w:rFonts w:asciiTheme="majorHAnsi" w:hAnsiTheme="majorHAnsi"/>
          <w:sz w:val="20"/>
          <w:szCs w:val="20"/>
        </w:rPr>
        <w:t xml:space="preserve"> and Thais Coromoto Peña </w:t>
      </w:r>
      <w:r w:rsidR="00AF3572">
        <w:rPr>
          <w:rFonts w:asciiTheme="majorHAnsi" w:hAnsiTheme="majorHAnsi"/>
          <w:sz w:val="20"/>
          <w:szCs w:val="20"/>
        </w:rPr>
        <w:t xml:space="preserve">invoking </w:t>
      </w:r>
      <w:r w:rsidRPr="00326F31">
        <w:rPr>
          <w:rFonts w:asciiTheme="majorHAnsi" w:hAnsiTheme="majorHAnsi"/>
          <w:sz w:val="20"/>
          <w:szCs w:val="20"/>
        </w:rPr>
        <w:t>the seventh clause of those contracts.</w:t>
      </w:r>
    </w:p>
    <w:p w14:paraId="3B209C06" w14:textId="77777777" w:rsidR="00AF3572" w:rsidRPr="00AF3572" w:rsidRDefault="00AF3572" w:rsidP="00AF357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14:paraId="2F9EF003" w14:textId="4C20DC39" w:rsidR="00182E76" w:rsidRPr="00326F31" w:rsidRDefault="00182E7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eastAsia="Times New Roman" w:hAnsiTheme="majorHAnsi"/>
          <w:sz w:val="20"/>
          <w:szCs w:val="20"/>
          <w:bdr w:val="none" w:sz="0" w:space="0" w:color="auto"/>
        </w:rPr>
        <w:t>The State indicated that by the time the alleged "</w:t>
      </w:r>
      <w:r w:rsidRPr="00326F31">
        <w:rPr>
          <w:rFonts w:asciiTheme="majorHAnsi" w:hAnsiTheme="majorHAnsi"/>
          <w:sz w:val="20"/>
          <w:szCs w:val="20"/>
        </w:rPr>
        <w:t>calls for political discrimination</w:t>
      </w:r>
      <w:r w:rsidRPr="00326F31">
        <w:rPr>
          <w:rFonts w:asciiTheme="majorHAnsi" w:eastAsia="Times New Roman" w:hAnsiTheme="majorHAnsi"/>
          <w:sz w:val="20"/>
          <w:szCs w:val="20"/>
          <w:bdr w:val="none" w:sz="0" w:space="0" w:color="auto"/>
        </w:rPr>
        <w:t xml:space="preserve">" began, the contracts of the alleged victims had already been </w:t>
      </w:r>
      <w:r w:rsidR="00AF3572" w:rsidRPr="00326F31">
        <w:rPr>
          <w:rFonts w:asciiTheme="majorHAnsi" w:eastAsia="Times New Roman" w:hAnsiTheme="majorHAnsi"/>
          <w:sz w:val="20"/>
          <w:szCs w:val="20"/>
          <w:bdr w:val="none" w:sz="0" w:space="0" w:color="auto"/>
        </w:rPr>
        <w:t>terminated</w:t>
      </w:r>
      <w:r w:rsidR="00AF3572" w:rsidRPr="00326F31">
        <w:rPr>
          <w:rFonts w:asciiTheme="majorHAnsi" w:hAnsiTheme="majorHAnsi"/>
          <w:sz w:val="20"/>
          <w:szCs w:val="20"/>
        </w:rPr>
        <w:t>;</w:t>
      </w:r>
      <w:r w:rsidRPr="00326F31">
        <w:rPr>
          <w:rFonts w:asciiTheme="majorHAnsi" w:hAnsiTheme="majorHAnsi"/>
          <w:sz w:val="20"/>
          <w:szCs w:val="20"/>
        </w:rPr>
        <w:t xml:space="preserve"> therefor there is no link of cause and effect between their taking part in the process of collecting signatures and the termination of the contracts. </w:t>
      </w:r>
    </w:p>
    <w:p w14:paraId="45A13A96" w14:textId="77777777" w:rsidR="00182E76" w:rsidRPr="00326F31" w:rsidRDefault="00182E76" w:rsidP="00326F31">
      <w:pPr>
        <w:pStyle w:val="ListParagraph"/>
        <w:jc w:val="both"/>
        <w:rPr>
          <w:rFonts w:asciiTheme="majorHAnsi" w:hAnsiTheme="majorHAnsi"/>
          <w:sz w:val="20"/>
          <w:szCs w:val="20"/>
        </w:rPr>
      </w:pPr>
    </w:p>
    <w:p w14:paraId="0BCA023E" w14:textId="48D894F9" w:rsidR="00182E76" w:rsidRPr="00326F31" w:rsidRDefault="00182E7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The State claimed that, as a consequence of the termination of the</w:t>
      </w:r>
      <w:r w:rsidR="00AF3572">
        <w:rPr>
          <w:rFonts w:asciiTheme="majorHAnsi" w:hAnsiTheme="majorHAnsi"/>
          <w:sz w:val="20"/>
          <w:szCs w:val="20"/>
        </w:rPr>
        <w:t>ir</w:t>
      </w:r>
      <w:r w:rsidRPr="00326F31">
        <w:rPr>
          <w:rFonts w:asciiTheme="majorHAnsi" w:hAnsiTheme="majorHAnsi"/>
          <w:sz w:val="20"/>
          <w:szCs w:val="20"/>
        </w:rPr>
        <w:t xml:space="preserve"> contract</w:t>
      </w:r>
      <w:r w:rsidR="00AF3572">
        <w:rPr>
          <w:rFonts w:asciiTheme="majorHAnsi" w:hAnsiTheme="majorHAnsi"/>
          <w:sz w:val="20"/>
          <w:szCs w:val="20"/>
        </w:rPr>
        <w:t>s</w:t>
      </w:r>
      <w:r w:rsidRPr="00326F31">
        <w:rPr>
          <w:rFonts w:asciiTheme="majorHAnsi" w:hAnsiTheme="majorHAnsi"/>
          <w:sz w:val="20"/>
          <w:szCs w:val="20"/>
        </w:rPr>
        <w:t xml:space="preserve">, the alleged victims filed on June 22, 2004, for constitutional relief via the </w:t>
      </w:r>
      <w:r w:rsidRPr="00326F31">
        <w:rPr>
          <w:rFonts w:asciiTheme="majorHAnsi" w:hAnsiTheme="majorHAnsi"/>
          <w:i/>
          <w:sz w:val="20"/>
          <w:szCs w:val="20"/>
        </w:rPr>
        <w:t xml:space="preserve">amparo </w:t>
      </w:r>
      <w:r w:rsidR="00A84A6C" w:rsidRPr="00326F31">
        <w:rPr>
          <w:rFonts w:asciiTheme="majorHAnsi" w:hAnsiTheme="majorHAnsi"/>
          <w:sz w:val="20"/>
          <w:szCs w:val="20"/>
        </w:rPr>
        <w:t>proceeding.</w:t>
      </w:r>
      <w:r w:rsidR="005E6C10">
        <w:rPr>
          <w:rFonts w:asciiTheme="majorHAnsi" w:hAnsiTheme="majorHAnsi"/>
          <w:sz w:val="20"/>
          <w:szCs w:val="20"/>
        </w:rPr>
        <w:t xml:space="preserve"> </w:t>
      </w:r>
      <w:r w:rsidRPr="00326F31">
        <w:rPr>
          <w:rFonts w:asciiTheme="majorHAnsi" w:hAnsiTheme="majorHAnsi"/>
          <w:sz w:val="20"/>
          <w:szCs w:val="20"/>
        </w:rPr>
        <w:t xml:space="preserve">The State asserted that on July 27, 2005, the </w:t>
      </w:r>
      <w:r w:rsidRPr="00326F31">
        <w:rPr>
          <w:rFonts w:asciiTheme="majorHAnsi" w:hAnsiTheme="majorHAnsi"/>
          <w:i/>
          <w:sz w:val="20"/>
          <w:szCs w:val="20"/>
        </w:rPr>
        <w:t xml:space="preserve">amparo </w:t>
      </w:r>
      <w:r w:rsidRPr="00326F31">
        <w:rPr>
          <w:rFonts w:asciiTheme="majorHAnsi" w:hAnsiTheme="majorHAnsi"/>
          <w:sz w:val="20"/>
          <w:szCs w:val="20"/>
        </w:rPr>
        <w:t>claim was found groundless on the merits of the matter, and that on September 9, 2005, the Third Superior Trial Court upheld the original trial court decision.</w:t>
      </w:r>
      <w:r w:rsidR="005E6C10">
        <w:rPr>
          <w:rFonts w:asciiTheme="majorHAnsi" w:hAnsiTheme="majorHAnsi"/>
          <w:sz w:val="20"/>
          <w:szCs w:val="20"/>
        </w:rPr>
        <w:t xml:space="preserve"> </w:t>
      </w:r>
    </w:p>
    <w:p w14:paraId="069C1EAF" w14:textId="77777777" w:rsidR="00182E76" w:rsidRPr="00326F31" w:rsidRDefault="00182E76" w:rsidP="00326F31">
      <w:pPr>
        <w:jc w:val="both"/>
        <w:rPr>
          <w:rFonts w:asciiTheme="majorHAnsi" w:hAnsiTheme="majorHAnsi"/>
          <w:sz w:val="20"/>
          <w:szCs w:val="20"/>
        </w:rPr>
      </w:pPr>
    </w:p>
    <w:p w14:paraId="0C80B22B" w14:textId="7633826C" w:rsidR="00182E76" w:rsidRPr="00326F31" w:rsidRDefault="00182E7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The State contended that the alleged victims filed a complaint before the Office of the People’s Ombudsman on May 27, 2004, and that on August 17, 2004, the Office of the People’s Ombudsman issued an official certificate of closure of the proceeding for lack of sufficient evidence to establish that there was a violation of the human rights of the complainants.</w:t>
      </w:r>
      <w:r w:rsidR="005E6C10">
        <w:rPr>
          <w:rFonts w:asciiTheme="majorHAnsi" w:hAnsiTheme="majorHAnsi"/>
          <w:sz w:val="20"/>
          <w:szCs w:val="20"/>
        </w:rPr>
        <w:t xml:space="preserve"> </w:t>
      </w:r>
      <w:r w:rsidRPr="00326F31">
        <w:rPr>
          <w:rFonts w:asciiTheme="majorHAnsi" w:hAnsiTheme="majorHAnsi"/>
          <w:sz w:val="20"/>
          <w:szCs w:val="20"/>
        </w:rPr>
        <w:t>The State further noted that the alleged victims never went to the CNE to lay out their case so that this agency could determine whether there had been a violation of their political rights.</w:t>
      </w:r>
      <w:r w:rsidR="005E6C10">
        <w:rPr>
          <w:rFonts w:asciiTheme="majorHAnsi" w:hAnsiTheme="majorHAnsi"/>
          <w:sz w:val="20"/>
          <w:szCs w:val="20"/>
        </w:rPr>
        <w:t xml:space="preserve"> </w:t>
      </w:r>
    </w:p>
    <w:p w14:paraId="696EF578" w14:textId="77777777" w:rsidR="00182E76" w:rsidRPr="00326F31" w:rsidRDefault="00182E76" w:rsidP="00326F31">
      <w:pPr>
        <w:pStyle w:val="ListParagraph"/>
        <w:jc w:val="both"/>
        <w:rPr>
          <w:rFonts w:asciiTheme="majorHAnsi" w:hAnsiTheme="majorHAnsi"/>
          <w:sz w:val="20"/>
          <w:szCs w:val="20"/>
        </w:rPr>
      </w:pPr>
    </w:p>
    <w:p w14:paraId="7A2EDEBB" w14:textId="325BF12B" w:rsidR="00182E76" w:rsidRPr="00326F31" w:rsidRDefault="00182E7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The State claimed that on July 6, 2004, the alleged victims filed a complaint with the Office of the Public Prosecutor, but on January 1, 2005, the Office of the Thirty-Seventh Prosecuting Attorney of the Office of the Public Prosecutor with Full Jurisdiction nationwide moved for the dismissal of the case, a decision upheld at the appeals level.</w:t>
      </w:r>
      <w:r w:rsidR="005E6C10">
        <w:rPr>
          <w:rFonts w:asciiTheme="majorHAnsi" w:hAnsiTheme="majorHAnsi"/>
          <w:sz w:val="20"/>
          <w:szCs w:val="20"/>
        </w:rPr>
        <w:t xml:space="preserve"> </w:t>
      </w:r>
      <w:r w:rsidRPr="00326F31">
        <w:rPr>
          <w:rFonts w:asciiTheme="majorHAnsi" w:hAnsiTheme="majorHAnsi"/>
          <w:sz w:val="20"/>
          <w:szCs w:val="20"/>
        </w:rPr>
        <w:t>The State also noted that the alleged victims filed a direct appeal to the highest court of review (</w:t>
      </w:r>
      <w:r w:rsidRPr="00326F31">
        <w:rPr>
          <w:rFonts w:asciiTheme="majorHAnsi" w:hAnsiTheme="majorHAnsi"/>
          <w:i/>
          <w:sz w:val="20"/>
          <w:szCs w:val="20"/>
        </w:rPr>
        <w:t>casación</w:t>
      </w:r>
      <w:r w:rsidRPr="00326F31">
        <w:rPr>
          <w:rFonts w:asciiTheme="majorHAnsi" w:hAnsiTheme="majorHAnsi"/>
          <w:sz w:val="20"/>
          <w:szCs w:val="20"/>
        </w:rPr>
        <w:t>), which was also denied.</w:t>
      </w:r>
    </w:p>
    <w:p w14:paraId="45F686B0" w14:textId="77777777" w:rsidR="00182E76" w:rsidRPr="00326F31" w:rsidRDefault="00182E76" w:rsidP="00326F31">
      <w:pPr>
        <w:jc w:val="both"/>
        <w:rPr>
          <w:rFonts w:asciiTheme="majorHAnsi" w:hAnsiTheme="majorHAnsi"/>
          <w:sz w:val="20"/>
          <w:szCs w:val="20"/>
        </w:rPr>
      </w:pPr>
    </w:p>
    <w:p w14:paraId="34B441AD" w14:textId="7389F802" w:rsidR="00182E76" w:rsidRPr="00326F31" w:rsidRDefault="00182E7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As for the violation of the right to humane treatment, the State contended that applying a clause of a contract can hardly be viewed as “cruel” treatment.</w:t>
      </w:r>
      <w:r w:rsidR="005E6C10">
        <w:rPr>
          <w:rFonts w:asciiTheme="majorHAnsi" w:hAnsiTheme="majorHAnsi"/>
          <w:sz w:val="20"/>
          <w:szCs w:val="20"/>
        </w:rPr>
        <w:t xml:space="preserve"> </w:t>
      </w:r>
      <w:r w:rsidRPr="00326F31">
        <w:rPr>
          <w:rFonts w:asciiTheme="majorHAnsi" w:hAnsiTheme="majorHAnsi"/>
          <w:sz w:val="20"/>
          <w:szCs w:val="20"/>
        </w:rPr>
        <w:t>The State also asserted that the complainants were unsuccessful at proving that they had been threatened, and noted that beca</w:t>
      </w:r>
      <w:r w:rsidR="00AF3572">
        <w:rPr>
          <w:rFonts w:asciiTheme="majorHAnsi" w:hAnsiTheme="majorHAnsi"/>
          <w:sz w:val="20"/>
          <w:szCs w:val="20"/>
        </w:rPr>
        <w:t>use the relevant labor law, the</w:t>
      </w:r>
      <w:r w:rsidRPr="00326F31">
        <w:rPr>
          <w:rFonts w:asciiTheme="majorHAnsi" w:hAnsiTheme="majorHAnsi"/>
          <w:sz w:val="20"/>
          <w:szCs w:val="20"/>
        </w:rPr>
        <w:t xml:space="preserve"> alleged victims were eligible to apply for civil service positions through a competitive process.</w:t>
      </w:r>
    </w:p>
    <w:p w14:paraId="29A30324" w14:textId="77777777" w:rsidR="00FA3C98" w:rsidRPr="00326F31" w:rsidRDefault="00FA3C98"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rPr>
      </w:pPr>
    </w:p>
    <w:p w14:paraId="0F9A2E04" w14:textId="5F6652EE" w:rsidR="007D389B" w:rsidRPr="00326F31" w:rsidRDefault="00182E76"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 xml:space="preserve">With regard to the charge of violation of the right to a fair trial, the State asserted that the alleged victims were not the target of administrative sanctions, but of the application of a contractual clause that granted the power to the employer, as well as to the employee, to terminate the </w:t>
      </w:r>
      <w:r w:rsidR="00AF3572">
        <w:rPr>
          <w:rFonts w:asciiTheme="majorHAnsi" w:hAnsiTheme="majorHAnsi"/>
          <w:sz w:val="20"/>
          <w:szCs w:val="20"/>
        </w:rPr>
        <w:t>work</w:t>
      </w:r>
      <w:r w:rsidRPr="00326F31">
        <w:rPr>
          <w:rFonts w:asciiTheme="majorHAnsi" w:hAnsiTheme="majorHAnsi"/>
          <w:sz w:val="20"/>
          <w:szCs w:val="20"/>
        </w:rPr>
        <w:t xml:space="preserve"> relationship simply by giving notice to cease their activities, without cause.</w:t>
      </w:r>
      <w:r w:rsidR="005E6C10">
        <w:rPr>
          <w:rFonts w:asciiTheme="majorHAnsi" w:hAnsiTheme="majorHAnsi"/>
          <w:sz w:val="20"/>
          <w:szCs w:val="20"/>
        </w:rPr>
        <w:t xml:space="preserve"> </w:t>
      </w:r>
      <w:r w:rsidRPr="00326F31">
        <w:rPr>
          <w:rFonts w:asciiTheme="majorHAnsi" w:hAnsiTheme="majorHAnsi"/>
          <w:sz w:val="20"/>
          <w:szCs w:val="20"/>
        </w:rPr>
        <w:t>In this regard, the State considered that the complainants were not “removed from office” (‘</w:t>
      </w:r>
      <w:r w:rsidRPr="00326F31">
        <w:rPr>
          <w:rFonts w:asciiTheme="majorHAnsi" w:hAnsiTheme="majorHAnsi"/>
          <w:i/>
          <w:sz w:val="20"/>
          <w:szCs w:val="20"/>
        </w:rPr>
        <w:t xml:space="preserve">destituido’ </w:t>
      </w:r>
      <w:r w:rsidRPr="00326F31">
        <w:rPr>
          <w:rFonts w:asciiTheme="majorHAnsi" w:hAnsiTheme="majorHAnsi"/>
          <w:sz w:val="20"/>
          <w:szCs w:val="20"/>
        </w:rPr>
        <w:t xml:space="preserve">a term reserved for public officials) but rather the </w:t>
      </w:r>
      <w:r w:rsidRPr="00326F31">
        <w:rPr>
          <w:rFonts w:asciiTheme="majorHAnsi" w:hAnsiTheme="majorHAnsi"/>
          <w:sz w:val="20"/>
          <w:szCs w:val="20"/>
        </w:rPr>
        <w:lastRenderedPageBreak/>
        <w:t>legal provision that was applicable to them was the terms of their respective contracts and, supplementarily, the Organic Labor Law, which provides for the payment of certain amounts of money to cover the time that the dismissed employee is engaged in securing new employment.</w:t>
      </w:r>
      <w:r w:rsidR="005E6C10">
        <w:rPr>
          <w:rFonts w:asciiTheme="majorHAnsi" w:hAnsiTheme="majorHAnsi"/>
          <w:sz w:val="20"/>
          <w:szCs w:val="20"/>
        </w:rPr>
        <w:t xml:space="preserve"> </w:t>
      </w:r>
      <w:r w:rsidRPr="00326F31">
        <w:rPr>
          <w:rFonts w:asciiTheme="majorHAnsi" w:hAnsiTheme="majorHAnsi"/>
          <w:sz w:val="20"/>
          <w:szCs w:val="20"/>
        </w:rPr>
        <w:t>The State claimed that the amounts of money that the alleged victims were entitled to under the law were made available to them.</w:t>
      </w:r>
      <w:r w:rsidR="005E6C10">
        <w:rPr>
          <w:rFonts w:asciiTheme="majorHAnsi" w:hAnsiTheme="majorHAnsi"/>
          <w:sz w:val="20"/>
          <w:szCs w:val="20"/>
        </w:rPr>
        <w:t xml:space="preserve"> </w:t>
      </w:r>
      <w:r w:rsidRPr="00326F31">
        <w:rPr>
          <w:rFonts w:asciiTheme="majorHAnsi" w:hAnsiTheme="majorHAnsi"/>
          <w:sz w:val="20"/>
          <w:szCs w:val="20"/>
        </w:rPr>
        <w:t>Furthermore, the State asserted that the Law does not prescribe any procedure prior to terminating a contract and it was not necessary to give cause for the acts of dismissal.</w:t>
      </w:r>
      <w:r w:rsidR="005E6C10">
        <w:rPr>
          <w:rFonts w:asciiTheme="majorHAnsi" w:hAnsiTheme="majorHAnsi"/>
          <w:sz w:val="20"/>
          <w:szCs w:val="20"/>
        </w:rPr>
        <w:t xml:space="preserve"> </w:t>
      </w:r>
      <w:r w:rsidRPr="00326F31">
        <w:rPr>
          <w:rFonts w:asciiTheme="majorHAnsi" w:hAnsiTheme="majorHAnsi"/>
          <w:sz w:val="20"/>
          <w:szCs w:val="20"/>
        </w:rPr>
        <w:t xml:space="preserve">In this regard, it noted that the alleged victims were not public officials, as defined by the Constitution and the Public Service Statute. </w:t>
      </w:r>
    </w:p>
    <w:p w14:paraId="4E1D7876" w14:textId="77777777" w:rsidR="007D389B" w:rsidRPr="00326F31" w:rsidRDefault="007D389B"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rPr>
      </w:pPr>
    </w:p>
    <w:p w14:paraId="2AD54367" w14:textId="0554FB64" w:rsidR="007D389B" w:rsidRPr="00326F31" w:rsidRDefault="007D389B"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The State contended that the alleged victims wrongly filed a criminal complaint with the Office of the Public Prosecutor on May 27, 2004.</w:t>
      </w:r>
      <w:r w:rsidR="005E6C10">
        <w:rPr>
          <w:rFonts w:asciiTheme="majorHAnsi" w:hAnsiTheme="majorHAnsi"/>
          <w:sz w:val="20"/>
          <w:szCs w:val="20"/>
        </w:rPr>
        <w:t xml:space="preserve"> </w:t>
      </w:r>
      <w:r w:rsidRPr="00326F31">
        <w:rPr>
          <w:rFonts w:asciiTheme="majorHAnsi" w:hAnsiTheme="majorHAnsi"/>
          <w:sz w:val="20"/>
          <w:szCs w:val="20"/>
        </w:rPr>
        <w:t xml:space="preserve">On this issue, it argued that the complainants “intend to confuse the IACHR with the filing of </w:t>
      </w:r>
      <w:r w:rsidR="00CB0181" w:rsidRPr="00326F31">
        <w:rPr>
          <w:rFonts w:asciiTheme="majorHAnsi" w:hAnsiTheme="majorHAnsi"/>
          <w:sz w:val="20"/>
          <w:szCs w:val="20"/>
        </w:rPr>
        <w:t>non-suitable</w:t>
      </w:r>
      <w:r w:rsidRPr="00326F31">
        <w:rPr>
          <w:rFonts w:asciiTheme="majorHAnsi" w:hAnsiTheme="majorHAnsi"/>
          <w:sz w:val="20"/>
          <w:szCs w:val="20"/>
        </w:rPr>
        <w:t xml:space="preserve"> remedies for the restoration of their allegedly violated right, without distinguishing between [on the one hand] the criminal responsibility that civil servants have as a consequence of their duties and of the public property they are in charge of, and, on the other hand, the consequences and obligations arising from termination of a labor relationship, which is settled in the labor rather than the criminal courts.”</w:t>
      </w:r>
    </w:p>
    <w:p w14:paraId="1F9F6595" w14:textId="77777777" w:rsidR="00CA28F3" w:rsidRPr="00326F31" w:rsidRDefault="00CA28F3"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rPr>
      </w:pPr>
    </w:p>
    <w:p w14:paraId="6D19505C" w14:textId="1A50FFB7" w:rsidR="007D389B" w:rsidRPr="00326F31" w:rsidRDefault="007D389B"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As for the alleged violation of the right to freedom of expression, the State reiterates that the rescission of the contracts of the alleged victims was not a punishment, but rather involved the simple application of a contractual clause pursuant to the law.</w:t>
      </w:r>
      <w:r w:rsidR="005E6C10">
        <w:rPr>
          <w:rFonts w:asciiTheme="majorHAnsi" w:hAnsiTheme="majorHAnsi"/>
          <w:sz w:val="20"/>
          <w:szCs w:val="20"/>
        </w:rPr>
        <w:t xml:space="preserve"> </w:t>
      </w:r>
      <w:r w:rsidRPr="00326F31">
        <w:rPr>
          <w:rFonts w:asciiTheme="majorHAnsi" w:hAnsiTheme="majorHAnsi"/>
          <w:sz w:val="20"/>
          <w:szCs w:val="20"/>
        </w:rPr>
        <w:t>The State stressed that no court proceedings were brought against the complainants for issuing statements of a political nature, nor has the media been sanctioned or censured for being a vehicle of expression of citizens who supported the petition for the recall referendum.</w:t>
      </w:r>
      <w:r w:rsidR="005E6C10">
        <w:rPr>
          <w:rFonts w:asciiTheme="majorHAnsi" w:hAnsiTheme="majorHAnsi"/>
          <w:sz w:val="20"/>
          <w:szCs w:val="20"/>
        </w:rPr>
        <w:t xml:space="preserve"> </w:t>
      </w:r>
    </w:p>
    <w:p w14:paraId="1BB7969A" w14:textId="77777777" w:rsidR="007D389B" w:rsidRPr="00326F31" w:rsidRDefault="007D389B"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14:paraId="437E8BDA" w14:textId="5373D97E" w:rsidR="0020074C" w:rsidRPr="00326F31" w:rsidRDefault="00CA28F3"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Likewise, according to the Venezuelan State, there was no violation of the right to freedom of association, because the exercise of that right on a subject of such great national consequence as a referendum on a presidential recall, must be duly regulated.</w:t>
      </w:r>
      <w:r w:rsidR="005E6C10">
        <w:rPr>
          <w:rFonts w:asciiTheme="majorHAnsi" w:hAnsiTheme="majorHAnsi"/>
          <w:sz w:val="20"/>
          <w:szCs w:val="20"/>
        </w:rPr>
        <w:t xml:space="preserve"> </w:t>
      </w:r>
      <w:r w:rsidRPr="00326F31">
        <w:rPr>
          <w:rFonts w:asciiTheme="majorHAnsi" w:hAnsiTheme="majorHAnsi"/>
          <w:sz w:val="20"/>
          <w:szCs w:val="20"/>
        </w:rPr>
        <w:t>In support of this claim, the State argued that on September 25, 2003, the CNE issued the “Guidelines Regulating Processes of Recall Referenda of the Terms in Office of Popularly Elected Positions,” which ensures compliance of the State with the obligation to the democratic exercise of the will of the people. The State asserted that several different referenda processes carried out in Venezuela are of public knowledge and are widely known internationally, in which the participation of the citizenry, the</w:t>
      </w:r>
      <w:r w:rsidR="0037160C" w:rsidRPr="00326F31">
        <w:rPr>
          <w:rFonts w:asciiTheme="majorHAnsi" w:hAnsiTheme="majorHAnsi"/>
          <w:sz w:val="20"/>
          <w:szCs w:val="20"/>
        </w:rPr>
        <w:t xml:space="preserve"> collaboration of the</w:t>
      </w:r>
      <w:r w:rsidRPr="00326F31">
        <w:rPr>
          <w:rFonts w:asciiTheme="majorHAnsi" w:hAnsiTheme="majorHAnsi"/>
          <w:sz w:val="20"/>
          <w:szCs w:val="20"/>
        </w:rPr>
        <w:t xml:space="preserve"> CNE and</w:t>
      </w:r>
      <w:r w:rsidR="0037160C" w:rsidRPr="00326F31">
        <w:rPr>
          <w:rFonts w:asciiTheme="majorHAnsi" w:hAnsiTheme="majorHAnsi"/>
          <w:sz w:val="20"/>
          <w:szCs w:val="20"/>
        </w:rPr>
        <w:t xml:space="preserve"> of </w:t>
      </w:r>
      <w:r w:rsidRPr="00326F31">
        <w:rPr>
          <w:rFonts w:asciiTheme="majorHAnsi" w:hAnsiTheme="majorHAnsi"/>
          <w:sz w:val="20"/>
          <w:szCs w:val="20"/>
        </w:rPr>
        <w:t>State</w:t>
      </w:r>
      <w:r w:rsidR="0037160C" w:rsidRPr="00326F31">
        <w:rPr>
          <w:rFonts w:asciiTheme="majorHAnsi" w:hAnsiTheme="majorHAnsi"/>
          <w:sz w:val="20"/>
          <w:szCs w:val="20"/>
        </w:rPr>
        <w:t xml:space="preserve"> authorities</w:t>
      </w:r>
      <w:r w:rsidRPr="00326F31">
        <w:rPr>
          <w:rFonts w:asciiTheme="majorHAnsi" w:hAnsiTheme="majorHAnsi"/>
          <w:sz w:val="20"/>
          <w:szCs w:val="20"/>
        </w:rPr>
        <w:t xml:space="preserve"> was evident. </w:t>
      </w:r>
    </w:p>
    <w:p w14:paraId="59786B20" w14:textId="77777777" w:rsidR="0020074C" w:rsidRPr="00326F31" w:rsidRDefault="0020074C" w:rsidP="00326F31">
      <w:pPr>
        <w:pStyle w:val="ListParagraph"/>
        <w:jc w:val="both"/>
        <w:rPr>
          <w:rFonts w:asciiTheme="majorHAnsi" w:hAnsiTheme="majorHAnsi"/>
          <w:sz w:val="20"/>
          <w:szCs w:val="20"/>
        </w:rPr>
      </w:pPr>
    </w:p>
    <w:p w14:paraId="7C240BA5" w14:textId="6659ACEF" w:rsidR="0037160C" w:rsidRPr="00326F31" w:rsidRDefault="0037160C"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With regard to the violation of the right to participate in government, the State contended that the complainants did not provide adequate and legally sound evidence to prove that they were the targets of political pressure to not exercise their political rights.</w:t>
      </w:r>
      <w:r w:rsidR="005E6C10">
        <w:rPr>
          <w:rFonts w:asciiTheme="majorHAnsi" w:hAnsiTheme="majorHAnsi"/>
          <w:sz w:val="20"/>
          <w:szCs w:val="20"/>
        </w:rPr>
        <w:t xml:space="preserve"> </w:t>
      </w:r>
      <w:r w:rsidRPr="00326F31">
        <w:rPr>
          <w:rFonts w:asciiTheme="majorHAnsi" w:hAnsiTheme="majorHAnsi"/>
          <w:sz w:val="20"/>
          <w:szCs w:val="20"/>
        </w:rPr>
        <w:t xml:space="preserve">In this regard, they contended that the rescission of a labor contract is not regarded in Venezuelan law as a sanction. They further asserted that the complainants can hardly contend that the State </w:t>
      </w:r>
      <w:r w:rsidR="0020074C" w:rsidRPr="00326F31">
        <w:rPr>
          <w:rFonts w:asciiTheme="majorHAnsi" w:hAnsiTheme="majorHAnsi"/>
          <w:sz w:val="20"/>
          <w:szCs w:val="20"/>
        </w:rPr>
        <w:t xml:space="preserve">has infringed </w:t>
      </w:r>
      <w:r w:rsidRPr="00326F31">
        <w:rPr>
          <w:rFonts w:asciiTheme="majorHAnsi" w:hAnsiTheme="majorHAnsi"/>
          <w:sz w:val="20"/>
          <w:szCs w:val="20"/>
        </w:rPr>
        <w:t xml:space="preserve">their right to have equal access to </w:t>
      </w:r>
      <w:r w:rsidR="0020074C" w:rsidRPr="00326F31">
        <w:rPr>
          <w:rFonts w:asciiTheme="majorHAnsi" w:hAnsiTheme="majorHAnsi"/>
          <w:sz w:val="20"/>
          <w:szCs w:val="20"/>
        </w:rPr>
        <w:t>public service,</w:t>
      </w:r>
      <w:r w:rsidRPr="00326F31">
        <w:rPr>
          <w:rFonts w:asciiTheme="majorHAnsi" w:hAnsiTheme="majorHAnsi"/>
          <w:sz w:val="20"/>
          <w:szCs w:val="20"/>
        </w:rPr>
        <w:t xml:space="preserve"> since </w:t>
      </w:r>
      <w:r w:rsidR="0020074C" w:rsidRPr="00326F31">
        <w:rPr>
          <w:rFonts w:asciiTheme="majorHAnsi" w:hAnsiTheme="majorHAnsi"/>
          <w:sz w:val="20"/>
          <w:szCs w:val="20"/>
        </w:rPr>
        <w:t xml:space="preserve">what occurred was the resolution of a work </w:t>
      </w:r>
      <w:r w:rsidR="00CB0181" w:rsidRPr="00326F31">
        <w:rPr>
          <w:rFonts w:asciiTheme="majorHAnsi" w:hAnsiTheme="majorHAnsi"/>
          <w:sz w:val="20"/>
          <w:szCs w:val="20"/>
        </w:rPr>
        <w:t>contract</w:t>
      </w:r>
      <w:r w:rsidRPr="00326F31">
        <w:rPr>
          <w:rFonts w:asciiTheme="majorHAnsi" w:hAnsiTheme="majorHAnsi"/>
          <w:sz w:val="20"/>
          <w:szCs w:val="20"/>
        </w:rPr>
        <w:t>, in which the alleged victims lacked the status of public officials.</w:t>
      </w:r>
      <w:r w:rsidR="005E6C10">
        <w:rPr>
          <w:rFonts w:asciiTheme="majorHAnsi" w:hAnsiTheme="majorHAnsi"/>
          <w:sz w:val="20"/>
          <w:szCs w:val="20"/>
        </w:rPr>
        <w:t xml:space="preserve"> </w:t>
      </w:r>
      <w:r w:rsidRPr="00326F31">
        <w:rPr>
          <w:rFonts w:asciiTheme="majorHAnsi" w:hAnsiTheme="majorHAnsi"/>
          <w:sz w:val="20"/>
          <w:szCs w:val="20"/>
        </w:rPr>
        <w:t xml:space="preserve">It argued that there is nothing on record to prove that these citizens have ever taken part in a competitive process to apply for positions in the civil service. </w:t>
      </w:r>
    </w:p>
    <w:p w14:paraId="0CC73EF7" w14:textId="77777777" w:rsidR="00A24801" w:rsidRPr="00326F31" w:rsidRDefault="00A24801" w:rsidP="00326F31">
      <w:pPr>
        <w:jc w:val="both"/>
        <w:rPr>
          <w:rFonts w:asciiTheme="majorHAnsi" w:eastAsia="Times New Roman" w:hAnsiTheme="majorHAnsi"/>
          <w:sz w:val="20"/>
          <w:szCs w:val="20"/>
          <w:bdr w:val="none" w:sz="0" w:space="0" w:color="auto"/>
        </w:rPr>
      </w:pPr>
    </w:p>
    <w:p w14:paraId="2CF7919E" w14:textId="77777777" w:rsidR="0020074C" w:rsidRPr="00326F31" w:rsidRDefault="0020074C"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Concerning the violation of the right to equal protection, the State reiterated its arguments on the nature of the contract of the alleged victims, indicating that they intended to link the termination of an employment relationship with the exercise of a political right, departing from inaccurate deductions, as well as illegally obtained recordings, rejected by Venezuelan national courts. The State argued that the alleged victims were aware of the nature of their contracts, which is reflected in the authority before which they presented their</w:t>
      </w:r>
      <w:r w:rsidRPr="00326F31">
        <w:rPr>
          <w:rFonts w:asciiTheme="majorHAnsi" w:hAnsiTheme="majorHAnsi"/>
          <w:i/>
          <w:sz w:val="20"/>
          <w:szCs w:val="20"/>
        </w:rPr>
        <w:t xml:space="preserve"> amparo</w:t>
      </w:r>
      <w:r w:rsidRPr="00326F31">
        <w:rPr>
          <w:rFonts w:asciiTheme="majorHAnsi" w:hAnsiTheme="majorHAnsi"/>
          <w:sz w:val="20"/>
          <w:szCs w:val="20"/>
        </w:rPr>
        <w:t xml:space="preserve"> proceeding for constitutional relief.</w:t>
      </w:r>
    </w:p>
    <w:p w14:paraId="26FDF7E5" w14:textId="77777777" w:rsidR="0020074C" w:rsidRPr="00326F31" w:rsidRDefault="0020074C" w:rsidP="00326F31">
      <w:pPr>
        <w:pStyle w:val="ListParagraph"/>
        <w:jc w:val="both"/>
        <w:rPr>
          <w:rFonts w:asciiTheme="majorHAnsi" w:hAnsiTheme="majorHAnsi"/>
          <w:sz w:val="20"/>
          <w:szCs w:val="20"/>
        </w:rPr>
      </w:pPr>
    </w:p>
    <w:p w14:paraId="2A99EBA0" w14:textId="6AF310F9" w:rsidR="0020074C" w:rsidRPr="00326F31" w:rsidRDefault="0020074C"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 xml:space="preserve">As for the violation of the right to judicial protection alleged by the petitioners, the State argued that the fact that the </w:t>
      </w:r>
      <w:r w:rsidRPr="00326F31">
        <w:rPr>
          <w:rFonts w:asciiTheme="majorHAnsi" w:hAnsiTheme="majorHAnsi"/>
          <w:i/>
          <w:sz w:val="20"/>
          <w:szCs w:val="20"/>
        </w:rPr>
        <w:t xml:space="preserve">amparo </w:t>
      </w:r>
      <w:r w:rsidRPr="00326F31">
        <w:rPr>
          <w:rFonts w:asciiTheme="majorHAnsi" w:hAnsiTheme="majorHAnsi"/>
          <w:sz w:val="20"/>
          <w:szCs w:val="20"/>
        </w:rPr>
        <w:t xml:space="preserve">claim for constitutional relief was found groundless did not mean that there has been a violation of the provisions of the Convention, because despite the existence of the ordinary labor procedure before the labor courts, the </w:t>
      </w:r>
      <w:r w:rsidRPr="00326F31">
        <w:rPr>
          <w:rFonts w:asciiTheme="majorHAnsi" w:hAnsiTheme="majorHAnsi"/>
          <w:i/>
          <w:sz w:val="20"/>
          <w:szCs w:val="20"/>
        </w:rPr>
        <w:t>amparo</w:t>
      </w:r>
      <w:r w:rsidRPr="00326F31">
        <w:rPr>
          <w:rFonts w:asciiTheme="majorHAnsi" w:hAnsiTheme="majorHAnsi"/>
          <w:sz w:val="20"/>
          <w:szCs w:val="20"/>
        </w:rPr>
        <w:t xml:space="preserve"> claim, an action of a special nature, was admitted and processed in keeping with the law.</w:t>
      </w:r>
      <w:r w:rsidR="005E6C10">
        <w:rPr>
          <w:rFonts w:asciiTheme="majorHAnsi" w:hAnsiTheme="majorHAnsi"/>
          <w:sz w:val="20"/>
          <w:szCs w:val="20"/>
        </w:rPr>
        <w:t xml:space="preserve"> </w:t>
      </w:r>
      <w:r w:rsidRPr="00326F31">
        <w:rPr>
          <w:rFonts w:asciiTheme="majorHAnsi" w:hAnsiTheme="majorHAnsi"/>
          <w:sz w:val="20"/>
          <w:szCs w:val="20"/>
        </w:rPr>
        <w:t>According to the State, the judge who heard the case, based on the standard of free and reasoned judgment (</w:t>
      </w:r>
      <w:r w:rsidRPr="00326F31">
        <w:rPr>
          <w:rFonts w:asciiTheme="majorHAnsi" w:hAnsiTheme="majorHAnsi"/>
          <w:i/>
          <w:sz w:val="20"/>
          <w:szCs w:val="20"/>
        </w:rPr>
        <w:t>sana crítica</w:t>
      </w:r>
      <w:r w:rsidRPr="00326F31">
        <w:rPr>
          <w:rFonts w:asciiTheme="majorHAnsi" w:hAnsiTheme="majorHAnsi"/>
          <w:sz w:val="20"/>
          <w:szCs w:val="20"/>
        </w:rPr>
        <w:t>) examined the evidence introduced by the parties and ruled pursuant to the law.</w:t>
      </w:r>
      <w:r w:rsidR="005E6C10">
        <w:rPr>
          <w:rFonts w:asciiTheme="majorHAnsi" w:hAnsiTheme="majorHAnsi"/>
          <w:sz w:val="20"/>
          <w:szCs w:val="20"/>
        </w:rPr>
        <w:t xml:space="preserve"> </w:t>
      </w:r>
      <w:r w:rsidRPr="00326F31">
        <w:rPr>
          <w:rFonts w:asciiTheme="majorHAnsi" w:hAnsiTheme="majorHAnsi"/>
          <w:sz w:val="20"/>
          <w:szCs w:val="20"/>
        </w:rPr>
        <w:t xml:space="preserve">Additionally, the State believed that the alleged victims had a suitable remedy available to </w:t>
      </w:r>
      <w:r w:rsidRPr="00326F31">
        <w:rPr>
          <w:rFonts w:asciiTheme="majorHAnsi" w:hAnsiTheme="majorHAnsi"/>
          <w:sz w:val="20"/>
          <w:szCs w:val="20"/>
        </w:rPr>
        <w:lastRenderedPageBreak/>
        <w:t xml:space="preserve">them in the labor courts, but they chose to pursue the least suitable remedy of the </w:t>
      </w:r>
      <w:r w:rsidRPr="00326F31">
        <w:rPr>
          <w:rFonts w:asciiTheme="majorHAnsi" w:hAnsiTheme="majorHAnsi"/>
          <w:i/>
          <w:sz w:val="20"/>
          <w:szCs w:val="20"/>
        </w:rPr>
        <w:t xml:space="preserve">amparo </w:t>
      </w:r>
      <w:r w:rsidRPr="00326F31">
        <w:rPr>
          <w:rFonts w:asciiTheme="majorHAnsi" w:hAnsiTheme="majorHAnsi"/>
          <w:sz w:val="20"/>
          <w:szCs w:val="20"/>
        </w:rPr>
        <w:t>claim for constitutional relief as a mechanism to gain access “recklessly” to international bodies.</w:t>
      </w:r>
    </w:p>
    <w:p w14:paraId="14DAD7EA" w14:textId="77777777" w:rsidR="0020074C" w:rsidRPr="00326F31" w:rsidRDefault="0020074C"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rPr>
      </w:pPr>
    </w:p>
    <w:p w14:paraId="343B54D2" w14:textId="20F3AF51" w:rsidR="003A38FB" w:rsidRPr="00326F31" w:rsidRDefault="003A38FB"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The State also believed that it had not transgressed Article 26 of the Convention, inasmuch as Venezuelan law sets forth criteria to provide monetary reparation to workers when they are dismissed, as well as payment of unemployment benefits as provided by the Organic Labor Law.</w:t>
      </w:r>
      <w:r w:rsidR="005E6C10">
        <w:rPr>
          <w:rFonts w:asciiTheme="majorHAnsi" w:hAnsiTheme="majorHAnsi"/>
          <w:sz w:val="20"/>
          <w:szCs w:val="20"/>
        </w:rPr>
        <w:t xml:space="preserve"> </w:t>
      </w:r>
      <w:r w:rsidRPr="00326F31">
        <w:rPr>
          <w:rFonts w:asciiTheme="majorHAnsi" w:hAnsiTheme="majorHAnsi"/>
          <w:sz w:val="20"/>
          <w:szCs w:val="20"/>
        </w:rPr>
        <w:t>The State considered the termination of the labor relationship to have taken place under a contractual clause that allowed it, and that it does not entail a violation of the workers’ rights or an abridgment of the guarantees protecting them, because it is not an obligation of the employ</w:t>
      </w:r>
      <w:r w:rsidR="001B73A3">
        <w:rPr>
          <w:rFonts w:asciiTheme="majorHAnsi" w:hAnsiTheme="majorHAnsi"/>
          <w:sz w:val="20"/>
          <w:szCs w:val="20"/>
        </w:rPr>
        <w:t>er to maintain a life-long work</w:t>
      </w:r>
      <w:r w:rsidRPr="00326F31">
        <w:rPr>
          <w:rFonts w:asciiTheme="majorHAnsi" w:hAnsiTheme="majorHAnsi"/>
          <w:sz w:val="20"/>
          <w:szCs w:val="20"/>
        </w:rPr>
        <w:t xml:space="preserve"> relationship with the employee.</w:t>
      </w:r>
      <w:r w:rsidR="005E6C10">
        <w:rPr>
          <w:rFonts w:asciiTheme="majorHAnsi" w:hAnsiTheme="majorHAnsi"/>
          <w:sz w:val="20"/>
          <w:szCs w:val="20"/>
        </w:rPr>
        <w:t xml:space="preserve"> </w:t>
      </w:r>
    </w:p>
    <w:p w14:paraId="54B60791" w14:textId="77777777" w:rsidR="009A3A22" w:rsidRPr="00326F31" w:rsidRDefault="009A3A22" w:rsidP="00326F31">
      <w:pPr>
        <w:jc w:val="both"/>
        <w:rPr>
          <w:rFonts w:asciiTheme="majorHAnsi" w:hAnsiTheme="majorHAnsi"/>
          <w:sz w:val="20"/>
          <w:szCs w:val="20"/>
        </w:rPr>
      </w:pPr>
    </w:p>
    <w:p w14:paraId="7CC9E8ED" w14:textId="6688826B" w:rsidR="009A3A22" w:rsidRPr="00326F31" w:rsidRDefault="009A3A22"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eastAsia="Times New Roman" w:hAnsiTheme="majorHAnsi"/>
          <w:sz w:val="20"/>
          <w:szCs w:val="20"/>
          <w:bdr w:val="none" w:sz="0" w:space="0" w:color="auto"/>
        </w:rPr>
      </w:pPr>
      <w:r w:rsidRPr="00326F31">
        <w:rPr>
          <w:rFonts w:asciiTheme="majorHAnsi" w:hAnsiTheme="majorHAnsi"/>
          <w:sz w:val="20"/>
          <w:szCs w:val="20"/>
        </w:rPr>
        <w:t>In addressing the alleged violations of Article 1.1 of the Convention, the State reiterated that the alleged victims were not discriminated against for political reasons or any reasons of another nature. It reiterated that the alleged victims simply did not have the status of public officials and were subject to the Organic Labor Law.</w:t>
      </w:r>
      <w:r w:rsidR="005E6C10">
        <w:rPr>
          <w:rFonts w:asciiTheme="majorHAnsi" w:hAnsiTheme="majorHAnsi"/>
          <w:sz w:val="20"/>
          <w:szCs w:val="20"/>
        </w:rPr>
        <w:t xml:space="preserve"> </w:t>
      </w:r>
      <w:r w:rsidRPr="00326F31">
        <w:rPr>
          <w:rFonts w:asciiTheme="majorHAnsi" w:hAnsiTheme="majorHAnsi"/>
          <w:sz w:val="20"/>
          <w:szCs w:val="20"/>
        </w:rPr>
        <w:t>In this regard, it emphasized that the termination of the labor relationship under the contractual termination clause cannot be viewed as discriminatory.</w:t>
      </w:r>
      <w:r w:rsidR="005E6C10">
        <w:rPr>
          <w:rFonts w:asciiTheme="majorHAnsi" w:hAnsiTheme="majorHAnsi"/>
          <w:sz w:val="20"/>
          <w:szCs w:val="20"/>
        </w:rPr>
        <w:t xml:space="preserve"> </w:t>
      </w:r>
    </w:p>
    <w:p w14:paraId="46BF10BA" w14:textId="77777777" w:rsidR="00F75A47" w:rsidRPr="00326F31" w:rsidRDefault="00F75A47" w:rsidP="00326F31">
      <w:pPr>
        <w:jc w:val="both"/>
        <w:rPr>
          <w:rFonts w:asciiTheme="majorHAnsi" w:eastAsia="Times New Roman" w:hAnsiTheme="majorHAnsi"/>
          <w:sz w:val="20"/>
          <w:szCs w:val="20"/>
          <w:bdr w:val="none" w:sz="0" w:space="0" w:color="auto"/>
        </w:rPr>
      </w:pPr>
    </w:p>
    <w:p w14:paraId="2AF19600" w14:textId="1E315D61" w:rsidR="00E40449" w:rsidRPr="00326F31" w:rsidRDefault="00C9052E" w:rsidP="00326F31">
      <w:pPr>
        <w:pStyle w:val="Heading1"/>
        <w:numPr>
          <w:ilvl w:val="0"/>
          <w:numId w:val="55"/>
        </w:numPr>
        <w:tabs>
          <w:tab w:val="clear" w:pos="1440"/>
        </w:tabs>
        <w:jc w:val="both"/>
      </w:pPr>
      <w:bookmarkStart w:id="9" w:name="_Toc433311129"/>
      <w:r>
        <w:t>PROVEN</w:t>
      </w:r>
      <w:r w:rsidR="00DE2D1E" w:rsidRPr="00326F31">
        <w:t xml:space="preserve"> FACTS</w:t>
      </w:r>
      <w:bookmarkEnd w:id="9"/>
    </w:p>
    <w:p w14:paraId="11143D18" w14:textId="77777777" w:rsidR="00F75A47" w:rsidRPr="00326F31" w:rsidRDefault="00E40449" w:rsidP="00326F31">
      <w:pPr>
        <w:ind w:right="720"/>
        <w:jc w:val="both"/>
        <w:rPr>
          <w:rFonts w:asciiTheme="majorHAnsi" w:hAnsiTheme="majorHAnsi"/>
          <w:sz w:val="20"/>
          <w:szCs w:val="20"/>
        </w:rPr>
      </w:pPr>
      <w:r w:rsidRPr="00326F31">
        <w:rPr>
          <w:rFonts w:asciiTheme="majorHAnsi" w:hAnsiTheme="majorHAnsi"/>
          <w:sz w:val="20"/>
          <w:szCs w:val="20"/>
        </w:rPr>
        <w:t xml:space="preserve"> </w:t>
      </w:r>
    </w:p>
    <w:p w14:paraId="22C97340" w14:textId="48278390" w:rsidR="00706840" w:rsidRPr="00326F31" w:rsidRDefault="00706840"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Taking into account the information available in the file, as well as publicly available information, the proven facts will be described in the following order: A) Preliminary issue on the use of certain evidence; B) Context of the petition for signatures for convening the consultative and recall referendum for the President of</w:t>
      </w:r>
      <w:r w:rsidR="000608B5">
        <w:rPr>
          <w:rFonts w:asciiTheme="majorHAnsi" w:hAnsiTheme="majorHAnsi"/>
          <w:sz w:val="20"/>
          <w:szCs w:val="20"/>
        </w:rPr>
        <w:t xml:space="preserve"> the Republic; C) The work</w:t>
      </w:r>
      <w:r w:rsidRPr="00326F31">
        <w:rPr>
          <w:rFonts w:asciiTheme="majorHAnsi" w:hAnsiTheme="majorHAnsi"/>
          <w:sz w:val="20"/>
          <w:szCs w:val="20"/>
        </w:rPr>
        <w:t xml:space="preserve"> relationship and termination of contracts of </w:t>
      </w:r>
      <w:r w:rsidRPr="00326F31">
        <w:rPr>
          <w:rFonts w:asciiTheme="majorHAnsi" w:eastAsia="Times New Roman" w:hAnsiTheme="majorHAnsi"/>
          <w:sz w:val="20"/>
          <w:szCs w:val="20"/>
          <w:bdr w:val="none" w:sz="0" w:space="0" w:color="auto"/>
        </w:rPr>
        <w:t>Rocío San Miguel Sosa, Magally Chang Girón, and Thais Coromoto Peña</w:t>
      </w:r>
      <w:r w:rsidRPr="00326F31">
        <w:rPr>
          <w:rFonts w:asciiTheme="majorHAnsi" w:hAnsiTheme="majorHAnsi"/>
          <w:sz w:val="20"/>
          <w:szCs w:val="20"/>
        </w:rPr>
        <w:t>; and D) Internal processes initiated in relation to the termination of the contracts.</w:t>
      </w:r>
    </w:p>
    <w:p w14:paraId="37DE94B7" w14:textId="04E78CB7" w:rsidR="00CE59DE" w:rsidRPr="00326F31" w:rsidRDefault="00CE59DE" w:rsidP="00326F31">
      <w:pPr>
        <w:jc w:val="both"/>
        <w:rPr>
          <w:rFonts w:asciiTheme="majorHAnsi" w:hAnsiTheme="majorHAnsi"/>
          <w:sz w:val="20"/>
          <w:szCs w:val="20"/>
        </w:rPr>
      </w:pPr>
    </w:p>
    <w:p w14:paraId="70FC1269" w14:textId="4DEAC584" w:rsidR="00F75A47" w:rsidRPr="00326F31" w:rsidRDefault="00B80719" w:rsidP="00326F31">
      <w:pPr>
        <w:pStyle w:val="Heading2"/>
        <w:numPr>
          <w:ilvl w:val="0"/>
          <w:numId w:val="60"/>
        </w:numPr>
        <w:rPr>
          <w:lang w:val="en-US"/>
        </w:rPr>
      </w:pPr>
      <w:bookmarkStart w:id="10" w:name="_Toc432596979"/>
      <w:bookmarkStart w:id="11" w:name="_Toc433311130"/>
      <w:bookmarkStart w:id="12" w:name="_Toc423514411"/>
      <w:r w:rsidRPr="00326F31">
        <w:rPr>
          <w:lang w:val="en-US"/>
        </w:rPr>
        <w:t>Preliminary issue on the use of certain evidence</w:t>
      </w:r>
      <w:bookmarkEnd w:id="10"/>
      <w:bookmarkEnd w:id="11"/>
    </w:p>
    <w:p w14:paraId="115B2F7F" w14:textId="77777777" w:rsidR="00F75A47" w:rsidRPr="00326F31" w:rsidRDefault="00F75A47" w:rsidP="00326F31">
      <w:pPr>
        <w:jc w:val="both"/>
        <w:rPr>
          <w:rFonts w:asciiTheme="majorHAnsi" w:hAnsiTheme="majorHAnsi"/>
          <w:sz w:val="20"/>
          <w:szCs w:val="20"/>
        </w:rPr>
      </w:pPr>
    </w:p>
    <w:p w14:paraId="7CF4D8CE" w14:textId="04D8EBC8" w:rsidR="00A8677A" w:rsidRDefault="00A8677A" w:rsidP="00A8677A">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78787F">
        <w:rPr>
          <w:rFonts w:asciiTheme="majorHAnsi" w:hAnsiTheme="majorHAnsi"/>
          <w:sz w:val="20"/>
          <w:szCs w:val="20"/>
        </w:rPr>
        <w:t xml:space="preserve">The Commission </w:t>
      </w:r>
      <w:r>
        <w:rPr>
          <w:rFonts w:asciiTheme="majorHAnsi" w:hAnsiTheme="majorHAnsi"/>
          <w:sz w:val="20"/>
          <w:szCs w:val="20"/>
        </w:rPr>
        <w:t>notes</w:t>
      </w:r>
      <w:r w:rsidRPr="0078787F">
        <w:rPr>
          <w:rFonts w:asciiTheme="majorHAnsi" w:hAnsiTheme="majorHAnsi"/>
          <w:sz w:val="20"/>
          <w:szCs w:val="20"/>
        </w:rPr>
        <w:t xml:space="preserve"> that the State asserted that the recordings constituted evidence obtained illegally, which led to its rejection in the domestic proceedings.   The Commission recalls that according to the </w:t>
      </w:r>
      <w:r>
        <w:rPr>
          <w:rFonts w:asciiTheme="majorHAnsi" w:hAnsiTheme="majorHAnsi"/>
          <w:sz w:val="20"/>
          <w:szCs w:val="20"/>
        </w:rPr>
        <w:t xml:space="preserve">jurisprudence </w:t>
      </w:r>
      <w:r w:rsidRPr="0078787F">
        <w:rPr>
          <w:rFonts w:asciiTheme="majorHAnsi" w:hAnsiTheme="majorHAnsi"/>
          <w:sz w:val="20"/>
          <w:szCs w:val="20"/>
        </w:rPr>
        <w:t>of the Inter-American System, the standard of proof are less formal in an international legal proceeding than in a domestic one and it has held that its bodies can “weight the evidence freely”</w:t>
      </w:r>
      <w:r w:rsidRPr="00A8677A">
        <w:rPr>
          <w:rFonts w:asciiTheme="majorHAnsi" w:hAnsiTheme="majorHAnsi"/>
          <w:sz w:val="20"/>
          <w:szCs w:val="20"/>
          <w:vertAlign w:val="superscript"/>
        </w:rPr>
        <w:footnoteReference w:id="3"/>
      </w:r>
      <w:r w:rsidRPr="0078787F">
        <w:rPr>
          <w:rFonts w:asciiTheme="majorHAnsi" w:hAnsiTheme="majorHAnsi"/>
          <w:sz w:val="20"/>
          <w:szCs w:val="20"/>
        </w:rPr>
        <w:t>. In this regard, the Inter American Court has stated that they “must apply an assessment of the evidence that takes into account the gravity of attributing international responsibility to a State and that, despite this, is able to create confidence in the truth of the facts that have been alleged”</w:t>
      </w:r>
      <w:r w:rsidRPr="00A8677A">
        <w:rPr>
          <w:rFonts w:asciiTheme="majorHAnsi" w:hAnsiTheme="majorHAnsi"/>
          <w:sz w:val="20"/>
          <w:szCs w:val="20"/>
          <w:vertAlign w:val="superscript"/>
        </w:rPr>
        <w:footnoteReference w:id="4"/>
      </w:r>
      <w:r w:rsidRPr="0078787F">
        <w:rPr>
          <w:rFonts w:asciiTheme="majorHAnsi" w:hAnsiTheme="majorHAnsi"/>
          <w:sz w:val="20"/>
          <w:szCs w:val="20"/>
        </w:rPr>
        <w:t>. The Court has considered that “it is legitimate to use circumstantial evidence, indications and presumptions to found a judgment, provided that conclusions consistent with the facts can be inferred from them”</w:t>
      </w:r>
      <w:r w:rsidRPr="00A8677A">
        <w:rPr>
          <w:rFonts w:asciiTheme="majorHAnsi" w:hAnsiTheme="majorHAnsi"/>
          <w:sz w:val="20"/>
          <w:szCs w:val="20"/>
          <w:vertAlign w:val="superscript"/>
        </w:rPr>
        <w:footnoteReference w:id="5"/>
      </w:r>
      <w:r>
        <w:rPr>
          <w:rFonts w:asciiTheme="majorHAnsi" w:hAnsiTheme="majorHAnsi"/>
          <w:sz w:val="20"/>
          <w:szCs w:val="20"/>
        </w:rPr>
        <w:t>.</w:t>
      </w:r>
    </w:p>
    <w:p w14:paraId="062C9C9B" w14:textId="77777777" w:rsidR="00A8677A" w:rsidRDefault="00A8677A" w:rsidP="00A8677A">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665C499E" w14:textId="4DA3A1A9" w:rsidR="00A8677A" w:rsidRDefault="00A8677A" w:rsidP="00A8677A">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A8677A">
        <w:rPr>
          <w:rFonts w:ascii="Cambria" w:hAnsi="Cambria"/>
          <w:sz w:val="20"/>
          <w:szCs w:val="20"/>
        </w:rPr>
        <w:t>Although the Inter-American Court has ruled that telephone conversations are protected under Article 11 of the American Convention</w:t>
      </w:r>
      <w:r w:rsidRPr="00FF330E">
        <w:rPr>
          <w:rStyle w:val="FootnoteReference"/>
          <w:rFonts w:ascii="Cambria" w:hAnsi="Cambria"/>
          <w:sz w:val="20"/>
          <w:szCs w:val="20"/>
          <w:lang w:val="es-ES_tradnl"/>
        </w:rPr>
        <w:footnoteReference w:id="6"/>
      </w:r>
      <w:r w:rsidRPr="00A8677A">
        <w:rPr>
          <w:rFonts w:ascii="Cambria" w:hAnsi="Cambria"/>
          <w:sz w:val="20"/>
          <w:szCs w:val="20"/>
        </w:rPr>
        <w:t>, the consta</w:t>
      </w:r>
      <w:r w:rsidR="000608B5">
        <w:rPr>
          <w:rFonts w:ascii="Cambria" w:hAnsi="Cambria"/>
          <w:sz w:val="20"/>
          <w:szCs w:val="20"/>
        </w:rPr>
        <w:t>nt jurisprudence of the of the I</w:t>
      </w:r>
      <w:r w:rsidRPr="00A8677A">
        <w:rPr>
          <w:rFonts w:ascii="Cambria" w:hAnsi="Cambria"/>
          <w:sz w:val="20"/>
          <w:szCs w:val="20"/>
        </w:rPr>
        <w:t>nter-American system has also established that “the right to privacy is not an absolute right and can be restricted by the States, provided interference is not abusive or arbitrary; to this end, it must be established by law, pursue a legitimate purpose and be necessary in a democratic society”</w:t>
      </w:r>
      <w:r w:rsidRPr="00FF330E">
        <w:rPr>
          <w:rStyle w:val="FootnoteReference"/>
          <w:rFonts w:ascii="Cambria" w:hAnsi="Cambria"/>
          <w:sz w:val="20"/>
          <w:szCs w:val="20"/>
          <w:lang w:val="es-ES_tradnl"/>
        </w:rPr>
        <w:footnoteReference w:id="7"/>
      </w:r>
      <w:r w:rsidRPr="00A8677A">
        <w:rPr>
          <w:rFonts w:ascii="Cambria" w:hAnsi="Cambria"/>
          <w:sz w:val="20"/>
          <w:szCs w:val="20"/>
        </w:rPr>
        <w:t>.</w:t>
      </w:r>
    </w:p>
    <w:p w14:paraId="5C49201D" w14:textId="77777777" w:rsidR="00A8677A" w:rsidRDefault="00A8677A" w:rsidP="00A8677A">
      <w:pPr>
        <w:pStyle w:val="ListParagraph"/>
        <w:rPr>
          <w:sz w:val="20"/>
          <w:szCs w:val="20"/>
        </w:rPr>
      </w:pPr>
    </w:p>
    <w:p w14:paraId="6E8511BC" w14:textId="77777777" w:rsidR="00A8677A" w:rsidRDefault="00A8677A" w:rsidP="00A8677A">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A8677A">
        <w:rPr>
          <w:rFonts w:ascii="Cambria" w:hAnsi="Cambria"/>
          <w:sz w:val="20"/>
          <w:szCs w:val="20"/>
        </w:rPr>
        <w:lastRenderedPageBreak/>
        <w:t xml:space="preserve">In this case the content of the conversations do not refer to matters relating to private life or reputation of the participants in the conversation. By contrast, the talks revolve around the reasons that supported the dismissal, particularly, whether the signature to convene a recall referendum was the real motivation. In that sense, the use of the conversation in this report does not disclose aspects of the private life of the people involved but rather could legitimately be described as matters of public interest, taking into special consideration the allegations regarding the existence of a generalized context of retaliation. </w:t>
      </w:r>
    </w:p>
    <w:p w14:paraId="47BB7FCC" w14:textId="77777777" w:rsidR="00A8677A" w:rsidRDefault="00A8677A" w:rsidP="00A8677A">
      <w:pPr>
        <w:pStyle w:val="ListParagraph"/>
        <w:rPr>
          <w:sz w:val="20"/>
          <w:szCs w:val="20"/>
        </w:rPr>
      </w:pPr>
    </w:p>
    <w:p w14:paraId="618D680C" w14:textId="77777777" w:rsidR="00A8677A" w:rsidRDefault="00A8677A" w:rsidP="00A8677A">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A8677A">
        <w:rPr>
          <w:rFonts w:ascii="Cambria" w:hAnsi="Cambria"/>
          <w:sz w:val="20"/>
          <w:szCs w:val="20"/>
        </w:rPr>
        <w:t xml:space="preserve">The European Court has ruled on sanctions against media for spreading the recording of a telephone conversation between senior state officials. In the case of </w:t>
      </w:r>
      <w:r w:rsidRPr="00A8677A">
        <w:rPr>
          <w:rFonts w:ascii="Cambria" w:hAnsi="Cambria"/>
          <w:i/>
          <w:sz w:val="20"/>
          <w:szCs w:val="20"/>
        </w:rPr>
        <w:t>Radio Twist v. Slovakia</w:t>
      </w:r>
      <w:r w:rsidRPr="00FF330E">
        <w:rPr>
          <w:rStyle w:val="FootnoteReference"/>
          <w:rFonts w:ascii="Cambria" w:hAnsi="Cambria"/>
          <w:i/>
          <w:sz w:val="20"/>
          <w:szCs w:val="20"/>
          <w:lang w:val="es-CO"/>
        </w:rPr>
        <w:footnoteReference w:id="8"/>
      </w:r>
      <w:r w:rsidRPr="00A8677A">
        <w:rPr>
          <w:rFonts w:ascii="Cambria" w:hAnsi="Cambria"/>
          <w:i/>
          <w:sz w:val="20"/>
          <w:szCs w:val="20"/>
        </w:rPr>
        <w:t>,</w:t>
      </w:r>
      <w:r w:rsidRPr="00A8677A">
        <w:rPr>
          <w:rFonts w:ascii="Cambria" w:hAnsi="Cambria"/>
          <w:sz w:val="20"/>
          <w:szCs w:val="20"/>
        </w:rPr>
        <w:t xml:space="preserve"> this Court noted that from the context and content of the conversation, the political and public interest character of it was evident, without it being possible to determine a dimension related to the private lives of such persons. Consequently, the European Court found that the special standard of tolerance established in its case law was applicable, and found that the sanction imposed was not necessary in a democratic society.</w:t>
      </w:r>
    </w:p>
    <w:p w14:paraId="373A4E41" w14:textId="77777777" w:rsidR="00A8677A" w:rsidRDefault="00A8677A" w:rsidP="00A8677A">
      <w:pPr>
        <w:pStyle w:val="ListParagraph"/>
        <w:rPr>
          <w:sz w:val="20"/>
          <w:szCs w:val="20"/>
        </w:rPr>
      </w:pPr>
    </w:p>
    <w:p w14:paraId="309CC0AA" w14:textId="6F7C294F" w:rsidR="00D44CC0" w:rsidRPr="0078587D" w:rsidRDefault="00A8677A" w:rsidP="00D44CC0">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A8677A">
        <w:rPr>
          <w:rFonts w:ascii="Cambria" w:hAnsi="Cambria"/>
          <w:sz w:val="20"/>
          <w:szCs w:val="20"/>
        </w:rPr>
        <w:t>Another element that the Commission considers relevant to take into account relates to the characteristics of this case. The main debate that the Commission must resolve is whether the dismissal of the three alleged victims was based on their signatures to convene a recall referendum of the then President of the Republic. In that sense, what is argued is that there is an alleged covert discrimination behind a veil of legality consistent in a contractual clause. In such cases, by its very nature, there is generally no direct evidence about the presence of a prohibited ground of discrimination, in this case, political opinion.</w:t>
      </w:r>
      <w:r w:rsidR="00D44CC0">
        <w:rPr>
          <w:rFonts w:ascii="Cambria" w:hAnsi="Cambria"/>
          <w:sz w:val="20"/>
          <w:szCs w:val="20"/>
        </w:rPr>
        <w:t xml:space="preserve"> T</w:t>
      </w:r>
      <w:r w:rsidR="0078587D">
        <w:rPr>
          <w:rFonts w:ascii="Cambria" w:hAnsi="Cambria"/>
          <w:sz w:val="20"/>
          <w:szCs w:val="20"/>
        </w:rPr>
        <w:t xml:space="preserve">his explains the reasons </w:t>
      </w:r>
      <w:r w:rsidR="00D44CC0">
        <w:rPr>
          <w:rFonts w:ascii="Cambria" w:hAnsi="Cambria"/>
          <w:sz w:val="20"/>
          <w:szCs w:val="20"/>
        </w:rPr>
        <w:t xml:space="preserve">why the Commission must consider indicia and circumstantial evidence in </w:t>
      </w:r>
      <w:r w:rsidR="0078587D">
        <w:rPr>
          <w:rFonts w:ascii="Cambria" w:hAnsi="Cambria"/>
          <w:sz w:val="20"/>
          <w:szCs w:val="20"/>
        </w:rPr>
        <w:t>such</w:t>
      </w:r>
      <w:r w:rsidR="00D44CC0">
        <w:rPr>
          <w:rFonts w:ascii="Cambria" w:hAnsi="Cambria"/>
          <w:sz w:val="20"/>
          <w:szCs w:val="20"/>
        </w:rPr>
        <w:t xml:space="preserve"> cases. </w:t>
      </w:r>
      <w:r w:rsidR="0078587D">
        <w:rPr>
          <w:rFonts w:ascii="Cambria" w:hAnsi="Cambria"/>
          <w:sz w:val="20"/>
          <w:szCs w:val="20"/>
        </w:rPr>
        <w:t xml:space="preserve"> The recordings of the telephone conversation are another element of the evidence provided to the Commission. </w:t>
      </w:r>
    </w:p>
    <w:p w14:paraId="596C14BA" w14:textId="77777777" w:rsidR="00A8677A" w:rsidRPr="0078587D" w:rsidRDefault="00A8677A" w:rsidP="00A8677A">
      <w:pPr>
        <w:rPr>
          <w:sz w:val="20"/>
          <w:szCs w:val="20"/>
        </w:rPr>
      </w:pPr>
    </w:p>
    <w:p w14:paraId="02628AF7" w14:textId="07A17E04" w:rsidR="00A8677A" w:rsidRPr="00A8677A" w:rsidRDefault="00A8677A" w:rsidP="00A8677A">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A8677A">
        <w:rPr>
          <w:rFonts w:ascii="Cambria" w:hAnsi="Cambria"/>
          <w:sz w:val="20"/>
          <w:szCs w:val="20"/>
        </w:rPr>
        <w:t>Considering all the above elements as a whole, the Commission considers that the use of the transcripts and the recordings of the telephone conversations is justified in this case and, therefore, will proceed to consider the, on the subsequent factual determinations.</w:t>
      </w:r>
    </w:p>
    <w:p w14:paraId="4518A8AB" w14:textId="77777777" w:rsidR="002A62C7" w:rsidRDefault="002A62C7" w:rsidP="00326F31">
      <w:pPr>
        <w:jc w:val="both"/>
        <w:rPr>
          <w:rFonts w:asciiTheme="majorHAnsi" w:hAnsiTheme="majorHAnsi"/>
          <w:sz w:val="20"/>
          <w:szCs w:val="20"/>
        </w:rPr>
      </w:pPr>
    </w:p>
    <w:p w14:paraId="15650F1E" w14:textId="77777777" w:rsidR="00A8677A" w:rsidRPr="00326F31" w:rsidRDefault="00A8677A" w:rsidP="00326F31">
      <w:pPr>
        <w:jc w:val="both"/>
        <w:rPr>
          <w:rFonts w:asciiTheme="majorHAnsi" w:hAnsiTheme="majorHAnsi"/>
          <w:sz w:val="20"/>
          <w:szCs w:val="20"/>
        </w:rPr>
      </w:pPr>
    </w:p>
    <w:p w14:paraId="5E0B7EBD" w14:textId="71DF3595" w:rsidR="00E40449" w:rsidRPr="00326F31" w:rsidRDefault="00706840" w:rsidP="00326F31">
      <w:pPr>
        <w:pStyle w:val="Heading2"/>
        <w:numPr>
          <w:ilvl w:val="0"/>
          <w:numId w:val="60"/>
        </w:numPr>
        <w:rPr>
          <w:lang w:val="en-US"/>
        </w:rPr>
      </w:pPr>
      <w:bookmarkStart w:id="13" w:name="_Toc433311131"/>
      <w:bookmarkEnd w:id="12"/>
      <w:r w:rsidRPr="00326F31">
        <w:rPr>
          <w:lang w:val="en-US"/>
        </w:rPr>
        <w:t>Context of the petition</w:t>
      </w:r>
      <w:r w:rsidR="00DB39B4" w:rsidRPr="00326F31">
        <w:rPr>
          <w:lang w:val="en-US"/>
        </w:rPr>
        <w:t xml:space="preserve"> for signatures for convening the consultative and recall referendum of the President of the Republic</w:t>
      </w:r>
      <w:bookmarkEnd w:id="13"/>
      <w:r w:rsidR="00FA08DD" w:rsidRPr="00326F31">
        <w:rPr>
          <w:lang w:val="en-US"/>
        </w:rPr>
        <w:t xml:space="preserve"> </w:t>
      </w:r>
    </w:p>
    <w:p w14:paraId="7A09F199" w14:textId="32CC3675" w:rsidR="00E571A2" w:rsidRPr="00326F31" w:rsidRDefault="00A71531" w:rsidP="00326F31">
      <w:pPr>
        <w:tabs>
          <w:tab w:val="left" w:pos="2207"/>
        </w:tabs>
        <w:jc w:val="both"/>
        <w:rPr>
          <w:rFonts w:asciiTheme="majorHAnsi" w:hAnsiTheme="majorHAnsi"/>
          <w:b/>
          <w:sz w:val="20"/>
          <w:szCs w:val="20"/>
        </w:rPr>
      </w:pPr>
      <w:r w:rsidRPr="00326F31">
        <w:rPr>
          <w:rFonts w:asciiTheme="majorHAnsi" w:hAnsiTheme="majorHAnsi"/>
          <w:b/>
          <w:sz w:val="20"/>
          <w:szCs w:val="20"/>
        </w:rPr>
        <w:tab/>
      </w:r>
    </w:p>
    <w:p w14:paraId="6A866BB9" w14:textId="41E405D9" w:rsidR="00E571A2" w:rsidRPr="00326F31" w:rsidRDefault="00A71531" w:rsidP="004127E4">
      <w:pPr>
        <w:pStyle w:val="ListParagraph"/>
        <w:numPr>
          <w:ilvl w:val="1"/>
          <w:numId w:val="55"/>
        </w:numPr>
        <w:tabs>
          <w:tab w:val="clear" w:pos="1800"/>
          <w:tab w:val="num" w:pos="1440"/>
        </w:tabs>
        <w:ind w:hanging="1080"/>
        <w:jc w:val="both"/>
        <w:rPr>
          <w:rFonts w:asciiTheme="majorHAnsi" w:hAnsiTheme="majorHAnsi"/>
          <w:b/>
          <w:sz w:val="20"/>
          <w:szCs w:val="20"/>
        </w:rPr>
      </w:pPr>
      <w:r w:rsidRPr="00326F31">
        <w:rPr>
          <w:rFonts w:asciiTheme="majorHAnsi" w:hAnsiTheme="majorHAnsi"/>
          <w:b/>
          <w:sz w:val="20"/>
          <w:szCs w:val="20"/>
        </w:rPr>
        <w:t>The first collection of signatures for the presidential consultative referendum</w:t>
      </w:r>
      <w:r w:rsidR="00E571A2" w:rsidRPr="00326F31">
        <w:rPr>
          <w:rFonts w:asciiTheme="majorHAnsi" w:hAnsiTheme="majorHAnsi"/>
          <w:b/>
          <w:sz w:val="20"/>
          <w:szCs w:val="20"/>
        </w:rPr>
        <w:t xml:space="preserve"> </w:t>
      </w:r>
    </w:p>
    <w:p w14:paraId="41DF7CD6" w14:textId="77777777" w:rsidR="004119AE" w:rsidRPr="00326F31" w:rsidRDefault="004119AE" w:rsidP="00326F31">
      <w:pPr>
        <w:jc w:val="both"/>
        <w:rPr>
          <w:rFonts w:asciiTheme="majorHAnsi" w:hAnsiTheme="majorHAnsi"/>
          <w:sz w:val="20"/>
          <w:szCs w:val="20"/>
        </w:rPr>
      </w:pPr>
    </w:p>
    <w:p w14:paraId="6007848D" w14:textId="5E90AB92" w:rsidR="00910D7B" w:rsidRPr="00326F31" w:rsidRDefault="00DA6705"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The Venezuelan Political Constitution, enacted in 1999, enshrines under Articles 71 and 72 the possibility to withdraw all charges and magistrates elected by popular vote after half of the period for which the civil servant was elected for has passed, by the request to convene a referendum by no fewer than twenty percent </w:t>
      </w:r>
      <w:r w:rsidR="00CE384C" w:rsidRPr="00326F31">
        <w:rPr>
          <w:rFonts w:asciiTheme="majorHAnsi" w:hAnsiTheme="majorHAnsi"/>
          <w:sz w:val="20"/>
          <w:szCs w:val="20"/>
        </w:rPr>
        <w:t>of voters registered in the pertinent circumscription</w:t>
      </w:r>
      <w:r w:rsidR="00CE384C" w:rsidRPr="00326F31">
        <w:rPr>
          <w:rStyle w:val="FootnoteTextChar"/>
          <w:rFonts w:asciiTheme="majorHAnsi" w:hAnsiTheme="majorHAnsi"/>
          <w:sz w:val="20"/>
          <w:szCs w:val="20"/>
          <w:vertAlign w:val="superscript"/>
        </w:rPr>
        <w:footnoteReference w:id="9"/>
      </w:r>
      <w:r w:rsidR="00CE384C" w:rsidRPr="00326F31">
        <w:rPr>
          <w:rFonts w:asciiTheme="majorHAnsi" w:hAnsiTheme="majorHAnsi"/>
          <w:sz w:val="20"/>
          <w:szCs w:val="20"/>
        </w:rPr>
        <w:t>.</w:t>
      </w:r>
    </w:p>
    <w:p w14:paraId="5AA04D12" w14:textId="77777777" w:rsidR="00274A4B" w:rsidRPr="00326F31" w:rsidRDefault="00274A4B" w:rsidP="00326F31">
      <w:pPr>
        <w:jc w:val="both"/>
        <w:rPr>
          <w:rFonts w:asciiTheme="majorHAnsi" w:hAnsiTheme="majorHAnsi"/>
          <w:sz w:val="20"/>
          <w:szCs w:val="20"/>
        </w:rPr>
      </w:pPr>
    </w:p>
    <w:p w14:paraId="1025FEAC" w14:textId="0949AC18" w:rsidR="00CA076A" w:rsidRPr="00326F31" w:rsidRDefault="00CA076A"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lastRenderedPageBreak/>
        <w:t>During 2001 and 2002 Venezuela faced a serious institutional and political crisis under which opposition parties and civil society organizations promoted a consultative referendum to request the resignation of President Hugo Chavez. To this end, the organizations collected signatures and on 4 November, 2002 handed to the National Electoral Council over two million signatures</w:t>
      </w:r>
      <w:r w:rsidRPr="00326F31">
        <w:rPr>
          <w:rStyle w:val="FootnoteReference"/>
          <w:rFonts w:asciiTheme="majorHAnsi" w:hAnsiTheme="majorHAnsi"/>
          <w:sz w:val="20"/>
          <w:szCs w:val="20"/>
          <w:lang w:val="es-VE"/>
        </w:rPr>
        <w:footnoteReference w:id="10"/>
      </w:r>
      <w:r w:rsidRPr="00326F31">
        <w:rPr>
          <w:rFonts w:asciiTheme="majorHAnsi" w:hAnsiTheme="majorHAnsi"/>
          <w:sz w:val="20"/>
          <w:szCs w:val="20"/>
        </w:rPr>
        <w:t>.</w:t>
      </w:r>
      <w:r w:rsidR="005E6C10">
        <w:rPr>
          <w:rFonts w:asciiTheme="majorHAnsi" w:hAnsiTheme="majorHAnsi"/>
          <w:sz w:val="20"/>
          <w:szCs w:val="20"/>
        </w:rPr>
        <w:t xml:space="preserve"> </w:t>
      </w:r>
    </w:p>
    <w:p w14:paraId="15ABB3A9" w14:textId="77777777" w:rsidR="00EE2D9F" w:rsidRPr="00326F31" w:rsidRDefault="00EE2D9F" w:rsidP="00326F31">
      <w:pPr>
        <w:jc w:val="both"/>
        <w:rPr>
          <w:rFonts w:asciiTheme="majorHAnsi" w:hAnsiTheme="majorHAnsi"/>
          <w:sz w:val="20"/>
          <w:szCs w:val="20"/>
        </w:rPr>
      </w:pPr>
    </w:p>
    <w:p w14:paraId="7D09A764" w14:textId="40F1EFE3" w:rsidR="00274A4B" w:rsidRPr="00326F31" w:rsidRDefault="00274A4B"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326F31">
        <w:rPr>
          <w:rFonts w:asciiTheme="majorHAnsi" w:hAnsiTheme="majorHAnsi"/>
          <w:sz w:val="20"/>
          <w:szCs w:val="20"/>
        </w:rPr>
        <w:t>In November 2002, during a television program, President Chavez said he would not resign his position by stating that "not even assuming that the National Electoral Council decreed that the question (of the consultative referendum) is valid. Nor in the event that the Supreme Court says so. Nor in the event that they do the referendum and draw 90% of the votes, I will not resign!”</w:t>
      </w:r>
      <w:r w:rsidRPr="00326F31">
        <w:rPr>
          <w:rStyle w:val="FootnoteReference"/>
          <w:rFonts w:asciiTheme="majorHAnsi" w:hAnsiTheme="majorHAnsi"/>
          <w:sz w:val="20"/>
          <w:szCs w:val="20"/>
        </w:rPr>
        <w:t xml:space="preserve"> </w:t>
      </w:r>
      <w:r w:rsidRPr="00326F31">
        <w:rPr>
          <w:rStyle w:val="FootnoteReference"/>
          <w:rFonts w:asciiTheme="majorHAnsi" w:hAnsiTheme="majorHAnsi"/>
          <w:sz w:val="20"/>
          <w:szCs w:val="20"/>
          <w:lang w:val="es-VE"/>
        </w:rPr>
        <w:footnoteReference w:id="11"/>
      </w:r>
      <w:r w:rsidR="007B2A37" w:rsidRPr="00326F31">
        <w:rPr>
          <w:rFonts w:asciiTheme="majorHAnsi" w:hAnsiTheme="majorHAnsi"/>
          <w:sz w:val="20"/>
          <w:szCs w:val="20"/>
          <w:lang w:val="es-VE"/>
        </w:rPr>
        <w:t>.</w:t>
      </w:r>
    </w:p>
    <w:p w14:paraId="7937BB45" w14:textId="77777777" w:rsidR="00EE2D9F" w:rsidRPr="00326F31" w:rsidRDefault="00EE2D9F" w:rsidP="00326F31">
      <w:pPr>
        <w:pStyle w:val="ListParagraph"/>
        <w:jc w:val="both"/>
        <w:rPr>
          <w:rFonts w:asciiTheme="majorHAnsi" w:hAnsiTheme="majorHAnsi"/>
          <w:sz w:val="20"/>
          <w:szCs w:val="20"/>
          <w:lang w:val="es-DO"/>
        </w:rPr>
      </w:pPr>
    </w:p>
    <w:p w14:paraId="281AECCF" w14:textId="5CFDE536" w:rsidR="00EE2D9F" w:rsidRPr="00326F31" w:rsidRDefault="00EE2D9F"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December 3, 2002, by Resolution 021203-457, the National Electoral Council called for voters to participate in the national advisory referendum on the presidential term set for February 2, 2003</w:t>
      </w:r>
      <w:r w:rsidRPr="00326F31">
        <w:rPr>
          <w:rStyle w:val="FootnoteReference"/>
          <w:rFonts w:asciiTheme="majorHAnsi" w:hAnsiTheme="majorHAnsi"/>
          <w:sz w:val="20"/>
          <w:szCs w:val="20"/>
          <w:lang w:val="es-VE"/>
        </w:rPr>
        <w:footnoteReference w:id="12"/>
      </w:r>
      <w:r w:rsidRPr="00326F31">
        <w:rPr>
          <w:rFonts w:asciiTheme="majorHAnsi" w:hAnsiTheme="majorHAnsi"/>
          <w:sz w:val="20"/>
          <w:szCs w:val="20"/>
        </w:rPr>
        <w:t xml:space="preserve"> .</w:t>
      </w:r>
    </w:p>
    <w:p w14:paraId="28A6DD4D" w14:textId="77777777" w:rsidR="004C481E" w:rsidRPr="00326F31" w:rsidRDefault="004C481E" w:rsidP="00326F31">
      <w:pPr>
        <w:jc w:val="both"/>
        <w:rPr>
          <w:rFonts w:asciiTheme="majorHAnsi" w:hAnsiTheme="majorHAnsi"/>
          <w:sz w:val="20"/>
          <w:szCs w:val="20"/>
        </w:rPr>
      </w:pPr>
    </w:p>
    <w:p w14:paraId="21AA3762" w14:textId="76F00676" w:rsidR="007B2A37" w:rsidRPr="00326F31" w:rsidRDefault="007B2A37"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Then, on December 30, 2002, three members of the Fifth Republic Movement political party filed a </w:t>
      </w:r>
      <w:r w:rsidR="00F605CF" w:rsidRPr="00326F31">
        <w:rPr>
          <w:rFonts w:asciiTheme="majorHAnsi" w:hAnsiTheme="majorHAnsi"/>
          <w:sz w:val="20"/>
          <w:szCs w:val="20"/>
        </w:rPr>
        <w:t>claim</w:t>
      </w:r>
      <w:r w:rsidRPr="00326F31">
        <w:rPr>
          <w:rFonts w:asciiTheme="majorHAnsi" w:hAnsiTheme="majorHAnsi"/>
          <w:sz w:val="20"/>
          <w:szCs w:val="20"/>
        </w:rPr>
        <w:t xml:space="preserve"> for "annulment with request for constitutional </w:t>
      </w:r>
      <w:r w:rsidRPr="00326F31">
        <w:rPr>
          <w:rFonts w:asciiTheme="majorHAnsi" w:hAnsiTheme="majorHAnsi"/>
          <w:i/>
          <w:sz w:val="20"/>
          <w:szCs w:val="20"/>
        </w:rPr>
        <w:t>amparo</w:t>
      </w:r>
      <w:r w:rsidRPr="00326F31">
        <w:rPr>
          <w:rFonts w:asciiTheme="majorHAnsi" w:hAnsiTheme="majorHAnsi"/>
          <w:sz w:val="20"/>
          <w:szCs w:val="20"/>
        </w:rPr>
        <w:t>" against Resolution No. 021203-457 of December 3, 2002, published in the Electoral Gazette No. 168 of December 5, 2002</w:t>
      </w:r>
      <w:r w:rsidRPr="00326F31">
        <w:rPr>
          <w:rStyle w:val="FootnoteReference"/>
          <w:rFonts w:asciiTheme="majorHAnsi" w:hAnsiTheme="majorHAnsi"/>
          <w:sz w:val="20"/>
          <w:szCs w:val="20"/>
          <w:lang w:val="es-VE"/>
        </w:rPr>
        <w:footnoteReference w:id="13"/>
      </w:r>
      <w:r w:rsidRPr="00326F31">
        <w:rPr>
          <w:rFonts w:asciiTheme="majorHAnsi" w:hAnsiTheme="majorHAnsi"/>
          <w:color w:val="000000"/>
          <w:sz w:val="20"/>
          <w:szCs w:val="20"/>
        </w:rPr>
        <w:t>.</w:t>
      </w:r>
    </w:p>
    <w:p w14:paraId="7145818F" w14:textId="77777777" w:rsidR="008B573D" w:rsidRPr="00326F31" w:rsidRDefault="008B573D" w:rsidP="00326F31">
      <w:pPr>
        <w:pStyle w:val="ListParagraph"/>
        <w:jc w:val="both"/>
        <w:rPr>
          <w:rFonts w:asciiTheme="majorHAnsi" w:hAnsiTheme="majorHAnsi"/>
          <w:sz w:val="20"/>
          <w:szCs w:val="20"/>
        </w:rPr>
      </w:pPr>
    </w:p>
    <w:p w14:paraId="1EA690D9" w14:textId="02CED6CA" w:rsidR="004C481E" w:rsidRPr="00326F31" w:rsidRDefault="004C481E"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On January 22, 2003, 10 days </w:t>
      </w:r>
      <w:r w:rsidR="0082232D" w:rsidRPr="00326F31">
        <w:rPr>
          <w:rFonts w:asciiTheme="majorHAnsi" w:hAnsiTheme="majorHAnsi"/>
          <w:sz w:val="20"/>
          <w:szCs w:val="20"/>
        </w:rPr>
        <w:t xml:space="preserve">before </w:t>
      </w:r>
      <w:r w:rsidRPr="00326F31">
        <w:rPr>
          <w:rFonts w:asciiTheme="majorHAnsi" w:hAnsiTheme="majorHAnsi"/>
          <w:sz w:val="20"/>
          <w:szCs w:val="20"/>
        </w:rPr>
        <w:t xml:space="preserve">the date for carrying out the consultative referendum, the </w:t>
      </w:r>
      <w:r w:rsidR="0082232D" w:rsidRPr="00326F31">
        <w:rPr>
          <w:rFonts w:asciiTheme="majorHAnsi" w:hAnsiTheme="majorHAnsi" w:cs="Arial"/>
          <w:sz w:val="20"/>
          <w:szCs w:val="20"/>
        </w:rPr>
        <w:t xml:space="preserve">Acting Chamber for Electoral Matters </w:t>
      </w:r>
      <w:r w:rsidR="0082232D" w:rsidRPr="00326F31">
        <w:rPr>
          <w:rFonts w:asciiTheme="majorHAnsi" w:hAnsiTheme="majorHAnsi"/>
          <w:sz w:val="20"/>
          <w:szCs w:val="20"/>
        </w:rPr>
        <w:t xml:space="preserve">of the TSJ resolved the request for constitutional </w:t>
      </w:r>
      <w:r w:rsidR="0082232D" w:rsidRPr="00326F31">
        <w:rPr>
          <w:rFonts w:asciiTheme="majorHAnsi" w:hAnsiTheme="majorHAnsi"/>
          <w:i/>
          <w:sz w:val="20"/>
          <w:szCs w:val="20"/>
        </w:rPr>
        <w:t>amparo</w:t>
      </w:r>
      <w:r w:rsidR="0082232D" w:rsidRPr="00326F31">
        <w:rPr>
          <w:rFonts w:asciiTheme="majorHAnsi" w:hAnsiTheme="majorHAnsi"/>
          <w:sz w:val="20"/>
          <w:szCs w:val="20"/>
        </w:rPr>
        <w:t xml:space="preserve"> </w:t>
      </w:r>
      <w:r w:rsidRPr="00326F31">
        <w:rPr>
          <w:rFonts w:asciiTheme="majorHAnsi" w:hAnsiTheme="majorHAnsi"/>
          <w:sz w:val="20"/>
          <w:szCs w:val="20"/>
        </w:rPr>
        <w:t>and</w:t>
      </w:r>
      <w:r w:rsidR="0082232D" w:rsidRPr="00326F31">
        <w:rPr>
          <w:rFonts w:asciiTheme="majorHAnsi" w:hAnsiTheme="majorHAnsi"/>
          <w:sz w:val="20"/>
          <w:szCs w:val="20"/>
        </w:rPr>
        <w:t xml:space="preserve"> the annulment </w:t>
      </w:r>
      <w:r w:rsidR="00F605CF" w:rsidRPr="00326F31">
        <w:rPr>
          <w:rFonts w:asciiTheme="majorHAnsi" w:hAnsiTheme="majorHAnsi"/>
          <w:sz w:val="20"/>
          <w:szCs w:val="20"/>
        </w:rPr>
        <w:t>claim, and</w:t>
      </w:r>
      <w:r w:rsidRPr="00326F31">
        <w:rPr>
          <w:rFonts w:asciiTheme="majorHAnsi" w:hAnsiTheme="majorHAnsi"/>
          <w:sz w:val="20"/>
          <w:szCs w:val="20"/>
        </w:rPr>
        <w:t xml:space="preserve"> ordered the CNE</w:t>
      </w:r>
      <w:r w:rsidR="00E04845" w:rsidRPr="00326F31">
        <w:rPr>
          <w:rFonts w:asciiTheme="majorHAnsi" w:hAnsiTheme="majorHAnsi"/>
          <w:sz w:val="20"/>
          <w:szCs w:val="20"/>
        </w:rPr>
        <w:t xml:space="preserve"> to</w:t>
      </w:r>
      <w:r w:rsidRPr="00326F31">
        <w:rPr>
          <w:rFonts w:asciiTheme="majorHAnsi" w:hAnsiTheme="majorHAnsi"/>
          <w:sz w:val="20"/>
          <w:szCs w:val="20"/>
        </w:rPr>
        <w:t>: a) r</w:t>
      </w:r>
      <w:r w:rsidR="00E04845" w:rsidRPr="00326F31">
        <w:rPr>
          <w:rFonts w:asciiTheme="majorHAnsi" w:hAnsiTheme="majorHAnsi"/>
          <w:sz w:val="20"/>
          <w:szCs w:val="20"/>
        </w:rPr>
        <w:t>efrain from initiating electoral</w:t>
      </w:r>
      <w:r w:rsidRPr="00326F31">
        <w:rPr>
          <w:rFonts w:asciiTheme="majorHAnsi" w:hAnsiTheme="majorHAnsi"/>
          <w:sz w:val="20"/>
          <w:szCs w:val="20"/>
        </w:rPr>
        <w:t xml:space="preserve"> or referenda</w:t>
      </w:r>
      <w:r w:rsidR="00E04845" w:rsidRPr="00326F31">
        <w:rPr>
          <w:rFonts w:asciiTheme="majorHAnsi" w:hAnsiTheme="majorHAnsi"/>
          <w:sz w:val="20"/>
          <w:szCs w:val="20"/>
        </w:rPr>
        <w:t xml:space="preserve"> processes</w:t>
      </w:r>
      <w:r w:rsidRPr="00326F31">
        <w:rPr>
          <w:rFonts w:asciiTheme="majorHAnsi" w:hAnsiTheme="majorHAnsi"/>
          <w:sz w:val="20"/>
          <w:szCs w:val="20"/>
        </w:rPr>
        <w:t xml:space="preserve"> and suspend those</w:t>
      </w:r>
      <w:r w:rsidR="00E04845" w:rsidRPr="00326F31">
        <w:rPr>
          <w:rFonts w:asciiTheme="majorHAnsi" w:hAnsiTheme="majorHAnsi"/>
          <w:sz w:val="20"/>
          <w:szCs w:val="20"/>
        </w:rPr>
        <w:t xml:space="preserve"> already initiated; b) r</w:t>
      </w:r>
      <w:r w:rsidR="005B70E5" w:rsidRPr="00326F31">
        <w:rPr>
          <w:rFonts w:asciiTheme="majorHAnsi" w:hAnsiTheme="majorHAnsi"/>
          <w:sz w:val="20"/>
          <w:szCs w:val="20"/>
        </w:rPr>
        <w:t>efrain from conduction sessions</w:t>
      </w:r>
      <w:r w:rsidRPr="00326F31">
        <w:rPr>
          <w:rFonts w:asciiTheme="majorHAnsi" w:hAnsiTheme="majorHAnsi"/>
          <w:sz w:val="20"/>
          <w:szCs w:val="20"/>
        </w:rPr>
        <w:t xml:space="preserve"> with the participation of Leonardo Pizani; </w:t>
      </w:r>
      <w:r w:rsidR="00E04845" w:rsidRPr="00326F31">
        <w:rPr>
          <w:rFonts w:asciiTheme="majorHAnsi" w:hAnsiTheme="majorHAnsi"/>
          <w:sz w:val="20"/>
          <w:szCs w:val="20"/>
        </w:rPr>
        <w:t xml:space="preserve">and </w:t>
      </w:r>
      <w:r w:rsidRPr="00326F31">
        <w:rPr>
          <w:rFonts w:asciiTheme="majorHAnsi" w:hAnsiTheme="majorHAnsi"/>
          <w:sz w:val="20"/>
          <w:szCs w:val="20"/>
        </w:rPr>
        <w:t>c) suspend the effects of Resolution No. 021203-457</w:t>
      </w:r>
      <w:r w:rsidR="005B70E5" w:rsidRPr="00326F31">
        <w:rPr>
          <w:rStyle w:val="FootnoteReference"/>
          <w:rFonts w:asciiTheme="majorHAnsi" w:hAnsiTheme="majorHAnsi"/>
          <w:sz w:val="20"/>
          <w:szCs w:val="20"/>
          <w:lang w:val="es-VE"/>
        </w:rPr>
        <w:footnoteReference w:id="14"/>
      </w:r>
      <w:r w:rsidR="005E6C10">
        <w:rPr>
          <w:rFonts w:asciiTheme="majorHAnsi" w:hAnsiTheme="majorHAnsi"/>
          <w:sz w:val="20"/>
          <w:szCs w:val="20"/>
        </w:rPr>
        <w:t xml:space="preserve"> </w:t>
      </w:r>
      <w:r w:rsidRPr="00326F31">
        <w:rPr>
          <w:rFonts w:asciiTheme="majorHAnsi" w:hAnsiTheme="majorHAnsi"/>
          <w:sz w:val="20"/>
          <w:szCs w:val="20"/>
        </w:rPr>
        <w:t xml:space="preserve">given that in </w:t>
      </w:r>
      <w:r w:rsidR="00E04845" w:rsidRPr="00326F31">
        <w:rPr>
          <w:rFonts w:asciiTheme="majorHAnsi" w:hAnsiTheme="majorHAnsi"/>
          <w:sz w:val="20"/>
          <w:szCs w:val="20"/>
        </w:rPr>
        <w:t>the approval of that</w:t>
      </w:r>
      <w:r w:rsidRPr="00326F31">
        <w:rPr>
          <w:rFonts w:asciiTheme="majorHAnsi" w:hAnsiTheme="majorHAnsi"/>
          <w:sz w:val="20"/>
          <w:szCs w:val="20"/>
        </w:rPr>
        <w:t xml:space="preserve"> decision</w:t>
      </w:r>
      <w:r w:rsidR="00E04845" w:rsidRPr="00326F31">
        <w:rPr>
          <w:rFonts w:asciiTheme="majorHAnsi" w:hAnsiTheme="majorHAnsi"/>
          <w:sz w:val="20"/>
          <w:szCs w:val="20"/>
        </w:rPr>
        <w:t xml:space="preserve"> a </w:t>
      </w:r>
      <w:r w:rsidRPr="00326F31">
        <w:rPr>
          <w:rFonts w:asciiTheme="majorHAnsi" w:hAnsiTheme="majorHAnsi"/>
          <w:sz w:val="20"/>
          <w:szCs w:val="20"/>
        </w:rPr>
        <w:t>person who had already resigned</w:t>
      </w:r>
      <w:r w:rsidR="00E04845" w:rsidRPr="00326F31">
        <w:rPr>
          <w:rFonts w:asciiTheme="majorHAnsi" w:hAnsiTheme="majorHAnsi"/>
          <w:sz w:val="20"/>
          <w:szCs w:val="20"/>
        </w:rPr>
        <w:t xml:space="preserve"> to his position</w:t>
      </w:r>
      <w:r w:rsidRPr="00326F31">
        <w:rPr>
          <w:rFonts w:asciiTheme="majorHAnsi" w:hAnsiTheme="majorHAnsi"/>
          <w:sz w:val="20"/>
          <w:szCs w:val="20"/>
        </w:rPr>
        <w:t xml:space="preserve"> as deputy</w:t>
      </w:r>
      <w:r w:rsidR="00E04845" w:rsidRPr="00326F31">
        <w:rPr>
          <w:rFonts w:asciiTheme="majorHAnsi" w:hAnsiTheme="majorHAnsi"/>
          <w:sz w:val="20"/>
          <w:szCs w:val="20"/>
        </w:rPr>
        <w:t xml:space="preserve"> participated in the Board, therefore</w:t>
      </w:r>
      <w:r w:rsidRPr="00326F31">
        <w:rPr>
          <w:rFonts w:asciiTheme="majorHAnsi" w:hAnsiTheme="majorHAnsi"/>
          <w:sz w:val="20"/>
          <w:szCs w:val="20"/>
        </w:rPr>
        <w:t xml:space="preserve"> that de</w:t>
      </w:r>
      <w:r w:rsidR="00E04845" w:rsidRPr="00326F31">
        <w:rPr>
          <w:rFonts w:asciiTheme="majorHAnsi" w:hAnsiTheme="majorHAnsi"/>
          <w:sz w:val="20"/>
          <w:szCs w:val="20"/>
        </w:rPr>
        <w:t>cision is</w:t>
      </w:r>
      <w:r w:rsidRPr="00326F31">
        <w:rPr>
          <w:rFonts w:asciiTheme="majorHAnsi" w:hAnsiTheme="majorHAnsi"/>
          <w:sz w:val="20"/>
          <w:szCs w:val="20"/>
        </w:rPr>
        <w:t xml:space="preserve"> detrimental</w:t>
      </w:r>
      <w:r w:rsidR="00E04845" w:rsidRPr="00326F31">
        <w:rPr>
          <w:rFonts w:asciiTheme="majorHAnsi" w:hAnsiTheme="majorHAnsi"/>
          <w:sz w:val="20"/>
          <w:szCs w:val="20"/>
        </w:rPr>
        <w:t xml:space="preserve"> to</w:t>
      </w:r>
      <w:r w:rsidRPr="00326F31">
        <w:rPr>
          <w:rFonts w:asciiTheme="majorHAnsi" w:hAnsiTheme="majorHAnsi"/>
          <w:sz w:val="20"/>
          <w:szCs w:val="20"/>
        </w:rPr>
        <w:t xml:space="preserve"> "the right to participate in public affairs</w:t>
      </w:r>
      <w:r w:rsidR="00E04845" w:rsidRPr="00326F31">
        <w:rPr>
          <w:rFonts w:asciiTheme="majorHAnsi" w:hAnsiTheme="majorHAnsi"/>
          <w:sz w:val="20"/>
          <w:szCs w:val="20"/>
        </w:rPr>
        <w:t xml:space="preserve"> of both the appellants, and in generally all voters (...)</w:t>
      </w:r>
      <w:r w:rsidRPr="00326F31">
        <w:rPr>
          <w:rFonts w:asciiTheme="majorHAnsi" w:hAnsiTheme="majorHAnsi"/>
          <w:sz w:val="20"/>
          <w:szCs w:val="20"/>
        </w:rPr>
        <w:t>"</w:t>
      </w:r>
      <w:r w:rsidR="00E04845" w:rsidRPr="00326F31">
        <w:rPr>
          <w:rStyle w:val="FootnoteReference"/>
          <w:rFonts w:asciiTheme="majorHAnsi" w:hAnsiTheme="majorHAnsi"/>
          <w:sz w:val="20"/>
          <w:szCs w:val="20"/>
          <w:lang w:val="es-VE"/>
        </w:rPr>
        <w:footnoteReference w:id="15"/>
      </w:r>
      <w:r w:rsidRPr="00326F31">
        <w:rPr>
          <w:rFonts w:asciiTheme="majorHAnsi" w:hAnsiTheme="majorHAnsi"/>
          <w:sz w:val="20"/>
          <w:szCs w:val="20"/>
        </w:rPr>
        <w:t xml:space="preserve">. </w:t>
      </w:r>
      <w:r w:rsidR="008B573D" w:rsidRPr="00326F31">
        <w:rPr>
          <w:rFonts w:asciiTheme="majorHAnsi" w:hAnsiTheme="majorHAnsi"/>
          <w:sz w:val="20"/>
          <w:szCs w:val="20"/>
        </w:rPr>
        <w:t>In light of the above, the CNE suspended the call for a consultative referendum and restricted its activities to those of an administrative nature</w:t>
      </w:r>
      <w:r w:rsidR="008B573D" w:rsidRPr="00326F31">
        <w:rPr>
          <w:rStyle w:val="FootnoteTextChar"/>
          <w:rFonts w:asciiTheme="majorHAnsi" w:hAnsiTheme="majorHAnsi"/>
          <w:sz w:val="20"/>
          <w:szCs w:val="20"/>
          <w:vertAlign w:val="superscript"/>
        </w:rPr>
        <w:footnoteReference w:id="16"/>
      </w:r>
      <w:r w:rsidR="008B573D" w:rsidRPr="00326F31">
        <w:rPr>
          <w:rFonts w:asciiTheme="majorHAnsi" w:hAnsiTheme="majorHAnsi"/>
          <w:sz w:val="20"/>
          <w:szCs w:val="20"/>
        </w:rPr>
        <w:t>.</w:t>
      </w:r>
    </w:p>
    <w:p w14:paraId="088364FF" w14:textId="77777777" w:rsidR="00280D03" w:rsidRPr="00326F31" w:rsidRDefault="00280D03"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33C64F92" w14:textId="0A3E3167" w:rsidR="00EB0584" w:rsidRPr="007C4D59" w:rsidRDefault="00D744A5" w:rsidP="007C4D59">
      <w:pPr>
        <w:pStyle w:val="ListParagraph"/>
        <w:numPr>
          <w:ilvl w:val="1"/>
          <w:numId w:val="55"/>
        </w:numPr>
        <w:tabs>
          <w:tab w:val="clear" w:pos="1800"/>
          <w:tab w:val="num" w:pos="1080"/>
        </w:tabs>
        <w:ind w:hanging="1080"/>
        <w:jc w:val="both"/>
        <w:rPr>
          <w:rFonts w:asciiTheme="majorHAnsi" w:hAnsiTheme="majorHAnsi"/>
          <w:b/>
          <w:sz w:val="20"/>
          <w:szCs w:val="20"/>
        </w:rPr>
      </w:pPr>
      <w:r w:rsidRPr="007C4D59">
        <w:rPr>
          <w:rFonts w:asciiTheme="majorHAnsi" w:hAnsiTheme="majorHAnsi"/>
          <w:b/>
          <w:sz w:val="20"/>
          <w:szCs w:val="20"/>
        </w:rPr>
        <w:t>The second collection of signatures:</w:t>
      </w:r>
      <w:r w:rsidR="004A5DA7" w:rsidRPr="007C4D59">
        <w:rPr>
          <w:rFonts w:asciiTheme="majorHAnsi" w:hAnsiTheme="majorHAnsi"/>
          <w:b/>
          <w:sz w:val="20"/>
          <w:szCs w:val="20"/>
        </w:rPr>
        <w:t xml:space="preserve"> </w:t>
      </w:r>
      <w:r w:rsidR="008B573D" w:rsidRPr="007C4D59">
        <w:rPr>
          <w:rStyle w:val="StyleUnivers10pt"/>
          <w:rFonts w:asciiTheme="majorHAnsi" w:hAnsiTheme="majorHAnsi"/>
          <w:b/>
          <w:szCs w:val="20"/>
        </w:rPr>
        <w:t>“</w:t>
      </w:r>
      <w:r w:rsidR="00E53BCF" w:rsidRPr="007C4D59">
        <w:rPr>
          <w:rStyle w:val="StyleUnivers10pt"/>
          <w:rFonts w:asciiTheme="majorHAnsi" w:hAnsiTheme="majorHAnsi"/>
          <w:b/>
          <w:i/>
          <w:szCs w:val="20"/>
        </w:rPr>
        <w:t>El F</w:t>
      </w:r>
      <w:r w:rsidR="008B573D" w:rsidRPr="007C4D59">
        <w:rPr>
          <w:rStyle w:val="StyleUnivers10pt"/>
          <w:rFonts w:asciiTheme="majorHAnsi" w:hAnsiTheme="majorHAnsi"/>
          <w:b/>
          <w:i/>
          <w:szCs w:val="20"/>
        </w:rPr>
        <w:t>irmazo</w:t>
      </w:r>
      <w:r w:rsidR="008B573D" w:rsidRPr="007C4D59">
        <w:rPr>
          <w:rStyle w:val="StyleUnivers10pt"/>
          <w:rFonts w:asciiTheme="majorHAnsi" w:hAnsiTheme="majorHAnsi"/>
          <w:b/>
          <w:szCs w:val="20"/>
        </w:rPr>
        <w:t xml:space="preserve">” </w:t>
      </w:r>
    </w:p>
    <w:p w14:paraId="59E77213" w14:textId="77777777" w:rsidR="008C710F" w:rsidRPr="00326F31" w:rsidRDefault="008C710F" w:rsidP="00326F31">
      <w:pPr>
        <w:jc w:val="both"/>
        <w:rPr>
          <w:rFonts w:asciiTheme="majorHAnsi" w:hAnsiTheme="majorHAnsi"/>
          <w:sz w:val="20"/>
          <w:szCs w:val="20"/>
        </w:rPr>
      </w:pPr>
    </w:p>
    <w:p w14:paraId="3F196166" w14:textId="4F84F7E9" w:rsidR="00E53BCF" w:rsidRPr="00326F31" w:rsidRDefault="00E53BCF"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In view of the decision of the Electoral Chamber of the TSJ, political parties and members of civil society determined to carry out on February 2, 2003 a second collection of signatures known as “</w:t>
      </w:r>
      <w:r w:rsidRPr="00326F31">
        <w:rPr>
          <w:rFonts w:asciiTheme="majorHAnsi" w:hAnsiTheme="majorHAnsi"/>
          <w:i/>
          <w:sz w:val="20"/>
          <w:szCs w:val="20"/>
        </w:rPr>
        <w:t xml:space="preserve">El </w:t>
      </w:r>
      <w:proofErr w:type="spellStart"/>
      <w:r w:rsidRPr="00326F31">
        <w:rPr>
          <w:rFonts w:asciiTheme="majorHAnsi" w:hAnsiTheme="majorHAnsi"/>
          <w:i/>
          <w:sz w:val="20"/>
          <w:szCs w:val="20"/>
        </w:rPr>
        <w:t>Firmazo</w:t>
      </w:r>
      <w:proofErr w:type="spellEnd"/>
      <w:r w:rsidR="007C4D59">
        <w:rPr>
          <w:rFonts w:asciiTheme="majorHAnsi" w:hAnsiTheme="majorHAnsi"/>
          <w:sz w:val="20"/>
          <w:szCs w:val="20"/>
        </w:rPr>
        <w:t>”</w:t>
      </w:r>
      <w:r w:rsidRPr="00326F31">
        <w:rPr>
          <w:rFonts w:asciiTheme="majorHAnsi" w:hAnsiTheme="majorHAnsi"/>
          <w:sz w:val="20"/>
          <w:szCs w:val="20"/>
        </w:rPr>
        <w:t>, this time for a referendum with a recall nature for the Presidential term. In said c</w:t>
      </w:r>
      <w:r w:rsidRPr="00326F31">
        <w:rPr>
          <w:rStyle w:val="StyleUnivers10pt"/>
          <w:rFonts w:asciiTheme="majorHAnsi" w:hAnsiTheme="majorHAnsi"/>
          <w:szCs w:val="20"/>
        </w:rPr>
        <w:t>ollection drive,</w:t>
      </w:r>
      <w:r w:rsidRPr="00326F31">
        <w:rPr>
          <w:rFonts w:asciiTheme="majorHAnsi" w:hAnsiTheme="majorHAnsi"/>
          <w:sz w:val="20"/>
          <w:szCs w:val="20"/>
        </w:rPr>
        <w:t xml:space="preserve"> more than three million signatures were collected</w:t>
      </w:r>
      <w:r w:rsidR="00613C6B" w:rsidRPr="00326F31">
        <w:rPr>
          <w:rStyle w:val="FootnoteTextChar"/>
          <w:rFonts w:asciiTheme="majorHAnsi" w:hAnsiTheme="majorHAnsi"/>
          <w:sz w:val="20"/>
          <w:szCs w:val="20"/>
          <w:vertAlign w:val="superscript"/>
        </w:rPr>
        <w:footnoteReference w:id="17"/>
      </w:r>
      <w:r w:rsidR="00613C6B" w:rsidRPr="00326F31">
        <w:rPr>
          <w:rFonts w:asciiTheme="majorHAnsi" w:hAnsiTheme="majorHAnsi"/>
          <w:sz w:val="20"/>
          <w:szCs w:val="20"/>
        </w:rPr>
        <w:t>.</w:t>
      </w:r>
    </w:p>
    <w:p w14:paraId="540B5EF5" w14:textId="77777777" w:rsidR="00613C6B" w:rsidRPr="00326F31" w:rsidRDefault="00613C6B"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7B1D4EA5" w14:textId="3E198376" w:rsidR="00613C6B" w:rsidRPr="00326F31" w:rsidRDefault="00613C6B"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The Carter Center and the OAS, as observers, said that "</w:t>
      </w:r>
      <w:r w:rsidRPr="00326F31">
        <w:rPr>
          <w:rFonts w:asciiTheme="majorHAnsi" w:hAnsiTheme="majorHAnsi"/>
          <w:i/>
          <w:sz w:val="20"/>
          <w:szCs w:val="20"/>
        </w:rPr>
        <w:t>El Firmazo</w:t>
      </w:r>
      <w:r w:rsidRPr="00326F31">
        <w:rPr>
          <w:rFonts w:asciiTheme="majorHAnsi" w:hAnsiTheme="majorHAnsi"/>
          <w:sz w:val="20"/>
          <w:szCs w:val="20"/>
        </w:rPr>
        <w:t>" developed normally. However, government officials branded as fraudulent the drive, and denied that they had collected enough signatures to hold the referendum</w:t>
      </w:r>
      <w:r w:rsidRPr="00326F31">
        <w:rPr>
          <w:rStyle w:val="FootnoteTextChar"/>
          <w:rFonts w:asciiTheme="majorHAnsi" w:hAnsiTheme="majorHAnsi"/>
          <w:sz w:val="20"/>
          <w:szCs w:val="20"/>
          <w:vertAlign w:val="superscript"/>
        </w:rPr>
        <w:footnoteReference w:id="18"/>
      </w:r>
      <w:r w:rsidRPr="00326F31">
        <w:rPr>
          <w:rFonts w:asciiTheme="majorHAnsi" w:hAnsiTheme="majorHAnsi"/>
          <w:sz w:val="20"/>
          <w:szCs w:val="20"/>
        </w:rPr>
        <w:t>.</w:t>
      </w:r>
    </w:p>
    <w:p w14:paraId="09024B7E" w14:textId="77777777" w:rsidR="00613C6B" w:rsidRPr="00326F31" w:rsidRDefault="00613C6B" w:rsidP="00326F31">
      <w:pPr>
        <w:pStyle w:val="ListParagraph"/>
        <w:jc w:val="both"/>
        <w:rPr>
          <w:rFonts w:asciiTheme="majorHAnsi" w:hAnsiTheme="majorHAnsi"/>
          <w:sz w:val="20"/>
          <w:szCs w:val="20"/>
        </w:rPr>
      </w:pPr>
    </w:p>
    <w:p w14:paraId="625F9268" w14:textId="7B3A5CAD" w:rsidR="00613C6B" w:rsidRPr="00326F31" w:rsidRDefault="00613C6B"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Considering that a decision of the Constitutional Chamber ruled that "the signatures for the recall must be recorded before the National Electoral Council (CNE), once President Chavez or any elected official meets midterm"</w:t>
      </w:r>
      <w:r w:rsidRPr="00326F31">
        <w:rPr>
          <w:rStyle w:val="FootnoteTextChar"/>
          <w:rFonts w:asciiTheme="majorHAnsi" w:hAnsiTheme="majorHAnsi"/>
          <w:sz w:val="20"/>
          <w:szCs w:val="20"/>
          <w:vertAlign w:val="superscript"/>
        </w:rPr>
        <w:footnoteReference w:id="19"/>
      </w:r>
      <w:r w:rsidRPr="00326F31">
        <w:rPr>
          <w:rFonts w:asciiTheme="majorHAnsi" w:hAnsiTheme="majorHAnsi"/>
          <w:sz w:val="20"/>
          <w:szCs w:val="20"/>
        </w:rPr>
        <w:t>, the obtained signatures were submitted to the CNE on August 20, 2003</w:t>
      </w:r>
      <w:r w:rsidRPr="00326F31">
        <w:rPr>
          <w:rStyle w:val="FootnoteTextChar"/>
          <w:rFonts w:asciiTheme="majorHAnsi" w:hAnsiTheme="majorHAnsi"/>
          <w:sz w:val="20"/>
          <w:szCs w:val="20"/>
          <w:vertAlign w:val="superscript"/>
        </w:rPr>
        <w:footnoteReference w:id="20"/>
      </w:r>
      <w:r w:rsidRPr="00326F31">
        <w:rPr>
          <w:rFonts w:asciiTheme="majorHAnsi" w:hAnsiTheme="majorHAnsi"/>
          <w:sz w:val="20"/>
          <w:szCs w:val="20"/>
        </w:rPr>
        <w:t>.</w:t>
      </w:r>
    </w:p>
    <w:p w14:paraId="41B506B6" w14:textId="77777777" w:rsidR="00B06810" w:rsidRPr="00326F31" w:rsidRDefault="00B06810" w:rsidP="00326F31">
      <w:pPr>
        <w:pStyle w:val="ListParagraph"/>
        <w:jc w:val="both"/>
        <w:rPr>
          <w:rFonts w:asciiTheme="majorHAnsi" w:hAnsiTheme="majorHAnsi"/>
          <w:sz w:val="20"/>
          <w:szCs w:val="20"/>
        </w:rPr>
      </w:pPr>
    </w:p>
    <w:p w14:paraId="122A1AC4" w14:textId="3F244E84" w:rsidR="00394466" w:rsidRPr="00326F31" w:rsidRDefault="00394466"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On September 12, 2003 by resolution No. 030912-461 the CNE declared inadmissible the petition for a recall referendum against President Hugo Chávez Frías, arguing among other things: 1) </w:t>
      </w:r>
      <w:r w:rsidR="00B06810" w:rsidRPr="00326F31">
        <w:rPr>
          <w:rFonts w:asciiTheme="majorHAnsi" w:hAnsiTheme="majorHAnsi"/>
          <w:sz w:val="20"/>
          <w:szCs w:val="20"/>
        </w:rPr>
        <w:t xml:space="preserve">the untimeliness </w:t>
      </w:r>
      <w:r w:rsidRPr="00326F31">
        <w:rPr>
          <w:rFonts w:asciiTheme="majorHAnsi" w:hAnsiTheme="majorHAnsi"/>
          <w:sz w:val="20"/>
          <w:szCs w:val="20"/>
        </w:rPr>
        <w:t>of the signatures</w:t>
      </w:r>
      <w:r w:rsidR="007C4D59">
        <w:rPr>
          <w:rFonts w:asciiTheme="majorHAnsi" w:hAnsiTheme="majorHAnsi"/>
          <w:sz w:val="20"/>
          <w:szCs w:val="20"/>
        </w:rPr>
        <w:t xml:space="preserve"> since they were collected</w:t>
      </w:r>
      <w:r w:rsidR="00B06810" w:rsidRPr="00326F31">
        <w:rPr>
          <w:rFonts w:asciiTheme="majorHAnsi" w:hAnsiTheme="majorHAnsi"/>
          <w:sz w:val="20"/>
          <w:szCs w:val="20"/>
        </w:rPr>
        <w:t xml:space="preserve"> six</w:t>
      </w:r>
      <w:r w:rsidRPr="00326F31">
        <w:rPr>
          <w:rFonts w:asciiTheme="majorHAnsi" w:hAnsiTheme="majorHAnsi"/>
          <w:sz w:val="20"/>
          <w:szCs w:val="20"/>
        </w:rPr>
        <w:t xml:space="preserve"> months and 18 days before the </w:t>
      </w:r>
      <w:r w:rsidR="00B06810" w:rsidRPr="00326F31">
        <w:rPr>
          <w:rFonts w:asciiTheme="majorHAnsi" w:hAnsiTheme="majorHAnsi"/>
          <w:sz w:val="20"/>
          <w:szCs w:val="20"/>
        </w:rPr>
        <w:t xml:space="preserve">President’s </w:t>
      </w:r>
      <w:r w:rsidRPr="00326F31">
        <w:rPr>
          <w:rFonts w:asciiTheme="majorHAnsi" w:hAnsiTheme="majorHAnsi"/>
          <w:sz w:val="20"/>
          <w:szCs w:val="20"/>
        </w:rPr>
        <w:t xml:space="preserve">midterm </w:t>
      </w:r>
      <w:r w:rsidR="00B06810" w:rsidRPr="00326F31">
        <w:rPr>
          <w:rFonts w:asciiTheme="majorHAnsi" w:hAnsiTheme="majorHAnsi"/>
          <w:sz w:val="20"/>
          <w:szCs w:val="20"/>
        </w:rPr>
        <w:t>was reached, therefore "</w:t>
      </w:r>
      <w:r w:rsidRPr="00326F31">
        <w:rPr>
          <w:rFonts w:asciiTheme="majorHAnsi" w:hAnsiTheme="majorHAnsi"/>
          <w:sz w:val="20"/>
          <w:szCs w:val="20"/>
        </w:rPr>
        <w:t>signatures</w:t>
      </w:r>
      <w:r w:rsidR="00B06810" w:rsidRPr="00326F31">
        <w:rPr>
          <w:rFonts w:asciiTheme="majorHAnsi" w:hAnsiTheme="majorHAnsi"/>
          <w:sz w:val="20"/>
          <w:szCs w:val="20"/>
        </w:rPr>
        <w:t xml:space="preserve"> to accompany an application with a purpose to which </w:t>
      </w:r>
      <w:r w:rsidRPr="00326F31">
        <w:rPr>
          <w:rFonts w:asciiTheme="majorHAnsi" w:hAnsiTheme="majorHAnsi"/>
          <w:sz w:val="20"/>
          <w:szCs w:val="20"/>
        </w:rPr>
        <w:t xml:space="preserve">the undersigned </w:t>
      </w:r>
      <w:r w:rsidR="00B06810" w:rsidRPr="00326F31">
        <w:rPr>
          <w:rFonts w:asciiTheme="majorHAnsi" w:hAnsiTheme="majorHAnsi"/>
          <w:sz w:val="20"/>
          <w:szCs w:val="20"/>
        </w:rPr>
        <w:t xml:space="preserve">has </w:t>
      </w:r>
      <w:r w:rsidRPr="00326F31">
        <w:rPr>
          <w:rFonts w:asciiTheme="majorHAnsi" w:hAnsiTheme="majorHAnsi"/>
          <w:sz w:val="20"/>
          <w:szCs w:val="20"/>
        </w:rPr>
        <w:t xml:space="preserve">not </w:t>
      </w:r>
      <w:r w:rsidR="007C4D59">
        <w:rPr>
          <w:rFonts w:asciiTheme="majorHAnsi" w:hAnsiTheme="majorHAnsi"/>
          <w:sz w:val="20"/>
          <w:szCs w:val="20"/>
        </w:rPr>
        <w:t xml:space="preserve">the </w:t>
      </w:r>
      <w:r w:rsidRPr="00326F31">
        <w:rPr>
          <w:rFonts w:asciiTheme="majorHAnsi" w:hAnsiTheme="majorHAnsi"/>
          <w:sz w:val="20"/>
          <w:szCs w:val="20"/>
        </w:rPr>
        <w:t>right yet</w:t>
      </w:r>
      <w:r w:rsidR="00B06810" w:rsidRPr="00326F31">
        <w:rPr>
          <w:rFonts w:asciiTheme="majorHAnsi" w:hAnsiTheme="majorHAnsi"/>
          <w:sz w:val="20"/>
          <w:szCs w:val="20"/>
        </w:rPr>
        <w:t>, cannot be collected</w:t>
      </w:r>
      <w:r w:rsidRPr="00326F31">
        <w:rPr>
          <w:rFonts w:asciiTheme="majorHAnsi" w:hAnsiTheme="majorHAnsi"/>
          <w:sz w:val="20"/>
          <w:szCs w:val="20"/>
        </w:rPr>
        <w:t>"</w:t>
      </w:r>
      <w:r w:rsidR="00B06810" w:rsidRPr="00326F31">
        <w:rPr>
          <w:rStyle w:val="FootnoteTextChar"/>
          <w:rFonts w:asciiTheme="majorHAnsi" w:hAnsiTheme="majorHAnsi"/>
          <w:sz w:val="20"/>
          <w:szCs w:val="20"/>
          <w:vertAlign w:val="superscript"/>
        </w:rPr>
        <w:footnoteReference w:id="21"/>
      </w:r>
      <w:r w:rsidRPr="00326F31">
        <w:rPr>
          <w:rFonts w:asciiTheme="majorHAnsi" w:hAnsiTheme="majorHAnsi"/>
          <w:sz w:val="20"/>
          <w:szCs w:val="20"/>
        </w:rPr>
        <w:t xml:space="preserve">; and 2) that the request was not addressed to the CNE and "the text refers to an alleged initiative </w:t>
      </w:r>
      <w:r w:rsidR="00B06810" w:rsidRPr="00326F31">
        <w:rPr>
          <w:rFonts w:asciiTheme="majorHAnsi" w:hAnsiTheme="majorHAnsi"/>
          <w:sz w:val="20"/>
          <w:szCs w:val="20"/>
        </w:rPr>
        <w:t xml:space="preserve">that the signatories have </w:t>
      </w:r>
      <w:r w:rsidRPr="00326F31">
        <w:rPr>
          <w:rFonts w:asciiTheme="majorHAnsi" w:hAnsiTheme="majorHAnsi"/>
          <w:sz w:val="20"/>
          <w:szCs w:val="20"/>
        </w:rPr>
        <w:t>to convene the referendum</w:t>
      </w:r>
      <w:r w:rsidR="00B06810" w:rsidRPr="00326F31">
        <w:rPr>
          <w:rFonts w:asciiTheme="majorHAnsi" w:hAnsiTheme="majorHAnsi"/>
          <w:sz w:val="20"/>
          <w:szCs w:val="20"/>
        </w:rPr>
        <w:t xml:space="preserve"> themselves</w:t>
      </w:r>
      <w:r w:rsidRPr="00326F31">
        <w:rPr>
          <w:rFonts w:asciiTheme="majorHAnsi" w:hAnsiTheme="majorHAnsi"/>
          <w:sz w:val="20"/>
          <w:szCs w:val="20"/>
        </w:rPr>
        <w:t xml:space="preserve">, when </w:t>
      </w:r>
      <w:r w:rsidR="00B06810" w:rsidRPr="00326F31">
        <w:rPr>
          <w:rFonts w:asciiTheme="majorHAnsi" w:hAnsiTheme="majorHAnsi"/>
          <w:sz w:val="20"/>
          <w:szCs w:val="20"/>
        </w:rPr>
        <w:t xml:space="preserve">they </w:t>
      </w:r>
      <w:r w:rsidRPr="00326F31">
        <w:rPr>
          <w:rFonts w:asciiTheme="majorHAnsi" w:hAnsiTheme="majorHAnsi"/>
          <w:sz w:val="20"/>
          <w:szCs w:val="20"/>
        </w:rPr>
        <w:t>only have</w:t>
      </w:r>
      <w:r w:rsidR="00B06810" w:rsidRPr="00326F31">
        <w:rPr>
          <w:rFonts w:asciiTheme="majorHAnsi" w:hAnsiTheme="majorHAnsi"/>
          <w:sz w:val="20"/>
          <w:szCs w:val="20"/>
        </w:rPr>
        <w:t xml:space="preserve"> [such initiative] to activate [the referendum]</w:t>
      </w:r>
      <w:r w:rsidRPr="00326F31">
        <w:rPr>
          <w:rFonts w:asciiTheme="majorHAnsi" w:hAnsiTheme="majorHAnsi"/>
          <w:sz w:val="20"/>
          <w:szCs w:val="20"/>
        </w:rPr>
        <w:t xml:space="preserve"> throug</w:t>
      </w:r>
      <w:r w:rsidR="00B06810" w:rsidRPr="00326F31">
        <w:rPr>
          <w:rFonts w:asciiTheme="majorHAnsi" w:hAnsiTheme="majorHAnsi"/>
          <w:sz w:val="20"/>
          <w:szCs w:val="20"/>
        </w:rPr>
        <w:t>h the Electoral Body with the ability</w:t>
      </w:r>
      <w:r w:rsidRPr="00326F31">
        <w:rPr>
          <w:rFonts w:asciiTheme="majorHAnsi" w:hAnsiTheme="majorHAnsi"/>
          <w:sz w:val="20"/>
          <w:szCs w:val="20"/>
        </w:rPr>
        <w:t xml:space="preserve"> to summon</w:t>
      </w:r>
      <w:r w:rsidR="00B06810" w:rsidRPr="00326F31">
        <w:rPr>
          <w:rFonts w:asciiTheme="majorHAnsi" w:hAnsiTheme="majorHAnsi"/>
          <w:sz w:val="20"/>
          <w:szCs w:val="20"/>
        </w:rPr>
        <w:t xml:space="preserve"> it”</w:t>
      </w:r>
      <w:r w:rsidR="00B06810" w:rsidRPr="00326F31">
        <w:rPr>
          <w:rStyle w:val="FootnoteTextChar"/>
          <w:rFonts w:asciiTheme="majorHAnsi" w:hAnsiTheme="majorHAnsi"/>
          <w:sz w:val="20"/>
          <w:szCs w:val="20"/>
          <w:vertAlign w:val="superscript"/>
        </w:rPr>
        <w:t xml:space="preserve"> </w:t>
      </w:r>
      <w:r w:rsidR="00B06810" w:rsidRPr="00326F31">
        <w:rPr>
          <w:rStyle w:val="FootnoteTextChar"/>
          <w:rFonts w:asciiTheme="majorHAnsi" w:hAnsiTheme="majorHAnsi"/>
          <w:sz w:val="20"/>
          <w:szCs w:val="20"/>
          <w:vertAlign w:val="superscript"/>
        </w:rPr>
        <w:footnoteReference w:id="22"/>
      </w:r>
      <w:r w:rsidR="00B06810" w:rsidRPr="00326F31">
        <w:rPr>
          <w:rFonts w:asciiTheme="majorHAnsi" w:hAnsiTheme="majorHAnsi"/>
          <w:sz w:val="20"/>
          <w:szCs w:val="20"/>
        </w:rPr>
        <w:t>.</w:t>
      </w:r>
    </w:p>
    <w:p w14:paraId="647F4902" w14:textId="77777777" w:rsidR="00394466" w:rsidRPr="00326F31" w:rsidRDefault="00394466" w:rsidP="00326F31">
      <w:pPr>
        <w:tabs>
          <w:tab w:val="left" w:pos="3516"/>
        </w:tabs>
        <w:jc w:val="both"/>
        <w:rPr>
          <w:rFonts w:asciiTheme="majorHAnsi" w:hAnsiTheme="majorHAnsi"/>
          <w:b/>
          <w:sz w:val="20"/>
          <w:szCs w:val="20"/>
        </w:rPr>
      </w:pPr>
    </w:p>
    <w:p w14:paraId="0FDC4E2A" w14:textId="0CF48C07" w:rsidR="00E90B04" w:rsidRPr="00326F31" w:rsidRDefault="00D744A5" w:rsidP="007C4D59">
      <w:pPr>
        <w:pStyle w:val="ListParagraph"/>
        <w:numPr>
          <w:ilvl w:val="1"/>
          <w:numId w:val="55"/>
        </w:numPr>
        <w:tabs>
          <w:tab w:val="clear" w:pos="1800"/>
          <w:tab w:val="num" w:pos="1080"/>
        </w:tabs>
        <w:ind w:hanging="1080"/>
        <w:jc w:val="both"/>
        <w:rPr>
          <w:rFonts w:asciiTheme="majorHAnsi" w:hAnsiTheme="majorHAnsi"/>
          <w:b/>
          <w:sz w:val="20"/>
          <w:szCs w:val="20"/>
        </w:rPr>
      </w:pPr>
      <w:r w:rsidRPr="00326F31">
        <w:rPr>
          <w:rFonts w:asciiTheme="majorHAnsi" w:hAnsiTheme="majorHAnsi"/>
          <w:b/>
          <w:sz w:val="20"/>
          <w:szCs w:val="20"/>
        </w:rPr>
        <w:t>The third</w:t>
      </w:r>
      <w:r w:rsidR="004A5DA7" w:rsidRPr="00326F31">
        <w:rPr>
          <w:rFonts w:asciiTheme="majorHAnsi" w:hAnsiTheme="majorHAnsi"/>
          <w:b/>
          <w:sz w:val="20"/>
          <w:szCs w:val="20"/>
        </w:rPr>
        <w:t xml:space="preserve"> collection of signatures:</w:t>
      </w:r>
      <w:r w:rsidRPr="00326F31">
        <w:rPr>
          <w:rFonts w:asciiTheme="majorHAnsi" w:hAnsiTheme="majorHAnsi"/>
          <w:b/>
          <w:sz w:val="20"/>
          <w:szCs w:val="20"/>
        </w:rPr>
        <w:t xml:space="preserve"> </w:t>
      </w:r>
      <w:r w:rsidR="0098717C" w:rsidRPr="00326F31">
        <w:rPr>
          <w:rFonts w:asciiTheme="majorHAnsi" w:hAnsiTheme="majorHAnsi"/>
          <w:b/>
          <w:sz w:val="20"/>
          <w:szCs w:val="20"/>
        </w:rPr>
        <w:t>“</w:t>
      </w:r>
      <w:r w:rsidR="0098717C" w:rsidRPr="00326F31">
        <w:rPr>
          <w:rFonts w:asciiTheme="majorHAnsi" w:hAnsiTheme="majorHAnsi"/>
          <w:b/>
          <w:i/>
          <w:sz w:val="20"/>
          <w:szCs w:val="20"/>
        </w:rPr>
        <w:t>El Reafirmazo</w:t>
      </w:r>
      <w:r w:rsidR="0098717C" w:rsidRPr="00326F31">
        <w:rPr>
          <w:rFonts w:asciiTheme="majorHAnsi" w:hAnsiTheme="majorHAnsi"/>
          <w:b/>
          <w:sz w:val="20"/>
          <w:szCs w:val="20"/>
        </w:rPr>
        <w:t xml:space="preserve">” </w:t>
      </w:r>
      <w:r w:rsidR="005E6C10">
        <w:rPr>
          <w:rFonts w:asciiTheme="majorHAnsi" w:hAnsiTheme="majorHAnsi"/>
          <w:b/>
          <w:sz w:val="20"/>
          <w:szCs w:val="20"/>
        </w:rPr>
        <w:t xml:space="preserve"> </w:t>
      </w:r>
    </w:p>
    <w:p w14:paraId="1A81AA60" w14:textId="77777777" w:rsidR="0098717C" w:rsidRPr="00326F31" w:rsidRDefault="0098717C"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69A12F35" w14:textId="3B181F07" w:rsidR="0098717C" w:rsidRPr="00326F31" w:rsidRDefault="0098717C"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After the inadmissibility of the petition for a recall referendum "</w:t>
      </w:r>
      <w:r w:rsidRPr="00326F31">
        <w:rPr>
          <w:rFonts w:asciiTheme="majorHAnsi" w:hAnsiTheme="majorHAnsi"/>
          <w:i/>
          <w:sz w:val="20"/>
          <w:szCs w:val="20"/>
        </w:rPr>
        <w:t>El Firmazo</w:t>
      </w:r>
      <w:r w:rsidRPr="00326F31">
        <w:rPr>
          <w:rFonts w:asciiTheme="majorHAnsi" w:hAnsiTheme="majorHAnsi"/>
          <w:sz w:val="20"/>
          <w:szCs w:val="20"/>
        </w:rPr>
        <w:t>", in September 2003, the CNE approved the legislation to regulate recall referenda processes by establishing various technical conditions to carry out a recall referendum</w:t>
      </w:r>
      <w:r w:rsidRPr="00326F31">
        <w:rPr>
          <w:rStyle w:val="FootnoteTextChar"/>
          <w:rFonts w:asciiTheme="majorHAnsi" w:hAnsiTheme="majorHAnsi"/>
          <w:sz w:val="20"/>
          <w:szCs w:val="20"/>
          <w:vertAlign w:val="superscript"/>
        </w:rPr>
        <w:footnoteReference w:id="23"/>
      </w:r>
      <w:r w:rsidR="005E6C10">
        <w:rPr>
          <w:rFonts w:asciiTheme="majorHAnsi" w:hAnsiTheme="majorHAnsi"/>
          <w:sz w:val="20"/>
          <w:szCs w:val="20"/>
        </w:rPr>
        <w:t xml:space="preserve"> </w:t>
      </w:r>
      <w:r w:rsidRPr="00326F31">
        <w:rPr>
          <w:rFonts w:asciiTheme="majorHAnsi" w:hAnsiTheme="majorHAnsi"/>
          <w:sz w:val="20"/>
          <w:szCs w:val="20"/>
        </w:rPr>
        <w:t>and decided to call for a new collection of signatures for a presidential recall referendum, to be held between November 28 and December 1, 2003</w:t>
      </w:r>
      <w:r w:rsidRPr="00326F31">
        <w:rPr>
          <w:rStyle w:val="FootnoteTextChar"/>
          <w:rFonts w:asciiTheme="majorHAnsi" w:hAnsiTheme="majorHAnsi"/>
          <w:sz w:val="20"/>
          <w:szCs w:val="20"/>
          <w:vertAlign w:val="superscript"/>
        </w:rPr>
        <w:footnoteReference w:id="24"/>
      </w:r>
      <w:r w:rsidRPr="00326F31">
        <w:rPr>
          <w:rFonts w:asciiTheme="majorHAnsi" w:hAnsiTheme="majorHAnsi"/>
          <w:sz w:val="20"/>
          <w:szCs w:val="20"/>
        </w:rPr>
        <w:t>.</w:t>
      </w:r>
    </w:p>
    <w:p w14:paraId="7FF270EC" w14:textId="77777777" w:rsidR="00F1030E" w:rsidRPr="00326F31" w:rsidRDefault="00F1030E" w:rsidP="00326F31">
      <w:pPr>
        <w:jc w:val="both"/>
        <w:rPr>
          <w:rFonts w:asciiTheme="majorHAnsi" w:hAnsiTheme="majorHAnsi"/>
          <w:sz w:val="20"/>
          <w:szCs w:val="20"/>
        </w:rPr>
      </w:pPr>
    </w:p>
    <w:p w14:paraId="3BFC60F8" w14:textId="5BCC988C" w:rsidR="00C33ABF" w:rsidRPr="00326F31" w:rsidRDefault="00C33ABF"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Also, [the CNE] issued</w:t>
      </w:r>
      <w:r w:rsidR="00F1030E" w:rsidRPr="00326F31">
        <w:rPr>
          <w:rFonts w:asciiTheme="majorHAnsi" w:hAnsiTheme="majorHAnsi"/>
          <w:sz w:val="20"/>
          <w:szCs w:val="20"/>
        </w:rPr>
        <w:t xml:space="preserve"> the</w:t>
      </w:r>
      <w:r w:rsidRPr="00326F31">
        <w:rPr>
          <w:rFonts w:asciiTheme="majorHAnsi" w:hAnsiTheme="majorHAnsi"/>
          <w:sz w:val="20"/>
          <w:szCs w:val="20"/>
        </w:rPr>
        <w:t xml:space="preserve"> Resolution 031027-710 by which it "urged both public sector bodies in any of the territorial political levels of government (national, state and municipal) and private agencies with staff at its service, to refrain from implementing any direct or indirect measure that seeks to influence or prevent the free and peaceful enjoyment of the constitutional right to political participation tangled in each of the procedural stages of the recall referendum, governed by rules to regulate the Processes for Recall Referenda</w:t>
      </w:r>
      <w:r w:rsidR="00F1030E" w:rsidRPr="00326F31">
        <w:rPr>
          <w:rFonts w:asciiTheme="majorHAnsi" w:hAnsiTheme="majorHAnsi" w:cs="Arial"/>
          <w:sz w:val="20"/>
          <w:szCs w:val="20"/>
        </w:rPr>
        <w:t xml:space="preserve"> for T</w:t>
      </w:r>
      <w:r w:rsidRPr="00326F31">
        <w:rPr>
          <w:rFonts w:asciiTheme="majorHAnsi" w:hAnsiTheme="majorHAnsi" w:cs="Arial"/>
          <w:sz w:val="20"/>
          <w:szCs w:val="20"/>
        </w:rPr>
        <w:t>erm</w:t>
      </w:r>
      <w:r w:rsidR="00F1030E" w:rsidRPr="00326F31">
        <w:rPr>
          <w:rFonts w:asciiTheme="majorHAnsi" w:hAnsiTheme="majorHAnsi" w:cs="Arial"/>
          <w:sz w:val="20"/>
          <w:szCs w:val="20"/>
        </w:rPr>
        <w:t>s</w:t>
      </w:r>
      <w:r w:rsidRPr="00326F31">
        <w:rPr>
          <w:rFonts w:asciiTheme="majorHAnsi" w:hAnsiTheme="majorHAnsi" w:cs="Arial"/>
          <w:sz w:val="20"/>
          <w:szCs w:val="20"/>
        </w:rPr>
        <w:t xml:space="preserve"> of </w:t>
      </w:r>
      <w:r w:rsidR="00F1030E" w:rsidRPr="00326F31">
        <w:rPr>
          <w:rFonts w:asciiTheme="majorHAnsi" w:hAnsiTheme="majorHAnsi" w:cs="Arial"/>
          <w:sz w:val="20"/>
          <w:szCs w:val="20"/>
        </w:rPr>
        <w:t>O</w:t>
      </w:r>
      <w:r w:rsidRPr="00326F31">
        <w:rPr>
          <w:rFonts w:asciiTheme="majorHAnsi" w:hAnsiTheme="majorHAnsi" w:cs="Arial"/>
          <w:sz w:val="20"/>
          <w:szCs w:val="20"/>
        </w:rPr>
        <w:t xml:space="preserve">ffice </w:t>
      </w:r>
      <w:r w:rsidR="00F1030E" w:rsidRPr="00326F31">
        <w:rPr>
          <w:rFonts w:asciiTheme="majorHAnsi" w:hAnsiTheme="majorHAnsi" w:cs="Arial"/>
          <w:sz w:val="20"/>
          <w:szCs w:val="20"/>
        </w:rPr>
        <w:t xml:space="preserve">Mandates </w:t>
      </w:r>
      <w:r w:rsidRPr="00326F31">
        <w:rPr>
          <w:rFonts w:asciiTheme="majorHAnsi" w:hAnsiTheme="majorHAnsi" w:cs="Arial"/>
          <w:sz w:val="20"/>
          <w:szCs w:val="20"/>
        </w:rPr>
        <w:t xml:space="preserve">of </w:t>
      </w:r>
      <w:r w:rsidR="00F1030E" w:rsidRPr="00326F31">
        <w:rPr>
          <w:rFonts w:asciiTheme="majorHAnsi" w:hAnsiTheme="majorHAnsi" w:cs="Arial"/>
          <w:sz w:val="20"/>
          <w:szCs w:val="20"/>
        </w:rPr>
        <w:t>Popularly E</w:t>
      </w:r>
      <w:r w:rsidRPr="00326F31">
        <w:rPr>
          <w:rFonts w:asciiTheme="majorHAnsi" w:hAnsiTheme="majorHAnsi" w:cs="Arial"/>
          <w:sz w:val="20"/>
          <w:szCs w:val="20"/>
        </w:rPr>
        <w:t>lected</w:t>
      </w:r>
      <w:r w:rsidR="00F1030E" w:rsidRPr="00326F31">
        <w:rPr>
          <w:rFonts w:asciiTheme="majorHAnsi" w:hAnsiTheme="majorHAnsi" w:cs="Arial"/>
          <w:sz w:val="20"/>
          <w:szCs w:val="20"/>
        </w:rPr>
        <w:t xml:space="preserve"> P</w:t>
      </w:r>
      <w:r w:rsidRPr="00326F31">
        <w:rPr>
          <w:rFonts w:asciiTheme="majorHAnsi" w:hAnsiTheme="majorHAnsi" w:cs="Arial"/>
          <w:sz w:val="20"/>
          <w:szCs w:val="20"/>
        </w:rPr>
        <w:t>ositions</w:t>
      </w:r>
      <w:r w:rsidRPr="00326F31">
        <w:rPr>
          <w:rFonts w:asciiTheme="majorHAnsi" w:hAnsiTheme="majorHAnsi"/>
          <w:sz w:val="20"/>
          <w:szCs w:val="20"/>
        </w:rPr>
        <w:t>"</w:t>
      </w:r>
      <w:r w:rsidRPr="00326F31">
        <w:rPr>
          <w:rStyle w:val="FootnoteTextChar"/>
          <w:rFonts w:asciiTheme="majorHAnsi" w:hAnsiTheme="majorHAnsi"/>
          <w:sz w:val="20"/>
          <w:szCs w:val="20"/>
          <w:vertAlign w:val="superscript"/>
        </w:rPr>
        <w:footnoteReference w:id="25"/>
      </w:r>
      <w:r w:rsidRPr="00326F31">
        <w:rPr>
          <w:rFonts w:asciiTheme="majorHAnsi" w:hAnsiTheme="majorHAnsi"/>
          <w:sz w:val="20"/>
          <w:szCs w:val="20"/>
        </w:rPr>
        <w:t>; and Resolution No. 031120-794 through which it dictates the "Guidelines on criteria for the validation of signatures and of the forms to collect signatures for the recall referendum process</w:t>
      </w:r>
      <w:r w:rsidR="00F1030E" w:rsidRPr="00326F31">
        <w:rPr>
          <w:rFonts w:asciiTheme="majorHAnsi" w:hAnsiTheme="majorHAnsi"/>
          <w:sz w:val="20"/>
          <w:szCs w:val="20"/>
        </w:rPr>
        <w:t xml:space="preserve"> for terms of office</w:t>
      </w:r>
      <w:r w:rsidRPr="00326F31">
        <w:rPr>
          <w:rFonts w:asciiTheme="majorHAnsi" w:hAnsiTheme="majorHAnsi"/>
          <w:sz w:val="20"/>
          <w:szCs w:val="20"/>
        </w:rPr>
        <w:t xml:space="preserve"> of </w:t>
      </w:r>
      <w:r w:rsidRPr="00326F31">
        <w:rPr>
          <w:rFonts w:asciiTheme="majorHAnsi" w:hAnsiTheme="majorHAnsi" w:cs="Arial"/>
          <w:sz w:val="20"/>
          <w:szCs w:val="20"/>
        </w:rPr>
        <w:t>popularly elected positions</w:t>
      </w:r>
      <w:r w:rsidRPr="00326F31">
        <w:rPr>
          <w:rFonts w:asciiTheme="majorHAnsi" w:hAnsiTheme="majorHAnsi"/>
          <w:sz w:val="20"/>
          <w:szCs w:val="20"/>
        </w:rPr>
        <w:t>"</w:t>
      </w:r>
      <w:r w:rsidRPr="00326F31">
        <w:rPr>
          <w:rStyle w:val="FootnoteTextChar"/>
          <w:rFonts w:asciiTheme="majorHAnsi" w:hAnsiTheme="majorHAnsi"/>
          <w:sz w:val="20"/>
          <w:szCs w:val="20"/>
          <w:vertAlign w:val="superscript"/>
        </w:rPr>
        <w:footnoteReference w:id="26"/>
      </w:r>
      <w:r w:rsidRPr="00326F31">
        <w:rPr>
          <w:rFonts w:asciiTheme="majorHAnsi" w:hAnsiTheme="majorHAnsi"/>
          <w:sz w:val="20"/>
          <w:szCs w:val="20"/>
        </w:rPr>
        <w:t>.</w:t>
      </w:r>
    </w:p>
    <w:p w14:paraId="01370541" w14:textId="77777777" w:rsidR="00A0758B" w:rsidRPr="00326F31" w:rsidRDefault="00A0758B" w:rsidP="00326F31">
      <w:pPr>
        <w:pStyle w:val="ListParagraph"/>
        <w:jc w:val="both"/>
        <w:rPr>
          <w:rFonts w:asciiTheme="majorHAnsi" w:hAnsiTheme="majorHAnsi"/>
          <w:sz w:val="20"/>
          <w:szCs w:val="20"/>
        </w:rPr>
      </w:pPr>
    </w:p>
    <w:p w14:paraId="235B3664" w14:textId="23A4B817" w:rsidR="00F1030E" w:rsidRPr="00326F31" w:rsidRDefault="00F1030E"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In the months prior to the dates set by the CNE for the collection of signatures drive, as reported by various media, some officials suggested that collection of signatures may be fraudulent or threatened those </w:t>
      </w:r>
      <w:r w:rsidRPr="00326F31">
        <w:rPr>
          <w:rFonts w:asciiTheme="majorHAnsi" w:hAnsiTheme="majorHAnsi"/>
          <w:sz w:val="20"/>
          <w:szCs w:val="20"/>
        </w:rPr>
        <w:lastRenderedPageBreak/>
        <w:t>who would participate in the referendum</w:t>
      </w:r>
      <w:r w:rsidR="00B62681" w:rsidRPr="00326F31">
        <w:rPr>
          <w:rStyle w:val="FootnoteTextChar"/>
          <w:rFonts w:asciiTheme="majorHAnsi" w:hAnsiTheme="majorHAnsi"/>
          <w:sz w:val="20"/>
          <w:szCs w:val="20"/>
          <w:vertAlign w:val="superscript"/>
        </w:rPr>
        <w:footnoteReference w:id="27"/>
      </w:r>
      <w:r w:rsidRPr="00326F31">
        <w:rPr>
          <w:rFonts w:asciiTheme="majorHAnsi" w:hAnsiTheme="majorHAnsi"/>
          <w:sz w:val="20"/>
          <w:szCs w:val="20"/>
        </w:rPr>
        <w:t>. For example, in October 20</w:t>
      </w:r>
      <w:r w:rsidR="00B62681" w:rsidRPr="00326F31">
        <w:rPr>
          <w:rFonts w:asciiTheme="majorHAnsi" w:hAnsiTheme="majorHAnsi"/>
          <w:sz w:val="20"/>
          <w:szCs w:val="20"/>
        </w:rPr>
        <w:t xml:space="preserve">03 President Chavez stated "those who signed </w:t>
      </w:r>
      <w:r w:rsidRPr="00326F31">
        <w:rPr>
          <w:rFonts w:asciiTheme="majorHAnsi" w:hAnsiTheme="majorHAnsi"/>
          <w:sz w:val="20"/>
          <w:szCs w:val="20"/>
        </w:rPr>
        <w:t>against Chavez</w:t>
      </w:r>
      <w:r w:rsidR="00B62681" w:rsidRPr="00326F31">
        <w:rPr>
          <w:rFonts w:asciiTheme="majorHAnsi" w:hAnsiTheme="majorHAnsi"/>
          <w:sz w:val="20"/>
          <w:szCs w:val="20"/>
        </w:rPr>
        <w:t>, your name will be registered for history, because you</w:t>
      </w:r>
      <w:r w:rsidRPr="00326F31">
        <w:rPr>
          <w:rFonts w:asciiTheme="majorHAnsi" w:hAnsiTheme="majorHAnsi"/>
          <w:sz w:val="20"/>
          <w:szCs w:val="20"/>
        </w:rPr>
        <w:t xml:space="preserve"> will have to put your name and surname and signature and I</w:t>
      </w:r>
      <w:r w:rsidR="00B62681" w:rsidRPr="00326F31">
        <w:rPr>
          <w:rFonts w:asciiTheme="majorHAnsi" w:hAnsiTheme="majorHAnsi"/>
          <w:sz w:val="20"/>
          <w:szCs w:val="20"/>
        </w:rPr>
        <w:t>D number and your fingerprint"</w:t>
      </w:r>
      <w:r w:rsidR="00B62681" w:rsidRPr="00326F31">
        <w:rPr>
          <w:rStyle w:val="FootnoteReference"/>
          <w:rFonts w:asciiTheme="majorHAnsi" w:hAnsiTheme="majorHAnsi"/>
          <w:sz w:val="20"/>
          <w:szCs w:val="20"/>
        </w:rPr>
        <w:t xml:space="preserve"> </w:t>
      </w:r>
      <w:r w:rsidR="00B62681" w:rsidRPr="00326F31">
        <w:rPr>
          <w:rStyle w:val="FootnoteReference"/>
          <w:rFonts w:asciiTheme="majorHAnsi" w:hAnsiTheme="majorHAnsi"/>
          <w:sz w:val="20"/>
          <w:szCs w:val="20"/>
          <w:lang w:val="es-VE"/>
        </w:rPr>
        <w:footnoteReference w:id="28"/>
      </w:r>
      <w:r w:rsidR="00B62681" w:rsidRPr="00326F31">
        <w:rPr>
          <w:rFonts w:asciiTheme="majorHAnsi" w:hAnsiTheme="majorHAnsi"/>
          <w:sz w:val="20"/>
          <w:szCs w:val="20"/>
        </w:rPr>
        <w:t>.</w:t>
      </w:r>
    </w:p>
    <w:p w14:paraId="02D876C6" w14:textId="77777777" w:rsidR="005107B8" w:rsidRPr="00326F31" w:rsidRDefault="005107B8" w:rsidP="00326F31">
      <w:pPr>
        <w:jc w:val="both"/>
        <w:rPr>
          <w:rFonts w:asciiTheme="majorHAnsi" w:hAnsiTheme="majorHAnsi"/>
          <w:sz w:val="20"/>
          <w:szCs w:val="20"/>
        </w:rPr>
      </w:pPr>
    </w:p>
    <w:p w14:paraId="014D0168" w14:textId="48BD8A9C" w:rsidR="00A0758B" w:rsidRPr="00326F31" w:rsidRDefault="00A0758B"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In turn, on November 22, 2003, Lina Ron, Coordinator of </w:t>
      </w:r>
      <w:r w:rsidR="005107B8" w:rsidRPr="00326F31">
        <w:rPr>
          <w:rFonts w:asciiTheme="majorHAnsi" w:hAnsiTheme="majorHAnsi"/>
          <w:sz w:val="20"/>
          <w:szCs w:val="20"/>
        </w:rPr>
        <w:t xml:space="preserve">the </w:t>
      </w:r>
      <w:r w:rsidRPr="00326F31">
        <w:rPr>
          <w:rFonts w:asciiTheme="majorHAnsi" w:hAnsiTheme="majorHAnsi"/>
          <w:sz w:val="20"/>
          <w:szCs w:val="20"/>
        </w:rPr>
        <w:t>Bolivarian Circles and then President of the Single Social Fund, a public institution responsible for managing resources for financing and regulating social programs, stated that "I will not allow</w:t>
      </w:r>
      <w:r w:rsidR="005107B8" w:rsidRPr="00326F31">
        <w:rPr>
          <w:rFonts w:asciiTheme="majorHAnsi" w:hAnsiTheme="majorHAnsi"/>
          <w:sz w:val="20"/>
          <w:szCs w:val="20"/>
        </w:rPr>
        <w:t xml:space="preserve"> that in any</w:t>
      </w:r>
      <w:r w:rsidRPr="00326F31">
        <w:rPr>
          <w:rFonts w:asciiTheme="majorHAnsi" w:hAnsiTheme="majorHAnsi"/>
          <w:sz w:val="20"/>
          <w:szCs w:val="20"/>
        </w:rPr>
        <w:t xml:space="preserve"> collection </w:t>
      </w:r>
      <w:r w:rsidR="005107B8" w:rsidRPr="00326F31">
        <w:rPr>
          <w:rFonts w:asciiTheme="majorHAnsi" w:hAnsiTheme="majorHAnsi"/>
          <w:sz w:val="20"/>
          <w:szCs w:val="20"/>
        </w:rPr>
        <w:t xml:space="preserve">post people </w:t>
      </w:r>
      <w:r w:rsidRPr="00326F31">
        <w:rPr>
          <w:rFonts w:asciiTheme="majorHAnsi" w:hAnsiTheme="majorHAnsi"/>
          <w:sz w:val="20"/>
          <w:szCs w:val="20"/>
        </w:rPr>
        <w:t>sign against my commander, against the greatest man of this country, against the messiah of th</w:t>
      </w:r>
      <w:r w:rsidR="005107B8" w:rsidRPr="00326F31">
        <w:rPr>
          <w:rFonts w:asciiTheme="majorHAnsi" w:hAnsiTheme="majorHAnsi"/>
          <w:sz w:val="20"/>
          <w:szCs w:val="20"/>
        </w:rPr>
        <w:t>is</w:t>
      </w:r>
      <w:r w:rsidRPr="00326F31">
        <w:rPr>
          <w:rFonts w:asciiTheme="majorHAnsi" w:hAnsiTheme="majorHAnsi"/>
          <w:sz w:val="20"/>
          <w:szCs w:val="20"/>
        </w:rPr>
        <w:t xml:space="preserve"> land, against the</w:t>
      </w:r>
      <w:r w:rsidR="00C449B8">
        <w:rPr>
          <w:rFonts w:asciiTheme="majorHAnsi" w:hAnsiTheme="majorHAnsi"/>
          <w:sz w:val="20"/>
          <w:szCs w:val="20"/>
        </w:rPr>
        <w:t xml:space="preserve"> kindest man the nation ever </w:t>
      </w:r>
      <w:r w:rsidR="005107B8" w:rsidRPr="00326F31">
        <w:rPr>
          <w:rFonts w:asciiTheme="majorHAnsi" w:hAnsiTheme="majorHAnsi"/>
          <w:sz w:val="20"/>
          <w:szCs w:val="20"/>
        </w:rPr>
        <w:t>had</w:t>
      </w:r>
      <w:r w:rsidRPr="00326F31">
        <w:rPr>
          <w:rFonts w:asciiTheme="majorHAnsi" w:hAnsiTheme="majorHAnsi"/>
          <w:sz w:val="20"/>
          <w:szCs w:val="20"/>
        </w:rPr>
        <w:t>,</w:t>
      </w:r>
      <w:r w:rsidR="00C449B8">
        <w:rPr>
          <w:rFonts w:asciiTheme="majorHAnsi" w:hAnsiTheme="majorHAnsi"/>
          <w:sz w:val="20"/>
          <w:szCs w:val="20"/>
        </w:rPr>
        <w:t xml:space="preserve"> whoever does [si</w:t>
      </w:r>
      <w:r w:rsidR="005107B8" w:rsidRPr="00326F31">
        <w:rPr>
          <w:rFonts w:asciiTheme="majorHAnsi" w:hAnsiTheme="majorHAnsi"/>
          <w:sz w:val="20"/>
          <w:szCs w:val="20"/>
        </w:rPr>
        <w:t>g</w:t>
      </w:r>
      <w:r w:rsidR="00C449B8">
        <w:rPr>
          <w:rFonts w:asciiTheme="majorHAnsi" w:hAnsiTheme="majorHAnsi"/>
          <w:sz w:val="20"/>
          <w:szCs w:val="20"/>
        </w:rPr>
        <w:t>n</w:t>
      </w:r>
      <w:r w:rsidR="005107B8" w:rsidRPr="00326F31">
        <w:rPr>
          <w:rFonts w:asciiTheme="majorHAnsi" w:hAnsiTheme="majorHAnsi"/>
          <w:sz w:val="20"/>
          <w:szCs w:val="20"/>
        </w:rPr>
        <w:t>] it, either they kill me</w:t>
      </w:r>
      <w:r w:rsidRPr="00326F31">
        <w:rPr>
          <w:rFonts w:asciiTheme="majorHAnsi" w:hAnsiTheme="majorHAnsi"/>
          <w:sz w:val="20"/>
          <w:szCs w:val="20"/>
        </w:rPr>
        <w:t xml:space="preserve"> or I</w:t>
      </w:r>
      <w:r w:rsidR="005107B8" w:rsidRPr="00326F31">
        <w:rPr>
          <w:rFonts w:asciiTheme="majorHAnsi" w:hAnsiTheme="majorHAnsi"/>
          <w:sz w:val="20"/>
          <w:szCs w:val="20"/>
        </w:rPr>
        <w:t xml:space="preserve"> kill them</w:t>
      </w:r>
      <w:r w:rsidRPr="00326F31">
        <w:rPr>
          <w:rFonts w:asciiTheme="majorHAnsi" w:hAnsiTheme="majorHAnsi"/>
          <w:sz w:val="20"/>
          <w:szCs w:val="20"/>
        </w:rPr>
        <w:t>"</w:t>
      </w:r>
      <w:r w:rsidR="005107B8" w:rsidRPr="00326F31">
        <w:rPr>
          <w:rStyle w:val="FootnoteTextChar"/>
          <w:rFonts w:asciiTheme="majorHAnsi" w:hAnsiTheme="majorHAnsi"/>
          <w:sz w:val="20"/>
          <w:szCs w:val="20"/>
          <w:vertAlign w:val="superscript"/>
        </w:rPr>
        <w:footnoteReference w:id="29"/>
      </w:r>
      <w:r w:rsidR="005107B8" w:rsidRPr="00326F31">
        <w:rPr>
          <w:rFonts w:asciiTheme="majorHAnsi" w:hAnsiTheme="majorHAnsi"/>
          <w:sz w:val="20"/>
          <w:szCs w:val="20"/>
        </w:rPr>
        <w:t>. Also, again, on</w:t>
      </w:r>
      <w:r w:rsidRPr="00326F31">
        <w:rPr>
          <w:rFonts w:asciiTheme="majorHAnsi" w:hAnsiTheme="majorHAnsi"/>
          <w:sz w:val="20"/>
          <w:szCs w:val="20"/>
        </w:rPr>
        <w:t xml:space="preserve"> December 1, 2003 President Hugo </w:t>
      </w:r>
      <w:r w:rsidR="005107B8" w:rsidRPr="00326F31">
        <w:rPr>
          <w:rFonts w:asciiTheme="majorHAnsi" w:hAnsiTheme="majorHAnsi"/>
          <w:sz w:val="20"/>
          <w:szCs w:val="20"/>
        </w:rPr>
        <w:t>Chávez</w:t>
      </w:r>
      <w:r w:rsidRPr="00326F31">
        <w:rPr>
          <w:rFonts w:asciiTheme="majorHAnsi" w:hAnsiTheme="majorHAnsi"/>
          <w:sz w:val="20"/>
          <w:szCs w:val="20"/>
        </w:rPr>
        <w:t xml:space="preserve"> referring to "</w:t>
      </w:r>
      <w:r w:rsidR="005107B8" w:rsidRPr="00326F31">
        <w:rPr>
          <w:rFonts w:asciiTheme="majorHAnsi" w:hAnsiTheme="majorHAnsi"/>
          <w:i/>
          <w:sz w:val="20"/>
          <w:szCs w:val="20"/>
        </w:rPr>
        <w:t xml:space="preserve">The </w:t>
      </w:r>
      <w:r w:rsidRPr="00326F31">
        <w:rPr>
          <w:rFonts w:asciiTheme="majorHAnsi" w:hAnsiTheme="majorHAnsi"/>
          <w:i/>
          <w:sz w:val="20"/>
          <w:szCs w:val="20"/>
        </w:rPr>
        <w:t>Reafirmazo</w:t>
      </w:r>
      <w:r w:rsidR="005107B8" w:rsidRPr="00326F31">
        <w:rPr>
          <w:rFonts w:asciiTheme="majorHAnsi" w:hAnsiTheme="majorHAnsi"/>
          <w:sz w:val="20"/>
          <w:szCs w:val="20"/>
        </w:rPr>
        <w:t>" said "are you sure that there won’t be fraud against us</w:t>
      </w:r>
      <w:r w:rsidRPr="00326F31">
        <w:rPr>
          <w:rFonts w:asciiTheme="majorHAnsi" w:hAnsiTheme="majorHAnsi"/>
          <w:sz w:val="20"/>
          <w:szCs w:val="20"/>
        </w:rPr>
        <w:t>? As the people say</w:t>
      </w:r>
      <w:r w:rsidR="005107B8" w:rsidRPr="00326F31">
        <w:rPr>
          <w:rFonts w:asciiTheme="majorHAnsi" w:hAnsiTheme="majorHAnsi"/>
          <w:sz w:val="20"/>
          <w:szCs w:val="20"/>
        </w:rPr>
        <w:t>,</w:t>
      </w:r>
      <w:r w:rsidRPr="00326F31">
        <w:rPr>
          <w:rFonts w:asciiTheme="majorHAnsi" w:hAnsiTheme="majorHAnsi"/>
          <w:sz w:val="20"/>
          <w:szCs w:val="20"/>
        </w:rPr>
        <w:t xml:space="preserve"> here in these streets</w:t>
      </w:r>
      <w:r w:rsidR="005107B8" w:rsidRPr="00326F31">
        <w:rPr>
          <w:rFonts w:asciiTheme="majorHAnsi" w:hAnsiTheme="majorHAnsi"/>
          <w:sz w:val="20"/>
          <w:szCs w:val="20"/>
        </w:rPr>
        <w:t xml:space="preserve"> of</w:t>
      </w:r>
      <w:r w:rsidRPr="00326F31">
        <w:rPr>
          <w:rFonts w:asciiTheme="majorHAnsi" w:hAnsiTheme="majorHAnsi"/>
          <w:sz w:val="20"/>
          <w:szCs w:val="20"/>
        </w:rPr>
        <w:t xml:space="preserve"> God "</w:t>
      </w:r>
      <w:r w:rsidR="005107B8" w:rsidRPr="00326F31">
        <w:rPr>
          <w:rFonts w:asciiTheme="majorHAnsi" w:hAnsiTheme="majorHAnsi"/>
          <w:sz w:val="20"/>
          <w:szCs w:val="20"/>
        </w:rPr>
        <w:t>cheating comes out"</w:t>
      </w:r>
      <w:r w:rsidR="005107B8" w:rsidRPr="00326F31">
        <w:rPr>
          <w:rStyle w:val="FootnoteTextChar"/>
          <w:rFonts w:asciiTheme="majorHAnsi" w:hAnsiTheme="majorHAnsi"/>
          <w:sz w:val="20"/>
          <w:szCs w:val="20"/>
          <w:vertAlign w:val="superscript"/>
        </w:rPr>
        <w:footnoteReference w:id="30"/>
      </w:r>
      <w:r w:rsidR="005107B8" w:rsidRPr="00326F31">
        <w:rPr>
          <w:rFonts w:asciiTheme="majorHAnsi" w:hAnsiTheme="majorHAnsi"/>
          <w:sz w:val="20"/>
          <w:szCs w:val="20"/>
        </w:rPr>
        <w:t>.</w:t>
      </w:r>
    </w:p>
    <w:p w14:paraId="32548DCB" w14:textId="77777777" w:rsidR="003E24AB" w:rsidRPr="00326F31" w:rsidRDefault="003E24AB" w:rsidP="00326F31">
      <w:pPr>
        <w:jc w:val="both"/>
        <w:rPr>
          <w:rFonts w:asciiTheme="majorHAnsi" w:hAnsiTheme="majorHAnsi"/>
          <w:sz w:val="20"/>
          <w:szCs w:val="20"/>
        </w:rPr>
      </w:pPr>
    </w:p>
    <w:p w14:paraId="3D567ADB" w14:textId="0721AF73" w:rsidR="003E24AB" w:rsidRPr="00326F31" w:rsidRDefault="003E24AB"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On the specified dates, the </w:t>
      </w:r>
      <w:r w:rsidRPr="00326F31">
        <w:rPr>
          <w:rFonts w:asciiTheme="majorHAnsi" w:hAnsiTheme="majorHAnsi" w:cs="Arial"/>
          <w:sz w:val="20"/>
          <w:szCs w:val="20"/>
        </w:rPr>
        <w:t>collection drive was carried out again,</w:t>
      </w:r>
      <w:r w:rsidRPr="00326F31">
        <w:rPr>
          <w:rFonts w:asciiTheme="majorHAnsi" w:hAnsiTheme="majorHAnsi"/>
          <w:sz w:val="20"/>
          <w:szCs w:val="20"/>
        </w:rPr>
        <w:t xml:space="preserve"> and on December 19, 2003 over 3 million signatures were presented to the CNE requesting the presidential recall referendum</w:t>
      </w:r>
      <w:r w:rsidRPr="00326F31">
        <w:rPr>
          <w:rStyle w:val="FootnoteTextChar"/>
          <w:rFonts w:asciiTheme="majorHAnsi" w:hAnsiTheme="majorHAnsi"/>
          <w:sz w:val="20"/>
          <w:szCs w:val="20"/>
          <w:vertAlign w:val="superscript"/>
        </w:rPr>
        <w:footnoteReference w:id="31"/>
      </w:r>
      <w:r w:rsidRPr="00326F31">
        <w:rPr>
          <w:rFonts w:asciiTheme="majorHAnsi" w:hAnsiTheme="majorHAnsi"/>
          <w:sz w:val="20"/>
          <w:szCs w:val="20"/>
        </w:rPr>
        <w:t>.</w:t>
      </w:r>
    </w:p>
    <w:p w14:paraId="54908C91" w14:textId="77777777" w:rsidR="00B62681" w:rsidRPr="00326F31" w:rsidRDefault="00B62681"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1EE83B75" w14:textId="1D20C4FC" w:rsidR="002861AB" w:rsidRPr="00326F31" w:rsidRDefault="004A5DA7" w:rsidP="00326F31">
      <w:pPr>
        <w:pStyle w:val="ListParagraph"/>
        <w:numPr>
          <w:ilvl w:val="1"/>
          <w:numId w:val="55"/>
        </w:numPr>
        <w:tabs>
          <w:tab w:val="clear" w:pos="1800"/>
          <w:tab w:val="num" w:pos="1440"/>
        </w:tabs>
        <w:ind w:hanging="990"/>
        <w:jc w:val="both"/>
        <w:rPr>
          <w:rFonts w:asciiTheme="majorHAnsi" w:hAnsiTheme="majorHAnsi"/>
          <w:b/>
          <w:sz w:val="20"/>
          <w:szCs w:val="20"/>
        </w:rPr>
      </w:pPr>
      <w:r w:rsidRPr="00326F31">
        <w:rPr>
          <w:rFonts w:asciiTheme="majorHAnsi" w:hAnsiTheme="majorHAnsi"/>
          <w:b/>
          <w:sz w:val="20"/>
          <w:szCs w:val="20"/>
        </w:rPr>
        <w:t>The “</w:t>
      </w:r>
      <w:r w:rsidR="002861AB" w:rsidRPr="00326F31">
        <w:rPr>
          <w:rFonts w:asciiTheme="majorHAnsi" w:hAnsiTheme="majorHAnsi"/>
          <w:b/>
          <w:sz w:val="20"/>
          <w:szCs w:val="20"/>
        </w:rPr>
        <w:t>Tascón</w:t>
      </w:r>
      <w:r w:rsidRPr="00326F31">
        <w:rPr>
          <w:rFonts w:asciiTheme="majorHAnsi" w:hAnsiTheme="majorHAnsi"/>
          <w:b/>
          <w:sz w:val="20"/>
          <w:szCs w:val="20"/>
        </w:rPr>
        <w:t xml:space="preserve"> List</w:t>
      </w:r>
      <w:r w:rsidR="002861AB" w:rsidRPr="00326F31">
        <w:rPr>
          <w:rFonts w:asciiTheme="majorHAnsi" w:hAnsiTheme="majorHAnsi"/>
          <w:b/>
          <w:sz w:val="20"/>
          <w:szCs w:val="20"/>
        </w:rPr>
        <w:t>”</w:t>
      </w:r>
    </w:p>
    <w:p w14:paraId="4E3DAEF3" w14:textId="77777777" w:rsidR="0056639B" w:rsidRPr="00326F31" w:rsidRDefault="0056639B"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3EDCDE1B" w14:textId="56A2877A" w:rsidR="00FB60C9" w:rsidRPr="00326F31" w:rsidRDefault="00FB60C9"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326F31">
        <w:rPr>
          <w:rFonts w:asciiTheme="majorHAnsi" w:hAnsiTheme="majorHAnsi"/>
          <w:color w:val="080808"/>
          <w:sz w:val="20"/>
          <w:szCs w:val="20"/>
          <w:shd w:val="clear" w:color="auto" w:fill="FFFFFF"/>
        </w:rPr>
        <w:t xml:space="preserve">On January 30, 2004 the President asked the president of the National Electoral Council, to hand over to Congressman </w:t>
      </w:r>
      <w:r w:rsidRPr="00326F31">
        <w:rPr>
          <w:rFonts w:asciiTheme="majorHAnsi" w:hAnsiTheme="majorHAnsi"/>
          <w:sz w:val="20"/>
          <w:szCs w:val="20"/>
        </w:rPr>
        <w:t xml:space="preserve">Luis Tascón </w:t>
      </w:r>
      <w:r w:rsidRPr="00326F31">
        <w:rPr>
          <w:rFonts w:asciiTheme="majorHAnsi" w:hAnsiTheme="majorHAnsi"/>
          <w:color w:val="080808"/>
          <w:sz w:val="20"/>
          <w:szCs w:val="20"/>
          <w:shd w:val="clear" w:color="auto" w:fill="FFFFFF"/>
        </w:rPr>
        <w:t>"certified copies of the forms used during the April 4 event in which a group of citizens requested a recall referendum of my mandate"</w:t>
      </w:r>
      <w:r w:rsidRPr="00326F31">
        <w:rPr>
          <w:rFonts w:asciiTheme="majorHAnsi" w:hAnsiTheme="majorHAnsi"/>
          <w:sz w:val="20"/>
          <w:szCs w:val="20"/>
          <w:vertAlign w:val="superscript"/>
        </w:rPr>
        <w:footnoteReference w:id="32"/>
      </w:r>
      <w:r w:rsidRPr="00326F31">
        <w:rPr>
          <w:rFonts w:asciiTheme="majorHAnsi" w:hAnsiTheme="majorHAnsi"/>
          <w:color w:val="080808"/>
          <w:sz w:val="20"/>
          <w:szCs w:val="20"/>
          <w:shd w:val="clear" w:color="auto" w:fill="FFFFFF"/>
        </w:rPr>
        <w:t xml:space="preserve">. Prior to receiving copies of the forms, Congressman </w:t>
      </w:r>
      <w:r w:rsidRPr="00326F31">
        <w:rPr>
          <w:rFonts w:asciiTheme="majorHAnsi" w:hAnsiTheme="majorHAnsi"/>
          <w:sz w:val="20"/>
          <w:szCs w:val="20"/>
        </w:rPr>
        <w:t>Luis Tascón</w:t>
      </w:r>
      <w:r w:rsidRPr="00326F31">
        <w:rPr>
          <w:rFonts w:asciiTheme="majorHAnsi" w:hAnsiTheme="majorHAnsi"/>
          <w:color w:val="080808"/>
          <w:sz w:val="20"/>
          <w:szCs w:val="20"/>
          <w:shd w:val="clear" w:color="auto" w:fill="FFFFFF"/>
        </w:rPr>
        <w:t xml:space="preserve"> said that "now with the forms we will have the oppo</w:t>
      </w:r>
      <w:r w:rsidR="00131FA4">
        <w:rPr>
          <w:rFonts w:asciiTheme="majorHAnsi" w:hAnsiTheme="majorHAnsi"/>
          <w:color w:val="080808"/>
          <w:sz w:val="20"/>
          <w:szCs w:val="20"/>
          <w:shd w:val="clear" w:color="auto" w:fill="FFFFFF"/>
        </w:rPr>
        <w:t>rtunity to give a face to fraud</w:t>
      </w:r>
      <w:r w:rsidR="00131FA4" w:rsidRPr="00326F31">
        <w:rPr>
          <w:rFonts w:asciiTheme="majorHAnsi" w:hAnsiTheme="majorHAnsi"/>
          <w:color w:val="080808"/>
          <w:sz w:val="20"/>
          <w:szCs w:val="20"/>
          <w:shd w:val="clear" w:color="auto" w:fill="FFFFFF"/>
        </w:rPr>
        <w:t xml:space="preserve"> (</w:t>
      </w:r>
      <w:r w:rsidRPr="00326F31">
        <w:rPr>
          <w:rFonts w:asciiTheme="majorHAnsi" w:hAnsiTheme="majorHAnsi"/>
          <w:color w:val="080808"/>
          <w:sz w:val="20"/>
          <w:szCs w:val="20"/>
          <w:shd w:val="clear" w:color="auto" w:fill="FFFFFF"/>
        </w:rPr>
        <w:t>...)"</w:t>
      </w:r>
      <w:r w:rsidRPr="00326F31">
        <w:rPr>
          <w:rFonts w:asciiTheme="majorHAnsi" w:hAnsiTheme="majorHAnsi"/>
          <w:sz w:val="20"/>
          <w:szCs w:val="20"/>
          <w:vertAlign w:val="superscript"/>
        </w:rPr>
        <w:footnoteReference w:id="33"/>
      </w:r>
      <w:r w:rsidRPr="00326F31">
        <w:rPr>
          <w:rFonts w:asciiTheme="majorHAnsi" w:hAnsiTheme="majorHAnsi"/>
          <w:sz w:val="20"/>
          <w:szCs w:val="20"/>
          <w:lang w:val="es-VE"/>
        </w:rPr>
        <w:t>.</w:t>
      </w:r>
    </w:p>
    <w:p w14:paraId="53EE9C70" w14:textId="77777777" w:rsidR="002F6034" w:rsidRPr="00326F31" w:rsidRDefault="002F6034" w:rsidP="00326F31">
      <w:pPr>
        <w:jc w:val="both"/>
        <w:rPr>
          <w:rFonts w:asciiTheme="majorHAnsi" w:hAnsiTheme="majorHAnsi"/>
          <w:color w:val="080808"/>
          <w:sz w:val="20"/>
          <w:szCs w:val="20"/>
          <w:shd w:val="clear" w:color="auto" w:fill="FFFFFF"/>
        </w:rPr>
      </w:pPr>
    </w:p>
    <w:p w14:paraId="6D8FD342" w14:textId="0C00E7B7" w:rsidR="003268A6" w:rsidRPr="00326F31" w:rsidRDefault="003268A6"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80808"/>
          <w:sz w:val="20"/>
          <w:szCs w:val="20"/>
          <w:shd w:val="clear" w:color="auto" w:fill="FFFFFF"/>
          <w:lang w:val="es-VE"/>
        </w:rPr>
      </w:pPr>
      <w:r w:rsidRPr="00326F31">
        <w:rPr>
          <w:rFonts w:asciiTheme="majorHAnsi" w:hAnsiTheme="majorHAnsi"/>
          <w:color w:val="080808"/>
          <w:sz w:val="20"/>
          <w:szCs w:val="20"/>
          <w:shd w:val="clear" w:color="auto" w:fill="FFFFFF"/>
        </w:rPr>
        <w:t xml:space="preserve">After the CNE gave copies of the forms to Congressman </w:t>
      </w:r>
      <w:r w:rsidRPr="00326F31">
        <w:rPr>
          <w:rFonts w:asciiTheme="majorHAnsi" w:hAnsiTheme="majorHAnsi"/>
          <w:sz w:val="20"/>
          <w:szCs w:val="20"/>
        </w:rPr>
        <w:t>Tascón</w:t>
      </w:r>
      <w:r w:rsidRPr="00326F31">
        <w:rPr>
          <w:rFonts w:asciiTheme="majorHAnsi" w:hAnsiTheme="majorHAnsi"/>
          <w:color w:val="080808"/>
          <w:sz w:val="20"/>
          <w:szCs w:val="20"/>
          <w:shd w:val="clear" w:color="auto" w:fill="FFFFFF"/>
        </w:rPr>
        <w:t xml:space="preserve">, he published these lists on the website www.luistascon.com, accusing the signatories of participating in a "mega-fraud". On the </w:t>
      </w:r>
      <w:r w:rsidR="00105B63" w:rsidRPr="00326F31">
        <w:rPr>
          <w:rFonts w:asciiTheme="majorHAnsi" w:hAnsiTheme="majorHAnsi"/>
          <w:color w:val="080808"/>
          <w:sz w:val="20"/>
          <w:szCs w:val="20"/>
          <w:shd w:val="clear" w:color="auto" w:fill="FFFFFF"/>
        </w:rPr>
        <w:t>website</w:t>
      </w:r>
      <w:r w:rsidRPr="00326F31">
        <w:rPr>
          <w:rFonts w:asciiTheme="majorHAnsi" w:hAnsiTheme="majorHAnsi"/>
          <w:color w:val="080808"/>
          <w:sz w:val="20"/>
          <w:szCs w:val="20"/>
          <w:shd w:val="clear" w:color="auto" w:fill="FFFFFF"/>
        </w:rPr>
        <w:t xml:space="preserve"> you could access the list of signatories of the petition for a presidential recall referendum by entering the ID number after a text that read "Enter your ID here (only numbers) to see if it appears in the ... MEGA FRAUD ...!". Referring to the website, parliamentary </w:t>
      </w:r>
      <w:r w:rsidRPr="00326F31">
        <w:rPr>
          <w:rFonts w:asciiTheme="majorHAnsi" w:hAnsiTheme="majorHAnsi"/>
          <w:sz w:val="20"/>
          <w:szCs w:val="20"/>
        </w:rPr>
        <w:t>Tascón</w:t>
      </w:r>
      <w:r w:rsidRPr="00326F31">
        <w:rPr>
          <w:rFonts w:asciiTheme="majorHAnsi" w:hAnsiTheme="majorHAnsi"/>
          <w:color w:val="080808"/>
          <w:sz w:val="20"/>
          <w:szCs w:val="20"/>
          <w:shd w:val="clear" w:color="auto" w:fill="FFFFFF"/>
        </w:rPr>
        <w:t xml:space="preserve"> said that "this is a service also for people in the opposition who signed, if they signed, congratulations! OK? But unfortunately you participated, and that’s why the website says so. You participated in the fraud"</w:t>
      </w:r>
      <w:r w:rsidRPr="00326F31">
        <w:rPr>
          <w:rStyle w:val="FootnoteTextChar"/>
          <w:rFonts w:asciiTheme="majorHAnsi" w:hAnsiTheme="majorHAnsi"/>
          <w:sz w:val="20"/>
          <w:szCs w:val="20"/>
          <w:vertAlign w:val="superscript"/>
        </w:rPr>
        <w:footnoteReference w:id="34"/>
      </w:r>
      <w:r w:rsidRPr="00326F31">
        <w:rPr>
          <w:rFonts w:asciiTheme="majorHAnsi" w:hAnsiTheme="majorHAnsi"/>
          <w:color w:val="080808"/>
          <w:sz w:val="20"/>
          <w:szCs w:val="20"/>
          <w:shd w:val="clear" w:color="auto" w:fill="FFFFFF"/>
        </w:rPr>
        <w:t>.</w:t>
      </w:r>
    </w:p>
    <w:p w14:paraId="117D8767" w14:textId="77777777" w:rsidR="002F6034" w:rsidRPr="00326F31" w:rsidRDefault="002F6034" w:rsidP="00326F31">
      <w:pPr>
        <w:jc w:val="both"/>
        <w:rPr>
          <w:rFonts w:asciiTheme="majorHAnsi" w:hAnsiTheme="majorHAnsi"/>
          <w:color w:val="080808"/>
          <w:sz w:val="20"/>
          <w:szCs w:val="20"/>
          <w:shd w:val="clear" w:color="auto" w:fill="FFFFFF"/>
        </w:rPr>
      </w:pPr>
    </w:p>
    <w:p w14:paraId="45050DBF" w14:textId="15684CF0" w:rsidR="002F6034" w:rsidRPr="00326F31" w:rsidRDefault="002F6034"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80808"/>
          <w:sz w:val="20"/>
          <w:szCs w:val="20"/>
          <w:shd w:val="clear" w:color="auto" w:fill="FFFFFF"/>
          <w:lang w:val="es-VE"/>
        </w:rPr>
      </w:pPr>
      <w:r w:rsidRPr="00326F31">
        <w:rPr>
          <w:rFonts w:asciiTheme="majorHAnsi" w:hAnsiTheme="majorHAnsi"/>
          <w:color w:val="080808"/>
          <w:sz w:val="20"/>
          <w:szCs w:val="20"/>
          <w:shd w:val="clear" w:color="auto" w:fill="FFFFFF"/>
        </w:rPr>
        <w:t>Also referring to the website, in a television program, President Hugo Chávez Frías said "I’</w:t>
      </w:r>
      <w:r w:rsidR="008A42DF" w:rsidRPr="00326F31">
        <w:rPr>
          <w:rFonts w:asciiTheme="majorHAnsi" w:hAnsiTheme="majorHAnsi"/>
          <w:color w:val="080808"/>
          <w:sz w:val="20"/>
          <w:szCs w:val="20"/>
          <w:shd w:val="clear" w:color="auto" w:fill="FFFFFF"/>
        </w:rPr>
        <w:t xml:space="preserve">ve been informed </w:t>
      </w:r>
      <w:r w:rsidRPr="00326F31">
        <w:rPr>
          <w:rFonts w:asciiTheme="majorHAnsi" w:hAnsiTheme="majorHAnsi"/>
          <w:color w:val="080808"/>
          <w:sz w:val="20"/>
          <w:szCs w:val="20"/>
          <w:shd w:val="clear" w:color="auto" w:fill="FFFFFF"/>
        </w:rPr>
        <w:t xml:space="preserve">that Congressman Luis Tascón has a website. On his website, well, the list of all these things, especially the ID numbers of those who supposedly signed, I call on the Venezuelan people to check, and let the faces come out! There </w:t>
      </w:r>
      <w:r w:rsidR="008A42DF" w:rsidRPr="00326F31">
        <w:rPr>
          <w:rFonts w:asciiTheme="majorHAnsi" w:hAnsiTheme="majorHAnsi"/>
          <w:color w:val="080808"/>
          <w:sz w:val="20"/>
          <w:szCs w:val="20"/>
          <w:shd w:val="clear" w:color="auto" w:fill="FFFFFF"/>
        </w:rPr>
        <w:t xml:space="preserve">it is </w:t>
      </w:r>
      <w:hyperlink r:id="rId16" w:history="1">
        <w:r w:rsidR="008A42DF" w:rsidRPr="00326F31">
          <w:rPr>
            <w:rStyle w:val="Hyperlink"/>
            <w:rFonts w:asciiTheme="majorHAnsi" w:hAnsiTheme="majorHAnsi"/>
            <w:sz w:val="20"/>
            <w:szCs w:val="20"/>
            <w:shd w:val="clear" w:color="auto" w:fill="FFFFFF"/>
          </w:rPr>
          <w:t>www.luistascon.com</w:t>
        </w:r>
      </w:hyperlink>
      <w:r w:rsidR="008A42DF" w:rsidRPr="00326F31">
        <w:rPr>
          <w:rFonts w:asciiTheme="majorHAnsi" w:hAnsiTheme="majorHAnsi"/>
          <w:color w:val="080808"/>
          <w:sz w:val="20"/>
          <w:szCs w:val="20"/>
          <w:shd w:val="clear" w:color="auto" w:fill="FFFFFF"/>
        </w:rPr>
        <w:t>. Go</w:t>
      </w:r>
      <w:r w:rsidRPr="00326F31">
        <w:rPr>
          <w:rFonts w:asciiTheme="majorHAnsi" w:hAnsiTheme="majorHAnsi"/>
          <w:color w:val="080808"/>
          <w:sz w:val="20"/>
          <w:szCs w:val="20"/>
          <w:shd w:val="clear" w:color="auto" w:fill="FFFFFF"/>
        </w:rPr>
        <w:t xml:space="preserve"> </w:t>
      </w:r>
      <w:r w:rsidR="008A42DF" w:rsidRPr="00326F31">
        <w:rPr>
          <w:rFonts w:asciiTheme="majorHAnsi" w:hAnsiTheme="majorHAnsi"/>
          <w:color w:val="080808"/>
          <w:sz w:val="20"/>
          <w:szCs w:val="20"/>
          <w:shd w:val="clear" w:color="auto" w:fill="FFFFFF"/>
        </w:rPr>
        <w:t xml:space="preserve">in </w:t>
      </w:r>
      <w:r w:rsidR="008D3F36" w:rsidRPr="00326F31">
        <w:rPr>
          <w:rFonts w:asciiTheme="majorHAnsi" w:hAnsiTheme="majorHAnsi"/>
          <w:color w:val="080808"/>
          <w:sz w:val="20"/>
          <w:szCs w:val="20"/>
          <w:shd w:val="clear" w:color="auto" w:fill="FFFFFF"/>
        </w:rPr>
        <w:t>there</w:t>
      </w:r>
      <w:r w:rsidRPr="00326F31">
        <w:rPr>
          <w:rFonts w:asciiTheme="majorHAnsi" w:hAnsiTheme="majorHAnsi"/>
          <w:color w:val="080808"/>
          <w:sz w:val="20"/>
          <w:szCs w:val="20"/>
          <w:shd w:val="clear" w:color="auto" w:fill="FFFFFF"/>
        </w:rPr>
        <w:t>"</w:t>
      </w:r>
      <w:r w:rsidR="008D3F36" w:rsidRPr="00326F31">
        <w:rPr>
          <w:rStyle w:val="FootnoteTextChar"/>
          <w:rFonts w:asciiTheme="majorHAnsi" w:hAnsiTheme="majorHAnsi"/>
          <w:sz w:val="20"/>
          <w:szCs w:val="20"/>
          <w:vertAlign w:val="superscript"/>
        </w:rPr>
        <w:footnoteReference w:id="35"/>
      </w:r>
      <w:r w:rsidR="008D3F36" w:rsidRPr="00326F31">
        <w:rPr>
          <w:rFonts w:asciiTheme="majorHAnsi" w:hAnsiTheme="majorHAnsi"/>
          <w:color w:val="080808"/>
          <w:sz w:val="20"/>
          <w:szCs w:val="20"/>
          <w:shd w:val="clear" w:color="auto" w:fill="FFFFFF"/>
          <w:lang w:val="es-VE"/>
        </w:rPr>
        <w:t>.</w:t>
      </w:r>
    </w:p>
    <w:p w14:paraId="7957D419" w14:textId="77777777" w:rsidR="00405A32" w:rsidRPr="00326F31" w:rsidRDefault="00405A32" w:rsidP="00326F31">
      <w:pPr>
        <w:pStyle w:val="ListParagraph"/>
        <w:jc w:val="both"/>
        <w:rPr>
          <w:rFonts w:asciiTheme="majorHAnsi" w:hAnsiTheme="majorHAnsi"/>
          <w:b/>
          <w:sz w:val="20"/>
          <w:szCs w:val="20"/>
        </w:rPr>
      </w:pPr>
    </w:p>
    <w:p w14:paraId="04C96D6C" w14:textId="449F382B" w:rsidR="00C85E9A" w:rsidRPr="00326F31" w:rsidRDefault="00175358" w:rsidP="00C449B8">
      <w:pPr>
        <w:pStyle w:val="ListParagraph"/>
        <w:numPr>
          <w:ilvl w:val="1"/>
          <w:numId w:val="55"/>
        </w:numPr>
        <w:tabs>
          <w:tab w:val="clear" w:pos="1800"/>
          <w:tab w:val="num" w:pos="1080"/>
        </w:tabs>
        <w:ind w:hanging="1080"/>
        <w:jc w:val="both"/>
        <w:rPr>
          <w:rFonts w:asciiTheme="majorHAnsi" w:hAnsiTheme="majorHAnsi"/>
          <w:b/>
          <w:sz w:val="20"/>
          <w:szCs w:val="20"/>
        </w:rPr>
      </w:pPr>
      <w:r w:rsidRPr="00326F31">
        <w:rPr>
          <w:rFonts w:asciiTheme="majorHAnsi" w:hAnsiTheme="majorHAnsi"/>
          <w:b/>
          <w:sz w:val="20"/>
          <w:szCs w:val="20"/>
        </w:rPr>
        <w:t>Complaints of dismissal and threats of dismissal to employees who signed the requests for a</w:t>
      </w:r>
      <w:r w:rsidR="008D3F36" w:rsidRPr="00326F31">
        <w:rPr>
          <w:rFonts w:asciiTheme="majorHAnsi" w:hAnsiTheme="majorHAnsi"/>
          <w:b/>
          <w:sz w:val="20"/>
          <w:szCs w:val="20"/>
        </w:rPr>
        <w:t xml:space="preserve"> presidential</w:t>
      </w:r>
      <w:r w:rsidRPr="00326F31">
        <w:rPr>
          <w:rFonts w:asciiTheme="majorHAnsi" w:hAnsiTheme="majorHAnsi"/>
          <w:b/>
          <w:sz w:val="20"/>
          <w:szCs w:val="20"/>
        </w:rPr>
        <w:t xml:space="preserve"> referendum</w:t>
      </w:r>
    </w:p>
    <w:p w14:paraId="3E7772F2" w14:textId="77777777" w:rsidR="00C85E9A" w:rsidRPr="00326F31" w:rsidRDefault="00C85E9A" w:rsidP="00326F31">
      <w:pPr>
        <w:jc w:val="both"/>
        <w:rPr>
          <w:rFonts w:asciiTheme="majorHAnsi" w:hAnsiTheme="majorHAnsi"/>
          <w:sz w:val="20"/>
          <w:szCs w:val="20"/>
        </w:rPr>
      </w:pPr>
    </w:p>
    <w:p w14:paraId="38872890" w14:textId="72AD8FC9" w:rsidR="008D3F36" w:rsidRPr="00326F31" w:rsidRDefault="008D3F36"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olor w:val="080808"/>
          <w:sz w:val="20"/>
          <w:szCs w:val="20"/>
          <w:shd w:val="clear" w:color="auto" w:fill="FFFFFF"/>
        </w:rPr>
      </w:pPr>
      <w:r w:rsidRPr="00326F31">
        <w:rPr>
          <w:rFonts w:asciiTheme="majorHAnsi" w:hAnsiTheme="majorHAnsi"/>
          <w:color w:val="080808"/>
          <w:sz w:val="20"/>
          <w:szCs w:val="20"/>
          <w:shd w:val="clear" w:color="auto" w:fill="FFFFFF"/>
        </w:rPr>
        <w:t xml:space="preserve">According to publicly available information, after the publication of the </w:t>
      </w:r>
      <w:proofErr w:type="spellStart"/>
      <w:r w:rsidRPr="00326F31">
        <w:rPr>
          <w:rFonts w:asciiTheme="majorHAnsi" w:hAnsiTheme="majorHAnsi"/>
          <w:color w:val="080808"/>
          <w:sz w:val="20"/>
          <w:szCs w:val="20"/>
          <w:shd w:val="clear" w:color="auto" w:fill="FFFFFF"/>
        </w:rPr>
        <w:t>Tascón</w:t>
      </w:r>
      <w:proofErr w:type="spellEnd"/>
      <w:r w:rsidR="00C449B8">
        <w:rPr>
          <w:rFonts w:asciiTheme="majorHAnsi" w:hAnsiTheme="majorHAnsi"/>
          <w:color w:val="080808"/>
          <w:sz w:val="20"/>
          <w:szCs w:val="20"/>
          <w:shd w:val="clear" w:color="auto" w:fill="FFFFFF"/>
        </w:rPr>
        <w:t xml:space="preserve"> list,</w:t>
      </w:r>
      <w:r w:rsidR="00251A00" w:rsidRPr="00251A00">
        <w:rPr>
          <w:rFonts w:asciiTheme="majorHAnsi" w:hAnsiTheme="majorHAnsi"/>
          <w:sz w:val="20"/>
          <w:szCs w:val="20"/>
        </w:rPr>
        <w:t xml:space="preserve"> </w:t>
      </w:r>
      <w:r w:rsidR="00251A00" w:rsidRPr="00326F31">
        <w:rPr>
          <w:rFonts w:asciiTheme="majorHAnsi" w:hAnsiTheme="majorHAnsi"/>
          <w:sz w:val="20"/>
          <w:szCs w:val="20"/>
        </w:rPr>
        <w:t>various media</w:t>
      </w:r>
      <w:r w:rsidRPr="00326F31">
        <w:rPr>
          <w:rFonts w:asciiTheme="majorHAnsi" w:hAnsiTheme="majorHAnsi"/>
          <w:color w:val="080808"/>
          <w:sz w:val="20"/>
          <w:szCs w:val="20"/>
          <w:shd w:val="clear" w:color="auto" w:fill="FFFFFF"/>
        </w:rPr>
        <w:t xml:space="preserve"> </w:t>
      </w:r>
      <w:r w:rsidR="00251A00">
        <w:rPr>
          <w:rFonts w:asciiTheme="majorHAnsi" w:hAnsiTheme="majorHAnsi"/>
          <w:color w:val="080808"/>
          <w:sz w:val="20"/>
          <w:szCs w:val="20"/>
          <w:shd w:val="clear" w:color="auto" w:fill="FFFFFF"/>
        </w:rPr>
        <w:t>reported</w:t>
      </w:r>
      <w:r w:rsidR="00CC20FD" w:rsidRPr="00326F31">
        <w:rPr>
          <w:rFonts w:asciiTheme="majorHAnsi" w:hAnsiTheme="majorHAnsi"/>
          <w:color w:val="080808"/>
          <w:sz w:val="20"/>
          <w:szCs w:val="20"/>
          <w:shd w:val="clear" w:color="auto" w:fill="FFFFFF"/>
        </w:rPr>
        <w:t xml:space="preserve"> </w:t>
      </w:r>
      <w:r w:rsidRPr="00326F31">
        <w:rPr>
          <w:rFonts w:asciiTheme="majorHAnsi" w:hAnsiTheme="majorHAnsi"/>
          <w:color w:val="080808"/>
          <w:sz w:val="20"/>
          <w:szCs w:val="20"/>
          <w:shd w:val="clear" w:color="auto" w:fill="FFFFFF"/>
        </w:rPr>
        <w:t>layoffs of public workers in retaliation</w:t>
      </w:r>
      <w:r w:rsidR="00CC20FD" w:rsidRPr="00326F31">
        <w:rPr>
          <w:rFonts w:asciiTheme="majorHAnsi" w:hAnsiTheme="majorHAnsi"/>
          <w:color w:val="080808"/>
          <w:sz w:val="20"/>
          <w:szCs w:val="20"/>
          <w:shd w:val="clear" w:color="auto" w:fill="FFFFFF"/>
        </w:rPr>
        <w:t xml:space="preserve"> for their</w:t>
      </w:r>
      <w:r w:rsidRPr="00326F31">
        <w:rPr>
          <w:rFonts w:asciiTheme="majorHAnsi" w:hAnsiTheme="majorHAnsi"/>
          <w:color w:val="080808"/>
          <w:sz w:val="20"/>
          <w:szCs w:val="20"/>
          <w:shd w:val="clear" w:color="auto" w:fill="FFFFFF"/>
        </w:rPr>
        <w:t xml:space="preserve"> signature on the presidential recall referendum</w:t>
      </w:r>
      <w:r w:rsidR="00CC20FD" w:rsidRPr="00326F31">
        <w:rPr>
          <w:rFonts w:asciiTheme="majorHAnsi" w:hAnsiTheme="majorHAnsi"/>
          <w:color w:val="080808"/>
          <w:sz w:val="20"/>
          <w:szCs w:val="20"/>
          <w:shd w:val="clear" w:color="auto" w:fill="FFFFFF"/>
        </w:rPr>
        <w:t xml:space="preserve"> began</w:t>
      </w:r>
      <w:r w:rsidR="00CC20FD" w:rsidRPr="00326F31">
        <w:rPr>
          <w:rStyle w:val="FootnoteTextChar"/>
          <w:rFonts w:asciiTheme="majorHAnsi" w:hAnsiTheme="majorHAnsi"/>
          <w:sz w:val="20"/>
          <w:szCs w:val="20"/>
          <w:vertAlign w:val="superscript"/>
        </w:rPr>
        <w:footnoteReference w:id="36"/>
      </w:r>
      <w:r w:rsidRPr="00326F31">
        <w:rPr>
          <w:rFonts w:asciiTheme="majorHAnsi" w:hAnsiTheme="majorHAnsi"/>
          <w:color w:val="080808"/>
          <w:sz w:val="20"/>
          <w:szCs w:val="20"/>
          <w:shd w:val="clear" w:color="auto" w:fill="FFFFFF"/>
        </w:rPr>
        <w:t>. Some of the layoffs were preceded by statements by public officials accusing the signatories of treason.</w:t>
      </w:r>
    </w:p>
    <w:p w14:paraId="528E854E" w14:textId="77777777" w:rsidR="009B26E0" w:rsidRPr="00326F31" w:rsidRDefault="009B26E0" w:rsidP="00326F31">
      <w:pPr>
        <w:pStyle w:val="ListParagraph"/>
        <w:jc w:val="both"/>
        <w:rPr>
          <w:rFonts w:asciiTheme="majorHAnsi" w:hAnsiTheme="majorHAnsi" w:cs="Arial"/>
          <w:sz w:val="20"/>
          <w:szCs w:val="20"/>
          <w:shd w:val="clear" w:color="auto" w:fill="FFFFFF"/>
        </w:rPr>
      </w:pPr>
    </w:p>
    <w:p w14:paraId="408E6410" w14:textId="43CD82AD" w:rsidR="009B26E0" w:rsidRPr="00326F31" w:rsidRDefault="009B26E0"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color w:val="000000"/>
          <w:sz w:val="20"/>
          <w:szCs w:val="20"/>
          <w:shd w:val="clear" w:color="auto" w:fill="FFFFFF"/>
        </w:rPr>
      </w:pPr>
      <w:r w:rsidRPr="00326F31">
        <w:rPr>
          <w:rFonts w:asciiTheme="majorHAnsi" w:hAnsiTheme="majorHAnsi" w:cs="Arial"/>
          <w:color w:val="000000"/>
          <w:sz w:val="20"/>
          <w:szCs w:val="20"/>
          <w:shd w:val="clear" w:color="auto" w:fill="FFFFFF"/>
        </w:rPr>
        <w:t>In this regard, on March 20, 2004, Roger Capella, then Minister of Health and Social Development stated that "a traitor cannot be in a position of trust and this State has a policy and correspondence with the government it has, where there’s no room for traitors. Those who have signed are dumped"</w:t>
      </w:r>
      <w:r w:rsidR="00C449B8" w:rsidRPr="00326F31">
        <w:rPr>
          <w:rStyle w:val="FootnoteTextChar"/>
          <w:rFonts w:asciiTheme="majorHAnsi" w:hAnsiTheme="majorHAnsi"/>
          <w:sz w:val="20"/>
          <w:szCs w:val="20"/>
          <w:vertAlign w:val="superscript"/>
        </w:rPr>
        <w:footnoteReference w:id="37"/>
      </w:r>
      <w:r w:rsidRPr="00326F31">
        <w:rPr>
          <w:rFonts w:asciiTheme="majorHAnsi" w:hAnsiTheme="majorHAnsi" w:cs="Arial"/>
          <w:color w:val="000000"/>
          <w:sz w:val="20"/>
          <w:szCs w:val="20"/>
          <w:shd w:val="clear" w:color="auto" w:fill="FFFFFF"/>
        </w:rPr>
        <w:t>. The same official said that "those who signed against President Chávez" will be dismissed "because it is an act of terrorism"</w:t>
      </w:r>
      <w:r w:rsidRPr="00326F31">
        <w:rPr>
          <w:rStyle w:val="FootnoteTextChar"/>
          <w:rFonts w:asciiTheme="majorHAnsi" w:hAnsiTheme="majorHAnsi"/>
          <w:sz w:val="20"/>
          <w:szCs w:val="20"/>
          <w:vertAlign w:val="superscript"/>
        </w:rPr>
        <w:footnoteReference w:id="38"/>
      </w:r>
      <w:r w:rsidRPr="00326F31">
        <w:rPr>
          <w:rFonts w:asciiTheme="majorHAnsi" w:hAnsiTheme="majorHAnsi" w:cs="Arial"/>
          <w:color w:val="000000"/>
          <w:sz w:val="20"/>
          <w:szCs w:val="20"/>
          <w:shd w:val="clear" w:color="auto" w:fill="FFFFFF"/>
        </w:rPr>
        <w:t>.</w:t>
      </w:r>
    </w:p>
    <w:p w14:paraId="03D6E04E" w14:textId="77777777" w:rsidR="00DA4E12" w:rsidRPr="00326F31" w:rsidRDefault="00DA4E12" w:rsidP="00326F31">
      <w:pPr>
        <w:jc w:val="both"/>
        <w:rPr>
          <w:rFonts w:asciiTheme="majorHAnsi" w:hAnsiTheme="majorHAnsi" w:cs="Arial"/>
          <w:sz w:val="20"/>
          <w:szCs w:val="20"/>
          <w:shd w:val="clear" w:color="auto" w:fill="FFFFFF"/>
        </w:rPr>
      </w:pPr>
    </w:p>
    <w:p w14:paraId="4AE158ED" w14:textId="3CD649B8" w:rsidR="00DA4E12" w:rsidRPr="00326F31" w:rsidRDefault="00DA4E12"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color w:val="000000"/>
          <w:sz w:val="20"/>
          <w:szCs w:val="20"/>
          <w:shd w:val="clear" w:color="auto" w:fill="FFFFFF"/>
        </w:rPr>
      </w:pPr>
      <w:r w:rsidRPr="00326F31">
        <w:rPr>
          <w:rFonts w:asciiTheme="majorHAnsi" w:hAnsiTheme="majorHAnsi" w:cs="Arial"/>
          <w:color w:val="000000"/>
          <w:sz w:val="20"/>
          <w:szCs w:val="20"/>
          <w:shd w:val="clear" w:color="auto" w:fill="FFFFFF"/>
        </w:rPr>
        <w:t>On March 29, 2004 the Minister of Foreign Affairs stated to the media that: "I consider logical that an official with a position of trust that has signed against Hugo Chávez, makes his position available; otherwise they will be transferred to other duties within the Ministry of Foreign Affairs. They will not be dismissed, but they cannot be a close collaborator, because they don’t believe in the policy set out by the President</w:t>
      </w:r>
      <w:r w:rsidRPr="00326F31">
        <w:rPr>
          <w:rFonts w:asciiTheme="majorHAnsi" w:hAnsiTheme="majorHAnsi" w:cs="Arial"/>
          <w:sz w:val="20"/>
          <w:szCs w:val="20"/>
          <w:shd w:val="clear" w:color="auto" w:fill="FFFFFF"/>
        </w:rPr>
        <w:t>”</w:t>
      </w:r>
      <w:r w:rsidRPr="00326F31">
        <w:rPr>
          <w:rStyle w:val="FootnoteReference"/>
          <w:rFonts w:asciiTheme="majorHAnsi" w:hAnsiTheme="majorHAnsi" w:cs="Arial"/>
          <w:sz w:val="20"/>
          <w:szCs w:val="20"/>
          <w:shd w:val="clear" w:color="auto" w:fill="FFFFFF"/>
          <w:lang w:val="es-VE"/>
        </w:rPr>
        <w:footnoteReference w:id="39"/>
      </w:r>
      <w:r w:rsidRPr="00326F31">
        <w:rPr>
          <w:rFonts w:asciiTheme="majorHAnsi" w:hAnsiTheme="majorHAnsi" w:cs="Arial"/>
          <w:sz w:val="20"/>
          <w:szCs w:val="20"/>
          <w:shd w:val="clear" w:color="auto" w:fill="FFFFFF"/>
        </w:rPr>
        <w:t>.</w:t>
      </w:r>
    </w:p>
    <w:p w14:paraId="2AF8C932" w14:textId="77777777" w:rsidR="00C32AD3" w:rsidRPr="00326F31" w:rsidRDefault="00C32AD3" w:rsidP="00326F31">
      <w:pPr>
        <w:jc w:val="both"/>
        <w:rPr>
          <w:rFonts w:asciiTheme="majorHAnsi" w:hAnsiTheme="majorHAnsi" w:cs="Arial"/>
          <w:sz w:val="20"/>
          <w:szCs w:val="20"/>
          <w:shd w:val="clear" w:color="auto" w:fill="FFFFFF"/>
        </w:rPr>
      </w:pPr>
    </w:p>
    <w:p w14:paraId="54EB9D34" w14:textId="7B95555D" w:rsidR="002B33A7" w:rsidRPr="00326F31" w:rsidRDefault="002B33A7"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color w:val="000000"/>
          <w:sz w:val="20"/>
          <w:szCs w:val="20"/>
          <w:shd w:val="clear" w:color="auto" w:fill="FFFFFF"/>
        </w:rPr>
      </w:pPr>
      <w:r w:rsidRPr="00326F31">
        <w:rPr>
          <w:rFonts w:asciiTheme="majorHAnsi" w:hAnsiTheme="majorHAnsi" w:cs="Arial"/>
          <w:color w:val="000000"/>
          <w:sz w:val="20"/>
          <w:szCs w:val="20"/>
          <w:shd w:val="clear" w:color="auto" w:fill="FFFFFF"/>
        </w:rPr>
        <w:t>Also, the then president of Petroleum of</w:t>
      </w:r>
      <w:r w:rsidR="00EA1F8F" w:rsidRPr="00326F31">
        <w:rPr>
          <w:rFonts w:asciiTheme="majorHAnsi" w:hAnsiTheme="majorHAnsi" w:cs="Arial"/>
          <w:color w:val="000000"/>
          <w:sz w:val="20"/>
          <w:szCs w:val="20"/>
          <w:shd w:val="clear" w:color="auto" w:fill="FFFFFF"/>
        </w:rPr>
        <w:t xml:space="preserve"> Venezuela (PDVSA) warned </w:t>
      </w:r>
      <w:r w:rsidRPr="00326F31">
        <w:rPr>
          <w:rFonts w:asciiTheme="majorHAnsi" w:hAnsiTheme="majorHAnsi" w:cs="Arial"/>
          <w:color w:val="000000"/>
          <w:sz w:val="20"/>
          <w:szCs w:val="20"/>
          <w:shd w:val="clear" w:color="auto" w:fill="FFFFFF"/>
        </w:rPr>
        <w:t>that "</w:t>
      </w:r>
      <w:r w:rsidR="00EA1F8F" w:rsidRPr="00326F31">
        <w:rPr>
          <w:rFonts w:asciiTheme="majorHAnsi" w:hAnsiTheme="majorHAnsi" w:cs="Arial"/>
          <w:color w:val="000000"/>
          <w:sz w:val="20"/>
          <w:szCs w:val="20"/>
          <w:shd w:val="clear" w:color="auto" w:fill="FFFFFF"/>
        </w:rPr>
        <w:t>it would</w:t>
      </w:r>
      <w:r w:rsidRPr="00326F31">
        <w:rPr>
          <w:rFonts w:asciiTheme="majorHAnsi" w:hAnsiTheme="majorHAnsi" w:cs="Arial"/>
          <w:color w:val="000000"/>
          <w:sz w:val="20"/>
          <w:szCs w:val="20"/>
          <w:shd w:val="clear" w:color="auto" w:fill="FFFFFF"/>
        </w:rPr>
        <w:t xml:space="preserve"> </w:t>
      </w:r>
      <w:r w:rsidR="00EA1F8F" w:rsidRPr="00326F31">
        <w:rPr>
          <w:rFonts w:asciiTheme="majorHAnsi" w:hAnsiTheme="majorHAnsi" w:cs="Arial"/>
          <w:color w:val="000000"/>
          <w:sz w:val="20"/>
          <w:szCs w:val="20"/>
          <w:shd w:val="clear" w:color="auto" w:fill="FFFFFF"/>
        </w:rPr>
        <w:t>be</w:t>
      </w:r>
      <w:r w:rsidRPr="00326F31">
        <w:rPr>
          <w:rFonts w:asciiTheme="majorHAnsi" w:hAnsiTheme="majorHAnsi" w:cs="Arial"/>
          <w:color w:val="000000"/>
          <w:sz w:val="20"/>
          <w:szCs w:val="20"/>
          <w:shd w:val="clear" w:color="auto" w:fill="FFFFFF"/>
        </w:rPr>
        <w:t xml:space="preserve"> </w:t>
      </w:r>
      <w:r w:rsidR="00EA1F8F" w:rsidRPr="00326F31">
        <w:rPr>
          <w:rFonts w:asciiTheme="majorHAnsi" w:hAnsiTheme="majorHAnsi" w:cs="Arial"/>
          <w:color w:val="000000"/>
          <w:sz w:val="20"/>
          <w:szCs w:val="20"/>
          <w:shd w:val="clear" w:color="auto" w:fill="FFFFFF"/>
        </w:rPr>
        <w:t xml:space="preserve">no </w:t>
      </w:r>
      <w:r w:rsidRPr="00326F31">
        <w:rPr>
          <w:rFonts w:asciiTheme="majorHAnsi" w:hAnsiTheme="majorHAnsi" w:cs="Arial"/>
          <w:color w:val="000000"/>
          <w:sz w:val="20"/>
          <w:szCs w:val="20"/>
          <w:shd w:val="clear" w:color="auto" w:fill="FFFFFF"/>
        </w:rPr>
        <w:t>surprise if the workers who signed the petition to call</w:t>
      </w:r>
      <w:r w:rsidR="00EA1F8F" w:rsidRPr="00326F31">
        <w:rPr>
          <w:rFonts w:asciiTheme="majorHAnsi" w:hAnsiTheme="majorHAnsi" w:cs="Arial"/>
          <w:color w:val="000000"/>
          <w:sz w:val="20"/>
          <w:szCs w:val="20"/>
          <w:shd w:val="clear" w:color="auto" w:fill="FFFFFF"/>
        </w:rPr>
        <w:t xml:space="preserve"> [for the referendum] were dismissed from their jobs</w:t>
      </w:r>
      <w:r w:rsidRPr="00326F31">
        <w:rPr>
          <w:rFonts w:asciiTheme="majorHAnsi" w:hAnsiTheme="majorHAnsi" w:cs="Arial"/>
          <w:color w:val="000000"/>
          <w:sz w:val="20"/>
          <w:szCs w:val="20"/>
          <w:shd w:val="clear" w:color="auto" w:fill="FFFFFF"/>
        </w:rPr>
        <w:t>"</w:t>
      </w:r>
      <w:r w:rsidR="00EA1F8F" w:rsidRPr="00326F31">
        <w:rPr>
          <w:rStyle w:val="FootnoteTextChar"/>
          <w:rFonts w:asciiTheme="majorHAnsi" w:hAnsiTheme="majorHAnsi"/>
          <w:sz w:val="20"/>
          <w:szCs w:val="20"/>
          <w:vertAlign w:val="superscript"/>
        </w:rPr>
        <w:footnoteReference w:id="40"/>
      </w:r>
      <w:r w:rsidR="00EA1F8F" w:rsidRPr="00326F31">
        <w:rPr>
          <w:rFonts w:asciiTheme="majorHAnsi" w:hAnsiTheme="majorHAnsi" w:cs="Arial"/>
          <w:color w:val="000000"/>
          <w:sz w:val="20"/>
          <w:szCs w:val="20"/>
          <w:shd w:val="clear" w:color="auto" w:fill="FFFFFF"/>
        </w:rPr>
        <w:t>.</w:t>
      </w:r>
      <w:r w:rsidRPr="00326F31">
        <w:rPr>
          <w:rFonts w:asciiTheme="majorHAnsi" w:hAnsiTheme="majorHAnsi" w:cs="Arial"/>
          <w:color w:val="000000"/>
          <w:sz w:val="20"/>
          <w:szCs w:val="20"/>
          <w:shd w:val="clear" w:color="auto" w:fill="FFFFFF"/>
        </w:rPr>
        <w:t xml:space="preserve"> According to a report by Human Rights Watch "some employ</w:t>
      </w:r>
      <w:r w:rsidR="00C32AD3" w:rsidRPr="00326F31">
        <w:rPr>
          <w:rFonts w:asciiTheme="majorHAnsi" w:hAnsiTheme="majorHAnsi" w:cs="Arial"/>
          <w:color w:val="000000"/>
          <w:sz w:val="20"/>
          <w:szCs w:val="20"/>
          <w:shd w:val="clear" w:color="auto" w:fill="FFFFFF"/>
        </w:rPr>
        <w:t>ees of PDVSA reported later to the press that they</w:t>
      </w:r>
      <w:r w:rsidRPr="00326F31">
        <w:rPr>
          <w:rFonts w:asciiTheme="majorHAnsi" w:hAnsiTheme="majorHAnsi" w:cs="Arial"/>
          <w:color w:val="000000"/>
          <w:sz w:val="20"/>
          <w:szCs w:val="20"/>
          <w:shd w:val="clear" w:color="auto" w:fill="FFFFFF"/>
        </w:rPr>
        <w:t xml:space="preserve"> had been dismiss</w:t>
      </w:r>
      <w:r w:rsidR="00C32AD3" w:rsidRPr="00326F31">
        <w:rPr>
          <w:rFonts w:asciiTheme="majorHAnsi" w:hAnsiTheme="majorHAnsi" w:cs="Arial"/>
          <w:color w:val="000000"/>
          <w:sz w:val="20"/>
          <w:szCs w:val="20"/>
          <w:shd w:val="clear" w:color="auto" w:fill="FFFFFF"/>
        </w:rPr>
        <w:t>ed, and when they asked why, they were told</w:t>
      </w:r>
      <w:r w:rsidRPr="00326F31">
        <w:rPr>
          <w:rFonts w:asciiTheme="majorHAnsi" w:hAnsiTheme="majorHAnsi" w:cs="Arial"/>
          <w:color w:val="000000"/>
          <w:sz w:val="20"/>
          <w:szCs w:val="20"/>
          <w:shd w:val="clear" w:color="auto" w:fill="FFFFFF"/>
        </w:rPr>
        <w:t xml:space="preserve"> it was because they had signed the referendum petition</w:t>
      </w:r>
      <w:r w:rsidR="00C32AD3" w:rsidRPr="00326F31">
        <w:rPr>
          <w:rFonts w:asciiTheme="majorHAnsi" w:hAnsiTheme="majorHAnsi" w:cs="Arial"/>
          <w:color w:val="000000"/>
          <w:sz w:val="20"/>
          <w:szCs w:val="20"/>
          <w:shd w:val="clear" w:color="auto" w:fill="FFFFFF"/>
        </w:rPr>
        <w:t>”</w:t>
      </w:r>
      <w:r w:rsidR="00C32AD3" w:rsidRPr="00326F31">
        <w:rPr>
          <w:rStyle w:val="FootnoteTextChar"/>
          <w:rFonts w:asciiTheme="majorHAnsi" w:hAnsiTheme="majorHAnsi"/>
          <w:sz w:val="20"/>
          <w:szCs w:val="20"/>
          <w:vertAlign w:val="superscript"/>
        </w:rPr>
        <w:footnoteReference w:id="41"/>
      </w:r>
      <w:r w:rsidR="00C32AD3" w:rsidRPr="00326F31">
        <w:rPr>
          <w:rFonts w:asciiTheme="majorHAnsi" w:hAnsiTheme="majorHAnsi" w:cs="Arial"/>
          <w:color w:val="000000"/>
          <w:sz w:val="20"/>
          <w:szCs w:val="20"/>
          <w:shd w:val="clear" w:color="auto" w:fill="FFFFFF"/>
        </w:rPr>
        <w:t>.</w:t>
      </w:r>
    </w:p>
    <w:p w14:paraId="113FEDD5" w14:textId="77777777" w:rsidR="00C32AD3" w:rsidRPr="00326F31" w:rsidRDefault="00C32AD3" w:rsidP="00326F31">
      <w:pPr>
        <w:pStyle w:val="ListParagraph"/>
        <w:jc w:val="both"/>
        <w:rPr>
          <w:rFonts w:asciiTheme="majorHAnsi" w:hAnsiTheme="majorHAnsi" w:cs="Arial"/>
          <w:sz w:val="20"/>
          <w:szCs w:val="20"/>
          <w:shd w:val="clear" w:color="auto" w:fill="FFFFFF"/>
        </w:rPr>
      </w:pPr>
    </w:p>
    <w:p w14:paraId="2E6823F4" w14:textId="6BFCD13A" w:rsidR="00C32AD3" w:rsidRPr="00326F31" w:rsidRDefault="00C32AD3"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The same report</w:t>
      </w:r>
      <w:r w:rsidR="00C449B8">
        <w:rPr>
          <w:rFonts w:asciiTheme="majorHAnsi" w:hAnsiTheme="majorHAnsi"/>
          <w:sz w:val="20"/>
          <w:szCs w:val="20"/>
        </w:rPr>
        <w:t xml:space="preserve">, as well as a report prepared by a Venezuelan organization, </w:t>
      </w:r>
      <w:r w:rsidRPr="00326F31">
        <w:rPr>
          <w:rFonts w:asciiTheme="majorHAnsi" w:hAnsiTheme="majorHAnsi"/>
          <w:sz w:val="20"/>
          <w:szCs w:val="20"/>
        </w:rPr>
        <w:t>documented a number of cases of alleged layoffs motivated by the participation</w:t>
      </w:r>
      <w:r w:rsidR="00131FA4">
        <w:rPr>
          <w:rFonts w:asciiTheme="majorHAnsi" w:hAnsiTheme="majorHAnsi"/>
          <w:sz w:val="20"/>
          <w:szCs w:val="20"/>
        </w:rPr>
        <w:t xml:space="preserve"> of </w:t>
      </w:r>
      <w:r w:rsidR="001020F4">
        <w:rPr>
          <w:rFonts w:asciiTheme="majorHAnsi" w:hAnsiTheme="majorHAnsi"/>
          <w:sz w:val="20"/>
          <w:szCs w:val="20"/>
        </w:rPr>
        <w:t>public employees</w:t>
      </w:r>
      <w:r w:rsidRPr="00326F31">
        <w:rPr>
          <w:rFonts w:asciiTheme="majorHAnsi" w:hAnsiTheme="majorHAnsi"/>
          <w:sz w:val="20"/>
          <w:szCs w:val="20"/>
        </w:rPr>
        <w:t xml:space="preserve"> in the recall referendum petition</w:t>
      </w:r>
      <w:r w:rsidR="00C449B8" w:rsidRPr="00420489">
        <w:rPr>
          <w:rStyle w:val="FootnoteTextChar"/>
          <w:rFonts w:asciiTheme="majorHAnsi" w:hAnsiTheme="majorHAnsi"/>
          <w:sz w:val="20"/>
          <w:szCs w:val="20"/>
          <w:vertAlign w:val="superscript"/>
        </w:rPr>
        <w:footnoteReference w:id="42"/>
      </w:r>
      <w:r w:rsidRPr="00326F31">
        <w:rPr>
          <w:rFonts w:asciiTheme="majorHAnsi" w:hAnsiTheme="majorHAnsi"/>
          <w:sz w:val="20"/>
          <w:szCs w:val="20"/>
        </w:rPr>
        <w:t xml:space="preserve">. Among them it was highlighted the case of 80 public employees of the Fund of Deposit Guarantee and Banking Protection, allegedly dismissed for being included in "a list, partly based on the Tascón list, </w:t>
      </w:r>
      <w:r w:rsidRPr="00326F31">
        <w:rPr>
          <w:rFonts w:asciiTheme="majorHAnsi" w:hAnsiTheme="majorHAnsi"/>
          <w:sz w:val="20"/>
          <w:szCs w:val="20"/>
        </w:rPr>
        <w:lastRenderedPageBreak/>
        <w:t>circulated within the institution"</w:t>
      </w:r>
      <w:r w:rsidRPr="00326F31">
        <w:rPr>
          <w:rStyle w:val="FootnoteTextChar"/>
          <w:rFonts w:asciiTheme="majorHAnsi" w:hAnsiTheme="majorHAnsi"/>
          <w:sz w:val="20"/>
          <w:szCs w:val="20"/>
          <w:vertAlign w:val="superscript"/>
        </w:rPr>
        <w:footnoteReference w:id="43"/>
      </w:r>
      <w:r w:rsidRPr="00326F31">
        <w:rPr>
          <w:rFonts w:asciiTheme="majorHAnsi" w:hAnsiTheme="majorHAnsi" w:cs="Arial"/>
          <w:color w:val="000000"/>
          <w:sz w:val="20"/>
          <w:szCs w:val="20"/>
          <w:shd w:val="clear" w:color="auto" w:fill="FFFFFF"/>
        </w:rPr>
        <w:t>.</w:t>
      </w:r>
      <w:r w:rsidRPr="00326F31">
        <w:rPr>
          <w:rFonts w:asciiTheme="majorHAnsi" w:hAnsiTheme="majorHAnsi"/>
          <w:sz w:val="20"/>
          <w:szCs w:val="20"/>
        </w:rPr>
        <w:t xml:space="preserve"> In this regard, so</w:t>
      </w:r>
      <w:r w:rsidR="00C449B8">
        <w:rPr>
          <w:rFonts w:asciiTheme="majorHAnsi" w:hAnsiTheme="majorHAnsi"/>
          <w:sz w:val="20"/>
          <w:szCs w:val="20"/>
        </w:rPr>
        <w:t>me employees had stated that</w:t>
      </w:r>
      <w:r w:rsidRPr="00326F31">
        <w:rPr>
          <w:rFonts w:asciiTheme="majorHAnsi" w:hAnsiTheme="majorHAnsi"/>
          <w:sz w:val="20"/>
          <w:szCs w:val="20"/>
        </w:rPr>
        <w:t xml:space="preserve"> in the list distributed within the organization, appeared the name of each employee, his political profile (starting at 1 for </w:t>
      </w:r>
      <w:r w:rsidRPr="00326F31">
        <w:rPr>
          <w:rFonts w:asciiTheme="majorHAnsi" w:hAnsiTheme="majorHAnsi"/>
          <w:i/>
          <w:sz w:val="20"/>
          <w:szCs w:val="20"/>
        </w:rPr>
        <w:t>Chavistas</w:t>
      </w:r>
      <w:r w:rsidRPr="00326F31">
        <w:rPr>
          <w:rFonts w:asciiTheme="majorHAnsi" w:hAnsiTheme="majorHAnsi"/>
          <w:sz w:val="20"/>
          <w:szCs w:val="20"/>
        </w:rPr>
        <w:t xml:space="preserve"> militant</w:t>
      </w:r>
      <w:r w:rsidR="00C5301B" w:rsidRPr="00326F31">
        <w:rPr>
          <w:rFonts w:asciiTheme="majorHAnsi" w:hAnsiTheme="majorHAnsi"/>
          <w:sz w:val="20"/>
          <w:szCs w:val="20"/>
        </w:rPr>
        <w:t>s</w:t>
      </w:r>
      <w:r w:rsidRPr="00326F31">
        <w:rPr>
          <w:rFonts w:asciiTheme="majorHAnsi" w:hAnsiTheme="majorHAnsi"/>
          <w:sz w:val="20"/>
          <w:szCs w:val="20"/>
        </w:rPr>
        <w:t>, up to 6 for radical political opposition) and an initial indicating whether the employee had s</w:t>
      </w:r>
      <w:r w:rsidR="00C5301B" w:rsidRPr="00326F31">
        <w:rPr>
          <w:rFonts w:asciiTheme="majorHAnsi" w:hAnsiTheme="majorHAnsi"/>
          <w:sz w:val="20"/>
          <w:szCs w:val="20"/>
        </w:rPr>
        <w:t>igned the petition for</w:t>
      </w:r>
      <w:r w:rsidRPr="00326F31">
        <w:rPr>
          <w:rFonts w:asciiTheme="majorHAnsi" w:hAnsiTheme="majorHAnsi"/>
          <w:sz w:val="20"/>
          <w:szCs w:val="20"/>
        </w:rPr>
        <w:t xml:space="preserve"> advisory referendum, or for the recall referendum according to data from the Tascón list</w:t>
      </w:r>
      <w:r w:rsidR="00A53CD9" w:rsidRPr="00326F31">
        <w:rPr>
          <w:rStyle w:val="FootnoteReference"/>
          <w:rFonts w:asciiTheme="majorHAnsi" w:hAnsiTheme="majorHAnsi" w:cs="Arial"/>
          <w:color w:val="000000"/>
          <w:sz w:val="20"/>
          <w:szCs w:val="20"/>
          <w:shd w:val="clear" w:color="auto" w:fill="FFFFFF"/>
          <w:lang w:val="es-VE"/>
        </w:rPr>
        <w:footnoteReference w:id="44"/>
      </w:r>
      <w:r w:rsidRPr="00326F31">
        <w:rPr>
          <w:rFonts w:asciiTheme="majorHAnsi" w:hAnsiTheme="majorHAnsi"/>
          <w:sz w:val="20"/>
          <w:szCs w:val="20"/>
        </w:rPr>
        <w:t>. According to</w:t>
      </w:r>
      <w:r w:rsidR="003D32BF" w:rsidRPr="00326F31">
        <w:rPr>
          <w:rFonts w:asciiTheme="majorHAnsi" w:hAnsiTheme="majorHAnsi"/>
          <w:sz w:val="20"/>
          <w:szCs w:val="20"/>
        </w:rPr>
        <w:t xml:space="preserve"> discharged employees</w:t>
      </w:r>
      <w:r w:rsidRPr="00326F31">
        <w:rPr>
          <w:rFonts w:asciiTheme="majorHAnsi" w:hAnsiTheme="majorHAnsi"/>
          <w:sz w:val="20"/>
          <w:szCs w:val="20"/>
        </w:rPr>
        <w:t>, all of them were classified as government opponents in the list circulated</w:t>
      </w:r>
      <w:r w:rsidR="00A53CD9" w:rsidRPr="00326F31">
        <w:rPr>
          <w:rStyle w:val="FootnoteReference"/>
          <w:rFonts w:asciiTheme="majorHAnsi" w:hAnsiTheme="majorHAnsi" w:cs="Arial"/>
          <w:color w:val="000000"/>
          <w:sz w:val="20"/>
          <w:szCs w:val="20"/>
          <w:shd w:val="clear" w:color="auto" w:fill="FFFFFF"/>
          <w:lang w:val="es-VE"/>
        </w:rPr>
        <w:footnoteReference w:id="45"/>
      </w:r>
      <w:r w:rsidRPr="00326F31">
        <w:rPr>
          <w:rFonts w:asciiTheme="majorHAnsi" w:hAnsiTheme="majorHAnsi"/>
          <w:sz w:val="20"/>
          <w:szCs w:val="20"/>
        </w:rPr>
        <w:t xml:space="preserve">. According to publicly available information, the Director of that public institution, referring </w:t>
      </w:r>
      <w:r w:rsidR="003D32BF" w:rsidRPr="00326F31">
        <w:rPr>
          <w:rFonts w:asciiTheme="majorHAnsi" w:hAnsiTheme="majorHAnsi"/>
          <w:sz w:val="20"/>
          <w:szCs w:val="20"/>
        </w:rPr>
        <w:t xml:space="preserve">to the dismissal stated that "we were dealing with </w:t>
      </w:r>
      <w:r w:rsidRPr="00326F31">
        <w:rPr>
          <w:rFonts w:asciiTheme="majorHAnsi" w:hAnsiTheme="majorHAnsi"/>
          <w:sz w:val="20"/>
          <w:szCs w:val="20"/>
        </w:rPr>
        <w:t>officials</w:t>
      </w:r>
      <w:r w:rsidR="003D32BF" w:rsidRPr="00326F31">
        <w:rPr>
          <w:rFonts w:asciiTheme="majorHAnsi" w:hAnsiTheme="majorHAnsi"/>
          <w:sz w:val="20"/>
          <w:szCs w:val="20"/>
        </w:rPr>
        <w:t xml:space="preserve"> of free removal who dragged</w:t>
      </w:r>
      <w:r w:rsidRPr="00326F31">
        <w:rPr>
          <w:rFonts w:asciiTheme="majorHAnsi" w:hAnsiTheme="majorHAnsi"/>
          <w:sz w:val="20"/>
          <w:szCs w:val="20"/>
        </w:rPr>
        <w:t xml:space="preserve"> a culture </w:t>
      </w:r>
      <w:r w:rsidR="003D32BF" w:rsidRPr="00326F31">
        <w:rPr>
          <w:rFonts w:asciiTheme="majorHAnsi" w:hAnsiTheme="majorHAnsi"/>
          <w:sz w:val="20"/>
          <w:szCs w:val="20"/>
        </w:rPr>
        <w:t xml:space="preserve">that was </w:t>
      </w:r>
      <w:r w:rsidRPr="00326F31">
        <w:rPr>
          <w:rFonts w:asciiTheme="majorHAnsi" w:hAnsiTheme="majorHAnsi"/>
          <w:sz w:val="20"/>
          <w:szCs w:val="20"/>
        </w:rPr>
        <w:t>not consonant with the project that is contemplated for socioeconomic development"</w:t>
      </w:r>
      <w:r w:rsidR="003D32BF" w:rsidRPr="00326F31">
        <w:rPr>
          <w:rStyle w:val="FootnoteTextChar"/>
          <w:rFonts w:asciiTheme="majorHAnsi" w:hAnsiTheme="majorHAnsi"/>
          <w:sz w:val="20"/>
          <w:szCs w:val="20"/>
          <w:vertAlign w:val="superscript"/>
        </w:rPr>
        <w:footnoteReference w:id="46"/>
      </w:r>
      <w:r w:rsidR="003D32BF" w:rsidRPr="00326F31">
        <w:rPr>
          <w:rFonts w:asciiTheme="majorHAnsi" w:hAnsiTheme="majorHAnsi" w:cs="Arial"/>
          <w:color w:val="000000"/>
          <w:sz w:val="20"/>
          <w:szCs w:val="20"/>
          <w:shd w:val="clear" w:color="auto" w:fill="FFFFFF"/>
        </w:rPr>
        <w:t>.</w:t>
      </w:r>
      <w:r w:rsidR="005E6C10">
        <w:rPr>
          <w:rFonts w:asciiTheme="majorHAnsi" w:hAnsiTheme="majorHAnsi" w:cs="Arial"/>
          <w:color w:val="000000"/>
          <w:sz w:val="20"/>
          <w:szCs w:val="20"/>
          <w:shd w:val="clear" w:color="auto" w:fill="FFFFFF"/>
        </w:rPr>
        <w:t xml:space="preserve"> </w:t>
      </w:r>
    </w:p>
    <w:p w14:paraId="6FC0F0AC" w14:textId="77777777" w:rsidR="00887C86" w:rsidRPr="00326F31" w:rsidRDefault="00887C86" w:rsidP="00326F31">
      <w:pPr>
        <w:pStyle w:val="ListParagraph"/>
        <w:jc w:val="both"/>
        <w:rPr>
          <w:rFonts w:asciiTheme="majorHAnsi" w:hAnsiTheme="majorHAnsi"/>
          <w:sz w:val="20"/>
          <w:szCs w:val="20"/>
        </w:rPr>
      </w:pPr>
    </w:p>
    <w:p w14:paraId="3D646AAF" w14:textId="7BC53AD8" w:rsidR="00662351" w:rsidRPr="00326F31" w:rsidRDefault="00662351"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Also in March 2004, Froilan Barrios, member of the Executive Committee of the Confederation of Workers of Venezuela reported that the oil industry "has a list of 1999 active and retired workers who bear the threat of a possible removal or transfer of charge having participated in the </w:t>
      </w:r>
      <w:r w:rsidRPr="00326F31">
        <w:rPr>
          <w:rFonts w:asciiTheme="majorHAnsi" w:hAnsiTheme="majorHAnsi"/>
          <w:i/>
          <w:sz w:val="20"/>
          <w:szCs w:val="20"/>
        </w:rPr>
        <w:t>reafirmazo</w:t>
      </w:r>
      <w:r w:rsidRPr="00326F31">
        <w:rPr>
          <w:rFonts w:asciiTheme="majorHAnsi" w:hAnsiTheme="majorHAnsi"/>
          <w:sz w:val="20"/>
          <w:szCs w:val="20"/>
        </w:rPr>
        <w:t>"</w:t>
      </w:r>
      <w:r w:rsidRPr="00326F31">
        <w:rPr>
          <w:rStyle w:val="FootnoteTextChar"/>
          <w:rFonts w:asciiTheme="majorHAnsi" w:hAnsiTheme="majorHAnsi"/>
          <w:sz w:val="20"/>
          <w:szCs w:val="20"/>
          <w:vertAlign w:val="superscript"/>
        </w:rPr>
        <w:footnoteReference w:id="47"/>
      </w:r>
      <w:r w:rsidRPr="00326F31">
        <w:rPr>
          <w:rFonts w:asciiTheme="majorHAnsi" w:hAnsiTheme="majorHAnsi"/>
          <w:sz w:val="20"/>
          <w:szCs w:val="20"/>
        </w:rPr>
        <w:t>.</w:t>
      </w:r>
      <w:r w:rsidR="005E6C10">
        <w:rPr>
          <w:rFonts w:asciiTheme="majorHAnsi" w:hAnsiTheme="majorHAnsi"/>
          <w:sz w:val="20"/>
          <w:szCs w:val="20"/>
        </w:rPr>
        <w:t xml:space="preserve"> </w:t>
      </w:r>
    </w:p>
    <w:p w14:paraId="5855EA37" w14:textId="77777777" w:rsidR="00A32A18" w:rsidRPr="00326F31" w:rsidRDefault="00A32A18" w:rsidP="00326F31">
      <w:pPr>
        <w:jc w:val="both"/>
        <w:rPr>
          <w:rFonts w:asciiTheme="majorHAnsi" w:hAnsiTheme="majorHAnsi"/>
          <w:color w:val="080808"/>
          <w:sz w:val="20"/>
          <w:szCs w:val="20"/>
          <w:shd w:val="clear" w:color="auto" w:fill="FFFFFF"/>
        </w:rPr>
      </w:pPr>
    </w:p>
    <w:p w14:paraId="13F03C8B" w14:textId="2192290B" w:rsidR="00A32A18" w:rsidRPr="00326F31" w:rsidRDefault="00A32A18"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color w:val="080808"/>
          <w:sz w:val="20"/>
          <w:szCs w:val="20"/>
          <w:shd w:val="clear" w:color="auto" w:fill="FFFFFF"/>
        </w:rPr>
        <w:t xml:space="preserve">In turn, some media documented other allegations of reprisals to employees who participated in the referendum process in other state institutions such as the National Center of Information Technologies, the Miranda State Government, the Ministry of Popular Economy, the Institute for Welfare and Social Assistance for the Personnel of the Ministry of Education, the Board of Education of Miranda, </w:t>
      </w:r>
      <w:r w:rsidR="005C223C">
        <w:rPr>
          <w:rFonts w:asciiTheme="majorHAnsi" w:hAnsiTheme="majorHAnsi"/>
          <w:color w:val="080808"/>
          <w:sz w:val="20"/>
          <w:szCs w:val="20"/>
          <w:shd w:val="clear" w:color="auto" w:fill="FFFFFF"/>
        </w:rPr>
        <w:t xml:space="preserve">and the </w:t>
      </w:r>
      <w:r w:rsidRPr="00326F31">
        <w:rPr>
          <w:rFonts w:asciiTheme="majorHAnsi" w:hAnsiTheme="majorHAnsi"/>
          <w:color w:val="080808"/>
          <w:sz w:val="20"/>
          <w:szCs w:val="20"/>
          <w:shd w:val="clear" w:color="auto" w:fill="FFFFFF"/>
        </w:rPr>
        <w:t>National Electoral Council</w:t>
      </w:r>
      <w:r w:rsidRPr="00326F31">
        <w:rPr>
          <w:rStyle w:val="FootnoteReference"/>
          <w:rFonts w:asciiTheme="majorHAnsi" w:hAnsiTheme="majorHAnsi"/>
          <w:sz w:val="20"/>
          <w:szCs w:val="20"/>
          <w:lang w:val="es-VE"/>
        </w:rPr>
        <w:footnoteReference w:id="48"/>
      </w:r>
      <w:r w:rsidRPr="00326F31">
        <w:rPr>
          <w:rFonts w:asciiTheme="majorHAnsi" w:hAnsiTheme="majorHAnsi"/>
          <w:sz w:val="20"/>
          <w:szCs w:val="20"/>
        </w:rPr>
        <w:t>.</w:t>
      </w:r>
    </w:p>
    <w:p w14:paraId="01DB697E" w14:textId="77777777" w:rsidR="00A32A18" w:rsidRPr="00326F31" w:rsidRDefault="00A32A18"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80808"/>
          <w:sz w:val="20"/>
          <w:szCs w:val="20"/>
          <w:shd w:val="clear" w:color="auto" w:fill="FFFFFF"/>
        </w:rPr>
      </w:pPr>
    </w:p>
    <w:p w14:paraId="7CD95D39" w14:textId="674A19B3" w:rsidR="00265475" w:rsidRPr="00326F31" w:rsidRDefault="004C0A07" w:rsidP="005C223C">
      <w:pPr>
        <w:pStyle w:val="ListParagraph"/>
        <w:numPr>
          <w:ilvl w:val="1"/>
          <w:numId w:val="55"/>
        </w:numPr>
        <w:tabs>
          <w:tab w:val="clear" w:pos="1800"/>
          <w:tab w:val="num" w:pos="1080"/>
        </w:tabs>
        <w:ind w:hanging="1080"/>
        <w:jc w:val="both"/>
        <w:rPr>
          <w:rFonts w:asciiTheme="majorHAnsi" w:hAnsiTheme="majorHAnsi"/>
          <w:b/>
          <w:sz w:val="20"/>
          <w:szCs w:val="20"/>
        </w:rPr>
      </w:pPr>
      <w:r w:rsidRPr="00326F31">
        <w:rPr>
          <w:rFonts w:asciiTheme="majorHAnsi" w:hAnsiTheme="majorHAnsi"/>
          <w:b/>
          <w:sz w:val="20"/>
          <w:szCs w:val="20"/>
        </w:rPr>
        <w:t>Results of the recall procedure</w:t>
      </w:r>
      <w:r w:rsidR="00456F80" w:rsidRPr="00326F31">
        <w:rPr>
          <w:rFonts w:asciiTheme="majorHAnsi" w:hAnsiTheme="majorHAnsi"/>
          <w:b/>
          <w:sz w:val="20"/>
          <w:szCs w:val="20"/>
        </w:rPr>
        <w:t xml:space="preserve"> </w:t>
      </w:r>
      <w:r w:rsidRPr="00326F31">
        <w:rPr>
          <w:rFonts w:asciiTheme="majorHAnsi" w:hAnsiTheme="majorHAnsi"/>
          <w:b/>
          <w:sz w:val="20"/>
          <w:szCs w:val="20"/>
        </w:rPr>
        <w:t>"</w:t>
      </w:r>
      <w:r w:rsidR="00456F80" w:rsidRPr="00326F31">
        <w:rPr>
          <w:rFonts w:asciiTheme="majorHAnsi" w:hAnsiTheme="majorHAnsi"/>
          <w:b/>
          <w:i/>
          <w:sz w:val="20"/>
          <w:szCs w:val="20"/>
        </w:rPr>
        <w:t>El</w:t>
      </w:r>
      <w:r w:rsidR="00202D93" w:rsidRPr="00326F31">
        <w:rPr>
          <w:rFonts w:asciiTheme="majorHAnsi" w:hAnsiTheme="majorHAnsi"/>
          <w:b/>
          <w:i/>
          <w:sz w:val="20"/>
          <w:szCs w:val="20"/>
        </w:rPr>
        <w:t xml:space="preserve"> </w:t>
      </w:r>
      <w:r w:rsidRPr="00326F31">
        <w:rPr>
          <w:rFonts w:asciiTheme="majorHAnsi" w:hAnsiTheme="majorHAnsi"/>
          <w:b/>
          <w:i/>
          <w:sz w:val="20"/>
          <w:szCs w:val="20"/>
        </w:rPr>
        <w:t>Reafirmazo</w:t>
      </w:r>
      <w:r w:rsidRPr="00326F31">
        <w:rPr>
          <w:rFonts w:asciiTheme="majorHAnsi" w:hAnsiTheme="majorHAnsi"/>
          <w:b/>
          <w:sz w:val="20"/>
          <w:szCs w:val="20"/>
        </w:rPr>
        <w:t>" and conducting the recall referendum</w:t>
      </w:r>
    </w:p>
    <w:p w14:paraId="39DA4AEB" w14:textId="77777777" w:rsidR="00265475" w:rsidRPr="00326F31" w:rsidRDefault="00E92441"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26F31">
        <w:rPr>
          <w:rFonts w:asciiTheme="majorHAnsi" w:hAnsiTheme="majorHAnsi"/>
          <w:sz w:val="20"/>
          <w:szCs w:val="20"/>
        </w:rPr>
        <w:t xml:space="preserve"> </w:t>
      </w:r>
    </w:p>
    <w:p w14:paraId="6DE994D2" w14:textId="3F8857FC" w:rsidR="00456F80" w:rsidRPr="00326F31" w:rsidRDefault="00456F80"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326F31">
        <w:rPr>
          <w:rFonts w:asciiTheme="majorHAnsi" w:hAnsiTheme="majorHAnsi"/>
          <w:sz w:val="20"/>
          <w:szCs w:val="20"/>
        </w:rPr>
        <w:t>A</w:t>
      </w:r>
      <w:r w:rsidR="00055FAD" w:rsidRPr="00326F31">
        <w:rPr>
          <w:rFonts w:asciiTheme="majorHAnsi" w:hAnsiTheme="majorHAnsi"/>
          <w:sz w:val="20"/>
          <w:szCs w:val="20"/>
        </w:rPr>
        <w:t>fter receiving the signatures for</w:t>
      </w:r>
      <w:r w:rsidRPr="00326F31">
        <w:rPr>
          <w:rFonts w:asciiTheme="majorHAnsi" w:hAnsiTheme="majorHAnsi"/>
          <w:sz w:val="20"/>
          <w:szCs w:val="20"/>
        </w:rPr>
        <w:t xml:space="preserve"> </w:t>
      </w:r>
      <w:r w:rsidR="00055FAD" w:rsidRPr="00326F31">
        <w:rPr>
          <w:rFonts w:asciiTheme="majorHAnsi" w:hAnsiTheme="majorHAnsi"/>
          <w:sz w:val="20"/>
          <w:szCs w:val="20"/>
        </w:rPr>
        <w:t xml:space="preserve">the </w:t>
      </w:r>
      <w:r w:rsidRPr="00326F31">
        <w:rPr>
          <w:rFonts w:asciiTheme="majorHAnsi" w:hAnsiTheme="majorHAnsi"/>
          <w:sz w:val="20"/>
          <w:szCs w:val="20"/>
        </w:rPr>
        <w:t>"</w:t>
      </w:r>
      <w:r w:rsidRPr="00326F31">
        <w:rPr>
          <w:rFonts w:asciiTheme="majorHAnsi" w:hAnsiTheme="majorHAnsi"/>
          <w:i/>
          <w:sz w:val="20"/>
          <w:szCs w:val="20"/>
        </w:rPr>
        <w:t>Reafirmazo</w:t>
      </w:r>
      <w:r w:rsidRPr="00326F31">
        <w:rPr>
          <w:rFonts w:asciiTheme="majorHAnsi" w:hAnsiTheme="majorHAnsi"/>
          <w:sz w:val="20"/>
          <w:szCs w:val="20"/>
        </w:rPr>
        <w:t xml:space="preserve">" on March 2, 2004 the National Electoral Council issued Resolution No. 040302-131 with the preliminary results of the recall procedure initiated </w:t>
      </w:r>
      <w:r w:rsidR="00055FAD" w:rsidRPr="00326F31">
        <w:rPr>
          <w:rFonts w:asciiTheme="majorHAnsi" w:hAnsiTheme="majorHAnsi"/>
          <w:sz w:val="20"/>
          <w:szCs w:val="20"/>
        </w:rPr>
        <w:t>regarding</w:t>
      </w:r>
      <w:r w:rsidRPr="00326F31">
        <w:rPr>
          <w:rFonts w:asciiTheme="majorHAnsi" w:hAnsiTheme="majorHAnsi"/>
          <w:sz w:val="20"/>
          <w:szCs w:val="20"/>
        </w:rPr>
        <w:t xml:space="preserve"> President </w:t>
      </w:r>
      <w:r w:rsidR="00055FAD" w:rsidRPr="00326F31">
        <w:rPr>
          <w:rFonts w:asciiTheme="majorHAnsi" w:hAnsiTheme="majorHAnsi"/>
          <w:sz w:val="20"/>
          <w:szCs w:val="20"/>
        </w:rPr>
        <w:t>Hugo Chávez Frías</w:t>
      </w:r>
      <w:r w:rsidR="00055FAD" w:rsidRPr="00326F31">
        <w:rPr>
          <w:rStyle w:val="FootnoteTextChar"/>
          <w:rFonts w:asciiTheme="majorHAnsi" w:hAnsiTheme="majorHAnsi"/>
          <w:sz w:val="20"/>
          <w:szCs w:val="20"/>
          <w:vertAlign w:val="superscript"/>
        </w:rPr>
        <w:footnoteReference w:id="49"/>
      </w:r>
      <w:r w:rsidR="00055FAD" w:rsidRPr="00326F31">
        <w:rPr>
          <w:rFonts w:asciiTheme="majorHAnsi" w:hAnsiTheme="majorHAnsi"/>
          <w:sz w:val="20"/>
          <w:szCs w:val="20"/>
        </w:rPr>
        <w:t>. On</w:t>
      </w:r>
      <w:r w:rsidRPr="00326F31">
        <w:rPr>
          <w:rFonts w:asciiTheme="majorHAnsi" w:hAnsiTheme="majorHAnsi"/>
          <w:sz w:val="20"/>
          <w:szCs w:val="20"/>
        </w:rPr>
        <w:t xml:space="preserve"> April 20, 2004 the National Electoral Council, foll</w:t>
      </w:r>
      <w:r w:rsidR="00252986" w:rsidRPr="00326F31">
        <w:rPr>
          <w:rFonts w:asciiTheme="majorHAnsi" w:hAnsiTheme="majorHAnsi"/>
          <w:sz w:val="20"/>
          <w:szCs w:val="20"/>
        </w:rPr>
        <w:t xml:space="preserve">owing the rules on the right to challenge </w:t>
      </w:r>
      <w:r w:rsidRPr="00326F31">
        <w:rPr>
          <w:rFonts w:asciiTheme="majorHAnsi" w:hAnsiTheme="majorHAnsi"/>
          <w:sz w:val="20"/>
          <w:szCs w:val="20"/>
        </w:rPr>
        <w:t xml:space="preserve">the recall procedures </w:t>
      </w:r>
      <w:r w:rsidR="00252986" w:rsidRPr="00326F31">
        <w:rPr>
          <w:rFonts w:asciiTheme="majorHAnsi" w:hAnsiTheme="majorHAnsi"/>
          <w:sz w:val="20"/>
          <w:szCs w:val="20"/>
        </w:rPr>
        <w:t>for office terms elected by popular vote</w:t>
      </w:r>
      <w:r w:rsidR="00252986" w:rsidRPr="00326F31">
        <w:rPr>
          <w:rFonts w:asciiTheme="majorHAnsi" w:hAnsiTheme="majorHAnsi"/>
          <w:sz w:val="20"/>
          <w:szCs w:val="20"/>
          <w:vertAlign w:val="superscript"/>
        </w:rPr>
        <w:footnoteReference w:id="50"/>
      </w:r>
      <w:r w:rsidR="00252986" w:rsidRPr="00326F31">
        <w:rPr>
          <w:rFonts w:asciiTheme="majorHAnsi" w:hAnsiTheme="majorHAnsi"/>
          <w:sz w:val="20"/>
          <w:szCs w:val="20"/>
        </w:rPr>
        <w:t xml:space="preserve"> </w:t>
      </w:r>
      <w:r w:rsidRPr="00326F31">
        <w:rPr>
          <w:rFonts w:asciiTheme="majorHAnsi" w:hAnsiTheme="majorHAnsi"/>
          <w:sz w:val="20"/>
          <w:szCs w:val="20"/>
        </w:rPr>
        <w:t>determined that 1,192,914 signatures should</w:t>
      </w:r>
      <w:r w:rsidR="00252986" w:rsidRPr="00326F31">
        <w:rPr>
          <w:rFonts w:asciiTheme="majorHAnsi" w:hAnsiTheme="majorHAnsi"/>
          <w:sz w:val="20"/>
          <w:szCs w:val="20"/>
        </w:rPr>
        <w:t xml:space="preserve"> </w:t>
      </w:r>
      <w:r w:rsidR="00252986" w:rsidRPr="00326F31">
        <w:rPr>
          <w:rFonts w:asciiTheme="majorHAnsi" w:hAnsiTheme="majorHAnsi" w:cs="Arial"/>
          <w:sz w:val="20"/>
          <w:szCs w:val="20"/>
        </w:rPr>
        <w:t>underg</w:t>
      </w:r>
      <w:r w:rsidR="00A53CD9" w:rsidRPr="00326F31">
        <w:rPr>
          <w:rFonts w:asciiTheme="majorHAnsi" w:hAnsiTheme="majorHAnsi" w:cs="Arial"/>
          <w:sz w:val="20"/>
          <w:szCs w:val="20"/>
        </w:rPr>
        <w:t>o the process of challenge</w:t>
      </w:r>
      <w:r w:rsidR="00A53CD9" w:rsidRPr="00326F31">
        <w:rPr>
          <w:rStyle w:val="FootnoteReference"/>
          <w:rFonts w:asciiTheme="majorHAnsi" w:hAnsiTheme="majorHAnsi"/>
          <w:sz w:val="20"/>
          <w:szCs w:val="20"/>
          <w:lang w:val="es-VE"/>
        </w:rPr>
        <w:footnoteReference w:id="51"/>
      </w:r>
      <w:r w:rsidR="00A53CD9" w:rsidRPr="00326F31">
        <w:rPr>
          <w:rFonts w:asciiTheme="majorHAnsi" w:hAnsiTheme="majorHAnsi" w:cs="Arial"/>
          <w:sz w:val="20"/>
          <w:szCs w:val="20"/>
        </w:rPr>
        <w:t xml:space="preserve"> on a</w:t>
      </w:r>
      <w:r w:rsidRPr="00326F31">
        <w:rPr>
          <w:rFonts w:asciiTheme="majorHAnsi" w:hAnsiTheme="majorHAnsi"/>
          <w:sz w:val="20"/>
          <w:szCs w:val="20"/>
        </w:rPr>
        <w:t xml:space="preserve"> date to</w:t>
      </w:r>
      <w:r w:rsidR="00252986" w:rsidRPr="00326F31">
        <w:rPr>
          <w:rFonts w:asciiTheme="majorHAnsi" w:hAnsiTheme="majorHAnsi"/>
          <w:sz w:val="20"/>
          <w:szCs w:val="20"/>
        </w:rPr>
        <w:t xml:space="preserve"> be</w:t>
      </w:r>
      <w:r w:rsidRPr="00326F31">
        <w:rPr>
          <w:rFonts w:asciiTheme="majorHAnsi" w:hAnsiTheme="majorHAnsi"/>
          <w:sz w:val="20"/>
          <w:szCs w:val="20"/>
        </w:rPr>
        <w:t xml:space="preserve"> indicat</w:t>
      </w:r>
      <w:r w:rsidR="00252986" w:rsidRPr="00326F31">
        <w:rPr>
          <w:rFonts w:asciiTheme="majorHAnsi" w:hAnsiTheme="majorHAnsi"/>
          <w:sz w:val="20"/>
          <w:szCs w:val="20"/>
        </w:rPr>
        <w:t>ed</w:t>
      </w:r>
      <w:r w:rsidRPr="00326F31">
        <w:rPr>
          <w:rFonts w:asciiTheme="majorHAnsi" w:hAnsiTheme="majorHAnsi"/>
          <w:sz w:val="20"/>
          <w:szCs w:val="20"/>
        </w:rPr>
        <w:t xml:space="preserve"> </w:t>
      </w:r>
      <w:r w:rsidR="00252986" w:rsidRPr="00326F31">
        <w:rPr>
          <w:rFonts w:asciiTheme="majorHAnsi" w:hAnsiTheme="majorHAnsi"/>
          <w:sz w:val="20"/>
          <w:szCs w:val="20"/>
        </w:rPr>
        <w:t xml:space="preserve">by the electoral </w:t>
      </w:r>
      <w:r w:rsidR="00252986" w:rsidRPr="00326F31">
        <w:rPr>
          <w:rFonts w:asciiTheme="majorHAnsi" w:hAnsiTheme="majorHAnsi"/>
          <w:sz w:val="20"/>
          <w:szCs w:val="20"/>
        </w:rPr>
        <w:lastRenderedPageBreak/>
        <w:t xml:space="preserve">authority. The </w:t>
      </w:r>
      <w:r w:rsidR="00252986" w:rsidRPr="00326F31">
        <w:rPr>
          <w:rFonts w:asciiTheme="majorHAnsi" w:hAnsiTheme="majorHAnsi" w:cs="Arial"/>
          <w:sz w:val="20"/>
          <w:szCs w:val="20"/>
        </w:rPr>
        <w:t>process of challenge</w:t>
      </w:r>
      <w:r w:rsidRPr="00326F31">
        <w:rPr>
          <w:rFonts w:asciiTheme="majorHAnsi" w:hAnsiTheme="majorHAnsi"/>
          <w:sz w:val="20"/>
          <w:szCs w:val="20"/>
        </w:rPr>
        <w:t xml:space="preserve"> required</w:t>
      </w:r>
      <w:r w:rsidR="00252986" w:rsidRPr="00326F31">
        <w:rPr>
          <w:rFonts w:asciiTheme="majorHAnsi" w:hAnsiTheme="majorHAnsi"/>
          <w:sz w:val="20"/>
          <w:szCs w:val="20"/>
        </w:rPr>
        <w:t xml:space="preserve"> the</w:t>
      </w:r>
      <w:r w:rsidRPr="00326F31">
        <w:rPr>
          <w:rFonts w:asciiTheme="majorHAnsi" w:hAnsiTheme="majorHAnsi"/>
          <w:sz w:val="20"/>
          <w:szCs w:val="20"/>
        </w:rPr>
        <w:t xml:space="preserve"> </w:t>
      </w:r>
      <w:r w:rsidR="00252986" w:rsidRPr="00326F31">
        <w:rPr>
          <w:rFonts w:asciiTheme="majorHAnsi" w:hAnsiTheme="majorHAnsi"/>
          <w:sz w:val="20"/>
          <w:szCs w:val="20"/>
        </w:rPr>
        <w:t>re</w:t>
      </w:r>
      <w:r w:rsidRPr="00326F31">
        <w:rPr>
          <w:rFonts w:asciiTheme="majorHAnsi" w:hAnsiTheme="majorHAnsi"/>
          <w:sz w:val="20"/>
          <w:szCs w:val="20"/>
        </w:rPr>
        <w:t xml:space="preserve">validation of signatures </w:t>
      </w:r>
      <w:r w:rsidR="00252986" w:rsidRPr="00326F31">
        <w:rPr>
          <w:rFonts w:asciiTheme="majorHAnsi" w:hAnsiTheme="majorHAnsi"/>
          <w:sz w:val="20"/>
          <w:szCs w:val="20"/>
        </w:rPr>
        <w:t>subject to challenge and allowed the withdrawal of signatures of applicants who had changed their</w:t>
      </w:r>
      <w:r w:rsidRPr="00326F31">
        <w:rPr>
          <w:rFonts w:asciiTheme="majorHAnsi" w:hAnsiTheme="majorHAnsi"/>
          <w:sz w:val="20"/>
          <w:szCs w:val="20"/>
        </w:rPr>
        <w:t xml:space="preserve"> mind</w:t>
      </w:r>
      <w:r w:rsidR="00252986" w:rsidRPr="00326F31">
        <w:rPr>
          <w:rFonts w:asciiTheme="majorHAnsi" w:hAnsiTheme="majorHAnsi"/>
          <w:sz w:val="20"/>
          <w:szCs w:val="20"/>
        </w:rPr>
        <w:t>s</w:t>
      </w:r>
      <w:r w:rsidRPr="00326F31">
        <w:rPr>
          <w:rFonts w:asciiTheme="majorHAnsi" w:hAnsiTheme="majorHAnsi"/>
          <w:sz w:val="20"/>
          <w:szCs w:val="20"/>
        </w:rPr>
        <w:t xml:space="preserve">. </w:t>
      </w:r>
      <w:r w:rsidR="00252986" w:rsidRPr="00326F31">
        <w:rPr>
          <w:rFonts w:asciiTheme="majorHAnsi" w:hAnsiTheme="majorHAnsi" w:cs="Arial"/>
          <w:sz w:val="20"/>
          <w:szCs w:val="20"/>
        </w:rPr>
        <w:t>This day of challenge was held on June 27, 2004.</w:t>
      </w:r>
    </w:p>
    <w:p w14:paraId="34FF1D52" w14:textId="77777777" w:rsidR="00456F80" w:rsidRPr="00326F31" w:rsidRDefault="00456F80"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215EB864" w14:textId="7F3D3F11" w:rsidR="00450DEE" w:rsidRPr="00326F31" w:rsidRDefault="00450DEE"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June 25, 2004 by resolution 040615-852 the National Electoral Council decided to ratify the call to hold the presidential recall referendum on August 15, 2004</w:t>
      </w:r>
      <w:r w:rsidRPr="00326F31">
        <w:rPr>
          <w:rStyle w:val="FootnoteReference"/>
          <w:rFonts w:asciiTheme="majorHAnsi" w:hAnsiTheme="majorHAnsi"/>
          <w:sz w:val="20"/>
          <w:szCs w:val="20"/>
          <w:lang w:val="es-VE"/>
        </w:rPr>
        <w:footnoteReference w:id="52"/>
      </w:r>
      <w:r w:rsidRPr="00326F31">
        <w:rPr>
          <w:rFonts w:asciiTheme="majorHAnsi" w:hAnsiTheme="majorHAnsi"/>
          <w:sz w:val="20"/>
          <w:szCs w:val="20"/>
        </w:rPr>
        <w:t>. This call was conducted and resulted in a total of 3, 989, 008 votes in favor of the recall of the term of the President, and 5, 800, 629 votes against the recall, so the CNE ratified the mandate the President of the Republic</w:t>
      </w:r>
      <w:r w:rsidR="00132419" w:rsidRPr="00326F31">
        <w:rPr>
          <w:rStyle w:val="FootnoteReference"/>
          <w:rFonts w:asciiTheme="majorHAnsi" w:hAnsiTheme="majorHAnsi"/>
          <w:sz w:val="20"/>
          <w:szCs w:val="20"/>
          <w:lang w:val="es-VE"/>
        </w:rPr>
        <w:footnoteReference w:id="53"/>
      </w:r>
      <w:r w:rsidRPr="00326F31">
        <w:rPr>
          <w:rFonts w:asciiTheme="majorHAnsi" w:hAnsiTheme="majorHAnsi"/>
          <w:sz w:val="20"/>
          <w:szCs w:val="20"/>
        </w:rPr>
        <w:t xml:space="preserve">. The OAS and the Carter Center observers of this process, declared </w:t>
      </w:r>
      <w:r w:rsidR="0083681D" w:rsidRPr="00326F31">
        <w:rPr>
          <w:rFonts w:asciiTheme="majorHAnsi" w:hAnsiTheme="majorHAnsi"/>
          <w:sz w:val="20"/>
          <w:szCs w:val="20"/>
        </w:rPr>
        <w:t>the legitimacy of the results</w:t>
      </w:r>
      <w:r w:rsidRPr="00326F31">
        <w:rPr>
          <w:rStyle w:val="FootnoteReference"/>
          <w:rFonts w:asciiTheme="majorHAnsi" w:hAnsiTheme="majorHAnsi"/>
          <w:sz w:val="20"/>
          <w:szCs w:val="20"/>
          <w:lang w:val="es-VE"/>
        </w:rPr>
        <w:footnoteReference w:id="54"/>
      </w:r>
      <w:r w:rsidRPr="00326F31">
        <w:rPr>
          <w:rFonts w:asciiTheme="majorHAnsi" w:hAnsiTheme="majorHAnsi"/>
          <w:sz w:val="20"/>
          <w:szCs w:val="20"/>
        </w:rPr>
        <w:t>.</w:t>
      </w:r>
    </w:p>
    <w:p w14:paraId="64DCEAD8" w14:textId="77777777" w:rsidR="004709B0" w:rsidRPr="00326F31" w:rsidRDefault="004709B0" w:rsidP="00326F31">
      <w:pPr>
        <w:pStyle w:val="ListParagraph"/>
        <w:ind w:left="1800"/>
        <w:jc w:val="both"/>
        <w:rPr>
          <w:rFonts w:asciiTheme="majorHAnsi" w:hAnsiTheme="majorHAnsi"/>
          <w:b/>
          <w:sz w:val="20"/>
          <w:szCs w:val="20"/>
        </w:rPr>
      </w:pPr>
    </w:p>
    <w:p w14:paraId="0A2A3A50" w14:textId="2831E47A" w:rsidR="00B64AE2" w:rsidRPr="00326F31" w:rsidRDefault="00202D93" w:rsidP="005C223C">
      <w:pPr>
        <w:pStyle w:val="ListParagraph"/>
        <w:numPr>
          <w:ilvl w:val="1"/>
          <w:numId w:val="55"/>
        </w:numPr>
        <w:tabs>
          <w:tab w:val="clear" w:pos="1800"/>
          <w:tab w:val="num" w:pos="1080"/>
        </w:tabs>
        <w:ind w:hanging="1080"/>
        <w:jc w:val="both"/>
        <w:rPr>
          <w:rFonts w:asciiTheme="majorHAnsi" w:hAnsiTheme="majorHAnsi"/>
          <w:b/>
          <w:sz w:val="20"/>
          <w:szCs w:val="20"/>
        </w:rPr>
      </w:pPr>
      <w:r w:rsidRPr="00326F31">
        <w:rPr>
          <w:rFonts w:asciiTheme="majorHAnsi" w:hAnsiTheme="majorHAnsi"/>
          <w:b/>
          <w:sz w:val="20"/>
          <w:szCs w:val="20"/>
        </w:rPr>
        <w:t>Public Ministry</w:t>
      </w:r>
      <w:r w:rsidR="001B21FD" w:rsidRPr="00326F31">
        <w:rPr>
          <w:rFonts w:asciiTheme="majorHAnsi" w:hAnsiTheme="majorHAnsi"/>
          <w:b/>
          <w:sz w:val="20"/>
          <w:szCs w:val="20"/>
        </w:rPr>
        <w:t>’s</w:t>
      </w:r>
      <w:r w:rsidRPr="00326F31">
        <w:rPr>
          <w:rFonts w:asciiTheme="majorHAnsi" w:hAnsiTheme="majorHAnsi"/>
          <w:b/>
          <w:sz w:val="20"/>
          <w:szCs w:val="20"/>
        </w:rPr>
        <w:t xml:space="preserve"> investigation regarding complaints of discrimination</w:t>
      </w:r>
    </w:p>
    <w:p w14:paraId="43E92F14" w14:textId="77777777" w:rsidR="004B7532" w:rsidRPr="00326F31" w:rsidRDefault="004B7532" w:rsidP="00326F31">
      <w:pPr>
        <w:jc w:val="both"/>
        <w:rPr>
          <w:rFonts w:asciiTheme="majorHAnsi" w:hAnsiTheme="majorHAnsi"/>
          <w:sz w:val="20"/>
          <w:szCs w:val="20"/>
        </w:rPr>
      </w:pPr>
    </w:p>
    <w:p w14:paraId="1191A867" w14:textId="4A225D7E" w:rsidR="004B7532" w:rsidRPr="00326F31" w:rsidRDefault="004B7532"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Considering the allegations described in various media about political discrimination and d</w:t>
      </w:r>
      <w:r w:rsidR="00251A00">
        <w:rPr>
          <w:rFonts w:asciiTheme="majorHAnsi" w:hAnsiTheme="majorHAnsi"/>
          <w:sz w:val="20"/>
          <w:szCs w:val="20"/>
        </w:rPr>
        <w:t>ismissals of public officials as an alleged</w:t>
      </w:r>
      <w:r w:rsidRPr="00326F31">
        <w:rPr>
          <w:rFonts w:asciiTheme="majorHAnsi" w:hAnsiTheme="majorHAnsi"/>
          <w:sz w:val="20"/>
          <w:szCs w:val="20"/>
        </w:rPr>
        <w:t xml:space="preserve"> retaliation for their appearance on the lists of signatories that requested the presidential recall referendum, the General Prosecutor's Office ordered Prosecutor 49 of the Caracas Metropolitan Area to open an investigation</w:t>
      </w:r>
      <w:r w:rsidRPr="00326F31">
        <w:rPr>
          <w:rFonts w:asciiTheme="majorHAnsi" w:hAnsiTheme="majorHAnsi"/>
          <w:sz w:val="20"/>
          <w:szCs w:val="20"/>
          <w:vertAlign w:val="superscript"/>
          <w:lang w:val="es-VE"/>
        </w:rPr>
        <w:footnoteReference w:id="55"/>
      </w:r>
      <w:r w:rsidRPr="00326F31">
        <w:rPr>
          <w:rFonts w:asciiTheme="majorHAnsi" w:hAnsiTheme="majorHAnsi"/>
          <w:sz w:val="20"/>
          <w:szCs w:val="20"/>
        </w:rPr>
        <w:t>. By statement of 27 April 2005, the Public Ministry reported that Prosecutor 49 of the Caracas Metropolitan Area began the "legal investigations to ascertain whether there were specific offenses that both officials and individuals may have incurred in with the use of the aforementioned lists". In the same statement he added that no rule "states that the lists of signatories cannot be spread and, on the contrary, one of the reasons for its distribution is, precisely, to prevent misuse of signatures that could harm the authenticity and transparency of the process"</w:t>
      </w:r>
      <w:r w:rsidRPr="00326F31">
        <w:rPr>
          <w:rFonts w:asciiTheme="majorHAnsi" w:hAnsiTheme="majorHAnsi"/>
          <w:sz w:val="20"/>
          <w:szCs w:val="20"/>
          <w:vertAlign w:val="superscript"/>
          <w:lang w:val="es-VE"/>
        </w:rPr>
        <w:footnoteReference w:id="56"/>
      </w:r>
      <w:r w:rsidRPr="00326F31">
        <w:rPr>
          <w:rFonts w:asciiTheme="majorHAnsi" w:hAnsiTheme="majorHAnsi"/>
          <w:sz w:val="20"/>
          <w:szCs w:val="20"/>
        </w:rPr>
        <w:t>. The Commission has no information on the results of that investigation.</w:t>
      </w:r>
    </w:p>
    <w:p w14:paraId="31C0606A" w14:textId="77777777" w:rsidR="001D568D" w:rsidRPr="00326F31" w:rsidRDefault="001D568D"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3C3FA138" w14:textId="0039A86F" w:rsidR="001D568D" w:rsidRPr="00326F31" w:rsidRDefault="00330AD6" w:rsidP="001020F4">
      <w:pPr>
        <w:pStyle w:val="ListParagraph"/>
        <w:numPr>
          <w:ilvl w:val="1"/>
          <w:numId w:val="55"/>
        </w:numPr>
        <w:tabs>
          <w:tab w:val="clear" w:pos="1800"/>
          <w:tab w:val="num" w:pos="1440"/>
        </w:tabs>
        <w:ind w:left="1080" w:hanging="270"/>
        <w:jc w:val="both"/>
        <w:rPr>
          <w:rFonts w:asciiTheme="majorHAnsi" w:hAnsiTheme="majorHAnsi"/>
          <w:b/>
          <w:sz w:val="20"/>
          <w:szCs w:val="20"/>
        </w:rPr>
      </w:pPr>
      <w:r w:rsidRPr="00326F31">
        <w:rPr>
          <w:rFonts w:asciiTheme="majorHAnsi" w:hAnsiTheme="majorHAnsi"/>
          <w:b/>
          <w:sz w:val="20"/>
          <w:szCs w:val="20"/>
        </w:rPr>
        <w:t xml:space="preserve">The end of the </w:t>
      </w:r>
      <w:r w:rsidR="001D568D" w:rsidRPr="00326F31">
        <w:rPr>
          <w:rFonts w:asciiTheme="majorHAnsi" w:hAnsiTheme="majorHAnsi"/>
          <w:b/>
          <w:sz w:val="20"/>
          <w:szCs w:val="20"/>
        </w:rPr>
        <w:t>“Tascón</w:t>
      </w:r>
      <w:r w:rsidRPr="00326F31">
        <w:rPr>
          <w:rFonts w:asciiTheme="majorHAnsi" w:hAnsiTheme="majorHAnsi"/>
          <w:b/>
          <w:sz w:val="20"/>
          <w:szCs w:val="20"/>
        </w:rPr>
        <w:t xml:space="preserve"> List” and the beginning of the “M</w:t>
      </w:r>
      <w:r w:rsidR="001D568D" w:rsidRPr="00326F31">
        <w:rPr>
          <w:rFonts w:asciiTheme="majorHAnsi" w:hAnsiTheme="majorHAnsi"/>
          <w:b/>
          <w:sz w:val="20"/>
          <w:szCs w:val="20"/>
        </w:rPr>
        <w:t>aisanta</w:t>
      </w:r>
      <w:r w:rsidRPr="00326F31">
        <w:rPr>
          <w:rFonts w:asciiTheme="majorHAnsi" w:hAnsiTheme="majorHAnsi"/>
          <w:b/>
          <w:sz w:val="20"/>
          <w:szCs w:val="20"/>
        </w:rPr>
        <w:t xml:space="preserve"> list</w:t>
      </w:r>
      <w:r w:rsidR="001D568D" w:rsidRPr="00326F31">
        <w:rPr>
          <w:rFonts w:asciiTheme="majorHAnsi" w:hAnsiTheme="majorHAnsi"/>
          <w:b/>
          <w:sz w:val="20"/>
          <w:szCs w:val="20"/>
        </w:rPr>
        <w:t>”</w:t>
      </w:r>
    </w:p>
    <w:p w14:paraId="7018AB98" w14:textId="77777777" w:rsidR="001D568D" w:rsidRPr="00326F31" w:rsidRDefault="001D568D"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794B343D" w14:textId="447DBF29" w:rsidR="004C57C1" w:rsidRPr="00326F31" w:rsidRDefault="004C57C1"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VE"/>
        </w:rPr>
      </w:pPr>
      <w:r w:rsidRPr="00326F31">
        <w:rPr>
          <w:rFonts w:asciiTheme="majorHAnsi" w:hAnsiTheme="majorHAnsi"/>
          <w:sz w:val="20"/>
          <w:szCs w:val="20"/>
        </w:rPr>
        <w:t>According to information received by the Commission on April 15, 2005 the then President of the Republic Hugo Chávez, referring to the Tascón List stated that "</w:t>
      </w:r>
      <w:r w:rsidR="00A800F5" w:rsidRPr="00326F31">
        <w:rPr>
          <w:rFonts w:asciiTheme="majorHAnsi" w:hAnsiTheme="majorHAnsi"/>
          <w:color w:val="000000"/>
          <w:sz w:val="20"/>
          <w:szCs w:val="20"/>
        </w:rPr>
        <w:t xml:space="preserve">this episode is behind us now. If anyone resorts to the list in order to make a personnel decision about someone, he or she is carrying the past into the present and perpetuating situations that we have moved beyond. […] The famous list certainly played an important role at a given point in time, but that’s over now. We call upon all our citizens to build bridges. I say this because some letters have been sent to me that lead me to believe that in some quarters the Tascón list is still being used to determine whether a person will or will not work. </w:t>
      </w:r>
      <w:r w:rsidR="00A800F5" w:rsidRPr="00326F31">
        <w:rPr>
          <w:rFonts w:asciiTheme="majorHAnsi" w:hAnsiTheme="majorHAnsi"/>
          <w:color w:val="000000"/>
          <w:sz w:val="20"/>
          <w:szCs w:val="20"/>
          <w:lang w:val="es-DO"/>
        </w:rPr>
        <w:t>Let’s bury the Tascón lis</w:t>
      </w:r>
      <w:r w:rsidR="00A800F5" w:rsidRPr="00326F31">
        <w:rPr>
          <w:rFonts w:asciiTheme="majorHAnsi" w:hAnsiTheme="majorHAnsi"/>
          <w:sz w:val="20"/>
          <w:szCs w:val="20"/>
          <w:lang w:val="es-DO"/>
        </w:rPr>
        <w:t>t”</w:t>
      </w:r>
      <w:r w:rsidRPr="00326F31">
        <w:rPr>
          <w:rStyle w:val="FootnoteReference"/>
          <w:rFonts w:asciiTheme="majorHAnsi" w:hAnsiTheme="majorHAnsi"/>
          <w:sz w:val="20"/>
          <w:szCs w:val="20"/>
          <w:lang w:val="es-VE"/>
        </w:rPr>
        <w:footnoteReference w:id="57"/>
      </w:r>
      <w:r w:rsidRPr="00326F31">
        <w:rPr>
          <w:rFonts w:asciiTheme="majorHAnsi" w:hAnsiTheme="majorHAnsi"/>
          <w:sz w:val="20"/>
          <w:szCs w:val="20"/>
          <w:lang w:val="es-DO"/>
        </w:rPr>
        <w:t>.</w:t>
      </w:r>
    </w:p>
    <w:p w14:paraId="364B1401" w14:textId="77777777" w:rsidR="004C57C1" w:rsidRPr="00326F31" w:rsidRDefault="004C57C1"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DO"/>
        </w:rPr>
      </w:pPr>
    </w:p>
    <w:p w14:paraId="26A73129" w14:textId="47B920C5" w:rsidR="00F90CE4" w:rsidRPr="00326F31" w:rsidRDefault="00A800F5"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olor w:val="000000"/>
          <w:sz w:val="20"/>
          <w:szCs w:val="20"/>
          <w:bdr w:val="none" w:sz="0" w:space="0" w:color="auto"/>
        </w:rPr>
      </w:pPr>
      <w:r w:rsidRPr="00326F31">
        <w:rPr>
          <w:rFonts w:asciiTheme="majorHAnsi" w:hAnsiTheme="majorHAnsi"/>
          <w:sz w:val="20"/>
          <w:szCs w:val="20"/>
        </w:rPr>
        <w:t xml:space="preserve">In its 2009 report on Democracy and Human Rights in Venezuela, the IACHR </w:t>
      </w:r>
      <w:r w:rsidR="00251A00">
        <w:rPr>
          <w:rFonts w:asciiTheme="majorHAnsi" w:hAnsiTheme="majorHAnsi"/>
          <w:sz w:val="20"/>
          <w:szCs w:val="20"/>
        </w:rPr>
        <w:t xml:space="preserve">took </w:t>
      </w:r>
      <w:r w:rsidR="00251A00">
        <w:rPr>
          <w:rFonts w:asciiTheme="majorHAnsi" w:eastAsia="Times New Roman" w:hAnsiTheme="majorHAnsi"/>
          <w:color w:val="000000"/>
          <w:sz w:val="20"/>
          <w:szCs w:val="20"/>
          <w:bdr w:val="none" w:sz="0" w:space="0" w:color="auto"/>
        </w:rPr>
        <w:t>note</w:t>
      </w:r>
      <w:r w:rsidR="00A65F7F">
        <w:rPr>
          <w:rFonts w:asciiTheme="majorHAnsi" w:eastAsia="Times New Roman" w:hAnsiTheme="majorHAnsi"/>
          <w:color w:val="000000"/>
          <w:sz w:val="20"/>
          <w:szCs w:val="20"/>
          <w:bdr w:val="none" w:sz="0" w:space="0" w:color="auto"/>
        </w:rPr>
        <w:t xml:space="preserve"> of</w:t>
      </w:r>
      <w:r w:rsidRPr="00326F31">
        <w:rPr>
          <w:rFonts w:asciiTheme="majorHAnsi" w:eastAsia="Times New Roman" w:hAnsiTheme="majorHAnsi"/>
          <w:color w:val="000000"/>
          <w:sz w:val="20"/>
          <w:szCs w:val="20"/>
          <w:bdr w:val="none" w:sz="0" w:space="0" w:color="auto"/>
        </w:rPr>
        <w:t xml:space="preserve"> the acknowledgement of President of the Republic that the list was used for political discrimination, to dismiss employees, or block applications for employment, among other things, and whereby the President called upon the regional authorities and their supporters to do away with and bury the so-called “Tascón li</w:t>
      </w:r>
      <w:r w:rsidR="00132419" w:rsidRPr="00326F31">
        <w:rPr>
          <w:rFonts w:asciiTheme="majorHAnsi" w:eastAsia="Times New Roman" w:hAnsiTheme="majorHAnsi"/>
          <w:color w:val="000000"/>
          <w:sz w:val="20"/>
          <w:szCs w:val="20"/>
          <w:bdr w:val="none" w:sz="0" w:space="0" w:color="auto"/>
        </w:rPr>
        <w:t>st</w:t>
      </w:r>
      <w:r w:rsidRPr="00326F31">
        <w:rPr>
          <w:rFonts w:asciiTheme="majorHAnsi" w:eastAsia="Times New Roman" w:hAnsiTheme="majorHAnsi"/>
          <w:color w:val="000000"/>
          <w:sz w:val="20"/>
          <w:szCs w:val="20"/>
          <w:bdr w:val="none" w:sz="0" w:space="0" w:color="auto"/>
        </w:rPr>
        <w:t>”</w:t>
      </w:r>
      <w:r w:rsidR="00132419" w:rsidRPr="00326F31">
        <w:rPr>
          <w:rStyle w:val="FootnoteReference"/>
          <w:rFonts w:asciiTheme="majorHAnsi" w:eastAsia="Times New Roman" w:hAnsiTheme="majorHAnsi"/>
          <w:color w:val="000000"/>
          <w:sz w:val="20"/>
          <w:szCs w:val="20"/>
          <w:bdr w:val="none" w:sz="0" w:space="0" w:color="auto"/>
          <w:lang w:val="es-AR"/>
        </w:rPr>
        <w:footnoteReference w:id="58"/>
      </w:r>
      <w:r w:rsidR="00132419" w:rsidRPr="00326F31">
        <w:rPr>
          <w:rFonts w:asciiTheme="majorHAnsi" w:eastAsia="Times New Roman" w:hAnsiTheme="majorHAnsi"/>
          <w:color w:val="000000"/>
          <w:sz w:val="20"/>
          <w:szCs w:val="20"/>
          <w:bdr w:val="none" w:sz="0" w:space="0" w:color="auto"/>
        </w:rPr>
        <w:t>.</w:t>
      </w:r>
      <w:r w:rsidRPr="00326F31">
        <w:rPr>
          <w:rFonts w:asciiTheme="majorHAnsi" w:eastAsia="Times New Roman" w:hAnsiTheme="majorHAnsi"/>
          <w:color w:val="000000"/>
          <w:sz w:val="20"/>
          <w:szCs w:val="20"/>
          <w:bdr w:val="none" w:sz="0" w:space="0" w:color="auto"/>
        </w:rPr>
        <w:t xml:space="preserve"> However, </w:t>
      </w:r>
      <w:r w:rsidRPr="00326F31">
        <w:rPr>
          <w:rFonts w:asciiTheme="majorHAnsi" w:eastAsia="Times New Roman" w:hAnsiTheme="majorHAnsi"/>
          <w:color w:val="000000"/>
          <w:sz w:val="20"/>
          <w:szCs w:val="20"/>
          <w:bdr w:val="none" w:sz="0" w:space="0" w:color="auto"/>
        </w:rPr>
        <w:lastRenderedPageBreak/>
        <w:t xml:space="preserve">the Commission also noted that according to </w:t>
      </w:r>
      <w:r w:rsidRPr="00326F31">
        <w:rPr>
          <w:rFonts w:asciiTheme="majorHAnsi" w:hAnsiTheme="majorHAnsi"/>
          <w:color w:val="000000"/>
          <w:sz w:val="20"/>
          <w:szCs w:val="20"/>
        </w:rPr>
        <w:t xml:space="preserve">reports that </w:t>
      </w:r>
      <w:r w:rsidRPr="00326F31">
        <w:rPr>
          <w:rFonts w:asciiTheme="majorHAnsi" w:eastAsia="Times New Roman" w:hAnsiTheme="majorHAnsi"/>
          <w:color w:val="000000"/>
          <w:sz w:val="20"/>
          <w:szCs w:val="20"/>
          <w:bdr w:val="none" w:sz="0" w:space="0" w:color="auto"/>
        </w:rPr>
        <w:t>the list was still being used at the public and private level, as a tool to discriminate against hundreds of persons on political grounds</w:t>
      </w:r>
      <w:r w:rsidRPr="00326F31">
        <w:rPr>
          <w:rFonts w:asciiTheme="majorHAnsi" w:hAnsiTheme="majorHAnsi"/>
          <w:color w:val="000000"/>
          <w:sz w:val="20"/>
          <w:szCs w:val="20"/>
        </w:rPr>
        <w:t>, and showed concern in regards to information referring to an even more sophisticated tool that was created during the 2005 legislative elections, known as the “Maisanta list,” which includes not just the names of the persons who signed the presidential recall referendum petition, but also detailed information on the more than 12 million registered voters and their political preferences, the Commission considered that the creation of this list affects the guarantee of vote by secret ballot contained in Article 23 of the American Convention</w:t>
      </w:r>
      <w:r w:rsidR="00F90CE4" w:rsidRPr="00326F31">
        <w:rPr>
          <w:rStyle w:val="FootnoteReference"/>
          <w:rFonts w:asciiTheme="majorHAnsi" w:eastAsia="Times New Roman" w:hAnsiTheme="majorHAnsi"/>
          <w:color w:val="000000"/>
          <w:sz w:val="20"/>
          <w:szCs w:val="20"/>
          <w:bdr w:val="none" w:sz="0" w:space="0" w:color="auto"/>
          <w:lang w:val="es-AR"/>
        </w:rPr>
        <w:footnoteReference w:id="59"/>
      </w:r>
      <w:r w:rsidR="00F90CE4" w:rsidRPr="00326F31">
        <w:rPr>
          <w:rFonts w:asciiTheme="majorHAnsi" w:eastAsia="Times New Roman" w:hAnsiTheme="majorHAnsi"/>
          <w:color w:val="000000"/>
          <w:sz w:val="20"/>
          <w:szCs w:val="20"/>
          <w:bdr w:val="none" w:sz="0" w:space="0" w:color="auto"/>
        </w:rPr>
        <w:t xml:space="preserve">. </w:t>
      </w:r>
    </w:p>
    <w:p w14:paraId="7715BFF7" w14:textId="77777777" w:rsidR="00F90CE4" w:rsidRPr="00326F31" w:rsidRDefault="00F90CE4" w:rsidP="00326F31">
      <w:pPr>
        <w:jc w:val="both"/>
        <w:rPr>
          <w:rFonts w:asciiTheme="majorHAnsi" w:hAnsiTheme="majorHAnsi"/>
          <w:sz w:val="20"/>
          <w:szCs w:val="20"/>
        </w:rPr>
      </w:pPr>
    </w:p>
    <w:p w14:paraId="18727147" w14:textId="09E61229" w:rsidR="00E40449" w:rsidRPr="00326F31" w:rsidRDefault="003530C9" w:rsidP="00A65F7F">
      <w:pPr>
        <w:pStyle w:val="Heading2"/>
        <w:numPr>
          <w:ilvl w:val="0"/>
          <w:numId w:val="60"/>
        </w:numPr>
        <w:ind w:left="1080" w:hanging="360"/>
        <w:rPr>
          <w:lang w:val="en-US"/>
        </w:rPr>
      </w:pPr>
      <w:bookmarkStart w:id="14" w:name="_Toc432596981"/>
      <w:bookmarkStart w:id="15" w:name="_Toc433311132"/>
      <w:r w:rsidRPr="00326F31">
        <w:rPr>
          <w:lang w:val="en-US"/>
        </w:rPr>
        <w:t xml:space="preserve">The </w:t>
      </w:r>
      <w:r w:rsidR="00E75F15">
        <w:rPr>
          <w:lang w:val="en-US"/>
        </w:rPr>
        <w:t>work</w:t>
      </w:r>
      <w:r w:rsidRPr="00326F31">
        <w:rPr>
          <w:lang w:val="en-US"/>
        </w:rPr>
        <w:t xml:space="preserve"> relationship and termination of contracts of</w:t>
      </w:r>
      <w:r w:rsidR="00FA08DD" w:rsidRPr="00326F31">
        <w:rPr>
          <w:lang w:val="en-US"/>
        </w:rPr>
        <w:t xml:space="preserve"> Rocío San Mi</w:t>
      </w:r>
      <w:r w:rsidRPr="00326F31">
        <w:rPr>
          <w:lang w:val="en-US"/>
        </w:rPr>
        <w:t>guel Sosa, Magally Chang Girón, and</w:t>
      </w:r>
      <w:r w:rsidR="00FA08DD" w:rsidRPr="00326F31">
        <w:rPr>
          <w:lang w:val="en-US"/>
        </w:rPr>
        <w:t xml:space="preserve"> Thais Coromoto Peña</w:t>
      </w:r>
      <w:bookmarkEnd w:id="14"/>
      <w:bookmarkEnd w:id="15"/>
      <w:r w:rsidR="00FA08DD" w:rsidRPr="00326F31">
        <w:rPr>
          <w:lang w:val="en-US"/>
        </w:rPr>
        <w:t xml:space="preserve"> </w:t>
      </w:r>
    </w:p>
    <w:p w14:paraId="77AFB137" w14:textId="77777777" w:rsidR="00543123" w:rsidRPr="00326F31" w:rsidRDefault="00543123"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310F05EA" w14:textId="314CBF72" w:rsidR="00543123" w:rsidRPr="00326F31" w:rsidRDefault="00543123"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The three alleged victims in this case, Rocío San Miguel Sosa, Magally Chang Girón</w:t>
      </w:r>
      <w:r w:rsidR="007A5CA0">
        <w:rPr>
          <w:rFonts w:asciiTheme="majorHAnsi" w:hAnsiTheme="majorHAnsi"/>
          <w:sz w:val="20"/>
          <w:szCs w:val="20"/>
        </w:rPr>
        <w:t>,</w:t>
      </w:r>
      <w:r w:rsidRPr="00326F31">
        <w:rPr>
          <w:rFonts w:asciiTheme="majorHAnsi" w:hAnsiTheme="majorHAnsi"/>
          <w:sz w:val="20"/>
          <w:szCs w:val="20"/>
        </w:rPr>
        <w:t xml:space="preserve"> and Thais Coromoto Peña, were working for the National Border Council under a professional services contract. According to a report by the Office of Analysis and Legal Assessment of the Vice President, the use of such contracts without guarantees of stability common to permanent officials, was due to the lack of approval of the Organic Law on Borders, which would create an agency to direct the State border affairs and allow the stability of its officials</w:t>
      </w:r>
      <w:r w:rsidRPr="00326F31">
        <w:rPr>
          <w:rStyle w:val="FootnoteReference"/>
          <w:rFonts w:asciiTheme="majorHAnsi" w:hAnsiTheme="majorHAnsi"/>
          <w:sz w:val="20"/>
          <w:szCs w:val="20"/>
          <w:lang w:val="es-ES_tradnl"/>
        </w:rPr>
        <w:footnoteReference w:id="60"/>
      </w:r>
      <w:r w:rsidRPr="00326F31">
        <w:rPr>
          <w:rFonts w:asciiTheme="majorHAnsi" w:hAnsiTheme="majorHAnsi"/>
          <w:sz w:val="20"/>
          <w:szCs w:val="20"/>
        </w:rPr>
        <w:t>.</w:t>
      </w:r>
    </w:p>
    <w:p w14:paraId="65C56154" w14:textId="77777777" w:rsidR="00F63367" w:rsidRPr="00326F31" w:rsidRDefault="00F63367" w:rsidP="00326F31">
      <w:pPr>
        <w:pStyle w:val="ListParagraph"/>
        <w:jc w:val="both"/>
        <w:rPr>
          <w:rFonts w:asciiTheme="majorHAnsi" w:hAnsiTheme="majorHAnsi"/>
          <w:sz w:val="20"/>
          <w:szCs w:val="20"/>
        </w:rPr>
      </w:pPr>
    </w:p>
    <w:p w14:paraId="5DA05678" w14:textId="35D3F867" w:rsidR="00F63367" w:rsidRPr="00326F31" w:rsidRDefault="00F63367"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Rocío San Miguel Sosa began working as a legal adviser at the National Border Council in July 1996 and continued through the renewal of her service contract</w:t>
      </w:r>
      <w:r w:rsidRPr="00326F31">
        <w:rPr>
          <w:rStyle w:val="FootnoteReference"/>
          <w:rFonts w:asciiTheme="majorHAnsi" w:hAnsiTheme="majorHAnsi"/>
          <w:sz w:val="20"/>
          <w:szCs w:val="20"/>
          <w:lang w:val="es-VE"/>
        </w:rPr>
        <w:footnoteReference w:id="61"/>
      </w:r>
      <w:r w:rsidRPr="00326F31">
        <w:rPr>
          <w:rFonts w:asciiTheme="majorHAnsi" w:hAnsiTheme="majorHAnsi"/>
          <w:sz w:val="20"/>
          <w:szCs w:val="20"/>
        </w:rPr>
        <w:t xml:space="preserve">, working at the institution until the end of May 2004. Her last contract was </w:t>
      </w:r>
      <w:r w:rsidR="00140ED0" w:rsidRPr="00326F31">
        <w:rPr>
          <w:rFonts w:asciiTheme="majorHAnsi" w:hAnsiTheme="majorHAnsi"/>
          <w:sz w:val="20"/>
          <w:szCs w:val="20"/>
        </w:rPr>
        <w:t>elaborated</w:t>
      </w:r>
      <w:r w:rsidRPr="00326F31">
        <w:rPr>
          <w:rFonts w:asciiTheme="majorHAnsi" w:hAnsiTheme="majorHAnsi"/>
          <w:sz w:val="20"/>
          <w:szCs w:val="20"/>
        </w:rPr>
        <w:t xml:space="preserve"> for a period of one year from January 1 to December 31, 2004</w:t>
      </w:r>
      <w:r w:rsidRPr="00326F31">
        <w:rPr>
          <w:rFonts w:asciiTheme="majorHAnsi" w:hAnsiTheme="majorHAnsi"/>
          <w:sz w:val="20"/>
          <w:szCs w:val="20"/>
          <w:vertAlign w:val="superscript"/>
          <w:lang w:val="es-VE"/>
        </w:rPr>
        <w:footnoteReference w:id="62"/>
      </w:r>
      <w:r w:rsidRPr="00326F31">
        <w:rPr>
          <w:rFonts w:asciiTheme="majorHAnsi" w:hAnsiTheme="majorHAnsi"/>
          <w:sz w:val="20"/>
          <w:szCs w:val="20"/>
        </w:rPr>
        <w:t>.</w:t>
      </w:r>
    </w:p>
    <w:p w14:paraId="2D2F83A8" w14:textId="77777777" w:rsidR="0084792D" w:rsidRPr="00326F31" w:rsidRDefault="0084792D" w:rsidP="00326F31">
      <w:pPr>
        <w:jc w:val="both"/>
        <w:rPr>
          <w:rFonts w:asciiTheme="majorHAnsi" w:hAnsiTheme="majorHAnsi"/>
          <w:sz w:val="20"/>
          <w:szCs w:val="20"/>
        </w:rPr>
      </w:pPr>
    </w:p>
    <w:p w14:paraId="1FFF12B9" w14:textId="2250BDB0" w:rsidR="00867189" w:rsidRPr="00326F31" w:rsidRDefault="00867189"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Magally Chang Girón began her work as Staff Assistant and then as Staff Coordinator of the National Border Council in May 1997, holding monthly, quarterly and annual contracts with the institution to continue providing professional services to the institution</w:t>
      </w:r>
      <w:r w:rsidR="0084792D" w:rsidRPr="00326F31">
        <w:rPr>
          <w:rStyle w:val="FootnoteReference"/>
          <w:rFonts w:asciiTheme="majorHAnsi" w:hAnsiTheme="majorHAnsi"/>
          <w:sz w:val="20"/>
          <w:szCs w:val="20"/>
          <w:lang w:val="es-VE"/>
        </w:rPr>
        <w:footnoteReference w:id="63"/>
      </w:r>
      <w:r w:rsidRPr="00326F31">
        <w:rPr>
          <w:rFonts w:asciiTheme="majorHAnsi" w:hAnsiTheme="majorHAnsi"/>
          <w:sz w:val="20"/>
          <w:szCs w:val="20"/>
        </w:rPr>
        <w:t>. Her last contract was elaborated for the period of one year from January 1 to December 31, 2004</w:t>
      </w:r>
      <w:r w:rsidRPr="00326F31">
        <w:rPr>
          <w:rStyle w:val="FootnoteReference"/>
          <w:rFonts w:asciiTheme="majorHAnsi" w:hAnsiTheme="majorHAnsi"/>
          <w:sz w:val="20"/>
          <w:szCs w:val="20"/>
          <w:lang w:val="es-ES_tradnl"/>
        </w:rPr>
        <w:footnoteReference w:id="64"/>
      </w:r>
      <w:r w:rsidRPr="00326F31">
        <w:rPr>
          <w:rFonts w:asciiTheme="majorHAnsi" w:hAnsiTheme="majorHAnsi"/>
          <w:sz w:val="20"/>
          <w:szCs w:val="20"/>
        </w:rPr>
        <w:t xml:space="preserve">. </w:t>
      </w:r>
    </w:p>
    <w:p w14:paraId="174B962F" w14:textId="77777777" w:rsidR="00B56D14" w:rsidRPr="00326F31" w:rsidRDefault="00B56D14" w:rsidP="00326F31">
      <w:pPr>
        <w:jc w:val="both"/>
        <w:rPr>
          <w:rFonts w:asciiTheme="majorHAnsi" w:hAnsiTheme="majorHAnsi"/>
          <w:sz w:val="20"/>
          <w:szCs w:val="20"/>
        </w:rPr>
      </w:pPr>
    </w:p>
    <w:p w14:paraId="686528D8" w14:textId="64832C69" w:rsidR="00140ED0" w:rsidRPr="00326F31" w:rsidRDefault="00140ED0"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Thais Coromoto Peña served as Public Relations Executive or Secretary of the National Border Council between April 1 2000 and March 12, 2004, holding several annual contracts with said institution</w:t>
      </w:r>
      <w:r w:rsidRPr="00326F31">
        <w:rPr>
          <w:rStyle w:val="FootnoteReference"/>
          <w:rFonts w:asciiTheme="majorHAnsi" w:hAnsiTheme="majorHAnsi"/>
          <w:sz w:val="20"/>
          <w:szCs w:val="20"/>
          <w:lang w:val="es-VE"/>
        </w:rPr>
        <w:footnoteReference w:id="65"/>
      </w:r>
      <w:r w:rsidRPr="00326F31">
        <w:rPr>
          <w:rFonts w:asciiTheme="majorHAnsi" w:hAnsiTheme="majorHAnsi"/>
          <w:sz w:val="20"/>
          <w:szCs w:val="20"/>
        </w:rPr>
        <w:t>. Her last contract was elaborated for a period of one year from January 1 to December 31, 2004</w:t>
      </w:r>
      <w:r w:rsidRPr="00326F31">
        <w:rPr>
          <w:rStyle w:val="FootnoteReference"/>
          <w:rFonts w:asciiTheme="majorHAnsi" w:hAnsiTheme="majorHAnsi"/>
          <w:sz w:val="20"/>
          <w:szCs w:val="20"/>
          <w:lang w:val="es-ES_tradnl"/>
        </w:rPr>
        <w:footnoteReference w:id="66"/>
      </w:r>
      <w:r w:rsidRPr="00326F31">
        <w:rPr>
          <w:rFonts w:asciiTheme="majorHAnsi" w:hAnsiTheme="majorHAnsi"/>
          <w:sz w:val="20"/>
          <w:szCs w:val="20"/>
        </w:rPr>
        <w:t>.</w:t>
      </w:r>
    </w:p>
    <w:p w14:paraId="2825237D" w14:textId="77777777" w:rsidR="00285069" w:rsidRPr="00326F31" w:rsidRDefault="00285069" w:rsidP="00326F31">
      <w:pPr>
        <w:pStyle w:val="ListParagraph"/>
        <w:jc w:val="both"/>
        <w:rPr>
          <w:rFonts w:asciiTheme="majorHAnsi" w:hAnsiTheme="majorHAnsi"/>
          <w:sz w:val="20"/>
          <w:szCs w:val="20"/>
        </w:rPr>
      </w:pPr>
    </w:p>
    <w:p w14:paraId="7ADCD6AC" w14:textId="0496CC38" w:rsidR="001C03FB" w:rsidRPr="00326F31" w:rsidRDefault="001C03FB"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In the months of November and December 2003, the three alleged victims chose to participate in the "</w:t>
      </w:r>
      <w:r w:rsidRPr="00326F31">
        <w:rPr>
          <w:rFonts w:asciiTheme="majorHAnsi" w:hAnsiTheme="majorHAnsi"/>
          <w:i/>
          <w:sz w:val="20"/>
          <w:szCs w:val="20"/>
        </w:rPr>
        <w:t>reafirmazo</w:t>
      </w:r>
      <w:r w:rsidRPr="00326F31">
        <w:rPr>
          <w:rFonts w:asciiTheme="majorHAnsi" w:hAnsiTheme="majorHAnsi"/>
          <w:sz w:val="20"/>
          <w:szCs w:val="20"/>
        </w:rPr>
        <w:t>" and signed the recall referendum petition for the then President of the Republic Hugo Chávez Frías</w:t>
      </w:r>
      <w:r w:rsidRPr="00326F31">
        <w:rPr>
          <w:rStyle w:val="FootnoteReference"/>
          <w:rFonts w:asciiTheme="majorHAnsi" w:hAnsiTheme="majorHAnsi"/>
          <w:sz w:val="20"/>
          <w:szCs w:val="20"/>
          <w:lang w:val="es-ES_tradnl"/>
        </w:rPr>
        <w:footnoteReference w:id="67"/>
      </w:r>
      <w:r w:rsidRPr="00326F31">
        <w:rPr>
          <w:rFonts w:asciiTheme="majorHAnsi" w:hAnsiTheme="majorHAnsi"/>
          <w:sz w:val="20"/>
          <w:szCs w:val="20"/>
        </w:rPr>
        <w:t>. Also Mr. Jorge Guerra signed the request for a referendum, who worked as a photographer of the National Border Council</w:t>
      </w:r>
      <w:r w:rsidRPr="00326F31">
        <w:rPr>
          <w:rStyle w:val="FootnoteReference"/>
          <w:rFonts w:asciiTheme="majorHAnsi" w:hAnsiTheme="majorHAnsi"/>
          <w:sz w:val="20"/>
          <w:szCs w:val="20"/>
          <w:lang w:val="es-ES_tradnl"/>
        </w:rPr>
        <w:footnoteReference w:id="68"/>
      </w:r>
      <w:r w:rsidRPr="00326F31">
        <w:rPr>
          <w:rFonts w:asciiTheme="majorHAnsi" w:hAnsiTheme="majorHAnsi"/>
          <w:sz w:val="20"/>
          <w:szCs w:val="20"/>
        </w:rPr>
        <w:t>.</w:t>
      </w:r>
    </w:p>
    <w:p w14:paraId="5B4C040F" w14:textId="77777777" w:rsidR="00D86219" w:rsidRPr="00326F31" w:rsidRDefault="00D86219"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231F9039" w14:textId="242B02C7" w:rsidR="00D86219" w:rsidRPr="00A149EA" w:rsidRDefault="00D86219" w:rsidP="00A149EA">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By communication dated March 12, 2004</w:t>
      </w:r>
      <w:r w:rsidRPr="00326F31">
        <w:rPr>
          <w:rStyle w:val="FootnoteReference"/>
          <w:rFonts w:asciiTheme="majorHAnsi" w:hAnsiTheme="majorHAnsi"/>
          <w:sz w:val="20"/>
          <w:szCs w:val="20"/>
          <w:lang w:val="es-VE"/>
        </w:rPr>
        <w:footnoteReference w:id="69"/>
      </w:r>
      <w:r w:rsidRPr="00326F31">
        <w:rPr>
          <w:rFonts w:asciiTheme="majorHAnsi" w:hAnsiTheme="majorHAnsi"/>
          <w:sz w:val="20"/>
          <w:szCs w:val="20"/>
        </w:rPr>
        <w:t>, the President of the National Border Council communicated to Rocío San Miguel Sosa, Magally Chang Girón, Thais Coromoto Peña and Jorge Guerra, his decision to terminate their contracts as of April 1 2004</w:t>
      </w:r>
      <w:r w:rsidRPr="00326F31">
        <w:rPr>
          <w:rFonts w:asciiTheme="majorHAnsi" w:hAnsiTheme="majorHAnsi"/>
          <w:sz w:val="20"/>
          <w:szCs w:val="20"/>
          <w:vertAlign w:val="superscript"/>
          <w:lang w:val="es-VE"/>
        </w:rPr>
        <w:footnoteReference w:id="70"/>
      </w:r>
      <w:r w:rsidRPr="00326F31">
        <w:rPr>
          <w:rFonts w:asciiTheme="majorHAnsi" w:hAnsiTheme="majorHAnsi"/>
          <w:sz w:val="20"/>
          <w:szCs w:val="20"/>
        </w:rPr>
        <w:t>. In the case of Jorge Guer</w:t>
      </w:r>
      <w:r w:rsidR="00D52A23" w:rsidRPr="00326F31">
        <w:rPr>
          <w:rFonts w:asciiTheme="majorHAnsi" w:hAnsiTheme="majorHAnsi"/>
          <w:sz w:val="20"/>
          <w:szCs w:val="20"/>
        </w:rPr>
        <w:t>ra</w:t>
      </w:r>
      <w:r w:rsidR="00340A13" w:rsidRPr="00326F31">
        <w:rPr>
          <w:rFonts w:asciiTheme="majorHAnsi" w:hAnsiTheme="majorHAnsi"/>
          <w:sz w:val="20"/>
          <w:szCs w:val="20"/>
        </w:rPr>
        <w:t xml:space="preserve"> the Commission has </w:t>
      </w:r>
      <w:r w:rsidRPr="00326F31">
        <w:rPr>
          <w:rFonts w:asciiTheme="majorHAnsi" w:hAnsiTheme="majorHAnsi"/>
          <w:sz w:val="20"/>
          <w:szCs w:val="20"/>
        </w:rPr>
        <w:t>information</w:t>
      </w:r>
      <w:r w:rsidR="00340A13" w:rsidRPr="00326F31">
        <w:rPr>
          <w:rFonts w:asciiTheme="majorHAnsi" w:hAnsiTheme="majorHAnsi"/>
          <w:sz w:val="20"/>
          <w:szCs w:val="20"/>
        </w:rPr>
        <w:t xml:space="preserve"> that indicates that he was not the one who sign</w:t>
      </w:r>
      <w:r w:rsidR="00A149EA">
        <w:rPr>
          <w:rFonts w:asciiTheme="majorHAnsi" w:hAnsiTheme="majorHAnsi"/>
          <w:sz w:val="20"/>
          <w:szCs w:val="20"/>
        </w:rPr>
        <w:t>ed [the petition], but that "the old ID he had in his house had been manipulated by a woman who lives there to sign in his name</w:t>
      </w:r>
      <w:r w:rsidRPr="00A149EA">
        <w:rPr>
          <w:rFonts w:asciiTheme="majorHAnsi" w:hAnsiTheme="majorHAnsi"/>
          <w:sz w:val="20"/>
          <w:szCs w:val="20"/>
        </w:rPr>
        <w:t>"</w:t>
      </w:r>
      <w:r w:rsidR="00340A13" w:rsidRPr="00326F31">
        <w:rPr>
          <w:rStyle w:val="FootnoteReference"/>
          <w:rFonts w:asciiTheme="majorHAnsi" w:hAnsiTheme="majorHAnsi"/>
          <w:sz w:val="20"/>
          <w:szCs w:val="20"/>
          <w:lang w:val="es-ES_tradnl"/>
        </w:rPr>
        <w:footnoteReference w:id="71"/>
      </w:r>
      <w:r w:rsidR="00340A13" w:rsidRPr="00A149EA">
        <w:rPr>
          <w:rFonts w:asciiTheme="majorHAnsi" w:hAnsiTheme="majorHAnsi"/>
          <w:sz w:val="20"/>
          <w:szCs w:val="20"/>
        </w:rPr>
        <w:t>.</w:t>
      </w:r>
      <w:r w:rsidR="005E6C10" w:rsidRPr="00A149EA">
        <w:rPr>
          <w:rFonts w:asciiTheme="majorHAnsi" w:hAnsiTheme="majorHAnsi"/>
          <w:sz w:val="20"/>
          <w:szCs w:val="20"/>
        </w:rPr>
        <w:t xml:space="preserve"> </w:t>
      </w:r>
      <w:r w:rsidRPr="00A149EA">
        <w:rPr>
          <w:rFonts w:asciiTheme="majorHAnsi" w:hAnsiTheme="majorHAnsi"/>
          <w:sz w:val="20"/>
          <w:szCs w:val="20"/>
        </w:rPr>
        <w:t xml:space="preserve">He </w:t>
      </w:r>
      <w:r w:rsidR="00340A13" w:rsidRPr="00A149EA">
        <w:rPr>
          <w:rFonts w:asciiTheme="majorHAnsi" w:hAnsiTheme="majorHAnsi"/>
          <w:sz w:val="20"/>
          <w:szCs w:val="20"/>
        </w:rPr>
        <w:t xml:space="preserve">had </w:t>
      </w:r>
      <w:r w:rsidRPr="00A149EA">
        <w:rPr>
          <w:rFonts w:asciiTheme="majorHAnsi" w:hAnsiTheme="majorHAnsi"/>
          <w:sz w:val="20"/>
          <w:szCs w:val="20"/>
        </w:rPr>
        <w:t xml:space="preserve">also indicated that </w:t>
      </w:r>
      <w:r w:rsidR="00340A13" w:rsidRPr="00A149EA">
        <w:rPr>
          <w:rFonts w:asciiTheme="majorHAnsi" w:hAnsiTheme="majorHAnsi"/>
          <w:sz w:val="20"/>
          <w:szCs w:val="20"/>
        </w:rPr>
        <w:t>he would disavow his signature i</w:t>
      </w:r>
      <w:r w:rsidRPr="00A149EA">
        <w:rPr>
          <w:rFonts w:asciiTheme="majorHAnsi" w:hAnsiTheme="majorHAnsi"/>
          <w:sz w:val="20"/>
          <w:szCs w:val="20"/>
        </w:rPr>
        <w:t xml:space="preserve">n the </w:t>
      </w:r>
      <w:r w:rsidR="00340A13" w:rsidRPr="00A149EA">
        <w:rPr>
          <w:rFonts w:asciiTheme="majorHAnsi" w:hAnsiTheme="majorHAnsi"/>
          <w:sz w:val="20"/>
          <w:szCs w:val="20"/>
        </w:rPr>
        <w:t>challenge</w:t>
      </w:r>
      <w:r w:rsidRPr="00A149EA">
        <w:rPr>
          <w:rFonts w:asciiTheme="majorHAnsi" w:hAnsiTheme="majorHAnsi"/>
          <w:sz w:val="20"/>
          <w:szCs w:val="20"/>
        </w:rPr>
        <w:t xml:space="preserve"> process</w:t>
      </w:r>
      <w:r w:rsidR="00340A13" w:rsidRPr="00326F31">
        <w:rPr>
          <w:rStyle w:val="FootnoteReference"/>
          <w:rFonts w:asciiTheme="majorHAnsi" w:hAnsiTheme="majorHAnsi"/>
          <w:sz w:val="20"/>
          <w:szCs w:val="20"/>
          <w:lang w:val="es-ES"/>
        </w:rPr>
        <w:footnoteReference w:id="72"/>
      </w:r>
      <w:r w:rsidR="00340A13" w:rsidRPr="00A149EA">
        <w:rPr>
          <w:rFonts w:asciiTheme="majorHAnsi" w:hAnsiTheme="majorHAnsi"/>
          <w:sz w:val="20"/>
          <w:szCs w:val="20"/>
        </w:rPr>
        <w:t>.</w:t>
      </w:r>
      <w:r w:rsidRPr="00A149EA">
        <w:rPr>
          <w:rFonts w:asciiTheme="majorHAnsi" w:hAnsiTheme="majorHAnsi"/>
          <w:sz w:val="20"/>
          <w:szCs w:val="20"/>
        </w:rPr>
        <w:t xml:space="preserve"> The State of Venezuela did not dispute</w:t>
      </w:r>
      <w:r w:rsidR="00340A13" w:rsidRPr="00A149EA">
        <w:rPr>
          <w:rFonts w:asciiTheme="majorHAnsi" w:hAnsiTheme="majorHAnsi"/>
          <w:sz w:val="20"/>
          <w:szCs w:val="20"/>
        </w:rPr>
        <w:t xml:space="preserve"> the facts</w:t>
      </w:r>
      <w:r w:rsidRPr="00A149EA">
        <w:rPr>
          <w:rFonts w:asciiTheme="majorHAnsi" w:hAnsiTheme="majorHAnsi"/>
          <w:sz w:val="20"/>
          <w:szCs w:val="20"/>
        </w:rPr>
        <w:t xml:space="preserve"> that Mr. Jorge Guerra signed the "</w:t>
      </w:r>
      <w:r w:rsidRPr="00A149EA">
        <w:rPr>
          <w:rFonts w:asciiTheme="majorHAnsi" w:hAnsiTheme="majorHAnsi"/>
          <w:i/>
          <w:sz w:val="20"/>
          <w:szCs w:val="20"/>
        </w:rPr>
        <w:t>reafirmazo</w:t>
      </w:r>
      <w:r w:rsidRPr="00A149EA">
        <w:rPr>
          <w:rFonts w:asciiTheme="majorHAnsi" w:hAnsiTheme="majorHAnsi"/>
          <w:sz w:val="20"/>
          <w:szCs w:val="20"/>
        </w:rPr>
        <w:t>"</w:t>
      </w:r>
      <w:r w:rsidR="00340A13" w:rsidRPr="00A149EA">
        <w:rPr>
          <w:rFonts w:asciiTheme="majorHAnsi" w:hAnsiTheme="majorHAnsi"/>
          <w:sz w:val="20"/>
          <w:szCs w:val="20"/>
        </w:rPr>
        <w:t>, that he</w:t>
      </w:r>
      <w:r w:rsidRPr="00A149EA">
        <w:rPr>
          <w:rFonts w:asciiTheme="majorHAnsi" w:hAnsiTheme="majorHAnsi"/>
          <w:sz w:val="20"/>
          <w:szCs w:val="20"/>
        </w:rPr>
        <w:t xml:space="preserve"> had been notified of th</w:t>
      </w:r>
      <w:r w:rsidR="00340A13" w:rsidRPr="00A149EA">
        <w:rPr>
          <w:rFonts w:asciiTheme="majorHAnsi" w:hAnsiTheme="majorHAnsi"/>
          <w:sz w:val="20"/>
          <w:szCs w:val="20"/>
        </w:rPr>
        <w:t>e termination of his contract, that he had disavow</w:t>
      </w:r>
      <w:r w:rsidRPr="00A149EA">
        <w:rPr>
          <w:rFonts w:asciiTheme="majorHAnsi" w:hAnsiTheme="majorHAnsi"/>
          <w:sz w:val="20"/>
          <w:szCs w:val="20"/>
        </w:rPr>
        <w:t xml:space="preserve">ed his signature </w:t>
      </w:r>
      <w:r w:rsidR="00340A13" w:rsidRPr="00A149EA">
        <w:rPr>
          <w:rFonts w:asciiTheme="majorHAnsi" w:hAnsiTheme="majorHAnsi"/>
          <w:sz w:val="20"/>
          <w:szCs w:val="20"/>
        </w:rPr>
        <w:t xml:space="preserve">in the challenge process </w:t>
      </w:r>
      <w:r w:rsidRPr="00A149EA">
        <w:rPr>
          <w:rFonts w:asciiTheme="majorHAnsi" w:hAnsiTheme="majorHAnsi"/>
          <w:sz w:val="20"/>
          <w:szCs w:val="20"/>
        </w:rPr>
        <w:t>and,</w:t>
      </w:r>
      <w:r w:rsidR="005E6C10" w:rsidRPr="00A149EA">
        <w:rPr>
          <w:rFonts w:asciiTheme="majorHAnsi" w:hAnsiTheme="majorHAnsi"/>
          <w:sz w:val="20"/>
          <w:szCs w:val="20"/>
        </w:rPr>
        <w:t xml:space="preserve"> </w:t>
      </w:r>
      <w:r w:rsidR="00340A13" w:rsidRPr="00A149EA">
        <w:rPr>
          <w:rFonts w:asciiTheme="majorHAnsi" w:hAnsiTheme="majorHAnsi"/>
          <w:sz w:val="20"/>
          <w:szCs w:val="20"/>
        </w:rPr>
        <w:t xml:space="preserve">that </w:t>
      </w:r>
      <w:r w:rsidRPr="00A149EA">
        <w:rPr>
          <w:rFonts w:asciiTheme="majorHAnsi" w:hAnsiTheme="majorHAnsi"/>
          <w:sz w:val="20"/>
          <w:szCs w:val="20"/>
        </w:rPr>
        <w:t>unlike the three alleged victims</w:t>
      </w:r>
      <w:r w:rsidR="00340A13" w:rsidRPr="00A149EA">
        <w:rPr>
          <w:rFonts w:asciiTheme="majorHAnsi" w:hAnsiTheme="majorHAnsi"/>
          <w:sz w:val="20"/>
          <w:szCs w:val="20"/>
        </w:rPr>
        <w:t xml:space="preserve"> who</w:t>
      </w:r>
      <w:r w:rsidRPr="00A149EA">
        <w:rPr>
          <w:rFonts w:asciiTheme="majorHAnsi" w:hAnsiTheme="majorHAnsi"/>
          <w:sz w:val="20"/>
          <w:szCs w:val="20"/>
        </w:rPr>
        <w:t xml:space="preserve"> did not </w:t>
      </w:r>
      <w:r w:rsidR="00340A13" w:rsidRPr="00A149EA">
        <w:rPr>
          <w:rFonts w:asciiTheme="majorHAnsi" w:hAnsiTheme="majorHAnsi"/>
          <w:sz w:val="20"/>
          <w:szCs w:val="20"/>
        </w:rPr>
        <w:t xml:space="preserve">challenged their </w:t>
      </w:r>
      <w:r w:rsidRPr="00A149EA">
        <w:rPr>
          <w:rFonts w:asciiTheme="majorHAnsi" w:hAnsiTheme="majorHAnsi"/>
          <w:sz w:val="20"/>
          <w:szCs w:val="20"/>
        </w:rPr>
        <w:t>signature</w:t>
      </w:r>
      <w:r w:rsidR="00340A13" w:rsidRPr="00A149EA">
        <w:rPr>
          <w:rFonts w:asciiTheme="majorHAnsi" w:hAnsiTheme="majorHAnsi"/>
          <w:sz w:val="20"/>
          <w:szCs w:val="20"/>
        </w:rPr>
        <w:t>s</w:t>
      </w:r>
      <w:r w:rsidRPr="00A149EA">
        <w:rPr>
          <w:rFonts w:asciiTheme="majorHAnsi" w:hAnsiTheme="majorHAnsi"/>
          <w:sz w:val="20"/>
          <w:szCs w:val="20"/>
        </w:rPr>
        <w:t>, he had kept his job.</w:t>
      </w:r>
    </w:p>
    <w:p w14:paraId="75545739" w14:textId="77777777" w:rsidR="00A84A6C" w:rsidRPr="00326F31" w:rsidRDefault="00A84A6C" w:rsidP="00326F31">
      <w:pPr>
        <w:jc w:val="both"/>
        <w:rPr>
          <w:rFonts w:asciiTheme="majorHAnsi" w:hAnsiTheme="majorHAnsi"/>
          <w:sz w:val="20"/>
          <w:szCs w:val="20"/>
        </w:rPr>
      </w:pPr>
    </w:p>
    <w:p w14:paraId="0ED3363D" w14:textId="4C8CE133" w:rsidR="00A84A6C" w:rsidRPr="00326F31" w:rsidRDefault="00A84A6C"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On March 29, 2004 Rocío San Miguel Sosa sent a letter to the President of the National Border Council expressing her disagreement with the </w:t>
      </w:r>
      <w:r w:rsidR="00E75F15">
        <w:rPr>
          <w:rFonts w:asciiTheme="majorHAnsi" w:hAnsiTheme="majorHAnsi"/>
          <w:sz w:val="20"/>
          <w:szCs w:val="20"/>
        </w:rPr>
        <w:t>dismissal and indicating that "</w:t>
      </w:r>
      <w:r w:rsidRPr="00326F31">
        <w:rPr>
          <w:rFonts w:asciiTheme="majorHAnsi" w:hAnsiTheme="majorHAnsi"/>
          <w:sz w:val="20"/>
          <w:szCs w:val="20"/>
        </w:rPr>
        <w:t>you are doing the dismissal directly, in your capacity of Chairman of the Agency; but not without having first sent the Executive Secretary of the Board, nineteen days before the formal act of notification, to warn me that the reasons [for dismissal] are none other than my signature requesting the presidential recall referendum”</w:t>
      </w:r>
      <w:r w:rsidRPr="00326F31">
        <w:rPr>
          <w:rFonts w:asciiTheme="majorHAnsi" w:hAnsiTheme="majorHAnsi"/>
          <w:sz w:val="20"/>
          <w:szCs w:val="20"/>
          <w:vertAlign w:val="superscript"/>
          <w:lang w:val="es-VE"/>
        </w:rPr>
        <w:footnoteReference w:id="73"/>
      </w:r>
      <w:r w:rsidRPr="00326F31">
        <w:rPr>
          <w:rFonts w:asciiTheme="majorHAnsi" w:hAnsiTheme="majorHAnsi"/>
          <w:sz w:val="20"/>
          <w:szCs w:val="20"/>
        </w:rPr>
        <w:t>.</w:t>
      </w:r>
    </w:p>
    <w:p w14:paraId="6066B6C5" w14:textId="77777777" w:rsidR="00A84A6C" w:rsidRPr="00326F31" w:rsidRDefault="00A84A6C" w:rsidP="00326F31">
      <w:pPr>
        <w:pStyle w:val="ListParagraph"/>
        <w:jc w:val="both"/>
        <w:rPr>
          <w:rFonts w:asciiTheme="majorHAnsi" w:hAnsiTheme="majorHAnsi"/>
          <w:sz w:val="20"/>
          <w:szCs w:val="20"/>
        </w:rPr>
      </w:pPr>
    </w:p>
    <w:p w14:paraId="7ECB7B1C" w14:textId="2EF7B20D" w:rsidR="009D05C2" w:rsidRPr="00326F31" w:rsidRDefault="00A84A6C"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The Commission notes that the decision to terminate the contracts with the alleged victims lacks motivation, indicating in the text of the letters only the following: "I am writing to you, in order to announce my decision to terminate your employment contract (...) as from April 1 this year"</w:t>
      </w:r>
      <w:r w:rsidRPr="00326F31">
        <w:rPr>
          <w:rFonts w:asciiTheme="majorHAnsi" w:hAnsiTheme="majorHAnsi"/>
          <w:sz w:val="20"/>
          <w:szCs w:val="20"/>
          <w:vertAlign w:val="superscript"/>
          <w:lang w:val="es-VE"/>
        </w:rPr>
        <w:footnoteReference w:id="74"/>
      </w:r>
      <w:r w:rsidRPr="00326F31">
        <w:rPr>
          <w:rFonts w:asciiTheme="majorHAnsi" w:hAnsiTheme="majorHAnsi"/>
          <w:sz w:val="20"/>
          <w:szCs w:val="20"/>
        </w:rPr>
        <w:t xml:space="preserve">. However, afterwards the </w:t>
      </w:r>
      <w:r w:rsidRPr="00326F31">
        <w:rPr>
          <w:rFonts w:asciiTheme="majorHAnsi" w:hAnsiTheme="majorHAnsi"/>
          <w:sz w:val="20"/>
          <w:szCs w:val="20"/>
        </w:rPr>
        <w:lastRenderedPageBreak/>
        <w:t>President of the National Border Council informed within the context of the internal processes, that the decision to terminate these contracts had been taken under their seventh clause, where it’s states that "the contractor reserves the right to terminate this contract when deemed appropriate, upon notice to the 'contracted' made at least one month in advance”</w:t>
      </w:r>
      <w:r w:rsidRPr="00326F31">
        <w:rPr>
          <w:rStyle w:val="FootnoteReference"/>
          <w:rFonts w:asciiTheme="majorHAnsi" w:hAnsiTheme="majorHAnsi"/>
          <w:sz w:val="20"/>
          <w:szCs w:val="20"/>
        </w:rPr>
        <w:t xml:space="preserve"> </w:t>
      </w:r>
      <w:r w:rsidRPr="00326F31">
        <w:rPr>
          <w:rStyle w:val="FootnoteReference"/>
          <w:rFonts w:asciiTheme="majorHAnsi" w:hAnsiTheme="majorHAnsi"/>
          <w:sz w:val="20"/>
          <w:szCs w:val="20"/>
          <w:lang w:val="es-ES_tradnl"/>
        </w:rPr>
        <w:footnoteReference w:id="75"/>
      </w:r>
      <w:r w:rsidRPr="00326F31">
        <w:rPr>
          <w:rFonts w:asciiTheme="majorHAnsi" w:hAnsiTheme="majorHAnsi"/>
          <w:sz w:val="20"/>
          <w:szCs w:val="20"/>
        </w:rPr>
        <w:t>.</w:t>
      </w:r>
      <w:r w:rsidR="005E6C10">
        <w:rPr>
          <w:rFonts w:asciiTheme="majorHAnsi" w:hAnsiTheme="majorHAnsi"/>
          <w:sz w:val="20"/>
          <w:szCs w:val="20"/>
        </w:rPr>
        <w:t xml:space="preserve"> </w:t>
      </w:r>
    </w:p>
    <w:p w14:paraId="5F3ED469" w14:textId="77777777" w:rsidR="009D05C2" w:rsidRPr="00326F31" w:rsidRDefault="009D05C2" w:rsidP="00326F31">
      <w:pPr>
        <w:jc w:val="both"/>
        <w:rPr>
          <w:rFonts w:asciiTheme="majorHAnsi" w:hAnsiTheme="majorHAnsi"/>
          <w:sz w:val="20"/>
          <w:szCs w:val="20"/>
        </w:rPr>
      </w:pPr>
    </w:p>
    <w:p w14:paraId="0BA791E9" w14:textId="571BBC3D" w:rsidR="009D05C2" w:rsidRPr="00326F31" w:rsidRDefault="009D05C2"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The Executive Secretary of the National Border Council said in a communication registered on the file that "at no time the President of the Agency stated that the grounds for the termination of contracts were due to an alleged 'gesture </w:t>
      </w:r>
      <w:r w:rsidR="004602DF" w:rsidRPr="00326F31">
        <w:rPr>
          <w:rFonts w:asciiTheme="majorHAnsi" w:hAnsiTheme="majorHAnsi"/>
          <w:sz w:val="20"/>
          <w:szCs w:val="20"/>
        </w:rPr>
        <w:t>o</w:t>
      </w:r>
      <w:r w:rsidRPr="00326F31">
        <w:rPr>
          <w:rFonts w:asciiTheme="majorHAnsi" w:hAnsiTheme="majorHAnsi"/>
          <w:sz w:val="20"/>
          <w:szCs w:val="20"/>
        </w:rPr>
        <w:t>f distrust', in which San Miguel Sosa, Chang Girón y Peña would have incurred by signing the petition for the presidential recall referendum, and therefore a reckless interpretation of that decision has no basis"</w:t>
      </w:r>
      <w:r w:rsidRPr="00326F31">
        <w:rPr>
          <w:rStyle w:val="FootnoteReference"/>
          <w:rFonts w:asciiTheme="majorHAnsi" w:hAnsiTheme="majorHAnsi"/>
          <w:sz w:val="20"/>
          <w:szCs w:val="20"/>
          <w:lang w:val="es-ES_tradnl"/>
        </w:rPr>
        <w:footnoteReference w:id="76"/>
      </w:r>
      <w:r w:rsidRPr="00326F31">
        <w:rPr>
          <w:rFonts w:asciiTheme="majorHAnsi" w:hAnsiTheme="majorHAnsi"/>
          <w:sz w:val="20"/>
          <w:szCs w:val="20"/>
        </w:rPr>
        <w:t>. In a radio interview, the Executive Secretary said that the three alleged victims were dismissed by order of the Vice President as a result of a restructuring</w:t>
      </w:r>
      <w:r w:rsidRPr="00326F31">
        <w:rPr>
          <w:rStyle w:val="FootnoteReference"/>
          <w:rFonts w:asciiTheme="majorHAnsi" w:hAnsiTheme="majorHAnsi"/>
          <w:sz w:val="20"/>
          <w:szCs w:val="20"/>
          <w:lang w:val="es-ES_tradnl"/>
        </w:rPr>
        <w:footnoteReference w:id="77"/>
      </w:r>
      <w:r w:rsidRPr="00326F31">
        <w:rPr>
          <w:rFonts w:asciiTheme="majorHAnsi" w:hAnsiTheme="majorHAnsi"/>
          <w:sz w:val="20"/>
          <w:szCs w:val="20"/>
        </w:rPr>
        <w:t>.</w:t>
      </w:r>
    </w:p>
    <w:p w14:paraId="0895F0B5" w14:textId="77777777" w:rsidR="004602DF" w:rsidRPr="00326F31" w:rsidRDefault="004602DF" w:rsidP="00A705EC">
      <w:pPr>
        <w:pStyle w:val="ListParagraph"/>
        <w:jc w:val="both"/>
        <w:rPr>
          <w:rFonts w:asciiTheme="majorHAnsi" w:hAnsiTheme="majorHAnsi"/>
          <w:sz w:val="20"/>
          <w:szCs w:val="20"/>
        </w:rPr>
      </w:pPr>
    </w:p>
    <w:p w14:paraId="3564FF60" w14:textId="2CCF3995" w:rsidR="004602DF" w:rsidRPr="00326F31" w:rsidRDefault="004602DF"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Also, in his statement given to the Prosecutor, on July 14, 2004, the then Executive Secretary of the National Border Council denied having said to</w:t>
      </w:r>
      <w:r w:rsidR="005E6C10">
        <w:rPr>
          <w:rFonts w:asciiTheme="majorHAnsi" w:hAnsiTheme="majorHAnsi"/>
          <w:sz w:val="20"/>
          <w:szCs w:val="20"/>
        </w:rPr>
        <w:t xml:space="preserve"> </w:t>
      </w:r>
      <w:r w:rsidRPr="00326F31">
        <w:rPr>
          <w:rFonts w:asciiTheme="majorHAnsi" w:hAnsiTheme="majorHAnsi"/>
          <w:sz w:val="20"/>
          <w:szCs w:val="20"/>
        </w:rPr>
        <w:t>some of the victims of this case that their dismissal was due to a gesture of distrust that they had committed by signing the request for the presidential recall referendum</w:t>
      </w:r>
      <w:r w:rsidRPr="00326F31">
        <w:rPr>
          <w:rStyle w:val="FootnoteReference"/>
          <w:rFonts w:asciiTheme="majorHAnsi" w:hAnsiTheme="majorHAnsi"/>
          <w:sz w:val="20"/>
          <w:szCs w:val="20"/>
          <w:lang w:val="es-ES"/>
        </w:rPr>
        <w:footnoteReference w:id="78"/>
      </w:r>
      <w:r w:rsidRPr="00326F31">
        <w:rPr>
          <w:rFonts w:asciiTheme="majorHAnsi" w:hAnsiTheme="majorHAnsi"/>
          <w:sz w:val="20"/>
          <w:szCs w:val="20"/>
        </w:rPr>
        <w:t>.</w:t>
      </w:r>
      <w:r w:rsidR="005E6C10">
        <w:rPr>
          <w:rFonts w:asciiTheme="majorHAnsi" w:hAnsiTheme="majorHAnsi"/>
          <w:sz w:val="20"/>
          <w:szCs w:val="20"/>
        </w:rPr>
        <w:t xml:space="preserve"> </w:t>
      </w:r>
    </w:p>
    <w:p w14:paraId="6FC1ABB7" w14:textId="77777777" w:rsidR="00817FC9" w:rsidRPr="00326F31" w:rsidRDefault="00817FC9" w:rsidP="00326F31">
      <w:pPr>
        <w:pStyle w:val="ListParagraph"/>
        <w:jc w:val="both"/>
        <w:rPr>
          <w:rFonts w:asciiTheme="majorHAnsi" w:hAnsiTheme="majorHAnsi"/>
          <w:sz w:val="20"/>
          <w:szCs w:val="20"/>
        </w:rPr>
      </w:pPr>
    </w:p>
    <w:p w14:paraId="6EBEB7D8" w14:textId="77777777" w:rsidR="006745C7" w:rsidRPr="00326F31" w:rsidRDefault="00817FC9"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In contrast to this, in the context of the legal proceedings described below, several elements emerged indicating that the termination of contract of the alleged victims was related to the signing of the petition for the presidential recall referendum.</w:t>
      </w:r>
    </w:p>
    <w:p w14:paraId="7E4C45CD" w14:textId="77777777" w:rsidR="006745C7" w:rsidRPr="00326F31" w:rsidRDefault="006745C7" w:rsidP="00326F31">
      <w:pPr>
        <w:pStyle w:val="ListParagraph"/>
        <w:jc w:val="both"/>
        <w:rPr>
          <w:rFonts w:asciiTheme="majorHAnsi" w:hAnsiTheme="majorHAnsi"/>
          <w:sz w:val="20"/>
          <w:szCs w:val="20"/>
        </w:rPr>
      </w:pPr>
    </w:p>
    <w:p w14:paraId="7013D84D" w14:textId="6DF7B8C6" w:rsidR="006745C7" w:rsidRPr="00326F31" w:rsidRDefault="00192CEC"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In her testimony before the Prosecutor’s Office, on July 15, 2004, Rocío San Miguel Sosa stated that on March 11, 2004 </w:t>
      </w:r>
      <w:proofErr w:type="spellStart"/>
      <w:r w:rsidRPr="00326F31">
        <w:rPr>
          <w:rFonts w:asciiTheme="majorHAnsi" w:hAnsiTheme="majorHAnsi"/>
          <w:sz w:val="20"/>
          <w:szCs w:val="20"/>
        </w:rPr>
        <w:t>Feijoo</w:t>
      </w:r>
      <w:proofErr w:type="spellEnd"/>
      <w:r w:rsidRPr="00326F31">
        <w:rPr>
          <w:rFonts w:asciiTheme="majorHAnsi" w:hAnsiTheme="majorHAnsi"/>
          <w:sz w:val="20"/>
          <w:szCs w:val="20"/>
        </w:rPr>
        <w:t xml:space="preserve"> </w:t>
      </w:r>
      <w:proofErr w:type="spellStart"/>
      <w:r w:rsidRPr="00326F31">
        <w:rPr>
          <w:rFonts w:asciiTheme="majorHAnsi" w:hAnsiTheme="majorHAnsi"/>
          <w:sz w:val="20"/>
          <w:szCs w:val="20"/>
        </w:rPr>
        <w:t>Colomine</w:t>
      </w:r>
      <w:proofErr w:type="spellEnd"/>
      <w:r w:rsidRPr="00326F31">
        <w:rPr>
          <w:rFonts w:asciiTheme="majorHAnsi" w:hAnsiTheme="majorHAnsi"/>
          <w:sz w:val="20"/>
          <w:szCs w:val="20"/>
        </w:rPr>
        <w:t xml:space="preserve"> </w:t>
      </w:r>
      <w:proofErr w:type="spellStart"/>
      <w:r w:rsidR="00A65F7F">
        <w:rPr>
          <w:rFonts w:asciiTheme="majorHAnsi" w:hAnsiTheme="majorHAnsi"/>
          <w:sz w:val="20"/>
          <w:szCs w:val="20"/>
        </w:rPr>
        <w:t>Rincones</w:t>
      </w:r>
      <w:proofErr w:type="spellEnd"/>
      <w:r w:rsidRPr="00326F31">
        <w:rPr>
          <w:rFonts w:asciiTheme="majorHAnsi" w:hAnsiTheme="majorHAnsi"/>
          <w:sz w:val="20"/>
          <w:szCs w:val="20"/>
        </w:rPr>
        <w:t>, Executive Secretary of the National Border Council, verbally informed her of her possible dismissal, explaining to her that in a conversation held with José Vicente Rangel Vale, President of the National Border Council, he ordered him to "proceed to the dismissal of Rocío San Miguel and Thais Peña because these people had petitioned for the presidential recall"</w:t>
      </w:r>
      <w:r w:rsidRPr="00326F31">
        <w:rPr>
          <w:rStyle w:val="FootnoteReference"/>
          <w:rFonts w:asciiTheme="majorHAnsi" w:hAnsiTheme="majorHAnsi"/>
          <w:sz w:val="20"/>
          <w:szCs w:val="20"/>
          <w:lang w:val="es-ES"/>
        </w:rPr>
        <w:footnoteReference w:id="79"/>
      </w:r>
      <w:r w:rsidRPr="00326F31">
        <w:rPr>
          <w:rFonts w:asciiTheme="majorHAnsi" w:hAnsiTheme="majorHAnsi"/>
          <w:sz w:val="20"/>
          <w:szCs w:val="20"/>
        </w:rPr>
        <w:t>. In said interview, Rocío San Miguel also said the on March 31, 2004 she spoke with Ilia Azpúrua, legal advisor of the Vice President and Secretary of the Cabinet, and that person told her "it was not possible that working at the White Palace I had signed</w:t>
      </w:r>
      <w:r w:rsidR="006745C7" w:rsidRPr="00326F31">
        <w:rPr>
          <w:rFonts w:asciiTheme="majorHAnsi" w:hAnsiTheme="majorHAnsi"/>
          <w:sz w:val="20"/>
          <w:szCs w:val="20"/>
        </w:rPr>
        <w:t xml:space="preserve"> [the petition]</w:t>
      </w:r>
      <w:r w:rsidRPr="00326F31">
        <w:rPr>
          <w:rFonts w:asciiTheme="majorHAnsi" w:hAnsiTheme="majorHAnsi"/>
          <w:sz w:val="20"/>
          <w:szCs w:val="20"/>
        </w:rPr>
        <w:t>, that I was a person of trust, and that by signing I had shown a gesture of distrust"</w:t>
      </w:r>
      <w:r w:rsidRPr="00326F31">
        <w:rPr>
          <w:rStyle w:val="FootnoteReference"/>
          <w:rFonts w:asciiTheme="majorHAnsi" w:hAnsiTheme="majorHAnsi"/>
          <w:sz w:val="20"/>
          <w:szCs w:val="20"/>
          <w:lang w:val="es-ES"/>
        </w:rPr>
        <w:footnoteReference w:id="80"/>
      </w:r>
      <w:r w:rsidRPr="00326F31">
        <w:rPr>
          <w:rFonts w:asciiTheme="majorHAnsi" w:hAnsiTheme="majorHAnsi"/>
          <w:sz w:val="20"/>
          <w:szCs w:val="20"/>
        </w:rPr>
        <w:t>. In this statement Rocío San Miguel stressed that</w:t>
      </w:r>
      <w:r w:rsidR="006745C7" w:rsidRPr="00326F31">
        <w:rPr>
          <w:rFonts w:asciiTheme="majorHAnsi" w:hAnsiTheme="majorHAnsi"/>
          <w:sz w:val="20"/>
          <w:szCs w:val="20"/>
        </w:rPr>
        <w:t xml:space="preserve"> of</w:t>
      </w:r>
      <w:r w:rsidRPr="00326F31">
        <w:rPr>
          <w:rFonts w:asciiTheme="majorHAnsi" w:hAnsiTheme="majorHAnsi"/>
          <w:sz w:val="20"/>
          <w:szCs w:val="20"/>
        </w:rPr>
        <w:t xml:space="preserve"> over twenty people working in the National Border Council</w:t>
      </w:r>
      <w:r w:rsidR="006745C7" w:rsidRPr="00326F31">
        <w:rPr>
          <w:rFonts w:asciiTheme="majorHAnsi" w:hAnsiTheme="majorHAnsi"/>
          <w:sz w:val="20"/>
          <w:szCs w:val="20"/>
        </w:rPr>
        <w:t>, they only dismissed the four people who signed the petition</w:t>
      </w:r>
      <w:r w:rsidRPr="00326F31">
        <w:rPr>
          <w:rFonts w:asciiTheme="majorHAnsi" w:hAnsiTheme="majorHAnsi"/>
          <w:sz w:val="20"/>
          <w:szCs w:val="20"/>
        </w:rPr>
        <w:t xml:space="preserve"> for the recall referendum, however Mr. Jorge Navarro Guerra </w:t>
      </w:r>
      <w:r w:rsidR="006745C7" w:rsidRPr="00326F31">
        <w:rPr>
          <w:rFonts w:asciiTheme="majorHAnsi" w:hAnsiTheme="majorHAnsi"/>
          <w:sz w:val="20"/>
          <w:szCs w:val="20"/>
        </w:rPr>
        <w:t>was able to keep his job by disavowing his signature in the challenge process</w:t>
      </w:r>
      <w:r w:rsidR="006745C7" w:rsidRPr="00326F31">
        <w:rPr>
          <w:rStyle w:val="FootnoteReference"/>
          <w:rFonts w:asciiTheme="majorHAnsi" w:hAnsiTheme="majorHAnsi"/>
          <w:sz w:val="20"/>
          <w:szCs w:val="20"/>
          <w:lang w:val="es-ES"/>
        </w:rPr>
        <w:footnoteReference w:id="81"/>
      </w:r>
      <w:r w:rsidR="006745C7" w:rsidRPr="00326F31">
        <w:rPr>
          <w:rFonts w:asciiTheme="majorHAnsi" w:hAnsiTheme="majorHAnsi"/>
          <w:sz w:val="20"/>
          <w:szCs w:val="20"/>
        </w:rPr>
        <w:t>. She also stated</w:t>
      </w:r>
      <w:r w:rsidRPr="00326F31">
        <w:rPr>
          <w:rFonts w:asciiTheme="majorHAnsi" w:hAnsiTheme="majorHAnsi"/>
          <w:sz w:val="20"/>
          <w:szCs w:val="20"/>
        </w:rPr>
        <w:t xml:space="preserve"> that in the conversation with Fei</w:t>
      </w:r>
      <w:r w:rsidR="006745C7" w:rsidRPr="00326F31">
        <w:rPr>
          <w:rFonts w:asciiTheme="majorHAnsi" w:hAnsiTheme="majorHAnsi"/>
          <w:sz w:val="20"/>
          <w:szCs w:val="20"/>
        </w:rPr>
        <w:t>joo Colomine he told her</w:t>
      </w:r>
      <w:r w:rsidRPr="00326F31">
        <w:rPr>
          <w:rFonts w:asciiTheme="majorHAnsi" w:hAnsiTheme="majorHAnsi"/>
          <w:sz w:val="20"/>
          <w:szCs w:val="20"/>
        </w:rPr>
        <w:t xml:space="preserve"> that "he </w:t>
      </w:r>
      <w:r w:rsidR="006745C7" w:rsidRPr="00326F31">
        <w:rPr>
          <w:rFonts w:asciiTheme="majorHAnsi" w:hAnsiTheme="majorHAnsi"/>
          <w:sz w:val="20"/>
          <w:szCs w:val="20"/>
        </w:rPr>
        <w:t xml:space="preserve">had </w:t>
      </w:r>
      <w:r w:rsidRPr="00326F31">
        <w:rPr>
          <w:rFonts w:asciiTheme="majorHAnsi" w:hAnsiTheme="majorHAnsi"/>
          <w:sz w:val="20"/>
          <w:szCs w:val="20"/>
        </w:rPr>
        <w:t xml:space="preserve">managed to stop the dismissal of Jorge </w:t>
      </w:r>
      <w:r w:rsidRPr="00326F31">
        <w:rPr>
          <w:rFonts w:asciiTheme="majorHAnsi" w:hAnsiTheme="majorHAnsi"/>
          <w:sz w:val="20"/>
          <w:szCs w:val="20"/>
        </w:rPr>
        <w:lastRenderedPageBreak/>
        <w:t xml:space="preserve">Guerra and would not </w:t>
      </w:r>
      <w:r w:rsidR="006745C7" w:rsidRPr="00326F31">
        <w:rPr>
          <w:rFonts w:asciiTheme="majorHAnsi" w:hAnsiTheme="majorHAnsi"/>
          <w:sz w:val="20"/>
          <w:szCs w:val="20"/>
        </w:rPr>
        <w:t>deliver</w:t>
      </w:r>
      <w:r w:rsidRPr="00326F31">
        <w:rPr>
          <w:rFonts w:asciiTheme="majorHAnsi" w:hAnsiTheme="majorHAnsi"/>
          <w:sz w:val="20"/>
          <w:szCs w:val="20"/>
        </w:rPr>
        <w:t xml:space="preserve"> the communication of José Vicente Rangel, </w:t>
      </w:r>
      <w:r w:rsidR="006745C7" w:rsidRPr="00326F31">
        <w:rPr>
          <w:rFonts w:asciiTheme="majorHAnsi" w:hAnsiTheme="majorHAnsi"/>
          <w:sz w:val="20"/>
          <w:szCs w:val="20"/>
        </w:rPr>
        <w:t>because Guerra’s case</w:t>
      </w:r>
      <w:r w:rsidRPr="00326F31">
        <w:rPr>
          <w:rFonts w:asciiTheme="majorHAnsi" w:hAnsiTheme="majorHAnsi"/>
          <w:sz w:val="20"/>
          <w:szCs w:val="20"/>
        </w:rPr>
        <w:t xml:space="preserve"> was different </w:t>
      </w:r>
      <w:r w:rsidR="006745C7" w:rsidRPr="00326F31">
        <w:rPr>
          <w:rFonts w:asciiTheme="majorHAnsi" w:hAnsiTheme="majorHAnsi"/>
          <w:sz w:val="20"/>
          <w:szCs w:val="20"/>
        </w:rPr>
        <w:t>as</w:t>
      </w:r>
      <w:r w:rsidR="00A149EA">
        <w:rPr>
          <w:rFonts w:asciiTheme="majorHAnsi" w:hAnsiTheme="majorHAnsi"/>
          <w:sz w:val="20"/>
          <w:szCs w:val="20"/>
        </w:rPr>
        <w:t xml:space="preserve"> "the old ID he had in his house had been manipulated by a woman who lives there to sign in his name</w:t>
      </w:r>
      <w:r w:rsidR="00A149EA" w:rsidRPr="00A149EA">
        <w:rPr>
          <w:rFonts w:asciiTheme="majorHAnsi" w:hAnsiTheme="majorHAnsi"/>
          <w:sz w:val="20"/>
          <w:szCs w:val="20"/>
        </w:rPr>
        <w:t>"</w:t>
      </w:r>
      <w:r w:rsidR="00A149EA" w:rsidRPr="00326F31">
        <w:rPr>
          <w:rStyle w:val="FootnoteReference"/>
          <w:rFonts w:asciiTheme="majorHAnsi" w:hAnsiTheme="majorHAnsi"/>
          <w:sz w:val="20"/>
          <w:szCs w:val="20"/>
          <w:lang w:val="es-ES_tradnl"/>
        </w:rPr>
        <w:footnoteReference w:id="82"/>
      </w:r>
      <w:r w:rsidR="00A149EA" w:rsidRPr="00A149EA">
        <w:rPr>
          <w:rFonts w:asciiTheme="majorHAnsi" w:hAnsiTheme="majorHAnsi"/>
          <w:sz w:val="20"/>
          <w:szCs w:val="20"/>
        </w:rPr>
        <w:t>.</w:t>
      </w:r>
    </w:p>
    <w:p w14:paraId="445DEC39" w14:textId="77777777" w:rsidR="006745C7" w:rsidRPr="00326F31" w:rsidRDefault="006745C7"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7BECEEDC" w14:textId="0A14B254" w:rsidR="006745C7" w:rsidRPr="00326F31" w:rsidRDefault="006745C7"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Moreover, on July 16, 2004, Magally Chang Girón declared before the Prosecutor that "I was notified on March 22 this year by Mr. Feijoo Colomine of my dismissal as Personal Assistant of the National Border Council, by instructions of the Council President Dr. José Vicente Rangel Vale, and that the reason was for having signed the presidential recall petition. That's it"</w:t>
      </w:r>
      <w:r w:rsidRPr="00326F31">
        <w:rPr>
          <w:rStyle w:val="FootnoteReference"/>
          <w:rFonts w:asciiTheme="majorHAnsi" w:hAnsiTheme="majorHAnsi"/>
          <w:sz w:val="20"/>
          <w:szCs w:val="20"/>
          <w:lang w:val="es-ES"/>
        </w:rPr>
        <w:footnoteReference w:id="83"/>
      </w:r>
      <w:r w:rsidRPr="00326F31">
        <w:rPr>
          <w:rFonts w:asciiTheme="majorHAnsi" w:hAnsiTheme="majorHAnsi"/>
          <w:sz w:val="20"/>
          <w:szCs w:val="20"/>
        </w:rPr>
        <w:t>. In the same statement she said that three of the four people who signed the request for a referendum were dismissed, and that the she saw the letter of dismissal of the fourth person, Mr. Jorge Guerra but is unknown to her why he was not dismissed</w:t>
      </w:r>
      <w:r w:rsidRPr="00326F31">
        <w:rPr>
          <w:rStyle w:val="FootnoteReference"/>
          <w:rFonts w:asciiTheme="majorHAnsi" w:hAnsiTheme="majorHAnsi"/>
          <w:sz w:val="20"/>
          <w:szCs w:val="20"/>
          <w:lang w:val="es-ES"/>
        </w:rPr>
        <w:footnoteReference w:id="84"/>
      </w:r>
      <w:r w:rsidRPr="00326F31">
        <w:rPr>
          <w:rFonts w:asciiTheme="majorHAnsi" w:hAnsiTheme="majorHAnsi"/>
          <w:sz w:val="20"/>
          <w:szCs w:val="20"/>
        </w:rPr>
        <w:t>.</w:t>
      </w:r>
    </w:p>
    <w:p w14:paraId="0AD63DDF" w14:textId="77777777" w:rsidR="002A257A" w:rsidRPr="00326F31" w:rsidRDefault="002A257A" w:rsidP="00326F31">
      <w:pPr>
        <w:pStyle w:val="ListParagraph"/>
        <w:jc w:val="both"/>
        <w:rPr>
          <w:rFonts w:asciiTheme="majorHAnsi" w:hAnsiTheme="majorHAnsi"/>
          <w:sz w:val="20"/>
          <w:szCs w:val="20"/>
        </w:rPr>
      </w:pPr>
    </w:p>
    <w:p w14:paraId="0B8828AB" w14:textId="2DEA64E0" w:rsidR="002A257A" w:rsidRPr="00326F31" w:rsidRDefault="002A257A"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For her part, in her testimony before the Prosecutor rendered on July 15, 2004, Thais Coromoto Peña, said that Feijoo Colomine </w:t>
      </w:r>
      <w:r w:rsidR="00A16C0A">
        <w:rPr>
          <w:rFonts w:asciiTheme="majorHAnsi" w:hAnsiTheme="majorHAnsi"/>
          <w:sz w:val="20"/>
          <w:szCs w:val="20"/>
        </w:rPr>
        <w:t>Rincones</w:t>
      </w:r>
      <w:r w:rsidRPr="00326F31">
        <w:rPr>
          <w:rFonts w:asciiTheme="majorHAnsi" w:hAnsiTheme="majorHAnsi"/>
          <w:sz w:val="20"/>
          <w:szCs w:val="20"/>
        </w:rPr>
        <w:t xml:space="preserve"> made a verbal notification to her of the dismissal, and that the Secretary of that person told her that Feijoo "was upset because they were against the President and against the process"</w:t>
      </w:r>
      <w:r w:rsidRPr="00326F31">
        <w:rPr>
          <w:rStyle w:val="FootnoteReference"/>
          <w:rFonts w:asciiTheme="majorHAnsi" w:hAnsiTheme="majorHAnsi"/>
          <w:sz w:val="20"/>
          <w:szCs w:val="20"/>
          <w:lang w:val="es-ES"/>
        </w:rPr>
        <w:footnoteReference w:id="85"/>
      </w:r>
      <w:r w:rsidRPr="00326F31">
        <w:rPr>
          <w:rFonts w:asciiTheme="majorHAnsi" w:hAnsiTheme="majorHAnsi"/>
          <w:sz w:val="20"/>
          <w:szCs w:val="20"/>
        </w:rPr>
        <w:t>. She also indicated that after being notified of the dismissal "Feijoo Colomine told me to withdraw my signature, that he could send me to Jesse Chacon to do so, to what I replied that I was a woman of self-belief and conscience, that it was my decision and that it will remain that wasy, as I do not have any reason to take it back; then I told him that we shouldn’t talk anymore about it"</w:t>
      </w:r>
      <w:r w:rsidRPr="00326F31">
        <w:rPr>
          <w:rStyle w:val="FootnoteReference"/>
          <w:rFonts w:asciiTheme="majorHAnsi" w:hAnsiTheme="majorHAnsi"/>
          <w:sz w:val="20"/>
          <w:szCs w:val="20"/>
          <w:lang w:val="es-ES"/>
        </w:rPr>
        <w:footnoteReference w:id="86"/>
      </w:r>
      <w:r w:rsidRPr="00326F31">
        <w:rPr>
          <w:rFonts w:asciiTheme="majorHAnsi" w:hAnsiTheme="majorHAnsi"/>
          <w:sz w:val="20"/>
          <w:szCs w:val="20"/>
        </w:rPr>
        <w:t>.</w:t>
      </w:r>
    </w:p>
    <w:p w14:paraId="2BCB4492" w14:textId="77777777" w:rsidR="002A257A" w:rsidRPr="00326F31" w:rsidRDefault="002A257A" w:rsidP="00326F31">
      <w:pPr>
        <w:jc w:val="both"/>
        <w:rPr>
          <w:rFonts w:asciiTheme="majorHAnsi" w:hAnsiTheme="majorHAnsi"/>
          <w:sz w:val="20"/>
          <w:szCs w:val="20"/>
        </w:rPr>
      </w:pPr>
    </w:p>
    <w:p w14:paraId="7E691786" w14:textId="48742C10" w:rsidR="002A257A" w:rsidRPr="00326F31" w:rsidRDefault="002A257A"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Likewise, in the context of the alleged victims’ </w:t>
      </w:r>
      <w:r w:rsidRPr="00326F31">
        <w:rPr>
          <w:rFonts w:asciiTheme="majorHAnsi" w:hAnsiTheme="majorHAnsi"/>
          <w:i/>
          <w:sz w:val="20"/>
          <w:szCs w:val="20"/>
        </w:rPr>
        <w:t xml:space="preserve">amparo </w:t>
      </w:r>
      <w:r w:rsidRPr="00326F31">
        <w:rPr>
          <w:rFonts w:asciiTheme="majorHAnsi" w:hAnsiTheme="majorHAnsi"/>
          <w:sz w:val="20"/>
          <w:szCs w:val="20"/>
        </w:rPr>
        <w:t>proceeding, the transcripts of telephone conversations with two officials to whom they referred in the abovementioned interviews were presented. The Commission has in its power the recordings of these conversations, their relevant contents are detailed below.</w:t>
      </w:r>
    </w:p>
    <w:p w14:paraId="788AB76D" w14:textId="77777777" w:rsidR="002A257A" w:rsidRPr="00326F31" w:rsidRDefault="002A257A" w:rsidP="00326F31">
      <w:pPr>
        <w:jc w:val="both"/>
        <w:rPr>
          <w:rFonts w:asciiTheme="majorHAnsi" w:hAnsiTheme="majorHAnsi"/>
          <w:sz w:val="20"/>
          <w:szCs w:val="20"/>
        </w:rPr>
      </w:pPr>
    </w:p>
    <w:p w14:paraId="4306A2CD" w14:textId="4493E37B" w:rsidR="002A257A" w:rsidRPr="00326F31" w:rsidRDefault="002A257A"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Below are the transcripts of the relevant parts of the telephone conversation between the then Executive Secretary of the National Border Council Feijoo Colomine and Rocio San Miguel Sosa:</w:t>
      </w:r>
    </w:p>
    <w:p w14:paraId="609EAF9E" w14:textId="77777777" w:rsidR="00046C0E" w:rsidRPr="00326F31" w:rsidRDefault="00046C0E" w:rsidP="00326F31">
      <w:pPr>
        <w:pStyle w:val="ListParagraph"/>
        <w:jc w:val="both"/>
        <w:rPr>
          <w:rFonts w:asciiTheme="majorHAnsi" w:hAnsiTheme="majorHAnsi"/>
          <w:sz w:val="20"/>
          <w:szCs w:val="20"/>
        </w:rPr>
      </w:pPr>
    </w:p>
    <w:p w14:paraId="5D4591A1" w14:textId="234BFF9E" w:rsidR="00617467" w:rsidRPr="00326F31" w:rsidRDefault="00617467" w:rsidP="00326F31">
      <w:pPr>
        <w:ind w:left="720" w:right="720"/>
        <w:jc w:val="both"/>
        <w:rPr>
          <w:rFonts w:asciiTheme="majorHAnsi" w:hAnsiTheme="majorHAnsi"/>
          <w:sz w:val="20"/>
          <w:szCs w:val="20"/>
        </w:rPr>
      </w:pPr>
      <w:r w:rsidRPr="00326F31">
        <w:rPr>
          <w:rFonts w:asciiTheme="majorHAnsi" w:hAnsiTheme="majorHAnsi"/>
          <w:sz w:val="20"/>
          <w:szCs w:val="20"/>
        </w:rPr>
        <w:t>FC:</w:t>
      </w:r>
      <w:r w:rsidR="002A257A" w:rsidRPr="00326F31">
        <w:rPr>
          <w:rFonts w:asciiTheme="majorHAnsi" w:hAnsiTheme="majorHAnsi"/>
          <w:sz w:val="20"/>
          <w:szCs w:val="20"/>
        </w:rPr>
        <w:t xml:space="preserve"> One has some limitations, for exercising this, this position of trust.</w:t>
      </w:r>
    </w:p>
    <w:p w14:paraId="3B1695C6" w14:textId="1CEBED4C" w:rsidR="00617467" w:rsidRPr="00326F31" w:rsidRDefault="00617467" w:rsidP="00326F31">
      <w:pPr>
        <w:ind w:left="720" w:right="720"/>
        <w:jc w:val="both"/>
        <w:rPr>
          <w:rFonts w:asciiTheme="majorHAnsi" w:hAnsiTheme="majorHAnsi"/>
          <w:sz w:val="20"/>
          <w:szCs w:val="20"/>
        </w:rPr>
      </w:pPr>
      <w:r w:rsidRPr="00326F31">
        <w:rPr>
          <w:rFonts w:asciiTheme="majorHAnsi" w:hAnsiTheme="majorHAnsi"/>
          <w:sz w:val="20"/>
          <w:szCs w:val="20"/>
        </w:rPr>
        <w:t xml:space="preserve">RSM: </w:t>
      </w:r>
      <w:r w:rsidR="002A257A" w:rsidRPr="00326F31">
        <w:rPr>
          <w:rFonts w:asciiTheme="majorHAnsi" w:hAnsiTheme="majorHAnsi"/>
          <w:sz w:val="20"/>
          <w:szCs w:val="20"/>
        </w:rPr>
        <w:t>Mhmm</w:t>
      </w:r>
    </w:p>
    <w:p w14:paraId="30149FF3" w14:textId="1CF7A34A" w:rsidR="00617467" w:rsidRPr="00326F31" w:rsidRDefault="00617467" w:rsidP="00326F31">
      <w:pPr>
        <w:ind w:left="720" w:right="720"/>
        <w:jc w:val="both"/>
        <w:rPr>
          <w:rFonts w:asciiTheme="majorHAnsi" w:hAnsiTheme="majorHAnsi"/>
          <w:sz w:val="20"/>
          <w:szCs w:val="20"/>
        </w:rPr>
      </w:pPr>
      <w:r w:rsidRPr="00326F31">
        <w:rPr>
          <w:rFonts w:asciiTheme="majorHAnsi" w:hAnsiTheme="majorHAnsi"/>
          <w:sz w:val="20"/>
          <w:szCs w:val="20"/>
        </w:rPr>
        <w:t xml:space="preserve">FC: </w:t>
      </w:r>
      <w:r w:rsidR="002A257A" w:rsidRPr="00326F31">
        <w:rPr>
          <w:rFonts w:asciiTheme="majorHAnsi" w:hAnsiTheme="majorHAnsi"/>
          <w:sz w:val="20"/>
          <w:szCs w:val="20"/>
        </w:rPr>
        <w:t>One has limitations</w:t>
      </w:r>
    </w:p>
    <w:p w14:paraId="4803534D" w14:textId="3EE0E03D" w:rsidR="00617467" w:rsidRPr="00326F31" w:rsidRDefault="00617467" w:rsidP="00326F31">
      <w:pPr>
        <w:ind w:left="720" w:right="720"/>
        <w:jc w:val="both"/>
        <w:rPr>
          <w:rFonts w:asciiTheme="majorHAnsi" w:hAnsiTheme="majorHAnsi"/>
          <w:sz w:val="20"/>
          <w:szCs w:val="20"/>
        </w:rPr>
      </w:pPr>
      <w:r w:rsidRPr="00326F31">
        <w:rPr>
          <w:rFonts w:asciiTheme="majorHAnsi" w:hAnsiTheme="majorHAnsi"/>
          <w:sz w:val="20"/>
          <w:szCs w:val="20"/>
        </w:rPr>
        <w:t xml:space="preserve">RSM: </w:t>
      </w:r>
      <w:r w:rsidR="002A257A" w:rsidRPr="00326F31">
        <w:rPr>
          <w:rFonts w:asciiTheme="majorHAnsi" w:hAnsiTheme="majorHAnsi"/>
          <w:sz w:val="20"/>
          <w:szCs w:val="20"/>
        </w:rPr>
        <w:t>Mhm, Which one? The one to exercise political rights?</w:t>
      </w:r>
    </w:p>
    <w:p w14:paraId="34AB5DE6" w14:textId="64A38B9F" w:rsidR="00617467" w:rsidRPr="00326F31" w:rsidRDefault="00617467" w:rsidP="00326F31">
      <w:pPr>
        <w:ind w:left="720" w:right="720"/>
        <w:jc w:val="both"/>
        <w:rPr>
          <w:rFonts w:asciiTheme="majorHAnsi" w:hAnsiTheme="majorHAnsi"/>
          <w:sz w:val="20"/>
          <w:szCs w:val="20"/>
        </w:rPr>
      </w:pPr>
      <w:r w:rsidRPr="00326F31">
        <w:rPr>
          <w:rFonts w:asciiTheme="majorHAnsi" w:hAnsiTheme="majorHAnsi"/>
          <w:sz w:val="20"/>
          <w:szCs w:val="20"/>
        </w:rPr>
        <w:t xml:space="preserve">FC: </w:t>
      </w:r>
      <w:r w:rsidR="007F6C61" w:rsidRPr="00326F31">
        <w:rPr>
          <w:rFonts w:asciiTheme="majorHAnsi" w:hAnsiTheme="majorHAnsi"/>
          <w:sz w:val="20"/>
          <w:szCs w:val="20"/>
        </w:rPr>
        <w:t>One can participate and exercise their political rights, of any kind. But you do not, you can not reveal an element of distrust.</w:t>
      </w:r>
    </w:p>
    <w:p w14:paraId="62B959F1" w14:textId="77777777" w:rsidR="007F6C61" w:rsidRPr="00326F31" w:rsidRDefault="00CE5D46" w:rsidP="00326F31">
      <w:pPr>
        <w:ind w:left="720" w:right="720"/>
        <w:jc w:val="both"/>
        <w:rPr>
          <w:rFonts w:asciiTheme="majorHAnsi" w:hAnsiTheme="majorHAnsi"/>
          <w:sz w:val="20"/>
          <w:szCs w:val="20"/>
        </w:rPr>
      </w:pPr>
      <w:r w:rsidRPr="00326F31">
        <w:rPr>
          <w:rFonts w:asciiTheme="majorHAnsi" w:hAnsiTheme="majorHAnsi"/>
          <w:sz w:val="20"/>
          <w:szCs w:val="20"/>
        </w:rPr>
        <w:t xml:space="preserve">RSM: </w:t>
      </w:r>
      <w:r w:rsidR="007F6C61" w:rsidRPr="00326F31">
        <w:rPr>
          <w:rFonts w:asciiTheme="majorHAnsi" w:hAnsiTheme="majorHAnsi"/>
          <w:sz w:val="20"/>
          <w:szCs w:val="20"/>
        </w:rPr>
        <w:t>But what element of distrust?</w:t>
      </w:r>
    </w:p>
    <w:p w14:paraId="3157A5E2" w14:textId="02D34016" w:rsidR="00CE5D46" w:rsidRPr="00326F31" w:rsidRDefault="00CE5D46" w:rsidP="00326F31">
      <w:pPr>
        <w:ind w:left="720" w:right="720"/>
        <w:jc w:val="both"/>
        <w:rPr>
          <w:rFonts w:asciiTheme="majorHAnsi" w:hAnsiTheme="majorHAnsi"/>
          <w:sz w:val="20"/>
          <w:szCs w:val="20"/>
          <w:lang w:val="es-ES"/>
        </w:rPr>
      </w:pPr>
      <w:r w:rsidRPr="00326F31">
        <w:rPr>
          <w:rFonts w:asciiTheme="majorHAnsi" w:hAnsiTheme="majorHAnsi"/>
          <w:sz w:val="20"/>
          <w:szCs w:val="20"/>
        </w:rPr>
        <w:t xml:space="preserve">FC: </w:t>
      </w:r>
      <w:r w:rsidR="007F6C61" w:rsidRPr="00326F31">
        <w:rPr>
          <w:rFonts w:asciiTheme="majorHAnsi" w:hAnsiTheme="majorHAnsi"/>
          <w:sz w:val="20"/>
          <w:szCs w:val="20"/>
        </w:rPr>
        <w:t xml:space="preserve">You cannot expose, because you are signing the petition for the recall of the guy that is paying you and that is hiring you </w:t>
      </w:r>
      <w:r w:rsidRPr="00326F31">
        <w:rPr>
          <w:rFonts w:asciiTheme="majorHAnsi" w:hAnsiTheme="majorHAnsi"/>
          <w:sz w:val="20"/>
          <w:szCs w:val="20"/>
        </w:rPr>
        <w:t>(…)</w:t>
      </w:r>
      <w:r w:rsidRPr="00326F31">
        <w:rPr>
          <w:rFonts w:asciiTheme="majorHAnsi" w:hAnsiTheme="majorHAnsi"/>
          <w:sz w:val="20"/>
          <w:szCs w:val="20"/>
          <w:vertAlign w:val="superscript"/>
          <w:lang w:val="es-ES"/>
        </w:rPr>
        <w:footnoteReference w:id="87"/>
      </w:r>
      <w:r w:rsidRPr="00326F31">
        <w:rPr>
          <w:rFonts w:asciiTheme="majorHAnsi" w:hAnsiTheme="majorHAnsi"/>
          <w:sz w:val="20"/>
          <w:szCs w:val="20"/>
          <w:lang w:val="es-ES"/>
        </w:rPr>
        <w:t>”</w:t>
      </w:r>
    </w:p>
    <w:p w14:paraId="3E2DB31D" w14:textId="77777777" w:rsidR="00CE5D46" w:rsidRPr="00326F31" w:rsidRDefault="00CE5D46" w:rsidP="00326F31">
      <w:pPr>
        <w:pStyle w:val="ListParagraph"/>
        <w:jc w:val="both"/>
        <w:rPr>
          <w:rFonts w:asciiTheme="majorHAnsi" w:hAnsiTheme="majorHAnsi"/>
          <w:sz w:val="20"/>
          <w:szCs w:val="20"/>
          <w:lang w:val="es-ES_tradnl"/>
        </w:rPr>
      </w:pPr>
    </w:p>
    <w:p w14:paraId="59161610" w14:textId="5CB9822A" w:rsidR="007F6C61" w:rsidRPr="00326F31" w:rsidRDefault="007F6C61"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With regards to the termination of the contracts with the alleged victims, the recording of the conversation contains the following:</w:t>
      </w:r>
    </w:p>
    <w:p w14:paraId="5F61933F" w14:textId="77777777" w:rsidR="00CE5D46" w:rsidRPr="00326F31" w:rsidRDefault="00CE5D46" w:rsidP="00326F31">
      <w:pPr>
        <w:pStyle w:val="ListParagraph"/>
        <w:jc w:val="both"/>
        <w:rPr>
          <w:rFonts w:asciiTheme="majorHAnsi" w:hAnsiTheme="majorHAnsi"/>
          <w:sz w:val="20"/>
          <w:szCs w:val="20"/>
        </w:rPr>
      </w:pPr>
    </w:p>
    <w:p w14:paraId="4DBEAFB2" w14:textId="69A54D8C" w:rsidR="00CE5D46" w:rsidRPr="00326F31" w:rsidRDefault="00CE5D46" w:rsidP="00326F31">
      <w:pPr>
        <w:ind w:left="720" w:right="720"/>
        <w:jc w:val="both"/>
        <w:rPr>
          <w:rFonts w:asciiTheme="majorHAnsi" w:hAnsiTheme="majorHAnsi"/>
          <w:sz w:val="20"/>
          <w:szCs w:val="20"/>
        </w:rPr>
      </w:pPr>
      <w:r w:rsidRPr="00326F31">
        <w:rPr>
          <w:rFonts w:asciiTheme="majorHAnsi" w:hAnsiTheme="majorHAnsi"/>
          <w:sz w:val="20"/>
          <w:szCs w:val="20"/>
        </w:rPr>
        <w:t xml:space="preserve">FC: </w:t>
      </w:r>
      <w:r w:rsidR="007F6C61" w:rsidRPr="00326F31">
        <w:rPr>
          <w:rFonts w:asciiTheme="majorHAnsi" w:hAnsiTheme="majorHAnsi"/>
          <w:sz w:val="20"/>
          <w:szCs w:val="20"/>
        </w:rPr>
        <w:t xml:space="preserve">Well but, but the, the Government has made a </w:t>
      </w:r>
      <w:r w:rsidR="00141EE4" w:rsidRPr="00326F31">
        <w:rPr>
          <w:rFonts w:asciiTheme="majorHAnsi" w:hAnsiTheme="majorHAnsi"/>
          <w:sz w:val="20"/>
          <w:szCs w:val="20"/>
        </w:rPr>
        <w:t>decisio</w:t>
      </w:r>
      <w:r w:rsidR="007F6C61" w:rsidRPr="00326F31">
        <w:rPr>
          <w:rFonts w:asciiTheme="majorHAnsi" w:hAnsiTheme="majorHAnsi"/>
          <w:sz w:val="20"/>
          <w:szCs w:val="20"/>
        </w:rPr>
        <w:t>n.</w:t>
      </w:r>
    </w:p>
    <w:p w14:paraId="6D7CC97B" w14:textId="6EEADA7F" w:rsidR="0070448F" w:rsidRPr="00326F31" w:rsidRDefault="0070448F" w:rsidP="00326F31">
      <w:pPr>
        <w:ind w:left="720" w:right="720"/>
        <w:jc w:val="both"/>
        <w:rPr>
          <w:rFonts w:asciiTheme="majorHAnsi" w:hAnsiTheme="majorHAnsi"/>
          <w:sz w:val="20"/>
          <w:szCs w:val="20"/>
        </w:rPr>
      </w:pPr>
      <w:r w:rsidRPr="00326F31">
        <w:rPr>
          <w:rFonts w:asciiTheme="majorHAnsi" w:hAnsiTheme="majorHAnsi"/>
          <w:sz w:val="20"/>
          <w:szCs w:val="20"/>
        </w:rPr>
        <w:lastRenderedPageBreak/>
        <w:t xml:space="preserve">RSM: </w:t>
      </w:r>
      <w:r w:rsidR="007F6C61" w:rsidRPr="00326F31">
        <w:rPr>
          <w:rFonts w:asciiTheme="majorHAnsi" w:hAnsiTheme="majorHAnsi"/>
          <w:sz w:val="20"/>
          <w:szCs w:val="20"/>
        </w:rPr>
        <w:t>To dispose of all the employees who sign.</w:t>
      </w:r>
    </w:p>
    <w:p w14:paraId="29BD91B8" w14:textId="5C057042" w:rsidR="0070448F" w:rsidRPr="00326F31" w:rsidRDefault="0070448F" w:rsidP="00326F31">
      <w:pPr>
        <w:ind w:left="720" w:right="720"/>
        <w:jc w:val="both"/>
        <w:rPr>
          <w:rFonts w:asciiTheme="majorHAnsi" w:hAnsiTheme="majorHAnsi"/>
          <w:sz w:val="20"/>
          <w:szCs w:val="20"/>
        </w:rPr>
      </w:pPr>
      <w:r w:rsidRPr="00326F31">
        <w:rPr>
          <w:rFonts w:asciiTheme="majorHAnsi" w:hAnsiTheme="majorHAnsi"/>
          <w:sz w:val="20"/>
          <w:szCs w:val="20"/>
        </w:rPr>
        <w:t xml:space="preserve">FC: </w:t>
      </w:r>
      <w:r w:rsidR="007F6C61" w:rsidRPr="00326F31">
        <w:rPr>
          <w:rFonts w:asciiTheme="majorHAnsi" w:hAnsiTheme="majorHAnsi"/>
          <w:sz w:val="20"/>
          <w:szCs w:val="20"/>
        </w:rPr>
        <w:t>Well, at least José Vicente made the decision in our case</w:t>
      </w:r>
      <w:r w:rsidR="007F6C61" w:rsidRPr="00326F31">
        <w:rPr>
          <w:rFonts w:asciiTheme="majorHAnsi" w:hAnsiTheme="majorHAnsi"/>
          <w:sz w:val="20"/>
          <w:szCs w:val="20"/>
          <w:vertAlign w:val="superscript"/>
          <w:lang w:val="es-ES"/>
        </w:rPr>
        <w:footnoteReference w:id="88"/>
      </w:r>
      <w:r w:rsidR="007F6C61" w:rsidRPr="00326F31">
        <w:rPr>
          <w:rFonts w:asciiTheme="majorHAnsi" w:hAnsiTheme="majorHAnsi"/>
          <w:sz w:val="20"/>
          <w:szCs w:val="20"/>
        </w:rPr>
        <w:t>.</w:t>
      </w:r>
    </w:p>
    <w:p w14:paraId="0AAA3130" w14:textId="77777777" w:rsidR="00CE5D46" w:rsidRPr="00326F31" w:rsidRDefault="00CE5D46"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28D1B07B" w14:textId="558A8E40" w:rsidR="0052425B" w:rsidRPr="00326F31" w:rsidRDefault="003845EE"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In connection with the termination of the contract of the employee surnamed Guerra, the recording has the following:</w:t>
      </w:r>
    </w:p>
    <w:p w14:paraId="24DFD8EC" w14:textId="77777777" w:rsidR="003845EE" w:rsidRPr="00326F31" w:rsidRDefault="003845EE" w:rsidP="00326F31">
      <w:pPr>
        <w:ind w:left="720" w:right="720"/>
        <w:jc w:val="both"/>
        <w:rPr>
          <w:rFonts w:asciiTheme="majorHAnsi" w:hAnsiTheme="majorHAnsi"/>
          <w:sz w:val="20"/>
          <w:szCs w:val="20"/>
        </w:rPr>
      </w:pPr>
    </w:p>
    <w:p w14:paraId="4B374FE0" w14:textId="6AA6E96D" w:rsidR="0052425B" w:rsidRPr="00326F31" w:rsidRDefault="0052425B" w:rsidP="00326F31">
      <w:pPr>
        <w:ind w:left="720" w:right="720"/>
        <w:jc w:val="both"/>
        <w:rPr>
          <w:rFonts w:asciiTheme="majorHAnsi" w:hAnsiTheme="majorHAnsi"/>
          <w:sz w:val="20"/>
          <w:szCs w:val="20"/>
        </w:rPr>
      </w:pPr>
      <w:r w:rsidRPr="00326F31">
        <w:rPr>
          <w:rFonts w:asciiTheme="majorHAnsi" w:hAnsiTheme="majorHAnsi"/>
          <w:sz w:val="20"/>
          <w:szCs w:val="20"/>
        </w:rPr>
        <w:t xml:space="preserve">FC: </w:t>
      </w:r>
      <w:r w:rsidR="003845EE" w:rsidRPr="00326F31">
        <w:rPr>
          <w:rFonts w:asciiTheme="majorHAnsi" w:hAnsiTheme="majorHAnsi"/>
          <w:sz w:val="20"/>
          <w:szCs w:val="20"/>
        </w:rPr>
        <w:t>I mean, I, I took the decision not to execute the decision of, of José Vicente regarding Guerra.</w:t>
      </w:r>
    </w:p>
    <w:p w14:paraId="3156A887" w14:textId="27DF423B" w:rsidR="0052425B" w:rsidRPr="00326F31" w:rsidRDefault="0052425B" w:rsidP="00326F31">
      <w:pPr>
        <w:ind w:left="720" w:right="720"/>
        <w:jc w:val="both"/>
        <w:rPr>
          <w:rFonts w:asciiTheme="majorHAnsi" w:hAnsiTheme="majorHAnsi"/>
          <w:sz w:val="20"/>
          <w:szCs w:val="20"/>
        </w:rPr>
      </w:pPr>
      <w:r w:rsidRPr="00326F31">
        <w:rPr>
          <w:rFonts w:asciiTheme="majorHAnsi" w:hAnsiTheme="majorHAnsi"/>
          <w:sz w:val="20"/>
          <w:szCs w:val="20"/>
        </w:rPr>
        <w:t xml:space="preserve">RSM: </w:t>
      </w:r>
      <w:r w:rsidR="003845EE" w:rsidRPr="00326F31">
        <w:rPr>
          <w:rFonts w:asciiTheme="majorHAnsi" w:hAnsiTheme="majorHAnsi"/>
          <w:sz w:val="20"/>
          <w:szCs w:val="20"/>
        </w:rPr>
        <w:t>Ok, perfect right?</w:t>
      </w:r>
    </w:p>
    <w:p w14:paraId="1B6A80CC" w14:textId="6B93E1E2" w:rsidR="0052425B" w:rsidRPr="00326F31" w:rsidRDefault="0052425B" w:rsidP="00326F31">
      <w:pPr>
        <w:ind w:left="720" w:right="720"/>
        <w:jc w:val="both"/>
        <w:rPr>
          <w:rFonts w:asciiTheme="majorHAnsi" w:hAnsiTheme="majorHAnsi"/>
          <w:sz w:val="20"/>
          <w:szCs w:val="20"/>
        </w:rPr>
      </w:pPr>
      <w:r w:rsidRPr="00326F31">
        <w:rPr>
          <w:rFonts w:asciiTheme="majorHAnsi" w:hAnsiTheme="majorHAnsi"/>
          <w:sz w:val="20"/>
          <w:szCs w:val="20"/>
        </w:rPr>
        <w:t xml:space="preserve">FC: </w:t>
      </w:r>
      <w:r w:rsidR="003845EE" w:rsidRPr="00326F31">
        <w:rPr>
          <w:rFonts w:asciiTheme="majorHAnsi" w:hAnsiTheme="majorHAnsi"/>
          <w:sz w:val="20"/>
          <w:szCs w:val="20"/>
        </w:rPr>
        <w:t>Because, well, because</w:t>
      </w:r>
    </w:p>
    <w:p w14:paraId="10A1B5DA" w14:textId="2D100E69" w:rsidR="0052425B" w:rsidRPr="00326F31" w:rsidRDefault="0052425B" w:rsidP="00326F31">
      <w:pPr>
        <w:ind w:left="720" w:right="720"/>
        <w:jc w:val="both"/>
        <w:rPr>
          <w:rFonts w:asciiTheme="majorHAnsi" w:hAnsiTheme="majorHAnsi"/>
          <w:sz w:val="20"/>
          <w:szCs w:val="20"/>
        </w:rPr>
      </w:pPr>
      <w:r w:rsidRPr="00326F31">
        <w:rPr>
          <w:rFonts w:asciiTheme="majorHAnsi" w:hAnsiTheme="majorHAnsi"/>
          <w:sz w:val="20"/>
          <w:szCs w:val="20"/>
        </w:rPr>
        <w:t xml:space="preserve">RSM: </w:t>
      </w:r>
      <w:r w:rsidR="003845EE" w:rsidRPr="00326F31">
        <w:rPr>
          <w:rFonts w:asciiTheme="majorHAnsi" w:hAnsiTheme="majorHAnsi"/>
          <w:sz w:val="20"/>
          <w:szCs w:val="20"/>
        </w:rPr>
        <w:t>He's going to do it right now</w:t>
      </w:r>
    </w:p>
    <w:p w14:paraId="6261492C" w14:textId="3220655A" w:rsidR="0052425B" w:rsidRPr="00326F31" w:rsidRDefault="0052425B" w:rsidP="00326F31">
      <w:pPr>
        <w:ind w:left="720" w:right="720"/>
        <w:jc w:val="both"/>
        <w:rPr>
          <w:rFonts w:asciiTheme="majorHAnsi" w:hAnsiTheme="majorHAnsi"/>
          <w:sz w:val="20"/>
          <w:szCs w:val="20"/>
        </w:rPr>
      </w:pPr>
      <w:r w:rsidRPr="00326F31">
        <w:rPr>
          <w:rFonts w:asciiTheme="majorHAnsi" w:hAnsiTheme="majorHAnsi"/>
          <w:sz w:val="20"/>
          <w:szCs w:val="20"/>
        </w:rPr>
        <w:t xml:space="preserve">FC: </w:t>
      </w:r>
      <w:r w:rsidR="003845EE" w:rsidRPr="00326F31">
        <w:rPr>
          <w:rFonts w:asciiTheme="majorHAnsi" w:hAnsiTheme="majorHAnsi"/>
          <w:sz w:val="20"/>
          <w:szCs w:val="20"/>
        </w:rPr>
        <w:t>In any case they are different, because in the other case, they said, "Yes, we signed," oh, well.</w:t>
      </w:r>
    </w:p>
    <w:p w14:paraId="3BB812B8" w14:textId="532DF93D" w:rsidR="0052425B" w:rsidRPr="00165F1E" w:rsidRDefault="0052425B" w:rsidP="00326F31">
      <w:pPr>
        <w:ind w:left="720" w:right="720"/>
        <w:jc w:val="both"/>
        <w:rPr>
          <w:rFonts w:asciiTheme="majorHAnsi" w:hAnsiTheme="majorHAnsi"/>
          <w:sz w:val="20"/>
          <w:szCs w:val="20"/>
        </w:rPr>
      </w:pPr>
      <w:r w:rsidRPr="00326F31">
        <w:rPr>
          <w:rFonts w:asciiTheme="majorHAnsi" w:hAnsiTheme="majorHAnsi"/>
          <w:sz w:val="20"/>
          <w:szCs w:val="20"/>
        </w:rPr>
        <w:t xml:space="preserve">RSM: </w:t>
      </w:r>
      <w:r w:rsidR="003845EE" w:rsidRPr="00326F31">
        <w:rPr>
          <w:rFonts w:asciiTheme="majorHAnsi" w:hAnsiTheme="majorHAnsi"/>
          <w:sz w:val="20"/>
          <w:szCs w:val="20"/>
        </w:rPr>
        <w:t xml:space="preserve">OK. Now one thing. What will Guerra do right now, is he going to have to say it in a public document? </w:t>
      </w:r>
      <w:r w:rsidR="003845EE" w:rsidRPr="00165F1E">
        <w:rPr>
          <w:rFonts w:asciiTheme="majorHAnsi" w:hAnsiTheme="majorHAnsi"/>
          <w:sz w:val="20"/>
          <w:szCs w:val="20"/>
        </w:rPr>
        <w:t xml:space="preserve">No? </w:t>
      </w:r>
      <w:proofErr w:type="gramStart"/>
      <w:r w:rsidR="003845EE" w:rsidRPr="00165F1E">
        <w:rPr>
          <w:rFonts w:asciiTheme="majorHAnsi" w:hAnsiTheme="majorHAnsi"/>
          <w:sz w:val="20"/>
          <w:szCs w:val="20"/>
        </w:rPr>
        <w:t>Before the CNE?</w:t>
      </w:r>
      <w:proofErr w:type="gramEnd"/>
      <w:r w:rsidR="003845EE" w:rsidRPr="00165F1E">
        <w:rPr>
          <w:rFonts w:asciiTheme="majorHAnsi" w:hAnsiTheme="majorHAnsi"/>
          <w:sz w:val="20"/>
          <w:szCs w:val="20"/>
        </w:rPr>
        <w:t xml:space="preserve"> </w:t>
      </w:r>
    </w:p>
    <w:p w14:paraId="1DB63BFD" w14:textId="2BC3B58B" w:rsidR="0052425B" w:rsidRPr="00326F31" w:rsidRDefault="0052425B" w:rsidP="00326F31">
      <w:pPr>
        <w:ind w:left="720" w:right="720"/>
        <w:jc w:val="both"/>
        <w:rPr>
          <w:rFonts w:asciiTheme="majorHAnsi" w:hAnsiTheme="majorHAnsi"/>
          <w:sz w:val="20"/>
          <w:szCs w:val="20"/>
        </w:rPr>
      </w:pPr>
      <w:r w:rsidRPr="0073120A">
        <w:rPr>
          <w:rFonts w:asciiTheme="majorHAnsi" w:hAnsiTheme="majorHAnsi"/>
          <w:sz w:val="20"/>
          <w:szCs w:val="20"/>
        </w:rPr>
        <w:t xml:space="preserve">FC: </w:t>
      </w:r>
      <w:r w:rsidR="003845EE" w:rsidRPr="00326F31">
        <w:rPr>
          <w:rFonts w:asciiTheme="majorHAnsi" w:hAnsiTheme="majorHAnsi"/>
          <w:sz w:val="20"/>
          <w:szCs w:val="20"/>
        </w:rPr>
        <w:t>No, he has to wait, for the call to challenge and do so.</w:t>
      </w:r>
    </w:p>
    <w:p w14:paraId="22DDF112" w14:textId="7D70FAC2" w:rsidR="00C94E03" w:rsidRPr="00506E20" w:rsidRDefault="003845EE" w:rsidP="00326F31">
      <w:pPr>
        <w:ind w:left="720" w:right="720"/>
        <w:jc w:val="both"/>
        <w:rPr>
          <w:rFonts w:asciiTheme="majorHAnsi" w:hAnsiTheme="majorHAnsi"/>
          <w:sz w:val="20"/>
          <w:szCs w:val="20"/>
        </w:rPr>
      </w:pPr>
      <w:r w:rsidRPr="00506E20">
        <w:rPr>
          <w:rFonts w:asciiTheme="majorHAnsi" w:hAnsiTheme="majorHAnsi"/>
          <w:sz w:val="20"/>
          <w:szCs w:val="20"/>
        </w:rPr>
        <w:t>RSM: OK</w:t>
      </w:r>
    </w:p>
    <w:p w14:paraId="3776030D" w14:textId="25412813" w:rsidR="00C94E03" w:rsidRPr="00506E20" w:rsidRDefault="00C94E03" w:rsidP="00326F31">
      <w:pPr>
        <w:ind w:left="720" w:right="720"/>
        <w:jc w:val="both"/>
        <w:rPr>
          <w:rFonts w:asciiTheme="majorHAnsi" w:hAnsiTheme="majorHAnsi"/>
          <w:sz w:val="20"/>
          <w:szCs w:val="20"/>
        </w:rPr>
      </w:pPr>
      <w:r w:rsidRPr="00506E20">
        <w:rPr>
          <w:rFonts w:asciiTheme="majorHAnsi" w:hAnsiTheme="majorHAnsi"/>
          <w:sz w:val="20"/>
          <w:szCs w:val="20"/>
        </w:rPr>
        <w:t xml:space="preserve">FC: </w:t>
      </w:r>
      <w:r w:rsidR="003845EE" w:rsidRPr="00506E20">
        <w:rPr>
          <w:rFonts w:asciiTheme="majorHAnsi" w:hAnsiTheme="majorHAnsi"/>
          <w:sz w:val="20"/>
          <w:szCs w:val="20"/>
        </w:rPr>
        <w:t>Nothing else</w:t>
      </w:r>
    </w:p>
    <w:p w14:paraId="08B2D39F" w14:textId="0A38CDB1" w:rsidR="00C94E03" w:rsidRPr="00506E20" w:rsidRDefault="00C94E03" w:rsidP="00326F31">
      <w:pPr>
        <w:ind w:left="720" w:right="720"/>
        <w:jc w:val="both"/>
        <w:rPr>
          <w:rFonts w:asciiTheme="majorHAnsi" w:hAnsiTheme="majorHAnsi"/>
          <w:sz w:val="20"/>
          <w:szCs w:val="20"/>
        </w:rPr>
      </w:pPr>
      <w:r w:rsidRPr="00506E20">
        <w:rPr>
          <w:rFonts w:asciiTheme="majorHAnsi" w:hAnsiTheme="majorHAnsi"/>
          <w:sz w:val="20"/>
          <w:szCs w:val="20"/>
        </w:rPr>
        <w:t>RSM: ah</w:t>
      </w:r>
    </w:p>
    <w:p w14:paraId="295A59EE" w14:textId="68F02983" w:rsidR="00C94E03" w:rsidRPr="00326F31" w:rsidRDefault="003845EE" w:rsidP="00326F31">
      <w:pPr>
        <w:ind w:left="720" w:right="720"/>
        <w:jc w:val="both"/>
        <w:rPr>
          <w:rFonts w:asciiTheme="majorHAnsi" w:hAnsiTheme="majorHAnsi"/>
          <w:sz w:val="20"/>
          <w:szCs w:val="20"/>
        </w:rPr>
      </w:pPr>
      <w:r w:rsidRPr="00326F31">
        <w:rPr>
          <w:rFonts w:asciiTheme="majorHAnsi" w:hAnsiTheme="majorHAnsi"/>
          <w:sz w:val="20"/>
          <w:szCs w:val="20"/>
        </w:rPr>
        <w:t>FC: And</w:t>
      </w:r>
    </w:p>
    <w:p w14:paraId="4037A4B1" w14:textId="7B7FF998" w:rsidR="00C94E03" w:rsidRPr="00326F31" w:rsidRDefault="00C94E03" w:rsidP="00326F31">
      <w:pPr>
        <w:ind w:left="720" w:right="720"/>
        <w:jc w:val="both"/>
        <w:rPr>
          <w:rFonts w:asciiTheme="majorHAnsi" w:hAnsiTheme="majorHAnsi"/>
          <w:sz w:val="20"/>
          <w:szCs w:val="20"/>
        </w:rPr>
      </w:pPr>
      <w:r w:rsidRPr="00326F31">
        <w:rPr>
          <w:rFonts w:asciiTheme="majorHAnsi" w:hAnsiTheme="majorHAnsi"/>
          <w:sz w:val="20"/>
          <w:szCs w:val="20"/>
        </w:rPr>
        <w:t xml:space="preserve">RSM: </w:t>
      </w:r>
      <w:r w:rsidR="003845EE" w:rsidRPr="00326F31">
        <w:rPr>
          <w:rFonts w:asciiTheme="majorHAnsi" w:hAnsiTheme="majorHAnsi"/>
          <w:sz w:val="20"/>
          <w:szCs w:val="20"/>
        </w:rPr>
        <w:t>It's okay</w:t>
      </w:r>
    </w:p>
    <w:p w14:paraId="2A5012AD" w14:textId="024B604A" w:rsidR="00C94E03" w:rsidRPr="00326F31" w:rsidRDefault="00C94E03" w:rsidP="00326F31">
      <w:pPr>
        <w:ind w:left="720" w:right="720"/>
        <w:jc w:val="both"/>
        <w:rPr>
          <w:rFonts w:asciiTheme="majorHAnsi" w:hAnsiTheme="majorHAnsi"/>
          <w:sz w:val="20"/>
          <w:szCs w:val="20"/>
        </w:rPr>
      </w:pPr>
      <w:r w:rsidRPr="00326F31">
        <w:rPr>
          <w:rFonts w:asciiTheme="majorHAnsi" w:hAnsiTheme="majorHAnsi"/>
          <w:sz w:val="20"/>
          <w:szCs w:val="20"/>
        </w:rPr>
        <w:t>FC:</w:t>
      </w:r>
      <w:r w:rsidR="005E6C10">
        <w:rPr>
          <w:rFonts w:asciiTheme="majorHAnsi" w:hAnsiTheme="majorHAnsi"/>
          <w:sz w:val="20"/>
          <w:szCs w:val="20"/>
        </w:rPr>
        <w:t xml:space="preserve"> </w:t>
      </w:r>
      <w:r w:rsidR="003845EE" w:rsidRPr="00326F31">
        <w:rPr>
          <w:rFonts w:asciiTheme="majorHAnsi" w:hAnsiTheme="majorHAnsi"/>
          <w:sz w:val="20"/>
          <w:szCs w:val="20"/>
        </w:rPr>
        <w:t>And that's what</w:t>
      </w:r>
    </w:p>
    <w:p w14:paraId="7CFD2ACA" w14:textId="47F5E874" w:rsidR="00C94E03" w:rsidRPr="00326F31" w:rsidRDefault="003845EE" w:rsidP="00326F31">
      <w:pPr>
        <w:ind w:left="720" w:right="720"/>
        <w:jc w:val="both"/>
        <w:rPr>
          <w:rFonts w:asciiTheme="majorHAnsi" w:hAnsiTheme="majorHAnsi"/>
          <w:sz w:val="20"/>
          <w:szCs w:val="20"/>
        </w:rPr>
      </w:pPr>
      <w:r w:rsidRPr="00326F31">
        <w:rPr>
          <w:rFonts w:asciiTheme="majorHAnsi" w:hAnsiTheme="majorHAnsi"/>
          <w:sz w:val="20"/>
          <w:szCs w:val="20"/>
        </w:rPr>
        <w:t>RSM: Did you warn José Vicente that, that, that this is not, this is not not, not allowed? To fire people for, for signing. Did you warn him?</w:t>
      </w:r>
    </w:p>
    <w:p w14:paraId="086D2D5F" w14:textId="698EA502" w:rsidR="00C94E03" w:rsidRPr="00326F31" w:rsidRDefault="00C94E03" w:rsidP="00326F31">
      <w:pPr>
        <w:ind w:left="720" w:right="720"/>
        <w:jc w:val="both"/>
        <w:rPr>
          <w:rFonts w:asciiTheme="majorHAnsi" w:hAnsiTheme="majorHAnsi"/>
          <w:sz w:val="20"/>
          <w:szCs w:val="20"/>
        </w:rPr>
      </w:pPr>
      <w:r w:rsidRPr="00326F31">
        <w:rPr>
          <w:rFonts w:asciiTheme="majorHAnsi" w:hAnsiTheme="majorHAnsi"/>
          <w:sz w:val="20"/>
          <w:szCs w:val="20"/>
        </w:rPr>
        <w:t xml:space="preserve">FC: </w:t>
      </w:r>
      <w:r w:rsidR="003845EE" w:rsidRPr="00326F31">
        <w:rPr>
          <w:rFonts w:asciiTheme="majorHAnsi" w:hAnsiTheme="majorHAnsi"/>
          <w:sz w:val="20"/>
          <w:szCs w:val="20"/>
        </w:rPr>
        <w:t>In those terms like you're telling me, no</w:t>
      </w:r>
      <w:r w:rsidR="000D77A5" w:rsidRPr="00326F31">
        <w:rPr>
          <w:rFonts w:asciiTheme="majorHAnsi" w:hAnsiTheme="majorHAnsi"/>
          <w:sz w:val="20"/>
          <w:szCs w:val="20"/>
          <w:vertAlign w:val="superscript"/>
          <w:lang w:val="es-ES"/>
        </w:rPr>
        <w:footnoteReference w:id="89"/>
      </w:r>
      <w:r w:rsidRPr="00326F31">
        <w:rPr>
          <w:rFonts w:asciiTheme="majorHAnsi" w:hAnsiTheme="majorHAnsi"/>
          <w:sz w:val="20"/>
          <w:szCs w:val="20"/>
        </w:rPr>
        <w:t xml:space="preserve">. </w:t>
      </w:r>
    </w:p>
    <w:p w14:paraId="2CC8F722" w14:textId="715B3A8D" w:rsidR="004D741F" w:rsidRPr="00326F31" w:rsidRDefault="0052425B" w:rsidP="00326F31">
      <w:pPr>
        <w:ind w:left="720" w:right="720"/>
        <w:jc w:val="both"/>
        <w:rPr>
          <w:rFonts w:asciiTheme="majorHAnsi" w:hAnsiTheme="majorHAnsi"/>
          <w:sz w:val="20"/>
          <w:szCs w:val="20"/>
        </w:rPr>
      </w:pPr>
      <w:r w:rsidRPr="00326F31">
        <w:rPr>
          <w:rFonts w:asciiTheme="majorHAnsi" w:hAnsiTheme="majorHAnsi"/>
          <w:sz w:val="20"/>
          <w:szCs w:val="20"/>
        </w:rPr>
        <w:t xml:space="preserve"> </w:t>
      </w:r>
    </w:p>
    <w:p w14:paraId="2BD06B53" w14:textId="70AFB655" w:rsidR="00897D3C" w:rsidRPr="00326F31" w:rsidRDefault="00897D3C"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In a conversation between Rocio San Miguel Sosa and Ilia Azpurua, Legal Consultant of the Vice Presidency of the Republic, the former expressed her dismay at the termination of her contract stating that regardless of having signed the presidential referendum, she always fulfilled her dutie</w:t>
      </w:r>
      <w:r w:rsidR="005F6DBD" w:rsidRPr="00326F31">
        <w:rPr>
          <w:rFonts w:asciiTheme="majorHAnsi" w:hAnsiTheme="majorHAnsi"/>
          <w:sz w:val="20"/>
          <w:szCs w:val="20"/>
        </w:rPr>
        <w:t xml:space="preserve">s, to which the latter </w:t>
      </w:r>
      <w:r w:rsidRPr="00326F31">
        <w:rPr>
          <w:rFonts w:asciiTheme="majorHAnsi" w:hAnsiTheme="majorHAnsi"/>
          <w:sz w:val="20"/>
          <w:szCs w:val="20"/>
        </w:rPr>
        <w:t>replied that she would inform the Vice President</w:t>
      </w:r>
      <w:r w:rsidR="005F6DBD" w:rsidRPr="00326F31">
        <w:rPr>
          <w:rFonts w:asciiTheme="majorHAnsi" w:hAnsiTheme="majorHAnsi"/>
          <w:sz w:val="20"/>
          <w:szCs w:val="20"/>
        </w:rPr>
        <w:t xml:space="preserve"> of that</w:t>
      </w:r>
      <w:r w:rsidRPr="00326F31">
        <w:rPr>
          <w:rFonts w:asciiTheme="majorHAnsi" w:hAnsiTheme="majorHAnsi"/>
          <w:sz w:val="20"/>
          <w:szCs w:val="20"/>
        </w:rPr>
        <w:t>, also stating that "I think, I repeat. I consider you</w:t>
      </w:r>
      <w:r w:rsidR="005F6DBD" w:rsidRPr="00326F31">
        <w:rPr>
          <w:rFonts w:asciiTheme="majorHAnsi" w:hAnsiTheme="majorHAnsi"/>
          <w:sz w:val="20"/>
          <w:szCs w:val="20"/>
        </w:rPr>
        <w:t xml:space="preserve"> to be</w:t>
      </w:r>
      <w:r w:rsidRPr="00326F31">
        <w:rPr>
          <w:rFonts w:asciiTheme="majorHAnsi" w:hAnsiTheme="majorHAnsi"/>
          <w:sz w:val="20"/>
          <w:szCs w:val="20"/>
        </w:rPr>
        <w:t xml:space="preserve"> a highly professional person. But you have to understand a little, I mean, you're in the White Palace right? That is an issue, it is paradoxical right? Because your work has nothing to do with it. But it is paradoxical. </w:t>
      </w:r>
      <w:r w:rsidR="007A5CA0">
        <w:rPr>
          <w:rFonts w:asciiTheme="majorHAnsi" w:hAnsiTheme="majorHAnsi"/>
          <w:sz w:val="20"/>
          <w:szCs w:val="20"/>
        </w:rPr>
        <w:t>But you have to be aware of your surroundings</w:t>
      </w:r>
      <w:r w:rsidRPr="00326F31">
        <w:rPr>
          <w:rFonts w:asciiTheme="majorHAnsi" w:hAnsiTheme="majorHAnsi"/>
          <w:sz w:val="20"/>
          <w:szCs w:val="20"/>
        </w:rPr>
        <w:t>, at least in the</w:t>
      </w:r>
      <w:r w:rsidR="005F6DBD" w:rsidRPr="00326F31">
        <w:rPr>
          <w:rFonts w:asciiTheme="majorHAnsi" w:hAnsiTheme="majorHAnsi"/>
          <w:sz w:val="20"/>
          <w:szCs w:val="20"/>
        </w:rPr>
        <w:t xml:space="preserve"> physical space where you work at</w:t>
      </w:r>
      <w:r w:rsidRPr="00326F31">
        <w:rPr>
          <w:rFonts w:asciiTheme="majorHAnsi" w:hAnsiTheme="majorHAnsi"/>
          <w:sz w:val="20"/>
          <w:szCs w:val="20"/>
        </w:rPr>
        <w:t>"</w:t>
      </w:r>
      <w:r w:rsidR="005F6DBD" w:rsidRPr="00326F31">
        <w:rPr>
          <w:rStyle w:val="FootnoteTextChar"/>
          <w:rFonts w:asciiTheme="majorHAnsi" w:hAnsiTheme="majorHAnsi"/>
          <w:sz w:val="20"/>
          <w:szCs w:val="20"/>
          <w:vertAlign w:val="superscript"/>
        </w:rPr>
        <w:footnoteReference w:id="90"/>
      </w:r>
      <w:r w:rsidR="005F6DBD" w:rsidRPr="00326F31">
        <w:rPr>
          <w:rFonts w:asciiTheme="majorHAnsi" w:hAnsiTheme="majorHAnsi"/>
          <w:sz w:val="20"/>
          <w:szCs w:val="20"/>
        </w:rPr>
        <w:t>.</w:t>
      </w:r>
    </w:p>
    <w:p w14:paraId="03068495" w14:textId="77777777" w:rsidR="002C3F66" w:rsidRPr="00326F31" w:rsidRDefault="002C3F66" w:rsidP="00326F31">
      <w:pPr>
        <w:pStyle w:val="ListParagraph"/>
        <w:jc w:val="both"/>
        <w:rPr>
          <w:rFonts w:asciiTheme="majorHAnsi" w:hAnsiTheme="majorHAnsi"/>
          <w:sz w:val="20"/>
          <w:szCs w:val="20"/>
        </w:rPr>
      </w:pPr>
    </w:p>
    <w:p w14:paraId="124EE625" w14:textId="7CE18320" w:rsidR="002C3F66" w:rsidRPr="00326F31" w:rsidRDefault="002C3F66"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As indicated at the beginning of this section, the three alleged victims held various monthly, semi-annual or annual contracts with the National Border Council. Rocío San Miguel held eight contracts with the National Border Council between 1996 and 2004</w:t>
      </w:r>
      <w:r w:rsidRPr="00326F31">
        <w:rPr>
          <w:rStyle w:val="FootnoteReference"/>
          <w:rFonts w:asciiTheme="majorHAnsi" w:hAnsiTheme="majorHAnsi"/>
          <w:sz w:val="20"/>
          <w:szCs w:val="20"/>
          <w:lang w:val="es-VE"/>
        </w:rPr>
        <w:footnoteReference w:id="91"/>
      </w:r>
      <w:r w:rsidR="00A16C0A">
        <w:rPr>
          <w:rFonts w:asciiTheme="majorHAnsi" w:hAnsiTheme="majorHAnsi"/>
          <w:sz w:val="20"/>
          <w:szCs w:val="20"/>
        </w:rPr>
        <w:t xml:space="preserve">; </w:t>
      </w:r>
      <w:proofErr w:type="spellStart"/>
      <w:r w:rsidR="00A16C0A">
        <w:rPr>
          <w:rFonts w:asciiTheme="majorHAnsi" w:hAnsiTheme="majorHAnsi"/>
          <w:sz w:val="20"/>
          <w:szCs w:val="20"/>
        </w:rPr>
        <w:t>Magally</w:t>
      </w:r>
      <w:proofErr w:type="spellEnd"/>
      <w:r w:rsidR="00A16C0A">
        <w:rPr>
          <w:rFonts w:asciiTheme="majorHAnsi" w:hAnsiTheme="majorHAnsi"/>
          <w:sz w:val="20"/>
          <w:szCs w:val="20"/>
        </w:rPr>
        <w:t xml:space="preserve"> </w:t>
      </w:r>
      <w:r w:rsidRPr="00326F31">
        <w:rPr>
          <w:rFonts w:asciiTheme="majorHAnsi" w:hAnsiTheme="majorHAnsi"/>
          <w:sz w:val="20"/>
          <w:szCs w:val="20"/>
        </w:rPr>
        <w:t xml:space="preserve">Chang </w:t>
      </w:r>
      <w:proofErr w:type="spellStart"/>
      <w:r w:rsidRPr="00326F31">
        <w:rPr>
          <w:rFonts w:asciiTheme="majorHAnsi" w:hAnsiTheme="majorHAnsi"/>
          <w:sz w:val="20"/>
          <w:szCs w:val="20"/>
        </w:rPr>
        <w:t>Girón</w:t>
      </w:r>
      <w:proofErr w:type="spellEnd"/>
      <w:r w:rsidRPr="00326F31">
        <w:rPr>
          <w:rFonts w:asciiTheme="majorHAnsi" w:hAnsiTheme="majorHAnsi"/>
          <w:sz w:val="20"/>
          <w:szCs w:val="20"/>
        </w:rPr>
        <w:t xml:space="preserve"> held 12 contracts with the same institution between 1997 and 2004</w:t>
      </w:r>
      <w:r w:rsidRPr="00326F31">
        <w:rPr>
          <w:rStyle w:val="FootnoteReference"/>
          <w:rFonts w:asciiTheme="majorHAnsi" w:hAnsiTheme="majorHAnsi"/>
          <w:sz w:val="20"/>
          <w:szCs w:val="20"/>
          <w:lang w:val="es-VE"/>
        </w:rPr>
        <w:footnoteReference w:id="92"/>
      </w:r>
      <w:r w:rsidRPr="00326F31">
        <w:rPr>
          <w:rFonts w:asciiTheme="majorHAnsi" w:hAnsiTheme="majorHAnsi"/>
          <w:sz w:val="20"/>
          <w:szCs w:val="20"/>
        </w:rPr>
        <w:t xml:space="preserve">; and Thais Coromoto Peña signed four contracts with the National </w:t>
      </w:r>
      <w:r w:rsidRPr="00326F31">
        <w:rPr>
          <w:rFonts w:asciiTheme="majorHAnsi" w:hAnsiTheme="majorHAnsi"/>
          <w:sz w:val="20"/>
          <w:szCs w:val="20"/>
        </w:rPr>
        <w:lastRenderedPageBreak/>
        <w:t>Border Council between 2000 and 2004</w:t>
      </w:r>
      <w:r w:rsidRPr="00326F31">
        <w:rPr>
          <w:rStyle w:val="FootnoteReference"/>
          <w:rFonts w:asciiTheme="majorHAnsi" w:hAnsiTheme="majorHAnsi"/>
          <w:sz w:val="20"/>
          <w:szCs w:val="20"/>
          <w:lang w:val="es-VE"/>
        </w:rPr>
        <w:footnoteReference w:id="93"/>
      </w:r>
      <w:r w:rsidRPr="00326F31">
        <w:rPr>
          <w:rFonts w:asciiTheme="majorHAnsi" w:hAnsiTheme="majorHAnsi"/>
          <w:sz w:val="20"/>
          <w:szCs w:val="20"/>
        </w:rPr>
        <w:t>. None of these contracts was terminated before the agreed period, except the lasts ones that were finalized three months after its inception and months after the alleged victims signed the petition for the presidential recall referendum.</w:t>
      </w:r>
    </w:p>
    <w:p w14:paraId="207BA804" w14:textId="77777777" w:rsidR="002C3F66" w:rsidRPr="00326F31" w:rsidRDefault="002C3F66" w:rsidP="00326F31">
      <w:pPr>
        <w:jc w:val="both"/>
        <w:rPr>
          <w:rFonts w:asciiTheme="majorHAnsi" w:hAnsiTheme="majorHAnsi"/>
          <w:sz w:val="20"/>
          <w:szCs w:val="20"/>
        </w:rPr>
      </w:pPr>
    </w:p>
    <w:p w14:paraId="6C04B353" w14:textId="66B64F3C" w:rsidR="002C3F66" w:rsidRPr="00326F31" w:rsidRDefault="002C3F66"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The Commission also notes that according to the list published in a Venezuelan national journal, out of the total of 23 employees of the National Border Council registered in the payroll until 2003</w:t>
      </w:r>
      <w:r w:rsidRPr="00326F31">
        <w:rPr>
          <w:rStyle w:val="FootnoteReference"/>
          <w:rFonts w:asciiTheme="majorHAnsi" w:hAnsiTheme="majorHAnsi"/>
          <w:sz w:val="20"/>
          <w:szCs w:val="20"/>
          <w:lang w:val="es-ES_tradnl"/>
        </w:rPr>
        <w:footnoteReference w:id="94"/>
      </w:r>
      <w:r w:rsidRPr="00326F31">
        <w:rPr>
          <w:rFonts w:asciiTheme="majorHAnsi" w:hAnsiTheme="majorHAnsi"/>
          <w:sz w:val="20"/>
          <w:szCs w:val="20"/>
        </w:rPr>
        <w:t xml:space="preserve">, four people signed the petition for a recall referendum on the presidential term, identified with the ID’s 3.247.646, 4.421.705, 6.974.789 y 11.928.963, which belong respectively to </w:t>
      </w:r>
      <w:proofErr w:type="spellStart"/>
      <w:r w:rsidRPr="00326F31">
        <w:rPr>
          <w:rFonts w:asciiTheme="majorHAnsi" w:hAnsiTheme="majorHAnsi"/>
          <w:sz w:val="20"/>
          <w:szCs w:val="20"/>
        </w:rPr>
        <w:t>Magally</w:t>
      </w:r>
      <w:proofErr w:type="spellEnd"/>
      <w:r w:rsidRPr="00326F31">
        <w:rPr>
          <w:rFonts w:asciiTheme="majorHAnsi" w:hAnsiTheme="majorHAnsi"/>
          <w:sz w:val="20"/>
          <w:szCs w:val="20"/>
        </w:rPr>
        <w:t xml:space="preserve"> Chang </w:t>
      </w:r>
      <w:proofErr w:type="spellStart"/>
      <w:r w:rsidRPr="00326F31">
        <w:rPr>
          <w:rFonts w:asciiTheme="majorHAnsi" w:hAnsiTheme="majorHAnsi"/>
          <w:sz w:val="20"/>
          <w:szCs w:val="20"/>
        </w:rPr>
        <w:t>Girón</w:t>
      </w:r>
      <w:proofErr w:type="spellEnd"/>
      <w:r w:rsidRPr="00326F31">
        <w:rPr>
          <w:rFonts w:asciiTheme="majorHAnsi" w:hAnsiTheme="majorHAnsi"/>
          <w:sz w:val="20"/>
          <w:szCs w:val="20"/>
        </w:rPr>
        <w:t>, Thai</w:t>
      </w:r>
      <w:r w:rsidR="00A82FB2" w:rsidRPr="00326F31">
        <w:rPr>
          <w:rFonts w:asciiTheme="majorHAnsi" w:hAnsiTheme="majorHAnsi"/>
          <w:sz w:val="20"/>
          <w:szCs w:val="20"/>
        </w:rPr>
        <w:t>s</w:t>
      </w:r>
      <w:r w:rsidR="00EF6A54">
        <w:rPr>
          <w:rFonts w:asciiTheme="majorHAnsi" w:hAnsiTheme="majorHAnsi"/>
          <w:sz w:val="20"/>
          <w:szCs w:val="20"/>
        </w:rPr>
        <w:t xml:space="preserve"> </w:t>
      </w:r>
      <w:proofErr w:type="spellStart"/>
      <w:r w:rsidR="00EF6A54">
        <w:rPr>
          <w:rFonts w:asciiTheme="majorHAnsi" w:hAnsiTheme="majorHAnsi"/>
          <w:sz w:val="20"/>
          <w:szCs w:val="20"/>
        </w:rPr>
        <w:t>Coromoto</w:t>
      </w:r>
      <w:proofErr w:type="spellEnd"/>
      <w:r w:rsidR="00A82FB2" w:rsidRPr="00326F31">
        <w:rPr>
          <w:rFonts w:asciiTheme="majorHAnsi" w:hAnsiTheme="majorHAnsi"/>
          <w:sz w:val="20"/>
          <w:szCs w:val="20"/>
        </w:rPr>
        <w:t xml:space="preserve"> Peña, </w:t>
      </w:r>
      <w:proofErr w:type="spellStart"/>
      <w:r w:rsidRPr="00326F31">
        <w:rPr>
          <w:rFonts w:asciiTheme="majorHAnsi" w:hAnsiTheme="majorHAnsi"/>
          <w:sz w:val="20"/>
          <w:szCs w:val="20"/>
        </w:rPr>
        <w:t>Rocío</w:t>
      </w:r>
      <w:proofErr w:type="spellEnd"/>
      <w:r w:rsidRPr="00326F31">
        <w:rPr>
          <w:rFonts w:asciiTheme="majorHAnsi" w:hAnsiTheme="majorHAnsi"/>
          <w:sz w:val="20"/>
          <w:szCs w:val="20"/>
        </w:rPr>
        <w:t xml:space="preserve"> San Miguel Sosa, and Jorge Guerra Navarro. All four people were informed of the termination of their contracts, however with respect to Jorge Navarro Guerra, as is clear from the statements of the alleged victims, he managed to keep his job after stating that "he did not sign the request for referendum, instead someone took his ID and signed for him"</w:t>
      </w:r>
      <w:r w:rsidRPr="00326F31">
        <w:rPr>
          <w:rStyle w:val="FootnoteReference"/>
          <w:rFonts w:asciiTheme="majorHAnsi" w:hAnsiTheme="majorHAnsi"/>
          <w:sz w:val="20"/>
          <w:szCs w:val="20"/>
          <w:lang w:val="es-ES_tradnl"/>
        </w:rPr>
        <w:footnoteReference w:id="95"/>
      </w:r>
      <w:r w:rsidRPr="00326F31">
        <w:rPr>
          <w:rFonts w:asciiTheme="majorHAnsi" w:hAnsiTheme="majorHAnsi"/>
          <w:sz w:val="20"/>
          <w:szCs w:val="20"/>
        </w:rPr>
        <w:t>, and that he would participate in the challenge process of signatures, to not to ratify it.</w:t>
      </w:r>
    </w:p>
    <w:p w14:paraId="05324C4C" w14:textId="77777777" w:rsidR="00027093" w:rsidRPr="00326F31" w:rsidRDefault="00027093" w:rsidP="00326F31">
      <w:pPr>
        <w:jc w:val="both"/>
        <w:rPr>
          <w:rFonts w:asciiTheme="majorHAnsi" w:hAnsiTheme="majorHAnsi"/>
          <w:sz w:val="20"/>
          <w:szCs w:val="20"/>
        </w:rPr>
      </w:pPr>
    </w:p>
    <w:p w14:paraId="75A5A54C" w14:textId="48B1B4D7" w:rsidR="00E40449" w:rsidRPr="00326F31" w:rsidRDefault="00504CC7" w:rsidP="00326F31">
      <w:pPr>
        <w:pStyle w:val="Heading2"/>
        <w:numPr>
          <w:ilvl w:val="0"/>
          <w:numId w:val="60"/>
        </w:numPr>
        <w:rPr>
          <w:lang w:val="en-US"/>
        </w:rPr>
      </w:pPr>
      <w:bookmarkStart w:id="16" w:name="_Toc433311133"/>
      <w:bookmarkStart w:id="17" w:name="_Toc420680447"/>
      <w:r w:rsidRPr="00326F31">
        <w:rPr>
          <w:lang w:val="en-US"/>
        </w:rPr>
        <w:t>Internal processes initiate</w:t>
      </w:r>
      <w:r w:rsidR="00706840" w:rsidRPr="00326F31">
        <w:rPr>
          <w:lang w:val="en-US"/>
        </w:rPr>
        <w:t>d in relation</w:t>
      </w:r>
      <w:r w:rsidR="00132BB6" w:rsidRPr="00326F31">
        <w:rPr>
          <w:lang w:val="en-US"/>
        </w:rPr>
        <w:t xml:space="preserve"> to the termination of the contracts</w:t>
      </w:r>
      <w:bookmarkEnd w:id="16"/>
    </w:p>
    <w:p w14:paraId="16E5A9CE" w14:textId="77777777" w:rsidR="00CC4B44" w:rsidRPr="00326F31" w:rsidRDefault="00CC4B44"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1139AE2D" w14:textId="32BCFA93" w:rsidR="00CC4B44" w:rsidRPr="00326F31" w:rsidRDefault="00CC4B44"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In view of the abovementioned facts, the alleged victims initiated and promoted the judicial actions described below.</w:t>
      </w:r>
    </w:p>
    <w:p w14:paraId="6CDB9C35" w14:textId="77777777" w:rsidR="00CC4B44" w:rsidRPr="00326F31" w:rsidRDefault="00CC4B44" w:rsidP="00326F31">
      <w:pPr>
        <w:jc w:val="both"/>
        <w:rPr>
          <w:rFonts w:asciiTheme="majorHAnsi" w:hAnsiTheme="majorHAnsi"/>
          <w:sz w:val="20"/>
          <w:szCs w:val="20"/>
        </w:rPr>
      </w:pPr>
    </w:p>
    <w:p w14:paraId="6E5E456A" w14:textId="4336CCEC" w:rsidR="00E40449" w:rsidRPr="00326F31" w:rsidRDefault="00CC4B44" w:rsidP="00326F31">
      <w:pPr>
        <w:pStyle w:val="ListParagraph"/>
        <w:numPr>
          <w:ilvl w:val="0"/>
          <w:numId w:val="61"/>
        </w:numPr>
        <w:tabs>
          <w:tab w:val="clear" w:pos="1800"/>
        </w:tabs>
        <w:ind w:left="1440" w:hanging="720"/>
        <w:jc w:val="both"/>
        <w:rPr>
          <w:rFonts w:asciiTheme="majorHAnsi" w:hAnsiTheme="majorHAnsi"/>
          <w:b/>
          <w:sz w:val="20"/>
          <w:szCs w:val="20"/>
          <w:lang w:val="es-VE"/>
        </w:rPr>
      </w:pPr>
      <w:r w:rsidRPr="00326F31">
        <w:rPr>
          <w:rFonts w:asciiTheme="majorHAnsi" w:hAnsiTheme="majorHAnsi"/>
          <w:b/>
          <w:sz w:val="20"/>
          <w:szCs w:val="20"/>
          <w:lang w:val="es-VE"/>
        </w:rPr>
        <w:t>Complaint before</w:t>
      </w:r>
      <w:r w:rsidR="00132BB6" w:rsidRPr="00326F31">
        <w:rPr>
          <w:rFonts w:asciiTheme="majorHAnsi" w:hAnsiTheme="majorHAnsi"/>
          <w:b/>
          <w:sz w:val="20"/>
          <w:szCs w:val="20"/>
          <w:lang w:val="es-VE"/>
        </w:rPr>
        <w:t xml:space="preserve"> the Ombudsman</w:t>
      </w:r>
    </w:p>
    <w:p w14:paraId="3199DBE2" w14:textId="77777777" w:rsidR="00E40449" w:rsidRPr="00326F31" w:rsidRDefault="00E40449" w:rsidP="00326F31">
      <w:pPr>
        <w:jc w:val="both"/>
        <w:rPr>
          <w:rFonts w:asciiTheme="majorHAnsi" w:hAnsiTheme="majorHAnsi"/>
          <w:sz w:val="20"/>
          <w:szCs w:val="20"/>
          <w:lang w:val="es-AR"/>
        </w:rPr>
      </w:pPr>
    </w:p>
    <w:p w14:paraId="247BB749" w14:textId="7D5CB322" w:rsidR="00D84471" w:rsidRPr="00326F31" w:rsidRDefault="00D84471"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May 27, 2004 Rocío San Miguel Sosa, Magally Chang Girón, and Thais Coromoto Peña, filed a complaint before the Ombudsman, alleging unjustified and discriminatory dismissal from the National Border Council, exercised in retaliation for their signatures on the petition for a presidential recall referendum</w:t>
      </w:r>
      <w:r w:rsidRPr="00326F31">
        <w:rPr>
          <w:rFonts w:asciiTheme="majorHAnsi" w:hAnsiTheme="majorHAnsi"/>
          <w:sz w:val="20"/>
          <w:szCs w:val="20"/>
          <w:vertAlign w:val="superscript"/>
          <w:lang w:val="es-ES_tradnl"/>
        </w:rPr>
        <w:footnoteReference w:id="96"/>
      </w:r>
      <w:r w:rsidRPr="00326F31">
        <w:rPr>
          <w:rFonts w:asciiTheme="majorHAnsi" w:hAnsiTheme="majorHAnsi"/>
          <w:sz w:val="20"/>
          <w:szCs w:val="20"/>
        </w:rPr>
        <w:t>. On June 29, 2004 the Delegate Defender of the Metropolitan Area of Caracas issued an order admitting the complaint and ordering the completion of all necessary steps to investigate the allegations</w:t>
      </w:r>
      <w:r w:rsidRPr="00326F31">
        <w:rPr>
          <w:rFonts w:asciiTheme="majorHAnsi" w:hAnsiTheme="majorHAnsi"/>
          <w:sz w:val="20"/>
          <w:szCs w:val="20"/>
          <w:vertAlign w:val="superscript"/>
          <w:lang w:val="es-ES_tradnl"/>
        </w:rPr>
        <w:footnoteReference w:id="97"/>
      </w:r>
      <w:r w:rsidRPr="00326F31">
        <w:rPr>
          <w:rFonts w:asciiTheme="majorHAnsi" w:hAnsiTheme="majorHAnsi"/>
          <w:sz w:val="20"/>
          <w:szCs w:val="20"/>
        </w:rPr>
        <w:t>.</w:t>
      </w:r>
    </w:p>
    <w:p w14:paraId="21907D77" w14:textId="77777777" w:rsidR="009007BF" w:rsidRPr="00326F31" w:rsidRDefault="009007BF" w:rsidP="00326F31">
      <w:pPr>
        <w:pStyle w:val="ListParagraph"/>
        <w:jc w:val="both"/>
        <w:rPr>
          <w:rFonts w:asciiTheme="majorHAnsi" w:hAnsiTheme="majorHAnsi"/>
          <w:sz w:val="20"/>
          <w:szCs w:val="20"/>
        </w:rPr>
      </w:pPr>
    </w:p>
    <w:p w14:paraId="144DE16C" w14:textId="6219FD2E" w:rsidR="009007BF" w:rsidRPr="00EF6A54" w:rsidRDefault="009007BF"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On 16 July 2004, the Coordinator of Legal Services of the Ombudsman Office issued a report indicating that it was not possible to prove the facts indicated by Rocío San Miguel Sosa, </w:t>
      </w:r>
      <w:proofErr w:type="spellStart"/>
      <w:r w:rsidRPr="00326F31">
        <w:rPr>
          <w:rFonts w:asciiTheme="majorHAnsi" w:hAnsiTheme="majorHAnsi"/>
          <w:sz w:val="20"/>
          <w:szCs w:val="20"/>
        </w:rPr>
        <w:t>Magal</w:t>
      </w:r>
      <w:r w:rsidR="00EF6A54">
        <w:rPr>
          <w:rFonts w:asciiTheme="majorHAnsi" w:hAnsiTheme="majorHAnsi"/>
          <w:sz w:val="20"/>
          <w:szCs w:val="20"/>
        </w:rPr>
        <w:t>ly</w:t>
      </w:r>
      <w:proofErr w:type="spellEnd"/>
      <w:r w:rsidRPr="00326F31">
        <w:rPr>
          <w:rFonts w:asciiTheme="majorHAnsi" w:hAnsiTheme="majorHAnsi"/>
          <w:sz w:val="20"/>
          <w:szCs w:val="20"/>
        </w:rPr>
        <w:t xml:space="preserve"> Chang </w:t>
      </w:r>
      <w:proofErr w:type="spellStart"/>
      <w:r w:rsidRPr="00326F31">
        <w:rPr>
          <w:rFonts w:asciiTheme="majorHAnsi" w:hAnsiTheme="majorHAnsi"/>
          <w:sz w:val="20"/>
          <w:szCs w:val="20"/>
        </w:rPr>
        <w:t>Girón</w:t>
      </w:r>
      <w:proofErr w:type="spellEnd"/>
      <w:r w:rsidRPr="00326F31">
        <w:rPr>
          <w:rFonts w:asciiTheme="majorHAnsi" w:hAnsiTheme="majorHAnsi"/>
          <w:sz w:val="20"/>
          <w:szCs w:val="20"/>
        </w:rPr>
        <w:t>, and Thais Coromoto Peña, in the sense that they were subjected to a discriminatory act by the National Border Council, by being fired from their respective post for having signed the petition for a presidential recall referendum</w:t>
      </w:r>
      <w:r w:rsidRPr="00326F31">
        <w:rPr>
          <w:rStyle w:val="FootnoteReference"/>
          <w:rFonts w:asciiTheme="majorHAnsi" w:hAnsiTheme="majorHAnsi"/>
          <w:sz w:val="20"/>
          <w:szCs w:val="20"/>
          <w:lang w:val="es-ES"/>
        </w:rPr>
        <w:footnoteReference w:id="98"/>
      </w:r>
      <w:r w:rsidRPr="00326F31">
        <w:rPr>
          <w:rFonts w:asciiTheme="majorHAnsi" w:hAnsiTheme="majorHAnsi"/>
          <w:sz w:val="20"/>
          <w:szCs w:val="20"/>
        </w:rPr>
        <w:t>. The report notes that:</w:t>
      </w:r>
    </w:p>
    <w:p w14:paraId="39534926" w14:textId="77777777" w:rsidR="00BF3DF6" w:rsidRPr="00326F31" w:rsidRDefault="00BF3DF6" w:rsidP="00326F31">
      <w:pPr>
        <w:pStyle w:val="ListParagraph"/>
        <w:jc w:val="both"/>
        <w:rPr>
          <w:rFonts w:asciiTheme="majorHAnsi" w:hAnsiTheme="majorHAnsi"/>
          <w:sz w:val="20"/>
          <w:szCs w:val="20"/>
        </w:rPr>
      </w:pPr>
    </w:p>
    <w:p w14:paraId="4B29F79E" w14:textId="0C1D105E" w:rsidR="00BB256D" w:rsidRPr="00326F31" w:rsidRDefault="006A58F8" w:rsidP="00326F31">
      <w:pPr>
        <w:ind w:left="720" w:right="720"/>
        <w:jc w:val="both"/>
        <w:rPr>
          <w:rFonts w:asciiTheme="majorHAnsi" w:hAnsiTheme="majorHAnsi"/>
          <w:sz w:val="20"/>
          <w:szCs w:val="20"/>
        </w:rPr>
      </w:pPr>
      <w:r w:rsidRPr="00326F31">
        <w:rPr>
          <w:rFonts w:asciiTheme="majorHAnsi" w:hAnsiTheme="majorHAnsi"/>
          <w:sz w:val="20"/>
          <w:szCs w:val="20"/>
        </w:rPr>
        <w:t>We are faced with the unproven statement of the plaintiffs against the factual demonstration of the discretionary powers of the acting administration. Such action, obviously, is insufficient to prove that the reason for the dismissal of the petitioners are political and related to citizen participation</w:t>
      </w:r>
      <w:r w:rsidR="00BE025B" w:rsidRPr="00326F31">
        <w:rPr>
          <w:rStyle w:val="FootnoteReference"/>
          <w:rFonts w:asciiTheme="majorHAnsi" w:hAnsiTheme="majorHAnsi"/>
          <w:sz w:val="20"/>
          <w:szCs w:val="20"/>
          <w:lang w:val="es-ES"/>
        </w:rPr>
        <w:footnoteReference w:id="99"/>
      </w:r>
      <w:r w:rsidR="008140C5" w:rsidRPr="00326F31">
        <w:rPr>
          <w:rFonts w:asciiTheme="majorHAnsi" w:hAnsiTheme="majorHAnsi"/>
          <w:sz w:val="20"/>
          <w:szCs w:val="20"/>
        </w:rPr>
        <w:t>.</w:t>
      </w:r>
      <w:r w:rsidR="005E6C10">
        <w:rPr>
          <w:rFonts w:asciiTheme="majorHAnsi" w:hAnsiTheme="majorHAnsi"/>
          <w:sz w:val="20"/>
          <w:szCs w:val="20"/>
        </w:rPr>
        <w:t xml:space="preserve"> </w:t>
      </w:r>
    </w:p>
    <w:p w14:paraId="240D46CF" w14:textId="77777777" w:rsidR="009D33B2" w:rsidRPr="00326F31" w:rsidRDefault="009D33B2" w:rsidP="00326F3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3F08DDE5" w14:textId="272C7AF7" w:rsidR="006A58F8" w:rsidRPr="00326F31" w:rsidRDefault="006A58F8"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August 17, 2004 the Delegate Defender of the Metropolitan Area of Caracas decided to archive</w:t>
      </w:r>
      <w:r w:rsidRPr="00326F31">
        <w:rPr>
          <w:rFonts w:asciiTheme="majorHAnsi" w:hAnsiTheme="majorHAnsi" w:cs="Arial"/>
          <w:sz w:val="20"/>
          <w:szCs w:val="20"/>
        </w:rPr>
        <w:t xml:space="preserve"> the complaint</w:t>
      </w:r>
      <w:r w:rsidRPr="00326F31">
        <w:rPr>
          <w:rFonts w:asciiTheme="majorHAnsi" w:hAnsiTheme="majorHAnsi"/>
          <w:sz w:val="20"/>
          <w:szCs w:val="20"/>
        </w:rPr>
        <w:t xml:space="preserve"> by stating that is was not proven that the administration acted with abuse of power, on the contrary, it was only evidenced that they made use of their contractual right to terminate the contracts </w:t>
      </w:r>
      <w:r w:rsidR="00EF6A54">
        <w:rPr>
          <w:rFonts w:asciiTheme="majorHAnsi" w:hAnsiTheme="majorHAnsi"/>
          <w:sz w:val="20"/>
          <w:szCs w:val="20"/>
        </w:rPr>
        <w:t>pursuant to</w:t>
      </w:r>
      <w:r w:rsidRPr="00326F31">
        <w:rPr>
          <w:rFonts w:asciiTheme="majorHAnsi" w:hAnsiTheme="majorHAnsi"/>
          <w:sz w:val="20"/>
          <w:szCs w:val="20"/>
        </w:rPr>
        <w:t xml:space="preserve"> the seventh clause of the </w:t>
      </w:r>
      <w:r w:rsidR="00EF6A54">
        <w:rPr>
          <w:rFonts w:asciiTheme="majorHAnsi" w:hAnsiTheme="majorHAnsi"/>
          <w:sz w:val="20"/>
          <w:szCs w:val="20"/>
        </w:rPr>
        <w:t>contract</w:t>
      </w:r>
      <w:r w:rsidRPr="00326F31">
        <w:rPr>
          <w:rFonts w:asciiTheme="majorHAnsi" w:hAnsiTheme="majorHAnsi"/>
          <w:sz w:val="20"/>
          <w:szCs w:val="20"/>
          <w:vertAlign w:val="superscript"/>
          <w:lang w:val="es-VE"/>
        </w:rPr>
        <w:footnoteReference w:id="100"/>
      </w:r>
      <w:r w:rsidRPr="00326F31">
        <w:rPr>
          <w:rFonts w:asciiTheme="majorHAnsi" w:hAnsiTheme="majorHAnsi"/>
          <w:sz w:val="20"/>
          <w:szCs w:val="20"/>
        </w:rPr>
        <w:t>.</w:t>
      </w:r>
    </w:p>
    <w:p w14:paraId="516ED319" w14:textId="77777777" w:rsidR="00DE610F" w:rsidRPr="00326F31" w:rsidRDefault="00DE610F" w:rsidP="00326F31">
      <w:pPr>
        <w:jc w:val="both"/>
        <w:rPr>
          <w:rFonts w:asciiTheme="majorHAnsi" w:hAnsiTheme="majorHAnsi"/>
          <w:b/>
          <w:sz w:val="20"/>
          <w:szCs w:val="20"/>
        </w:rPr>
      </w:pPr>
    </w:p>
    <w:bookmarkEnd w:id="17"/>
    <w:p w14:paraId="6BFA419A" w14:textId="704E8CF4" w:rsidR="00504CC7" w:rsidRPr="00326F31" w:rsidRDefault="00504CC7" w:rsidP="0073120A">
      <w:pPr>
        <w:pStyle w:val="ListParagraph"/>
        <w:numPr>
          <w:ilvl w:val="0"/>
          <w:numId w:val="61"/>
        </w:numPr>
        <w:tabs>
          <w:tab w:val="clear" w:pos="1800"/>
          <w:tab w:val="num" w:pos="1440"/>
        </w:tabs>
        <w:ind w:hanging="1080"/>
        <w:jc w:val="both"/>
        <w:rPr>
          <w:rFonts w:asciiTheme="majorHAnsi" w:hAnsiTheme="majorHAnsi"/>
          <w:b/>
          <w:sz w:val="20"/>
          <w:szCs w:val="20"/>
        </w:rPr>
      </w:pPr>
      <w:r w:rsidRPr="00326F31">
        <w:rPr>
          <w:rFonts w:asciiTheme="majorHAnsi" w:hAnsiTheme="majorHAnsi"/>
          <w:b/>
          <w:sz w:val="20"/>
          <w:szCs w:val="20"/>
        </w:rPr>
        <w:t>Action</w:t>
      </w:r>
      <w:r w:rsidR="004042F1" w:rsidRPr="00326F31">
        <w:rPr>
          <w:rFonts w:asciiTheme="majorHAnsi" w:hAnsiTheme="majorHAnsi"/>
          <w:b/>
          <w:sz w:val="20"/>
          <w:szCs w:val="20"/>
        </w:rPr>
        <w:t xml:space="preserve"> for constitutional </w:t>
      </w:r>
      <w:r w:rsidR="004042F1" w:rsidRPr="00326F31">
        <w:rPr>
          <w:rFonts w:asciiTheme="majorHAnsi" w:hAnsiTheme="majorHAnsi"/>
          <w:b/>
          <w:i/>
          <w:sz w:val="20"/>
          <w:szCs w:val="20"/>
        </w:rPr>
        <w:t>amparo</w:t>
      </w:r>
      <w:r w:rsidRPr="00326F31">
        <w:rPr>
          <w:rFonts w:asciiTheme="majorHAnsi" w:hAnsiTheme="majorHAnsi"/>
          <w:b/>
          <w:sz w:val="20"/>
          <w:szCs w:val="20"/>
        </w:rPr>
        <w:t xml:space="preserve"> before the labor courts</w:t>
      </w:r>
    </w:p>
    <w:p w14:paraId="17413F03" w14:textId="77777777" w:rsidR="00E404DA" w:rsidRPr="00326F31" w:rsidRDefault="00E404DA" w:rsidP="00326F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3B7F20C1" w14:textId="0E1862AD" w:rsidR="004042F1" w:rsidRPr="00326F31" w:rsidRDefault="004042F1"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July 22, 2004 the alleged victims filed a constitutional</w:t>
      </w:r>
      <w:r w:rsidRPr="00326F31">
        <w:rPr>
          <w:rFonts w:asciiTheme="majorHAnsi" w:hAnsiTheme="majorHAnsi"/>
          <w:i/>
          <w:sz w:val="20"/>
          <w:szCs w:val="20"/>
        </w:rPr>
        <w:t xml:space="preserve"> amparo</w:t>
      </w:r>
      <w:r w:rsidRPr="00326F31">
        <w:rPr>
          <w:rFonts w:asciiTheme="majorHAnsi" w:hAnsiTheme="majorHAnsi"/>
          <w:sz w:val="20"/>
          <w:szCs w:val="20"/>
        </w:rPr>
        <w:t xml:space="preserve"> before the labor courts against the National Border Council arguing that </w:t>
      </w:r>
      <w:r w:rsidR="0073120A">
        <w:rPr>
          <w:rFonts w:asciiTheme="majorHAnsi" w:hAnsiTheme="majorHAnsi"/>
          <w:sz w:val="20"/>
          <w:szCs w:val="20"/>
        </w:rPr>
        <w:t xml:space="preserve">they </w:t>
      </w:r>
      <w:r w:rsidRPr="00326F31">
        <w:rPr>
          <w:rFonts w:asciiTheme="majorHAnsi" w:hAnsiTheme="majorHAnsi"/>
          <w:sz w:val="20"/>
          <w:szCs w:val="20"/>
        </w:rPr>
        <w:t>were the subject of employment discrimination by being dismissed as retaliation for signing the petition for the presidential recall referendum</w:t>
      </w:r>
      <w:r w:rsidRPr="00326F31">
        <w:rPr>
          <w:rFonts w:asciiTheme="majorHAnsi" w:hAnsiTheme="majorHAnsi"/>
          <w:sz w:val="20"/>
          <w:szCs w:val="20"/>
          <w:vertAlign w:val="superscript"/>
          <w:lang w:val="es-VE"/>
        </w:rPr>
        <w:footnoteReference w:id="101"/>
      </w:r>
      <w:r w:rsidRPr="00326F31">
        <w:rPr>
          <w:rFonts w:asciiTheme="majorHAnsi" w:hAnsiTheme="majorHAnsi"/>
          <w:sz w:val="20"/>
          <w:szCs w:val="20"/>
        </w:rPr>
        <w:t>.</w:t>
      </w:r>
    </w:p>
    <w:p w14:paraId="0A13B72D" w14:textId="77777777" w:rsidR="001E69EE" w:rsidRPr="00326F31" w:rsidRDefault="001E69EE"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748C1D63" w14:textId="5223A603" w:rsidR="004042F1" w:rsidRPr="00326F31" w:rsidRDefault="004042F1"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August 4, 2004 the Fourth Court of First Instance Judicial Circuit for Labor Matters declared itself incompetent to hear the</w:t>
      </w:r>
      <w:r w:rsidRPr="00326F31">
        <w:rPr>
          <w:rFonts w:asciiTheme="majorHAnsi" w:hAnsiTheme="majorHAnsi"/>
          <w:i/>
          <w:sz w:val="20"/>
          <w:szCs w:val="20"/>
        </w:rPr>
        <w:t xml:space="preserve"> amparo</w:t>
      </w:r>
      <w:r w:rsidRPr="00326F31">
        <w:rPr>
          <w:rFonts w:asciiTheme="majorHAnsi" w:hAnsiTheme="majorHAnsi"/>
          <w:sz w:val="20"/>
          <w:szCs w:val="20"/>
        </w:rPr>
        <w:t xml:space="preserve"> claim, considering that it would correspond to the Constitutional Chamber of the Supreme Court to examine the case, since </w:t>
      </w:r>
      <w:r w:rsidR="0073120A">
        <w:rPr>
          <w:rFonts w:asciiTheme="majorHAnsi" w:hAnsiTheme="majorHAnsi"/>
          <w:sz w:val="20"/>
          <w:szCs w:val="20"/>
        </w:rPr>
        <w:t xml:space="preserve">the </w:t>
      </w:r>
      <w:r w:rsidRPr="00326F31">
        <w:rPr>
          <w:rFonts w:asciiTheme="majorHAnsi" w:hAnsiTheme="majorHAnsi"/>
          <w:sz w:val="20"/>
          <w:szCs w:val="20"/>
        </w:rPr>
        <w:t>President of the National Border Council also served at the time as Minister of Foreign Affairs, therefore he’s as a senior official as provided in Article 8 of the Organic Law on Protection of Rights and Constitutional Guarantees</w:t>
      </w:r>
      <w:r w:rsidRPr="00326F31">
        <w:rPr>
          <w:rStyle w:val="FootnoteReference"/>
          <w:rFonts w:asciiTheme="majorHAnsi" w:hAnsiTheme="majorHAnsi"/>
          <w:sz w:val="20"/>
          <w:szCs w:val="20"/>
          <w:lang w:val="es-VE"/>
        </w:rPr>
        <w:footnoteReference w:id="102"/>
      </w:r>
      <w:r w:rsidRPr="00326F31">
        <w:rPr>
          <w:rFonts w:asciiTheme="majorHAnsi" w:hAnsiTheme="majorHAnsi"/>
          <w:sz w:val="20"/>
          <w:szCs w:val="20"/>
        </w:rPr>
        <w:t>.</w:t>
      </w:r>
    </w:p>
    <w:p w14:paraId="4F0FCE46" w14:textId="77777777" w:rsidR="00135773" w:rsidRPr="00326F31" w:rsidRDefault="00135773" w:rsidP="00326F31">
      <w:pPr>
        <w:jc w:val="both"/>
        <w:rPr>
          <w:rFonts w:asciiTheme="majorHAnsi" w:hAnsiTheme="majorHAnsi"/>
          <w:sz w:val="20"/>
          <w:szCs w:val="20"/>
        </w:rPr>
      </w:pPr>
    </w:p>
    <w:p w14:paraId="2A3353D8" w14:textId="17965E97" w:rsidR="00785272" w:rsidRPr="00326F31" w:rsidRDefault="00785272"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November 23, 2004 the al</w:t>
      </w:r>
      <w:r w:rsidR="006101C3" w:rsidRPr="00326F31">
        <w:rPr>
          <w:rFonts w:asciiTheme="majorHAnsi" w:hAnsiTheme="majorHAnsi"/>
          <w:sz w:val="20"/>
          <w:szCs w:val="20"/>
        </w:rPr>
        <w:t>leged victims filed a brief before</w:t>
      </w:r>
      <w:r w:rsidRPr="00326F31">
        <w:rPr>
          <w:rFonts w:asciiTheme="majorHAnsi" w:hAnsiTheme="majorHAnsi"/>
          <w:sz w:val="20"/>
          <w:szCs w:val="20"/>
        </w:rPr>
        <w:t xml:space="preserve"> the Constitutional Chamber of the Supreme Court requesting t</w:t>
      </w:r>
      <w:r w:rsidR="00135773" w:rsidRPr="00326F31">
        <w:rPr>
          <w:rFonts w:asciiTheme="majorHAnsi" w:hAnsiTheme="majorHAnsi"/>
          <w:sz w:val="20"/>
          <w:szCs w:val="20"/>
        </w:rPr>
        <w:t xml:space="preserve">hat the Constitutional Court </w:t>
      </w:r>
      <w:r w:rsidRPr="00326F31">
        <w:rPr>
          <w:rFonts w:asciiTheme="majorHAnsi" w:hAnsiTheme="majorHAnsi"/>
          <w:sz w:val="20"/>
          <w:szCs w:val="20"/>
        </w:rPr>
        <w:t>rule</w:t>
      </w:r>
      <w:r w:rsidR="00135773" w:rsidRPr="00326F31">
        <w:rPr>
          <w:rFonts w:asciiTheme="majorHAnsi" w:hAnsiTheme="majorHAnsi"/>
          <w:sz w:val="20"/>
          <w:szCs w:val="20"/>
        </w:rPr>
        <w:t>d</w:t>
      </w:r>
      <w:r w:rsidRPr="00326F31">
        <w:rPr>
          <w:rFonts w:asciiTheme="majorHAnsi" w:hAnsiTheme="majorHAnsi"/>
          <w:sz w:val="20"/>
          <w:szCs w:val="20"/>
        </w:rPr>
        <w:t xml:space="preserve"> on the </w:t>
      </w:r>
      <w:r w:rsidR="00135773" w:rsidRPr="00326F31">
        <w:rPr>
          <w:rFonts w:asciiTheme="majorHAnsi" w:hAnsiTheme="majorHAnsi"/>
          <w:i/>
          <w:sz w:val="20"/>
          <w:szCs w:val="20"/>
        </w:rPr>
        <w:t>amparo</w:t>
      </w:r>
      <w:r w:rsidRPr="00326F31">
        <w:rPr>
          <w:rFonts w:asciiTheme="majorHAnsi" w:hAnsiTheme="majorHAnsi"/>
          <w:sz w:val="20"/>
          <w:szCs w:val="20"/>
        </w:rPr>
        <w:t xml:space="preserve">, </w:t>
      </w:r>
      <w:r w:rsidR="00135773" w:rsidRPr="00326F31">
        <w:rPr>
          <w:rFonts w:asciiTheme="majorHAnsi" w:hAnsiTheme="majorHAnsi"/>
          <w:sz w:val="20"/>
          <w:szCs w:val="20"/>
        </w:rPr>
        <w:t>because there was</w:t>
      </w:r>
      <w:r w:rsidRPr="00326F31">
        <w:rPr>
          <w:rFonts w:asciiTheme="majorHAnsi" w:hAnsiTheme="majorHAnsi"/>
          <w:sz w:val="20"/>
          <w:szCs w:val="20"/>
        </w:rPr>
        <w:t xml:space="preserve"> </w:t>
      </w:r>
      <w:r w:rsidR="00135773" w:rsidRPr="00326F31">
        <w:rPr>
          <w:rFonts w:asciiTheme="majorHAnsi" w:hAnsiTheme="majorHAnsi"/>
          <w:sz w:val="20"/>
          <w:szCs w:val="20"/>
        </w:rPr>
        <w:t xml:space="preserve">still </w:t>
      </w:r>
      <w:r w:rsidRPr="00326F31">
        <w:rPr>
          <w:rFonts w:asciiTheme="majorHAnsi" w:hAnsiTheme="majorHAnsi"/>
          <w:sz w:val="20"/>
          <w:szCs w:val="20"/>
        </w:rPr>
        <w:t xml:space="preserve">not a decision on the </w:t>
      </w:r>
      <w:r w:rsidR="00135773" w:rsidRPr="00326F31">
        <w:rPr>
          <w:rFonts w:asciiTheme="majorHAnsi" w:hAnsiTheme="majorHAnsi"/>
          <w:sz w:val="20"/>
          <w:szCs w:val="20"/>
        </w:rPr>
        <w:t xml:space="preserve">declination of jurisdiction </w:t>
      </w:r>
      <w:r w:rsidRPr="00326F31">
        <w:rPr>
          <w:rFonts w:asciiTheme="majorHAnsi" w:hAnsiTheme="majorHAnsi"/>
          <w:sz w:val="20"/>
          <w:szCs w:val="20"/>
        </w:rPr>
        <w:t>after 104 days</w:t>
      </w:r>
      <w:r w:rsidR="00135773" w:rsidRPr="00326F31">
        <w:rPr>
          <w:rFonts w:asciiTheme="majorHAnsi" w:hAnsiTheme="majorHAnsi"/>
          <w:sz w:val="20"/>
          <w:szCs w:val="20"/>
        </w:rPr>
        <w:t xml:space="preserve"> had passed</w:t>
      </w:r>
      <w:r w:rsidR="00135773" w:rsidRPr="00326F31">
        <w:rPr>
          <w:rStyle w:val="FootnoteReference"/>
          <w:rFonts w:asciiTheme="majorHAnsi" w:hAnsiTheme="majorHAnsi"/>
          <w:sz w:val="20"/>
          <w:szCs w:val="20"/>
          <w:lang w:val="es-VE"/>
        </w:rPr>
        <w:footnoteReference w:id="103"/>
      </w:r>
      <w:r w:rsidRPr="00326F31">
        <w:rPr>
          <w:rFonts w:asciiTheme="majorHAnsi" w:hAnsiTheme="majorHAnsi"/>
          <w:sz w:val="20"/>
          <w:szCs w:val="20"/>
        </w:rPr>
        <w:t>. That request was repeated on February 3, 2005</w:t>
      </w:r>
      <w:r w:rsidR="00135773" w:rsidRPr="00326F31">
        <w:rPr>
          <w:rStyle w:val="FootnoteReference"/>
          <w:rFonts w:asciiTheme="majorHAnsi" w:hAnsiTheme="majorHAnsi"/>
          <w:sz w:val="20"/>
          <w:szCs w:val="20"/>
          <w:lang w:val="es-VE"/>
        </w:rPr>
        <w:footnoteReference w:id="104"/>
      </w:r>
      <w:r w:rsidRPr="00326F31">
        <w:rPr>
          <w:rFonts w:asciiTheme="majorHAnsi" w:hAnsiTheme="majorHAnsi"/>
          <w:sz w:val="20"/>
          <w:szCs w:val="20"/>
        </w:rPr>
        <w:t>, on May 3, 2005</w:t>
      </w:r>
      <w:r w:rsidR="00135773" w:rsidRPr="00326F31">
        <w:rPr>
          <w:rStyle w:val="FootnoteReference"/>
          <w:rFonts w:asciiTheme="majorHAnsi" w:hAnsiTheme="majorHAnsi"/>
          <w:sz w:val="20"/>
          <w:szCs w:val="20"/>
          <w:lang w:val="es-VE"/>
        </w:rPr>
        <w:footnoteReference w:id="105"/>
      </w:r>
      <w:r w:rsidR="00135773" w:rsidRPr="00326F31">
        <w:rPr>
          <w:rFonts w:asciiTheme="majorHAnsi" w:hAnsiTheme="majorHAnsi"/>
          <w:sz w:val="20"/>
          <w:szCs w:val="20"/>
        </w:rPr>
        <w:t>,</w:t>
      </w:r>
      <w:r w:rsidRPr="00326F31">
        <w:rPr>
          <w:rFonts w:asciiTheme="majorHAnsi" w:hAnsiTheme="majorHAnsi"/>
          <w:sz w:val="20"/>
          <w:szCs w:val="20"/>
        </w:rPr>
        <w:t xml:space="preserve"> and </w:t>
      </w:r>
      <w:r w:rsidR="00135773" w:rsidRPr="00326F31">
        <w:rPr>
          <w:rFonts w:asciiTheme="majorHAnsi" w:hAnsiTheme="majorHAnsi"/>
          <w:sz w:val="20"/>
          <w:szCs w:val="20"/>
        </w:rPr>
        <w:t xml:space="preserve">on </w:t>
      </w:r>
      <w:r w:rsidRPr="00326F31">
        <w:rPr>
          <w:rFonts w:asciiTheme="majorHAnsi" w:hAnsiTheme="majorHAnsi"/>
          <w:sz w:val="20"/>
          <w:szCs w:val="20"/>
        </w:rPr>
        <w:t>May 11, 2005</w:t>
      </w:r>
      <w:r w:rsidR="00135773" w:rsidRPr="00326F31">
        <w:rPr>
          <w:rStyle w:val="FootnoteReference"/>
          <w:rFonts w:asciiTheme="majorHAnsi" w:hAnsiTheme="majorHAnsi"/>
          <w:sz w:val="20"/>
          <w:szCs w:val="20"/>
          <w:lang w:val="es-VE"/>
        </w:rPr>
        <w:footnoteReference w:id="106"/>
      </w:r>
      <w:r w:rsidR="00135773" w:rsidRPr="00326F31">
        <w:rPr>
          <w:rFonts w:asciiTheme="majorHAnsi" w:hAnsiTheme="majorHAnsi"/>
          <w:sz w:val="20"/>
          <w:szCs w:val="20"/>
        </w:rPr>
        <w:t>.</w:t>
      </w:r>
    </w:p>
    <w:p w14:paraId="3DC99B2D" w14:textId="77777777" w:rsidR="00135773" w:rsidRPr="00326F31" w:rsidRDefault="00135773" w:rsidP="00326F31">
      <w:pPr>
        <w:pStyle w:val="ListParagraph"/>
        <w:jc w:val="both"/>
        <w:rPr>
          <w:rFonts w:asciiTheme="majorHAnsi" w:hAnsiTheme="majorHAnsi"/>
          <w:sz w:val="20"/>
          <w:szCs w:val="20"/>
        </w:rPr>
      </w:pPr>
    </w:p>
    <w:p w14:paraId="19CC61B3" w14:textId="7A52E23D" w:rsidR="00135773" w:rsidRPr="00326F31" w:rsidRDefault="00135773" w:rsidP="00326F3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1440"/>
          <w:tab w:val="num" w:pos="2040"/>
        </w:tabs>
        <w:ind w:left="0" w:firstLine="720"/>
        <w:jc w:val="both"/>
        <w:rPr>
          <w:rFonts w:asciiTheme="majorHAnsi" w:hAnsiTheme="majorHAnsi"/>
          <w:sz w:val="20"/>
          <w:szCs w:val="20"/>
        </w:rPr>
      </w:pPr>
      <w:r w:rsidRPr="00326F31">
        <w:rPr>
          <w:rFonts w:asciiTheme="majorHAnsi" w:hAnsiTheme="majorHAnsi"/>
          <w:sz w:val="20"/>
          <w:szCs w:val="20"/>
        </w:rPr>
        <w:t>On 26 May 2005, the Constitutional Chamber of the Supreme Court issued a ruling stating that it does not accept declination of jurisdiction of the Fourth Court of First Instance Judicial Circuit for Labor Matters of the Metropolitan Area of Caracas because the case under study is a relationship of employer-employee nature, therefore the examination of the matter rests within the labor courts</w:t>
      </w:r>
      <w:r w:rsidRPr="00326F31">
        <w:rPr>
          <w:rStyle w:val="FootnoteReference"/>
          <w:rFonts w:asciiTheme="majorHAnsi" w:hAnsiTheme="majorHAnsi"/>
          <w:sz w:val="20"/>
          <w:szCs w:val="20"/>
          <w:lang w:val="es-VE"/>
        </w:rPr>
        <w:footnoteReference w:id="107"/>
      </w:r>
      <w:r w:rsidRPr="00326F31">
        <w:rPr>
          <w:rFonts w:asciiTheme="majorHAnsi" w:hAnsiTheme="majorHAnsi"/>
          <w:sz w:val="20"/>
          <w:szCs w:val="20"/>
        </w:rPr>
        <w:t xml:space="preserve">. Under this, on June 17, 2005 the Fourth Court of First Instance admitted the </w:t>
      </w:r>
      <w:r w:rsidRPr="00326F31">
        <w:rPr>
          <w:rFonts w:asciiTheme="majorHAnsi" w:hAnsiTheme="majorHAnsi"/>
          <w:i/>
          <w:sz w:val="20"/>
          <w:szCs w:val="20"/>
        </w:rPr>
        <w:t>amparo</w:t>
      </w:r>
      <w:r w:rsidRPr="00326F31">
        <w:rPr>
          <w:rStyle w:val="FootnoteReference"/>
          <w:rFonts w:asciiTheme="majorHAnsi" w:hAnsiTheme="majorHAnsi"/>
          <w:sz w:val="20"/>
          <w:szCs w:val="20"/>
          <w:lang w:val="es-VE"/>
        </w:rPr>
        <w:footnoteReference w:id="108"/>
      </w:r>
      <w:r w:rsidRPr="00326F31">
        <w:rPr>
          <w:rFonts w:asciiTheme="majorHAnsi" w:hAnsiTheme="majorHAnsi"/>
          <w:sz w:val="20"/>
          <w:szCs w:val="20"/>
        </w:rPr>
        <w:t>.</w:t>
      </w:r>
    </w:p>
    <w:p w14:paraId="5133D2DB" w14:textId="77777777" w:rsidR="00135773" w:rsidRPr="00326F31" w:rsidRDefault="00135773" w:rsidP="00326F3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14:paraId="45F80C29" w14:textId="6B7A4B73" w:rsidR="00135773" w:rsidRPr="00326F31" w:rsidRDefault="00135773"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On 20 July 2005, the Public Prosecutor issued his opinion regarding the </w:t>
      </w:r>
      <w:r w:rsidRPr="00326F31">
        <w:rPr>
          <w:rFonts w:asciiTheme="majorHAnsi" w:hAnsiTheme="majorHAnsi"/>
          <w:i/>
          <w:sz w:val="20"/>
          <w:szCs w:val="20"/>
        </w:rPr>
        <w:t>amparo</w:t>
      </w:r>
      <w:r w:rsidRPr="00326F31">
        <w:rPr>
          <w:rFonts w:asciiTheme="majorHAnsi" w:hAnsiTheme="majorHAnsi"/>
          <w:sz w:val="20"/>
          <w:szCs w:val="20"/>
        </w:rPr>
        <w:t xml:space="preserve">, requesting that it be declared inadmissible, as the </w:t>
      </w:r>
      <w:r w:rsidRPr="00326F31">
        <w:rPr>
          <w:rFonts w:asciiTheme="majorHAnsi" w:hAnsiTheme="majorHAnsi"/>
          <w:i/>
          <w:sz w:val="20"/>
          <w:szCs w:val="20"/>
        </w:rPr>
        <w:t xml:space="preserve">amparo </w:t>
      </w:r>
      <w:r w:rsidRPr="00326F31">
        <w:rPr>
          <w:rFonts w:asciiTheme="majorHAnsi" w:hAnsiTheme="majorHAnsi"/>
          <w:sz w:val="20"/>
          <w:szCs w:val="20"/>
        </w:rPr>
        <w:t xml:space="preserve">was not the adequate remedy for proving whether a dismissal is justified or not, he also asked for the </w:t>
      </w:r>
      <w:r w:rsidRPr="00326F31">
        <w:rPr>
          <w:rFonts w:asciiTheme="majorHAnsi" w:hAnsiTheme="majorHAnsi"/>
          <w:i/>
          <w:sz w:val="20"/>
          <w:szCs w:val="20"/>
        </w:rPr>
        <w:t>amparo</w:t>
      </w:r>
      <w:r w:rsidRPr="00326F31">
        <w:rPr>
          <w:rFonts w:asciiTheme="majorHAnsi" w:hAnsiTheme="majorHAnsi"/>
          <w:sz w:val="20"/>
          <w:szCs w:val="20"/>
        </w:rPr>
        <w:t xml:space="preserve"> to be dismissed as there was still an ongoing investigation by the Public Prosecutor, and because the alleged victims had not proven the alleged political discrimination</w:t>
      </w:r>
      <w:r w:rsidRPr="00326F31">
        <w:rPr>
          <w:rStyle w:val="FootnoteReference"/>
          <w:rFonts w:asciiTheme="majorHAnsi" w:hAnsiTheme="majorHAnsi"/>
          <w:sz w:val="20"/>
          <w:szCs w:val="20"/>
          <w:lang w:val="es-VE"/>
        </w:rPr>
        <w:footnoteReference w:id="109"/>
      </w:r>
      <w:r w:rsidRPr="00326F31">
        <w:rPr>
          <w:rFonts w:asciiTheme="majorHAnsi" w:hAnsiTheme="majorHAnsi"/>
          <w:sz w:val="20"/>
          <w:szCs w:val="20"/>
        </w:rPr>
        <w:t xml:space="preserve">. </w:t>
      </w:r>
      <w:r w:rsidRPr="00326F31">
        <w:rPr>
          <w:rFonts w:asciiTheme="majorHAnsi" w:hAnsiTheme="majorHAnsi"/>
          <w:sz w:val="20"/>
          <w:szCs w:val="20"/>
        </w:rPr>
        <w:lastRenderedPageBreak/>
        <w:t xml:space="preserve">Also on July 20, 2005, the President of the National Border Council José Vicente Rangel submitted a request to declare inadmissible the </w:t>
      </w:r>
      <w:r w:rsidRPr="00326F31">
        <w:rPr>
          <w:rFonts w:asciiTheme="majorHAnsi" w:hAnsiTheme="majorHAnsi"/>
          <w:i/>
          <w:sz w:val="20"/>
          <w:szCs w:val="20"/>
        </w:rPr>
        <w:t>amparo</w:t>
      </w:r>
      <w:r w:rsidRPr="00326F31">
        <w:rPr>
          <w:rFonts w:asciiTheme="majorHAnsi" w:hAnsiTheme="majorHAnsi"/>
          <w:sz w:val="20"/>
          <w:szCs w:val="20"/>
        </w:rPr>
        <w:t xml:space="preserve"> on the grounds that the alleged victims should have resorted to the ordinary procedure established in the Organic Labor Procedure Law. He also considered that under t</w:t>
      </w:r>
      <w:r w:rsidR="00EF6A54">
        <w:rPr>
          <w:rFonts w:asciiTheme="majorHAnsi" w:hAnsiTheme="majorHAnsi"/>
          <w:sz w:val="20"/>
          <w:szCs w:val="20"/>
        </w:rPr>
        <w:t>he seventh clause of the</w:t>
      </w:r>
      <w:r w:rsidRPr="00326F31">
        <w:rPr>
          <w:rFonts w:asciiTheme="majorHAnsi" w:hAnsiTheme="majorHAnsi"/>
          <w:sz w:val="20"/>
          <w:szCs w:val="20"/>
        </w:rPr>
        <w:t xml:space="preserve"> contracts with the three alleged victims no cause is needed to terminate the contract, "regardless of whether the plaintiffs met or not with the responsibilities that were assigned to them, just by executing that power, as he did under the seventh clause of the contract, was enough"</w:t>
      </w:r>
      <w:r w:rsidRPr="00326F31">
        <w:rPr>
          <w:rStyle w:val="FootnoteReference"/>
          <w:rFonts w:asciiTheme="majorHAnsi" w:hAnsiTheme="majorHAnsi"/>
          <w:sz w:val="20"/>
          <w:szCs w:val="20"/>
          <w:lang w:val="es-VE"/>
        </w:rPr>
        <w:footnoteReference w:id="110"/>
      </w:r>
      <w:r w:rsidRPr="00326F31">
        <w:rPr>
          <w:rFonts w:asciiTheme="majorHAnsi" w:hAnsiTheme="majorHAnsi"/>
          <w:sz w:val="20"/>
          <w:szCs w:val="20"/>
        </w:rPr>
        <w:t>.</w:t>
      </w:r>
      <w:r w:rsidR="005E6C10">
        <w:rPr>
          <w:rFonts w:asciiTheme="majorHAnsi" w:hAnsiTheme="majorHAnsi"/>
          <w:sz w:val="20"/>
          <w:szCs w:val="20"/>
        </w:rPr>
        <w:t xml:space="preserve"> </w:t>
      </w:r>
    </w:p>
    <w:p w14:paraId="3F6834B6" w14:textId="77777777" w:rsidR="00E97468" w:rsidRPr="00326F31" w:rsidRDefault="00E97468" w:rsidP="00326F31">
      <w:pPr>
        <w:jc w:val="both"/>
        <w:rPr>
          <w:rFonts w:asciiTheme="majorHAnsi" w:hAnsiTheme="majorHAnsi"/>
          <w:sz w:val="20"/>
          <w:szCs w:val="20"/>
        </w:rPr>
      </w:pPr>
    </w:p>
    <w:p w14:paraId="0174E630" w14:textId="77777777" w:rsidR="003E30F5" w:rsidRPr="00326F31" w:rsidRDefault="00E97468"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July 20, 2005, a constitutional hearing was held before the Fourth Court of First Instance Judicial Circuit for Labor Matters. As part of that hearing, the alleged victims requested including to the file the recording on a tape of the conversations, the transcript of a radio interview with Feijoo Colomine, as well as the transcript of the conversation between Rocío San Miguel and Ilia Azpúrua; however the Court refused such items as evidence considering that "both the playback of the tape and the transcript of the conversations were obtained without the consent of the alleged counterparts, in this case, citizens Feijoo Colomine and Ilia Apúrua, respectively. In addition, there is no way to be certain that the voices belong to those claimed to be the counterpart. Finally, in the opinion of this court, they are illegal and illegitimate evidence, and therefore they are not admitted to the trial"</w:t>
      </w:r>
      <w:r w:rsidRPr="00326F31">
        <w:rPr>
          <w:rStyle w:val="FootnoteReference"/>
          <w:rFonts w:asciiTheme="majorHAnsi" w:hAnsiTheme="majorHAnsi"/>
          <w:sz w:val="20"/>
          <w:szCs w:val="20"/>
          <w:lang w:val="es-VE"/>
        </w:rPr>
        <w:footnoteReference w:id="111"/>
      </w:r>
      <w:r w:rsidRPr="00326F31">
        <w:rPr>
          <w:rFonts w:asciiTheme="majorHAnsi" w:hAnsiTheme="majorHAnsi"/>
          <w:sz w:val="20"/>
          <w:szCs w:val="20"/>
        </w:rPr>
        <w:t>.</w:t>
      </w:r>
    </w:p>
    <w:p w14:paraId="722E88CC" w14:textId="77777777" w:rsidR="003E30F5" w:rsidRPr="00326F31" w:rsidRDefault="003E30F5" w:rsidP="00326F31">
      <w:pPr>
        <w:pStyle w:val="ListParagraph"/>
        <w:jc w:val="both"/>
        <w:rPr>
          <w:rFonts w:asciiTheme="majorHAnsi" w:hAnsiTheme="majorHAnsi"/>
          <w:sz w:val="20"/>
          <w:szCs w:val="20"/>
        </w:rPr>
      </w:pPr>
    </w:p>
    <w:p w14:paraId="4DDE3448" w14:textId="7CAF7528" w:rsidR="003E30F5" w:rsidRPr="00326F31" w:rsidRDefault="003E30F5"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On July 27, 2005 the Fourth Court of First Instance issued a judgment dismissing the </w:t>
      </w:r>
      <w:r w:rsidRPr="00326F31">
        <w:rPr>
          <w:rFonts w:asciiTheme="majorHAnsi" w:hAnsiTheme="majorHAnsi"/>
          <w:i/>
          <w:sz w:val="20"/>
          <w:szCs w:val="20"/>
        </w:rPr>
        <w:t>amparo</w:t>
      </w:r>
      <w:r w:rsidRPr="00326F31">
        <w:rPr>
          <w:rFonts w:asciiTheme="majorHAnsi" w:hAnsiTheme="majorHAnsi"/>
          <w:sz w:val="20"/>
          <w:szCs w:val="20"/>
        </w:rPr>
        <w:t xml:space="preserve"> on the grounds that the evidence adduced by the plaintiff did not allow to "convincingly establish the causal link between the alleged discriminatory treatment for signing and the decision to terminate the employment relationship"</w:t>
      </w:r>
      <w:r w:rsidRPr="00326F31">
        <w:rPr>
          <w:rStyle w:val="FootnoteReference"/>
          <w:rFonts w:asciiTheme="majorHAnsi" w:hAnsiTheme="majorHAnsi"/>
          <w:sz w:val="20"/>
          <w:szCs w:val="20"/>
          <w:lang w:val="es-VE"/>
        </w:rPr>
        <w:footnoteReference w:id="112"/>
      </w:r>
      <w:r w:rsidRPr="00326F31">
        <w:rPr>
          <w:rFonts w:asciiTheme="majorHAnsi" w:hAnsiTheme="majorHAnsi"/>
          <w:sz w:val="20"/>
          <w:szCs w:val="20"/>
        </w:rPr>
        <w:t>. In that decision, the court also found that "the respondent brought the documents, already discussed, which confirm that there was a worker whose contract was terminated at the same time as the plaintiffs and had not signed the recall referendum, and of another worker who did sign and yet he is still working for the National Border Council"</w:t>
      </w:r>
      <w:r w:rsidRPr="00326F31">
        <w:rPr>
          <w:rStyle w:val="FootnoteReference"/>
          <w:rFonts w:asciiTheme="majorHAnsi" w:hAnsiTheme="majorHAnsi"/>
          <w:sz w:val="20"/>
          <w:szCs w:val="20"/>
          <w:lang w:val="es-VE"/>
        </w:rPr>
        <w:footnoteReference w:id="113"/>
      </w:r>
      <w:r w:rsidRPr="00326F31">
        <w:rPr>
          <w:rFonts w:asciiTheme="majorHAnsi" w:hAnsiTheme="majorHAnsi"/>
          <w:sz w:val="20"/>
          <w:szCs w:val="20"/>
        </w:rPr>
        <w:t>. The Commission does not have any evidence corroborating this information.</w:t>
      </w:r>
    </w:p>
    <w:p w14:paraId="02A2BC0C" w14:textId="77777777" w:rsidR="006D7816" w:rsidRPr="00326F31" w:rsidRDefault="006D7816" w:rsidP="00326F31">
      <w:pPr>
        <w:pStyle w:val="ListParagraph"/>
        <w:jc w:val="both"/>
        <w:rPr>
          <w:rFonts w:asciiTheme="majorHAnsi" w:hAnsiTheme="majorHAnsi"/>
          <w:sz w:val="20"/>
          <w:szCs w:val="20"/>
        </w:rPr>
      </w:pPr>
    </w:p>
    <w:p w14:paraId="400CEE3B" w14:textId="56F33B10" w:rsidR="006D7816" w:rsidRPr="00326F31" w:rsidRDefault="006D7816"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July 29, 2005 the alleged victims appealed</w:t>
      </w:r>
      <w:r w:rsidRPr="00326F31">
        <w:rPr>
          <w:rStyle w:val="FootnoteReference"/>
          <w:rFonts w:asciiTheme="majorHAnsi" w:hAnsiTheme="majorHAnsi"/>
          <w:sz w:val="20"/>
          <w:szCs w:val="20"/>
          <w:lang w:val="es-VE"/>
        </w:rPr>
        <w:footnoteReference w:id="114"/>
      </w:r>
      <w:r w:rsidRPr="00326F31">
        <w:rPr>
          <w:rFonts w:asciiTheme="majorHAnsi" w:hAnsiTheme="majorHAnsi"/>
          <w:sz w:val="20"/>
          <w:szCs w:val="20"/>
        </w:rPr>
        <w:t xml:space="preserve">, arguing among other </w:t>
      </w:r>
      <w:r w:rsidR="00EE3156" w:rsidRPr="00326F31">
        <w:rPr>
          <w:rFonts w:asciiTheme="majorHAnsi" w:hAnsiTheme="majorHAnsi"/>
          <w:sz w:val="20"/>
          <w:szCs w:val="20"/>
        </w:rPr>
        <w:t xml:space="preserve">thing that in the </w:t>
      </w:r>
      <w:proofErr w:type="spellStart"/>
      <w:r w:rsidR="00EE3156" w:rsidRPr="00326F31">
        <w:rPr>
          <w:rFonts w:asciiTheme="majorHAnsi" w:hAnsiTheme="majorHAnsi"/>
          <w:sz w:val="20"/>
          <w:szCs w:val="20"/>
        </w:rPr>
        <w:t>amparo</w:t>
      </w:r>
      <w:proofErr w:type="spellEnd"/>
      <w:r w:rsidR="00EE3156" w:rsidRPr="00326F31">
        <w:rPr>
          <w:rFonts w:asciiTheme="majorHAnsi" w:hAnsiTheme="majorHAnsi"/>
          <w:sz w:val="20"/>
          <w:szCs w:val="20"/>
        </w:rPr>
        <w:t xml:space="preserve"> procedure the testimony of victims was</w:t>
      </w:r>
      <w:r w:rsidRPr="00326F31">
        <w:rPr>
          <w:rFonts w:asciiTheme="majorHAnsi" w:hAnsiTheme="majorHAnsi"/>
          <w:sz w:val="20"/>
          <w:szCs w:val="20"/>
        </w:rPr>
        <w:t xml:space="preserve"> </w:t>
      </w:r>
      <w:r w:rsidR="00EE3156">
        <w:rPr>
          <w:rFonts w:asciiTheme="majorHAnsi" w:hAnsiTheme="majorHAnsi"/>
          <w:sz w:val="20"/>
          <w:szCs w:val="20"/>
        </w:rPr>
        <w:t xml:space="preserve">not evaluated neither </w:t>
      </w:r>
      <w:r w:rsidR="00EE3156" w:rsidRPr="00326F31">
        <w:rPr>
          <w:rFonts w:asciiTheme="majorHAnsi" w:hAnsiTheme="majorHAnsi"/>
          <w:sz w:val="20"/>
          <w:szCs w:val="20"/>
        </w:rPr>
        <w:t>positively nor</w:t>
      </w:r>
      <w:r w:rsidRPr="00326F31">
        <w:rPr>
          <w:rFonts w:asciiTheme="majorHAnsi" w:hAnsiTheme="majorHAnsi"/>
          <w:sz w:val="20"/>
          <w:szCs w:val="20"/>
        </w:rPr>
        <w:t xml:space="preserve"> negatively, therefore incurring in an improper valuation of certain evidence</w:t>
      </w:r>
      <w:r w:rsidRPr="00326F31">
        <w:rPr>
          <w:rStyle w:val="FootnoteReference"/>
          <w:rFonts w:asciiTheme="majorHAnsi" w:hAnsiTheme="majorHAnsi"/>
          <w:sz w:val="20"/>
          <w:szCs w:val="20"/>
          <w:lang w:val="es-VE"/>
        </w:rPr>
        <w:footnoteReference w:id="115"/>
      </w:r>
      <w:r w:rsidRPr="00326F31">
        <w:rPr>
          <w:rFonts w:asciiTheme="majorHAnsi" w:hAnsiTheme="majorHAnsi"/>
          <w:sz w:val="20"/>
          <w:szCs w:val="20"/>
        </w:rPr>
        <w:t>. On September 9, 2005 the Third Superior Court for Labor Matters of the Labor Circuit Court dismissed the appeal on the grounds that the plaintiffs failed to show that the exercise of the contractual power of the employer constituted a discriminatory practice</w:t>
      </w:r>
      <w:r w:rsidRPr="00326F31">
        <w:rPr>
          <w:rStyle w:val="FootnoteReference"/>
          <w:rFonts w:asciiTheme="majorHAnsi" w:hAnsiTheme="majorHAnsi"/>
          <w:sz w:val="20"/>
          <w:szCs w:val="20"/>
          <w:lang w:val="es-VE"/>
        </w:rPr>
        <w:footnoteReference w:id="116"/>
      </w:r>
      <w:r w:rsidRPr="00326F31">
        <w:rPr>
          <w:rFonts w:asciiTheme="majorHAnsi" w:hAnsiTheme="majorHAnsi"/>
          <w:sz w:val="20"/>
          <w:szCs w:val="20"/>
        </w:rPr>
        <w:t>.</w:t>
      </w:r>
    </w:p>
    <w:p w14:paraId="6EA4DAE1" w14:textId="77777777" w:rsidR="00E404DA" w:rsidRPr="00326F31" w:rsidRDefault="00E404DA" w:rsidP="00326F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3C6212AE" w14:textId="78B5626E" w:rsidR="00544FB3" w:rsidRPr="00326F31" w:rsidRDefault="00544FB3" w:rsidP="00326F31">
      <w:pPr>
        <w:pStyle w:val="ListParagraph"/>
        <w:numPr>
          <w:ilvl w:val="0"/>
          <w:numId w:val="61"/>
        </w:numPr>
        <w:tabs>
          <w:tab w:val="clear" w:pos="1800"/>
        </w:tabs>
        <w:ind w:left="1440" w:hanging="720"/>
        <w:jc w:val="both"/>
        <w:rPr>
          <w:rFonts w:asciiTheme="majorHAnsi" w:hAnsiTheme="majorHAnsi"/>
          <w:b/>
          <w:sz w:val="20"/>
          <w:szCs w:val="20"/>
        </w:rPr>
      </w:pPr>
      <w:r w:rsidRPr="00326F31">
        <w:rPr>
          <w:rFonts w:asciiTheme="majorHAnsi" w:hAnsiTheme="majorHAnsi"/>
          <w:b/>
          <w:sz w:val="20"/>
          <w:szCs w:val="20"/>
        </w:rPr>
        <w:t>Criminal complaint before the Public Ministry</w:t>
      </w:r>
    </w:p>
    <w:p w14:paraId="0FE65EAF" w14:textId="77777777" w:rsidR="001E69EE" w:rsidRPr="00326F31" w:rsidRDefault="001E69EE"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19AAD83B" w14:textId="5B562F78" w:rsidR="0059662E" w:rsidRPr="00326F31" w:rsidRDefault="001E69EE"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On May 27, 2004 Rocío San Miguel Sosa, Magally Chang Girón, and Thais Coromoto Peña filed a criminal complaint before the Prosecutor General's Office asking to initiate criminal investigations against </w:t>
      </w:r>
      <w:r w:rsidRPr="00326F31">
        <w:rPr>
          <w:rFonts w:asciiTheme="majorHAnsi" w:hAnsiTheme="majorHAnsi"/>
          <w:sz w:val="20"/>
          <w:szCs w:val="20"/>
        </w:rPr>
        <w:lastRenderedPageBreak/>
        <w:t>the officials who carried their dismissal</w:t>
      </w:r>
      <w:r w:rsidRPr="00326F31">
        <w:rPr>
          <w:rFonts w:asciiTheme="majorHAnsi" w:hAnsiTheme="majorHAnsi"/>
          <w:sz w:val="20"/>
          <w:szCs w:val="20"/>
          <w:vertAlign w:val="superscript"/>
          <w:lang w:val="es-VE"/>
        </w:rPr>
        <w:footnoteReference w:id="117"/>
      </w:r>
      <w:r w:rsidR="00EE3156">
        <w:rPr>
          <w:rFonts w:asciiTheme="majorHAnsi" w:hAnsiTheme="majorHAnsi"/>
          <w:sz w:val="20"/>
          <w:szCs w:val="20"/>
        </w:rPr>
        <w:t>, as this was an act of</w:t>
      </w:r>
      <w:r w:rsidRPr="00326F31">
        <w:rPr>
          <w:rFonts w:asciiTheme="majorHAnsi" w:hAnsiTheme="majorHAnsi"/>
          <w:sz w:val="20"/>
          <w:szCs w:val="20"/>
        </w:rPr>
        <w:t xml:space="preserve"> </w:t>
      </w:r>
      <w:r w:rsidR="00EE3156" w:rsidRPr="00326F31">
        <w:rPr>
          <w:rFonts w:asciiTheme="majorHAnsi" w:hAnsiTheme="majorHAnsi"/>
          <w:sz w:val="20"/>
          <w:szCs w:val="20"/>
        </w:rPr>
        <w:t>retaliation</w:t>
      </w:r>
      <w:r w:rsidRPr="00326F31">
        <w:rPr>
          <w:rFonts w:asciiTheme="majorHAnsi" w:hAnsiTheme="majorHAnsi"/>
          <w:sz w:val="20"/>
          <w:szCs w:val="20"/>
        </w:rPr>
        <w:t xml:space="preserve"> for signing the petition for the presidential recall referendum</w:t>
      </w:r>
      <w:r w:rsidRPr="00326F31">
        <w:rPr>
          <w:rFonts w:asciiTheme="majorHAnsi" w:hAnsiTheme="majorHAnsi"/>
          <w:sz w:val="20"/>
          <w:szCs w:val="20"/>
          <w:vertAlign w:val="superscript"/>
          <w:lang w:val="es-VE"/>
        </w:rPr>
        <w:footnoteReference w:id="118"/>
      </w:r>
      <w:r w:rsidRPr="00326F31">
        <w:rPr>
          <w:rFonts w:asciiTheme="majorHAnsi" w:hAnsiTheme="majorHAnsi"/>
          <w:sz w:val="20"/>
          <w:szCs w:val="20"/>
        </w:rPr>
        <w:t>. They reported that their dismissal was signed by the then President of the National Border Council José Vicente Rangel Vale, and that the Executive Secretary of the National Border Council told them that their dismissals were due to the gesture of distrust in which they had incurred by signing the petition for a presidential recall referendum</w:t>
      </w:r>
      <w:r w:rsidRPr="00326F31">
        <w:rPr>
          <w:rFonts w:asciiTheme="majorHAnsi" w:hAnsiTheme="majorHAnsi"/>
          <w:sz w:val="20"/>
          <w:szCs w:val="20"/>
          <w:vertAlign w:val="superscript"/>
          <w:lang w:val="es-VE"/>
        </w:rPr>
        <w:footnoteReference w:id="119"/>
      </w:r>
      <w:r w:rsidRPr="00326F31">
        <w:rPr>
          <w:rFonts w:asciiTheme="majorHAnsi" w:hAnsiTheme="majorHAnsi"/>
          <w:sz w:val="20"/>
          <w:szCs w:val="20"/>
        </w:rPr>
        <w:t>.</w:t>
      </w:r>
    </w:p>
    <w:p w14:paraId="5F55E025" w14:textId="77777777" w:rsidR="001E69EE" w:rsidRPr="00326F31" w:rsidRDefault="001E69EE" w:rsidP="00326F31">
      <w:pPr>
        <w:jc w:val="both"/>
        <w:rPr>
          <w:rFonts w:asciiTheme="majorHAnsi" w:hAnsiTheme="majorHAnsi"/>
          <w:sz w:val="20"/>
          <w:szCs w:val="20"/>
        </w:rPr>
      </w:pPr>
    </w:p>
    <w:p w14:paraId="4DF3551C" w14:textId="281D8DBD" w:rsidR="001E69EE" w:rsidRPr="00326F31" w:rsidRDefault="001E69EE"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July 7, 2004, the Office of the Thirty-Seventh Prosecuting Attorney ordered the launch of the criminal investigation</w:t>
      </w:r>
      <w:r w:rsidRPr="00326F31">
        <w:rPr>
          <w:rFonts w:asciiTheme="majorHAnsi" w:hAnsiTheme="majorHAnsi"/>
          <w:sz w:val="20"/>
          <w:szCs w:val="20"/>
          <w:vertAlign w:val="superscript"/>
          <w:lang w:val="es-VE"/>
        </w:rPr>
        <w:footnoteReference w:id="120"/>
      </w:r>
      <w:r w:rsidRPr="00326F31">
        <w:rPr>
          <w:rFonts w:asciiTheme="majorHAnsi" w:hAnsiTheme="majorHAnsi"/>
          <w:sz w:val="20"/>
          <w:szCs w:val="20"/>
        </w:rPr>
        <w:t xml:space="preserve"> . On July 14, 2004 the Prosecutor interviewed the Executive Secretary of the National Border Council, Feijoo Colomine Rincones</w:t>
      </w:r>
      <w:r w:rsidRPr="00326F31">
        <w:rPr>
          <w:rFonts w:asciiTheme="majorHAnsi" w:hAnsiTheme="majorHAnsi"/>
          <w:sz w:val="20"/>
          <w:szCs w:val="20"/>
          <w:vertAlign w:val="superscript"/>
          <w:lang w:val="es-VE"/>
        </w:rPr>
        <w:footnoteReference w:id="121"/>
      </w:r>
      <w:r w:rsidRPr="00326F31">
        <w:rPr>
          <w:rFonts w:asciiTheme="majorHAnsi" w:hAnsiTheme="majorHAnsi"/>
          <w:sz w:val="20"/>
          <w:szCs w:val="20"/>
        </w:rPr>
        <w:t>. On the same date the Executive Secretary presented a report to the Prosecutor 37 of the Public Ministry</w:t>
      </w:r>
      <w:r w:rsidRPr="00326F31">
        <w:rPr>
          <w:rFonts w:asciiTheme="majorHAnsi" w:hAnsiTheme="majorHAnsi"/>
          <w:sz w:val="20"/>
          <w:szCs w:val="20"/>
          <w:vertAlign w:val="superscript"/>
          <w:lang w:val="es-VE"/>
        </w:rPr>
        <w:footnoteReference w:id="122"/>
      </w:r>
      <w:r w:rsidRPr="00326F31">
        <w:rPr>
          <w:rFonts w:asciiTheme="majorHAnsi" w:hAnsiTheme="majorHAnsi"/>
          <w:sz w:val="20"/>
          <w:szCs w:val="20"/>
        </w:rPr>
        <w:t>. On July 15, Rocío San Miguel, and Thais Coromoto Peña gave their statements, and on July 16 Magally Chang Girón made her statement</w:t>
      </w:r>
      <w:r w:rsidRPr="00326F31">
        <w:rPr>
          <w:rFonts w:asciiTheme="majorHAnsi" w:hAnsiTheme="majorHAnsi"/>
          <w:sz w:val="20"/>
          <w:szCs w:val="20"/>
          <w:vertAlign w:val="superscript"/>
          <w:lang w:val="es-VE"/>
        </w:rPr>
        <w:footnoteReference w:id="123"/>
      </w:r>
      <w:r w:rsidRPr="00326F31">
        <w:rPr>
          <w:rFonts w:asciiTheme="majorHAnsi" w:hAnsiTheme="majorHAnsi"/>
          <w:sz w:val="20"/>
          <w:szCs w:val="20"/>
        </w:rPr>
        <w:t>.</w:t>
      </w:r>
    </w:p>
    <w:p w14:paraId="77F6824D" w14:textId="77777777" w:rsidR="00DE2557" w:rsidRPr="00326F31" w:rsidRDefault="00DE2557" w:rsidP="00326F31">
      <w:pPr>
        <w:pStyle w:val="ListParagraph"/>
        <w:jc w:val="both"/>
        <w:rPr>
          <w:rFonts w:asciiTheme="majorHAnsi" w:hAnsiTheme="majorHAnsi"/>
          <w:sz w:val="20"/>
          <w:szCs w:val="20"/>
        </w:rPr>
      </w:pPr>
    </w:p>
    <w:p w14:paraId="08F0603A" w14:textId="4A4CB9E3" w:rsidR="00DE2557" w:rsidRPr="00326F31" w:rsidRDefault="00DE2557"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January 21, 2005 the Thirty-Seventh Prosecuting Attorney requested the dismissal of the case to a trial judge, considering that the facts were not criminal in nature and noting that it could not be established the violation of a constitutional right as these were contractually established relationships, and as stipulated in the seventh clause of the contract signed by the plaintiffs the right to terminate the contract was reserved to the contractor</w:t>
      </w:r>
      <w:r w:rsidRPr="00326F31">
        <w:rPr>
          <w:rStyle w:val="FootnoteReference"/>
          <w:rFonts w:asciiTheme="majorHAnsi" w:hAnsiTheme="majorHAnsi"/>
          <w:sz w:val="20"/>
          <w:szCs w:val="20"/>
          <w:lang w:val="es-ES"/>
        </w:rPr>
        <w:footnoteReference w:id="124"/>
      </w:r>
      <w:r w:rsidRPr="00326F31">
        <w:rPr>
          <w:rFonts w:asciiTheme="majorHAnsi" w:hAnsiTheme="majorHAnsi"/>
          <w:sz w:val="20"/>
          <w:szCs w:val="20"/>
        </w:rPr>
        <w:t>. On April 4, 2005 the Twenty-First Judge of First Instance acting as Control Court ordered the dismissal of the case considerin</w:t>
      </w:r>
      <w:r w:rsidR="000B30B2" w:rsidRPr="00326F31">
        <w:rPr>
          <w:rFonts w:asciiTheme="majorHAnsi" w:hAnsiTheme="majorHAnsi"/>
          <w:sz w:val="20"/>
          <w:szCs w:val="20"/>
        </w:rPr>
        <w:t>g</w:t>
      </w:r>
      <w:r w:rsidRPr="00326F31">
        <w:rPr>
          <w:rFonts w:asciiTheme="majorHAnsi" w:hAnsiTheme="majorHAnsi"/>
          <w:sz w:val="20"/>
          <w:szCs w:val="20"/>
        </w:rPr>
        <w:t xml:space="preserve"> that,</w:t>
      </w:r>
    </w:p>
    <w:p w14:paraId="66342A6D" w14:textId="77777777" w:rsidR="000B30B2" w:rsidRPr="00326F31" w:rsidRDefault="000B30B2" w:rsidP="00326F31">
      <w:pPr>
        <w:ind w:right="720"/>
        <w:jc w:val="both"/>
        <w:rPr>
          <w:rFonts w:asciiTheme="majorHAnsi" w:hAnsiTheme="majorHAnsi"/>
          <w:sz w:val="20"/>
          <w:szCs w:val="20"/>
        </w:rPr>
      </w:pPr>
    </w:p>
    <w:p w14:paraId="7A4C8C08" w14:textId="7123A645" w:rsidR="000B30B2" w:rsidRPr="00326F31" w:rsidRDefault="000B30B2" w:rsidP="00326F31">
      <w:pPr>
        <w:ind w:left="720" w:right="720"/>
        <w:jc w:val="both"/>
        <w:rPr>
          <w:rFonts w:asciiTheme="majorHAnsi" w:hAnsiTheme="majorHAnsi"/>
          <w:sz w:val="20"/>
          <w:szCs w:val="20"/>
        </w:rPr>
      </w:pPr>
      <w:r w:rsidRPr="00326F31">
        <w:rPr>
          <w:rFonts w:asciiTheme="majorHAnsi" w:hAnsiTheme="majorHAnsi"/>
          <w:sz w:val="20"/>
          <w:szCs w:val="20"/>
        </w:rPr>
        <w:t xml:space="preserve">None of the clauses evidence that rules of criminal nature were violated, and although it is evident that the President of the National Border Council decided to terminate the procurement of services, the fact remains that this was allowed by the contract signed between the parties, in observing that none of the reported elements lead to corroborate the plaintiffs claim that the reason for the termination of the contract was the fact they voted in the recall referendum, and that if it were so, those facts are not criminal offenses, as the </w:t>
      </w:r>
      <w:r w:rsidR="00EE3156">
        <w:rPr>
          <w:rFonts w:asciiTheme="majorHAnsi" w:hAnsiTheme="majorHAnsi"/>
          <w:sz w:val="20"/>
          <w:szCs w:val="20"/>
        </w:rPr>
        <w:t xml:space="preserve">rules invoked as violating (sic) </w:t>
      </w:r>
      <w:r w:rsidRPr="00326F31">
        <w:rPr>
          <w:rFonts w:asciiTheme="majorHAnsi" w:hAnsiTheme="majorHAnsi"/>
          <w:sz w:val="20"/>
          <w:szCs w:val="20"/>
        </w:rPr>
        <w:t>constitutional rights, are not punishable acts, and in any case, the disagreements arising as a result of a contractual relationship are not within the jurisdiction of this court, since the plaintiffs could pursue their claim in other administrative or labor jurisdiction, for the purpose of ensuring their right to work, as criminal proceedings are not the</w:t>
      </w:r>
      <w:r w:rsidR="005E6C10">
        <w:rPr>
          <w:rFonts w:asciiTheme="majorHAnsi" w:hAnsiTheme="majorHAnsi"/>
          <w:sz w:val="20"/>
          <w:szCs w:val="20"/>
        </w:rPr>
        <w:t xml:space="preserve"> </w:t>
      </w:r>
      <w:r w:rsidRPr="00326F31">
        <w:rPr>
          <w:rFonts w:asciiTheme="majorHAnsi" w:hAnsiTheme="majorHAnsi"/>
          <w:sz w:val="20"/>
          <w:szCs w:val="20"/>
        </w:rPr>
        <w:t>ideal proceedings for their claim</w:t>
      </w:r>
      <w:r w:rsidRPr="00326F31">
        <w:rPr>
          <w:rFonts w:asciiTheme="majorHAnsi" w:hAnsiTheme="majorHAnsi"/>
          <w:sz w:val="20"/>
          <w:szCs w:val="20"/>
          <w:vertAlign w:val="superscript"/>
        </w:rPr>
        <w:footnoteReference w:id="125"/>
      </w:r>
      <w:r w:rsidRPr="00326F31">
        <w:rPr>
          <w:rFonts w:asciiTheme="majorHAnsi" w:hAnsiTheme="majorHAnsi"/>
          <w:sz w:val="20"/>
          <w:szCs w:val="20"/>
        </w:rPr>
        <w:t>.</w:t>
      </w:r>
      <w:r w:rsidR="005E6C10">
        <w:rPr>
          <w:rFonts w:asciiTheme="majorHAnsi" w:hAnsiTheme="majorHAnsi"/>
          <w:sz w:val="20"/>
          <w:szCs w:val="20"/>
        </w:rPr>
        <w:t xml:space="preserve"> </w:t>
      </w:r>
    </w:p>
    <w:p w14:paraId="5D0D41A9" w14:textId="77777777" w:rsidR="009D33B2" w:rsidRPr="00326F31" w:rsidRDefault="009D33B2"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50EBE62D" w14:textId="16E66C83" w:rsidR="000B30B2" w:rsidRPr="00326F31" w:rsidRDefault="000B30B2"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On April 15, 2005, Rocío San Miguel Sosa, Magally Chang Girón, and Thais Coromoto Peña appealed against the decision to dismiss the case, arguing that the decision erred in law in concluding that </w:t>
      </w:r>
      <w:r w:rsidRPr="00326F31">
        <w:rPr>
          <w:rFonts w:asciiTheme="majorHAnsi" w:hAnsiTheme="majorHAnsi"/>
          <w:sz w:val="20"/>
          <w:szCs w:val="20"/>
        </w:rPr>
        <w:lastRenderedPageBreak/>
        <w:t>"</w:t>
      </w:r>
      <w:r w:rsidR="002E607F" w:rsidRPr="00326F31">
        <w:rPr>
          <w:rFonts w:asciiTheme="majorHAnsi" w:hAnsiTheme="majorHAnsi"/>
          <w:sz w:val="20"/>
          <w:szCs w:val="20"/>
        </w:rPr>
        <w:t xml:space="preserve">even </w:t>
      </w:r>
      <w:r w:rsidRPr="00326F31">
        <w:rPr>
          <w:rFonts w:asciiTheme="majorHAnsi" w:hAnsiTheme="majorHAnsi"/>
          <w:sz w:val="20"/>
          <w:szCs w:val="20"/>
        </w:rPr>
        <w:t>if it had been that way (if it had been confirmed that the reason for the termination of the contract was voting in the recall referendum) neither such allegations constitute offenses”</w:t>
      </w:r>
      <w:r w:rsidRPr="00326F31">
        <w:rPr>
          <w:rFonts w:asciiTheme="majorHAnsi" w:hAnsiTheme="majorHAnsi"/>
          <w:sz w:val="20"/>
          <w:szCs w:val="20"/>
          <w:vertAlign w:val="superscript"/>
        </w:rPr>
        <w:t xml:space="preserve"> </w:t>
      </w:r>
      <w:r w:rsidRPr="00326F31">
        <w:rPr>
          <w:rFonts w:asciiTheme="majorHAnsi" w:hAnsiTheme="majorHAnsi"/>
          <w:sz w:val="20"/>
          <w:szCs w:val="20"/>
          <w:vertAlign w:val="superscript"/>
        </w:rPr>
        <w:footnoteReference w:id="126"/>
      </w:r>
      <w:r w:rsidRPr="00326F31">
        <w:rPr>
          <w:rFonts w:asciiTheme="majorHAnsi" w:hAnsiTheme="majorHAnsi"/>
          <w:sz w:val="20"/>
          <w:szCs w:val="20"/>
        </w:rPr>
        <w:t>,</w:t>
      </w:r>
      <w:r w:rsidR="005E6C10">
        <w:rPr>
          <w:rFonts w:asciiTheme="majorHAnsi" w:hAnsiTheme="majorHAnsi"/>
          <w:sz w:val="20"/>
          <w:szCs w:val="20"/>
        </w:rPr>
        <w:t xml:space="preserve"> </w:t>
      </w:r>
      <w:r w:rsidRPr="00326F31">
        <w:rPr>
          <w:rFonts w:asciiTheme="majorHAnsi" w:hAnsiTheme="majorHAnsi"/>
          <w:sz w:val="20"/>
          <w:szCs w:val="20"/>
        </w:rPr>
        <w:t xml:space="preserve">but since the alleged facts do constitute crimes, and if </w:t>
      </w:r>
      <w:r w:rsidR="00BE1380">
        <w:rPr>
          <w:rFonts w:asciiTheme="majorHAnsi" w:hAnsiTheme="majorHAnsi"/>
          <w:sz w:val="20"/>
          <w:szCs w:val="20"/>
        </w:rPr>
        <w:t xml:space="preserve">it </w:t>
      </w:r>
      <w:r w:rsidRPr="00326F31">
        <w:rPr>
          <w:rFonts w:asciiTheme="majorHAnsi" w:hAnsiTheme="majorHAnsi"/>
          <w:sz w:val="20"/>
          <w:szCs w:val="20"/>
        </w:rPr>
        <w:t>wasn’t corroborate that the reason for the termination of contracts was the participation in the recall referendum, it was precisely because the prosecution did not develop a proper investigation</w:t>
      </w:r>
      <w:r w:rsidRPr="00326F31">
        <w:rPr>
          <w:rFonts w:asciiTheme="majorHAnsi" w:hAnsiTheme="majorHAnsi"/>
          <w:sz w:val="20"/>
          <w:szCs w:val="20"/>
          <w:vertAlign w:val="superscript"/>
        </w:rPr>
        <w:footnoteReference w:id="127"/>
      </w:r>
      <w:r w:rsidRPr="00326F31">
        <w:rPr>
          <w:rFonts w:asciiTheme="majorHAnsi" w:hAnsiTheme="majorHAnsi"/>
          <w:sz w:val="20"/>
          <w:szCs w:val="20"/>
        </w:rPr>
        <w:t>.</w:t>
      </w:r>
    </w:p>
    <w:p w14:paraId="6E8568C1" w14:textId="77777777" w:rsidR="001F2E46" w:rsidRPr="00326F31" w:rsidRDefault="001F2E46" w:rsidP="00326F31">
      <w:pPr>
        <w:jc w:val="both"/>
        <w:rPr>
          <w:rFonts w:asciiTheme="majorHAnsi" w:hAnsiTheme="majorHAnsi"/>
          <w:sz w:val="20"/>
          <w:szCs w:val="20"/>
        </w:rPr>
      </w:pPr>
    </w:p>
    <w:p w14:paraId="7FA0D0B0" w14:textId="2B86D425" w:rsidR="001F2E46" w:rsidRPr="00326F31" w:rsidRDefault="001F2E46"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26F31">
        <w:rPr>
          <w:rFonts w:asciiTheme="majorHAnsi" w:hAnsiTheme="majorHAnsi"/>
          <w:sz w:val="20"/>
          <w:szCs w:val="20"/>
        </w:rPr>
        <w:t>On April 28, 2005 the Thirty-Seventh Prosecuting Attorney requested the members of the Court of Appeal to dismiss the appeal considering that "the trial record show that the measures taken by those interested in the subject was limited to a contractually established relationship and has nothing that intervenes in criminal law (...)"</w:t>
      </w:r>
      <w:r w:rsidRPr="00326F31">
        <w:rPr>
          <w:rStyle w:val="FootnoteReference"/>
          <w:rFonts w:asciiTheme="majorHAnsi" w:hAnsiTheme="majorHAnsi"/>
          <w:sz w:val="20"/>
          <w:szCs w:val="20"/>
          <w:lang w:val="es-ES"/>
        </w:rPr>
        <w:footnoteReference w:id="128"/>
      </w:r>
      <w:r w:rsidRPr="00326F31">
        <w:rPr>
          <w:rFonts w:asciiTheme="majorHAnsi" w:hAnsiTheme="majorHAnsi"/>
          <w:sz w:val="20"/>
          <w:szCs w:val="20"/>
        </w:rPr>
        <w:t>.</w:t>
      </w:r>
    </w:p>
    <w:p w14:paraId="4845D9DC" w14:textId="77777777" w:rsidR="001F2E46" w:rsidRPr="00326F31" w:rsidRDefault="001F2E46" w:rsidP="00326F31">
      <w:pPr>
        <w:pStyle w:val="ListParagraph"/>
        <w:jc w:val="both"/>
        <w:rPr>
          <w:rFonts w:asciiTheme="majorHAnsi" w:hAnsiTheme="majorHAnsi"/>
          <w:sz w:val="20"/>
          <w:szCs w:val="20"/>
          <w:lang w:val="es-DO"/>
        </w:rPr>
      </w:pPr>
    </w:p>
    <w:p w14:paraId="6790C19F" w14:textId="4C66AE0A" w:rsidR="001F2E46" w:rsidRPr="00326F31" w:rsidRDefault="001F2E46"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26F31">
        <w:rPr>
          <w:rFonts w:asciiTheme="majorHAnsi" w:hAnsiTheme="majorHAnsi"/>
          <w:sz w:val="20"/>
          <w:szCs w:val="20"/>
        </w:rPr>
        <w:t>On May 5, 2005 the Seventh Chamber of the Court of Appeal admitted the appeal filed</w:t>
      </w:r>
      <w:r w:rsidRPr="00326F31">
        <w:rPr>
          <w:rStyle w:val="FootnoteReference"/>
          <w:rFonts w:asciiTheme="majorHAnsi" w:hAnsiTheme="majorHAnsi"/>
          <w:sz w:val="20"/>
          <w:szCs w:val="20"/>
          <w:lang w:val="es-ES"/>
        </w:rPr>
        <w:footnoteReference w:id="129"/>
      </w:r>
      <w:r w:rsidRPr="00326F31">
        <w:rPr>
          <w:rFonts w:asciiTheme="majorHAnsi" w:hAnsiTheme="majorHAnsi"/>
          <w:sz w:val="20"/>
          <w:szCs w:val="20"/>
        </w:rPr>
        <w:t>,</w:t>
      </w:r>
      <w:r w:rsidR="005E6C10">
        <w:rPr>
          <w:rFonts w:asciiTheme="majorHAnsi" w:hAnsiTheme="majorHAnsi"/>
          <w:sz w:val="20"/>
          <w:szCs w:val="20"/>
        </w:rPr>
        <w:t xml:space="preserve"> </w:t>
      </w:r>
      <w:r w:rsidRPr="00326F31">
        <w:rPr>
          <w:rFonts w:asciiTheme="majorHAnsi" w:hAnsiTheme="majorHAnsi"/>
          <w:sz w:val="20"/>
          <w:szCs w:val="20"/>
        </w:rPr>
        <w:t>and on May 12, 2005 that same Chamber dismissed the appeal stating that "it is impossible to demand of the Public Ministry (owner</w:t>
      </w:r>
      <w:r w:rsidR="00BE1380">
        <w:rPr>
          <w:rFonts w:asciiTheme="majorHAnsi" w:hAnsiTheme="majorHAnsi"/>
          <w:sz w:val="20"/>
          <w:szCs w:val="20"/>
        </w:rPr>
        <w:t xml:space="preserve"> of the</w:t>
      </w:r>
      <w:r w:rsidRPr="00326F31">
        <w:rPr>
          <w:rFonts w:asciiTheme="majorHAnsi" w:hAnsiTheme="majorHAnsi"/>
          <w:sz w:val="20"/>
          <w:szCs w:val="20"/>
        </w:rPr>
        <w:t xml:space="preserve"> criminal action by excellence), to present a different final action other than the one already exercised (dismissal of this case) (...</w:t>
      </w:r>
      <w:r w:rsidR="00BE1380" w:rsidRPr="00326F31">
        <w:rPr>
          <w:rFonts w:asciiTheme="majorHAnsi" w:hAnsiTheme="majorHAnsi"/>
          <w:sz w:val="20"/>
          <w:szCs w:val="20"/>
        </w:rPr>
        <w:t>) “</w:t>
      </w:r>
      <w:r w:rsidRPr="00326F31">
        <w:rPr>
          <w:rStyle w:val="FootnoteReference"/>
          <w:rFonts w:asciiTheme="majorHAnsi" w:hAnsiTheme="majorHAnsi"/>
          <w:sz w:val="20"/>
          <w:szCs w:val="20"/>
          <w:lang w:val="es-ES"/>
        </w:rPr>
        <w:footnoteReference w:id="130"/>
      </w:r>
      <w:r w:rsidRPr="00326F31">
        <w:rPr>
          <w:rFonts w:asciiTheme="majorHAnsi" w:hAnsiTheme="majorHAnsi"/>
          <w:sz w:val="20"/>
          <w:szCs w:val="20"/>
          <w:lang w:val="es-ES"/>
        </w:rPr>
        <w:t>.</w:t>
      </w:r>
    </w:p>
    <w:p w14:paraId="7E348792" w14:textId="77777777" w:rsidR="001F2E46" w:rsidRPr="00326F31" w:rsidRDefault="001F2E46" w:rsidP="00326F31">
      <w:pPr>
        <w:pStyle w:val="ListParagraph"/>
        <w:jc w:val="both"/>
        <w:rPr>
          <w:rFonts w:asciiTheme="majorHAnsi" w:hAnsiTheme="majorHAnsi"/>
          <w:sz w:val="20"/>
          <w:szCs w:val="20"/>
          <w:lang w:val="es-DO"/>
        </w:rPr>
      </w:pPr>
    </w:p>
    <w:p w14:paraId="4751A771" w14:textId="476DB32A" w:rsidR="001F2E46" w:rsidRPr="00326F31" w:rsidRDefault="001F2E46"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July 7, 2005 the alleged victims filed an appeal</w:t>
      </w:r>
      <w:r w:rsidR="00BE1380">
        <w:rPr>
          <w:rFonts w:asciiTheme="majorHAnsi" w:hAnsiTheme="majorHAnsi"/>
          <w:sz w:val="20"/>
          <w:szCs w:val="20"/>
        </w:rPr>
        <w:t xml:space="preserve"> remedy (casación)</w:t>
      </w:r>
      <w:r w:rsidRPr="00326F31">
        <w:rPr>
          <w:rFonts w:asciiTheme="majorHAnsi" w:hAnsiTheme="majorHAnsi"/>
          <w:sz w:val="20"/>
          <w:szCs w:val="20"/>
        </w:rPr>
        <w:t xml:space="preserve"> against the decision which dismissed the appeal, alleging a series of violations of the right to due process and infringement and misinterpretation of the law</w:t>
      </w:r>
      <w:r w:rsidRPr="00326F31">
        <w:rPr>
          <w:rStyle w:val="FootnoteReference"/>
          <w:rFonts w:asciiTheme="majorHAnsi" w:hAnsiTheme="majorHAnsi"/>
          <w:sz w:val="20"/>
          <w:szCs w:val="20"/>
          <w:lang w:val="es-ES"/>
        </w:rPr>
        <w:footnoteReference w:id="131"/>
      </w:r>
      <w:r w:rsidRPr="00326F31">
        <w:rPr>
          <w:rFonts w:asciiTheme="majorHAnsi" w:hAnsiTheme="majorHAnsi"/>
          <w:sz w:val="20"/>
          <w:szCs w:val="20"/>
        </w:rPr>
        <w:t>.</w:t>
      </w:r>
    </w:p>
    <w:p w14:paraId="4100C489" w14:textId="77777777" w:rsidR="001F2E46" w:rsidRPr="00326F31" w:rsidRDefault="001F2E46" w:rsidP="00326F31">
      <w:pPr>
        <w:pStyle w:val="ListParagraph"/>
        <w:jc w:val="both"/>
        <w:rPr>
          <w:rFonts w:asciiTheme="majorHAnsi" w:hAnsiTheme="majorHAnsi"/>
          <w:sz w:val="20"/>
          <w:szCs w:val="20"/>
        </w:rPr>
      </w:pPr>
    </w:p>
    <w:p w14:paraId="25C28EC0" w14:textId="536FF9AD" w:rsidR="001F2E46" w:rsidRPr="00326F31" w:rsidRDefault="001F2E46"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On 27 September 2005 the Chamber of Criminal Appeals of the Supreme Court dismissed the appeal brought by the victims of the case on the grounds that the appellants "failed to demonstrate the usefulness of the appeal remedy (</w:t>
      </w:r>
      <w:r w:rsidR="00101CD1">
        <w:rPr>
          <w:rFonts w:asciiTheme="majorHAnsi" w:hAnsiTheme="majorHAnsi"/>
          <w:i/>
          <w:sz w:val="20"/>
          <w:szCs w:val="20"/>
        </w:rPr>
        <w:t>casac</w:t>
      </w:r>
      <w:r w:rsidRPr="00326F31">
        <w:rPr>
          <w:rFonts w:asciiTheme="majorHAnsi" w:hAnsiTheme="majorHAnsi"/>
          <w:i/>
          <w:sz w:val="20"/>
          <w:szCs w:val="20"/>
        </w:rPr>
        <w:t>ión</w:t>
      </w:r>
      <w:r w:rsidR="00AA552C">
        <w:rPr>
          <w:rFonts w:asciiTheme="majorHAnsi" w:hAnsiTheme="majorHAnsi"/>
          <w:sz w:val="20"/>
          <w:szCs w:val="20"/>
        </w:rPr>
        <w:t>) and did not express</w:t>
      </w:r>
      <w:r w:rsidRPr="00326F31">
        <w:rPr>
          <w:rFonts w:asciiTheme="majorHAnsi" w:hAnsiTheme="majorHAnsi"/>
          <w:sz w:val="20"/>
          <w:szCs w:val="20"/>
        </w:rPr>
        <w:t xml:space="preserve"> their arguments clearly"</w:t>
      </w:r>
      <w:r w:rsidRPr="00326F31">
        <w:rPr>
          <w:rStyle w:val="FootnoteReference"/>
          <w:rFonts w:asciiTheme="majorHAnsi" w:hAnsiTheme="majorHAnsi"/>
          <w:sz w:val="20"/>
          <w:szCs w:val="20"/>
          <w:lang w:val="es-ES"/>
        </w:rPr>
        <w:footnoteReference w:id="132"/>
      </w:r>
      <w:r w:rsidR="00101CD1">
        <w:rPr>
          <w:rFonts w:asciiTheme="majorHAnsi" w:hAnsiTheme="majorHAnsi"/>
          <w:sz w:val="20"/>
          <w:szCs w:val="20"/>
        </w:rPr>
        <w:t>.</w:t>
      </w:r>
    </w:p>
    <w:p w14:paraId="3136E932" w14:textId="77777777" w:rsidR="00F36DD3" w:rsidRPr="00326F31" w:rsidRDefault="00F36DD3" w:rsidP="00326F31">
      <w:pPr>
        <w:suppressAutoHyphens/>
        <w:jc w:val="both"/>
        <w:rPr>
          <w:rFonts w:asciiTheme="majorHAnsi" w:hAnsiTheme="majorHAnsi"/>
          <w:sz w:val="20"/>
          <w:szCs w:val="20"/>
        </w:rPr>
      </w:pPr>
    </w:p>
    <w:p w14:paraId="229CFB48" w14:textId="11B83C07" w:rsidR="00E40449" w:rsidRPr="00326F31" w:rsidRDefault="00544FB3" w:rsidP="00326F31">
      <w:pPr>
        <w:pStyle w:val="Heading1"/>
        <w:numPr>
          <w:ilvl w:val="0"/>
          <w:numId w:val="55"/>
        </w:numPr>
        <w:tabs>
          <w:tab w:val="clear" w:pos="1440"/>
        </w:tabs>
        <w:jc w:val="both"/>
      </w:pPr>
      <w:bookmarkStart w:id="18" w:name="_Toc433311134"/>
      <w:r w:rsidRPr="00326F31">
        <w:t>LEGAL ANALYSIS</w:t>
      </w:r>
      <w:bookmarkEnd w:id="18"/>
    </w:p>
    <w:p w14:paraId="7B60C402" w14:textId="77777777" w:rsidR="006E00A3" w:rsidRPr="00326F31" w:rsidRDefault="006E00A3" w:rsidP="00326F31">
      <w:pPr>
        <w:jc w:val="both"/>
        <w:rPr>
          <w:rFonts w:asciiTheme="majorHAnsi" w:hAnsiTheme="majorHAnsi"/>
          <w:sz w:val="20"/>
          <w:szCs w:val="20"/>
          <w:lang w:val="es-ES"/>
        </w:rPr>
      </w:pPr>
    </w:p>
    <w:p w14:paraId="038256CC" w14:textId="12A1A980" w:rsidR="004B5C1A" w:rsidRPr="001E6089" w:rsidRDefault="00003C98" w:rsidP="001E6089">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Based on the arguments of the parties and the proven facts, the Commission will decide first whether the creation of the "Tascón list" and its dissemination are itself violations of the American Convention. Secondly, the Commission will examine whether the dismissal of the alleged victims constituted a violation of political rights, freedom of expression and the principle of equality and non-discrimination. Third, the Commission shall determine whether the processes initiated internally constituted an effective remedy to protect them judicially against the dismissal. </w:t>
      </w:r>
      <w:r w:rsidRPr="001E6089">
        <w:rPr>
          <w:rFonts w:asciiTheme="majorHAnsi" w:hAnsiTheme="majorHAnsi"/>
          <w:sz w:val="20"/>
          <w:szCs w:val="20"/>
        </w:rPr>
        <w:t xml:space="preserve">Finally, the Commission will refer to the allegations of the petitioners regarding the violation of the right to personal integrity. Consequently, the Commission will conduct its legal analysis </w:t>
      </w:r>
      <w:r w:rsidR="004B5C1A" w:rsidRPr="001E6089">
        <w:rPr>
          <w:rFonts w:asciiTheme="majorHAnsi" w:hAnsiTheme="majorHAnsi"/>
          <w:sz w:val="20"/>
          <w:szCs w:val="20"/>
        </w:rPr>
        <w:t xml:space="preserve">referring </w:t>
      </w:r>
      <w:r w:rsidR="001E6089">
        <w:rPr>
          <w:rFonts w:asciiTheme="majorHAnsi" w:hAnsiTheme="majorHAnsi"/>
          <w:sz w:val="20"/>
          <w:szCs w:val="20"/>
        </w:rPr>
        <w:t>first to political rights, freedom of expression and to the principle of</w:t>
      </w:r>
      <w:r w:rsidR="00064D7F">
        <w:rPr>
          <w:rFonts w:asciiTheme="majorHAnsi" w:hAnsiTheme="majorHAnsi"/>
          <w:sz w:val="20"/>
          <w:szCs w:val="20"/>
        </w:rPr>
        <w:t xml:space="preserve"> equality and non-discrimination in the context of the dismissal. Second, the Commission will refer to the rights to a fair trial and judicial protection. </w:t>
      </w:r>
    </w:p>
    <w:p w14:paraId="2175099C" w14:textId="77777777" w:rsidR="00003C98" w:rsidRDefault="00003C98" w:rsidP="00326F31">
      <w:pPr>
        <w:ind w:right="720"/>
        <w:jc w:val="both"/>
        <w:rPr>
          <w:rFonts w:asciiTheme="majorHAnsi" w:eastAsia="Times New Roman" w:hAnsiTheme="majorHAnsi"/>
          <w:sz w:val="20"/>
          <w:szCs w:val="20"/>
          <w:lang w:eastAsia="es-ES"/>
        </w:rPr>
      </w:pPr>
    </w:p>
    <w:p w14:paraId="28D0D900" w14:textId="77777777" w:rsidR="00D7257D" w:rsidRPr="00326F31" w:rsidRDefault="00D7257D" w:rsidP="00326F31">
      <w:pPr>
        <w:pBdr>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lang w:eastAsia="es-ES"/>
        </w:rPr>
      </w:pPr>
    </w:p>
    <w:p w14:paraId="6F21943D" w14:textId="7F99C399" w:rsidR="00D7257D" w:rsidRPr="00326F31" w:rsidRDefault="00D34CE7" w:rsidP="00AA552C">
      <w:pPr>
        <w:pStyle w:val="Heading2"/>
        <w:numPr>
          <w:ilvl w:val="0"/>
          <w:numId w:val="62"/>
        </w:numPr>
        <w:ind w:left="1440" w:hanging="720"/>
        <w:rPr>
          <w:lang w:val="en-US"/>
        </w:rPr>
      </w:pPr>
      <w:bookmarkStart w:id="19" w:name="_Toc433311135"/>
      <w:r w:rsidRPr="00326F31">
        <w:rPr>
          <w:lang w:val="en-US"/>
        </w:rPr>
        <w:lastRenderedPageBreak/>
        <w:t>Political rights, freedom of expression and the principle of equality and non-discrimination in the context of the dismissal (Articles 23.1, 13.1 and 13.3, 24 and 1.1 of the American Convention)</w:t>
      </w:r>
      <w:bookmarkEnd w:id="19"/>
    </w:p>
    <w:p w14:paraId="7640CDAF" w14:textId="77777777" w:rsidR="00D7257D" w:rsidRPr="00326F31" w:rsidRDefault="00D7257D"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lang w:eastAsia="es-ES"/>
        </w:rPr>
      </w:pPr>
    </w:p>
    <w:p w14:paraId="6ED245C3" w14:textId="25D5B798" w:rsidR="001C0C84" w:rsidRPr="00326F31" w:rsidRDefault="008D0DEE"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eastAsia="Times New Roman" w:hAnsiTheme="majorHAnsi"/>
          <w:sz w:val="20"/>
          <w:szCs w:val="20"/>
          <w:lang w:eastAsia="es-ES"/>
        </w:rPr>
        <w:t>Article 23.1 of the American Convention states:</w:t>
      </w:r>
    </w:p>
    <w:p w14:paraId="568E22B1" w14:textId="77777777" w:rsidR="008D0DEE" w:rsidRPr="00326F31" w:rsidRDefault="008D0DEE"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74D6A880" w14:textId="2CA361FC" w:rsidR="007D4D0A" w:rsidRPr="00326F31" w:rsidRDefault="007D4D0A" w:rsidP="00326F31">
      <w:pPr>
        <w:tabs>
          <w:tab w:val="left" w:pos="709"/>
        </w:tabs>
        <w:suppressAutoHyphens/>
        <w:ind w:left="709"/>
        <w:jc w:val="both"/>
        <w:rPr>
          <w:rFonts w:asciiTheme="majorHAnsi" w:hAnsiTheme="majorHAnsi"/>
          <w:spacing w:val="-3"/>
          <w:sz w:val="20"/>
          <w:szCs w:val="20"/>
        </w:rPr>
      </w:pPr>
      <w:r w:rsidRPr="00326F31">
        <w:rPr>
          <w:rFonts w:asciiTheme="majorHAnsi" w:hAnsiTheme="majorHAnsi"/>
          <w:spacing w:val="-3"/>
          <w:sz w:val="20"/>
          <w:szCs w:val="20"/>
        </w:rPr>
        <w:tab/>
        <w:t>1.</w:t>
      </w:r>
      <w:r w:rsidRPr="00326F31">
        <w:rPr>
          <w:rFonts w:asciiTheme="majorHAnsi" w:hAnsiTheme="majorHAnsi"/>
          <w:spacing w:val="-3"/>
          <w:sz w:val="20"/>
          <w:szCs w:val="20"/>
        </w:rPr>
        <w:tab/>
      </w:r>
      <w:r w:rsidR="008D0DEE" w:rsidRPr="00326F31">
        <w:rPr>
          <w:rFonts w:asciiTheme="majorHAnsi" w:hAnsiTheme="majorHAnsi"/>
          <w:spacing w:val="-3"/>
          <w:sz w:val="20"/>
          <w:szCs w:val="20"/>
        </w:rPr>
        <w:t>Every citizen shall enjoy the following rights and opportunities:</w:t>
      </w:r>
    </w:p>
    <w:p w14:paraId="12F2D046" w14:textId="77777777" w:rsidR="008D0DEE" w:rsidRPr="00326F31" w:rsidRDefault="008D0DEE" w:rsidP="00326F31">
      <w:pPr>
        <w:tabs>
          <w:tab w:val="left" w:pos="709"/>
        </w:tabs>
        <w:suppressAutoHyphens/>
        <w:ind w:left="709"/>
        <w:jc w:val="both"/>
        <w:rPr>
          <w:rFonts w:asciiTheme="majorHAnsi" w:hAnsiTheme="majorHAnsi"/>
          <w:spacing w:val="-3"/>
          <w:sz w:val="20"/>
          <w:szCs w:val="20"/>
        </w:rPr>
      </w:pPr>
    </w:p>
    <w:p w14:paraId="6A0B3BB8" w14:textId="32C8AE00" w:rsidR="007D4D0A" w:rsidRPr="00326F31" w:rsidRDefault="007D4D0A" w:rsidP="00326F31">
      <w:pPr>
        <w:pStyle w:val="BodyTextIndent"/>
        <w:tabs>
          <w:tab w:val="left" w:pos="709"/>
        </w:tabs>
        <w:ind w:left="709" w:right="571" w:firstLine="0"/>
        <w:jc w:val="both"/>
        <w:rPr>
          <w:rFonts w:asciiTheme="majorHAnsi" w:hAnsiTheme="majorHAnsi"/>
          <w:sz w:val="20"/>
          <w:szCs w:val="20"/>
          <w:lang w:val="en-US"/>
        </w:rPr>
      </w:pPr>
      <w:r w:rsidRPr="00326F31">
        <w:rPr>
          <w:rFonts w:asciiTheme="majorHAnsi" w:hAnsiTheme="majorHAnsi"/>
          <w:sz w:val="20"/>
          <w:szCs w:val="20"/>
          <w:lang w:val="en-US"/>
        </w:rPr>
        <w:t>a.</w:t>
      </w:r>
      <w:r w:rsidRPr="00326F31">
        <w:rPr>
          <w:rFonts w:asciiTheme="majorHAnsi" w:hAnsiTheme="majorHAnsi"/>
          <w:sz w:val="20"/>
          <w:szCs w:val="20"/>
          <w:lang w:val="en-US"/>
        </w:rPr>
        <w:tab/>
      </w:r>
      <w:r w:rsidR="008D0DEE" w:rsidRPr="00326F31">
        <w:rPr>
          <w:rFonts w:asciiTheme="majorHAnsi" w:hAnsiTheme="majorHAnsi"/>
          <w:sz w:val="20"/>
          <w:szCs w:val="20"/>
          <w:lang w:val="en-US"/>
        </w:rPr>
        <w:t>to take part in the conduct of public affairs, directly or through freely chosen representatives;</w:t>
      </w:r>
    </w:p>
    <w:p w14:paraId="4BFF008C" w14:textId="77777777" w:rsidR="007D4D0A" w:rsidRPr="00326F31" w:rsidRDefault="007D4D0A" w:rsidP="00326F31">
      <w:pPr>
        <w:tabs>
          <w:tab w:val="left" w:pos="709"/>
        </w:tabs>
        <w:suppressAutoHyphens/>
        <w:ind w:left="709" w:right="571"/>
        <w:jc w:val="both"/>
        <w:rPr>
          <w:rFonts w:asciiTheme="majorHAnsi" w:hAnsiTheme="majorHAnsi"/>
          <w:spacing w:val="-3"/>
          <w:sz w:val="20"/>
          <w:szCs w:val="20"/>
        </w:rPr>
      </w:pPr>
    </w:p>
    <w:p w14:paraId="10C4DA9F" w14:textId="41C30A83" w:rsidR="007D4D0A" w:rsidRPr="00326F31" w:rsidRDefault="007D4D0A" w:rsidP="00326F31">
      <w:pPr>
        <w:tabs>
          <w:tab w:val="left" w:pos="709"/>
        </w:tabs>
        <w:suppressAutoHyphens/>
        <w:ind w:left="709" w:right="571"/>
        <w:jc w:val="both"/>
        <w:rPr>
          <w:rFonts w:asciiTheme="majorHAnsi" w:hAnsiTheme="majorHAnsi"/>
          <w:spacing w:val="-3"/>
          <w:sz w:val="20"/>
          <w:szCs w:val="20"/>
        </w:rPr>
      </w:pPr>
      <w:r w:rsidRPr="00326F31">
        <w:rPr>
          <w:rFonts w:asciiTheme="majorHAnsi" w:hAnsiTheme="majorHAnsi"/>
          <w:spacing w:val="-3"/>
          <w:sz w:val="20"/>
          <w:szCs w:val="20"/>
        </w:rPr>
        <w:t>b.</w:t>
      </w:r>
      <w:r w:rsidRPr="00326F31">
        <w:rPr>
          <w:rFonts w:asciiTheme="majorHAnsi" w:hAnsiTheme="majorHAnsi"/>
          <w:spacing w:val="-3"/>
          <w:sz w:val="20"/>
          <w:szCs w:val="20"/>
        </w:rPr>
        <w:tab/>
      </w:r>
      <w:r w:rsidR="008D0DEE" w:rsidRPr="00326F31">
        <w:rPr>
          <w:rFonts w:asciiTheme="majorHAnsi" w:eastAsia="Times New Roman" w:hAnsiTheme="majorHAnsi"/>
          <w:sz w:val="20"/>
          <w:szCs w:val="20"/>
          <w:lang w:eastAsia="es-ES"/>
        </w:rPr>
        <w:t>to vote and to be elected in genuine periodic elections, which shall be by universal and equal suffrage and by secret ballot that guarantees the free expression of the will of the voters; and</w:t>
      </w:r>
    </w:p>
    <w:p w14:paraId="6B03BE7B" w14:textId="77777777" w:rsidR="007D4D0A" w:rsidRPr="00326F31" w:rsidRDefault="007D4D0A" w:rsidP="00326F31">
      <w:pPr>
        <w:tabs>
          <w:tab w:val="left" w:pos="709"/>
        </w:tabs>
        <w:suppressAutoHyphens/>
        <w:ind w:left="709" w:right="571"/>
        <w:jc w:val="both"/>
        <w:rPr>
          <w:rFonts w:asciiTheme="majorHAnsi" w:hAnsiTheme="majorHAnsi"/>
          <w:spacing w:val="-3"/>
          <w:sz w:val="20"/>
          <w:szCs w:val="20"/>
        </w:rPr>
      </w:pPr>
    </w:p>
    <w:p w14:paraId="4626BA11" w14:textId="720C3E86" w:rsidR="008D0DEE" w:rsidRPr="00326F31" w:rsidRDefault="007D4D0A" w:rsidP="00326F31">
      <w:pPr>
        <w:tabs>
          <w:tab w:val="left" w:pos="709"/>
        </w:tabs>
        <w:suppressAutoHyphens/>
        <w:ind w:left="709" w:right="571"/>
        <w:jc w:val="both"/>
        <w:rPr>
          <w:rFonts w:asciiTheme="majorHAnsi" w:hAnsiTheme="majorHAnsi"/>
          <w:spacing w:val="-3"/>
          <w:sz w:val="20"/>
          <w:szCs w:val="20"/>
        </w:rPr>
      </w:pPr>
      <w:r w:rsidRPr="00326F31">
        <w:rPr>
          <w:rFonts w:asciiTheme="majorHAnsi" w:hAnsiTheme="majorHAnsi"/>
          <w:spacing w:val="-3"/>
          <w:sz w:val="20"/>
          <w:szCs w:val="20"/>
        </w:rPr>
        <w:t>c.</w:t>
      </w:r>
      <w:r w:rsidRPr="00326F31">
        <w:rPr>
          <w:rFonts w:asciiTheme="majorHAnsi" w:hAnsiTheme="majorHAnsi"/>
          <w:spacing w:val="-3"/>
          <w:sz w:val="20"/>
          <w:szCs w:val="20"/>
        </w:rPr>
        <w:tab/>
      </w:r>
      <w:r w:rsidR="008D0DEE" w:rsidRPr="00326F31">
        <w:rPr>
          <w:rFonts w:asciiTheme="majorHAnsi" w:eastAsia="Times New Roman" w:hAnsiTheme="majorHAnsi"/>
          <w:sz w:val="20"/>
          <w:szCs w:val="20"/>
          <w:lang w:eastAsia="es-ES"/>
        </w:rPr>
        <w:t>to have access, under general conditions of equality, to the public service of his country</w:t>
      </w:r>
    </w:p>
    <w:p w14:paraId="2846FB1E" w14:textId="71CC5005" w:rsidR="007D4D0A" w:rsidRPr="00326F31" w:rsidRDefault="007D4D0A" w:rsidP="00326F31">
      <w:pPr>
        <w:ind w:left="1080" w:right="720" w:hanging="360"/>
        <w:jc w:val="both"/>
        <w:rPr>
          <w:rFonts w:asciiTheme="majorHAnsi" w:eastAsia="Times New Roman" w:hAnsiTheme="majorHAnsi"/>
          <w:sz w:val="20"/>
          <w:szCs w:val="20"/>
          <w:lang w:eastAsia="es-ES"/>
        </w:rPr>
      </w:pPr>
    </w:p>
    <w:p w14:paraId="12F10D26" w14:textId="77777777" w:rsidR="008D0DEE" w:rsidRPr="00326F31" w:rsidRDefault="008D0DEE" w:rsidP="00326F31">
      <w:pPr>
        <w:ind w:left="1080" w:right="720" w:hanging="360"/>
        <w:jc w:val="both"/>
        <w:rPr>
          <w:rFonts w:asciiTheme="majorHAnsi" w:eastAsia="Times New Roman" w:hAnsiTheme="majorHAnsi"/>
          <w:sz w:val="20"/>
          <w:szCs w:val="20"/>
          <w:lang w:eastAsia="es-ES"/>
        </w:rPr>
      </w:pPr>
    </w:p>
    <w:p w14:paraId="4C00F854" w14:textId="1CEDBA02" w:rsidR="00D15325" w:rsidRPr="00326F31" w:rsidRDefault="008D0DEE"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326F31">
        <w:rPr>
          <w:rFonts w:asciiTheme="majorHAnsi" w:eastAsia="Times New Roman" w:hAnsiTheme="majorHAnsi"/>
          <w:sz w:val="20"/>
          <w:szCs w:val="20"/>
          <w:lang w:eastAsia="es-ES"/>
        </w:rPr>
        <w:t>Article 13 of the Convention provides in its pertinent part:</w:t>
      </w:r>
    </w:p>
    <w:p w14:paraId="4C865BA9" w14:textId="77777777" w:rsidR="008D0DEE" w:rsidRPr="00326F31" w:rsidRDefault="008D0DEE" w:rsidP="00326F31">
      <w:pPr>
        <w:ind w:left="708" w:right="720"/>
        <w:jc w:val="both"/>
        <w:rPr>
          <w:rFonts w:asciiTheme="majorHAnsi" w:eastAsia="Times New Roman" w:hAnsiTheme="majorHAnsi"/>
          <w:sz w:val="20"/>
          <w:szCs w:val="20"/>
          <w:lang w:eastAsia="es-ES"/>
        </w:rPr>
      </w:pPr>
    </w:p>
    <w:p w14:paraId="59773830" w14:textId="1DB3A0BB" w:rsidR="008D0DEE" w:rsidRPr="00326F31" w:rsidRDefault="00D15325" w:rsidP="00326F31">
      <w:pPr>
        <w:ind w:left="708" w:right="720"/>
        <w:jc w:val="both"/>
        <w:rPr>
          <w:rFonts w:asciiTheme="majorHAnsi" w:eastAsia="Times New Roman" w:hAnsiTheme="majorHAnsi"/>
          <w:sz w:val="20"/>
          <w:szCs w:val="20"/>
          <w:lang w:eastAsia="es-ES"/>
        </w:rPr>
      </w:pPr>
      <w:r w:rsidRPr="00C9052E">
        <w:rPr>
          <w:rFonts w:asciiTheme="majorHAnsi" w:eastAsia="Times New Roman" w:hAnsiTheme="majorHAnsi"/>
          <w:sz w:val="20"/>
          <w:szCs w:val="20"/>
          <w:lang w:eastAsia="es-ES"/>
        </w:rPr>
        <w:t> </w:t>
      </w:r>
      <w:r w:rsidRPr="00326F31">
        <w:rPr>
          <w:rFonts w:asciiTheme="majorHAnsi" w:eastAsia="Times New Roman" w:hAnsiTheme="majorHAnsi"/>
          <w:sz w:val="20"/>
          <w:szCs w:val="20"/>
          <w:lang w:eastAsia="es-ES"/>
        </w:rPr>
        <w:t xml:space="preserve">1. </w:t>
      </w:r>
      <w:r w:rsidR="008D0DEE" w:rsidRPr="00326F31">
        <w:rPr>
          <w:rFonts w:asciiTheme="majorHAnsi" w:eastAsia="Times New Roman" w:hAnsiTheme="majorHAnsi"/>
          <w:sz w:val="20"/>
          <w:szCs w:val="20"/>
          <w:lang w:eastAsia="es-ES"/>
        </w:rPr>
        <w:t>Everyone has the right to freedom of thought and expression. This right includes freedom to seek, receive, and impart information and ideas of all kinds, regardless of frontiers, either orally, in writing, in print, in the form of art, or through any other medium of one's choice.</w:t>
      </w:r>
    </w:p>
    <w:p w14:paraId="260F3A04" w14:textId="77777777" w:rsidR="007D4D0A" w:rsidRPr="00326F31" w:rsidRDefault="007D4D0A" w:rsidP="00326F31">
      <w:pPr>
        <w:ind w:left="708" w:right="720"/>
        <w:jc w:val="both"/>
        <w:rPr>
          <w:rFonts w:asciiTheme="majorHAnsi" w:eastAsia="Times New Roman" w:hAnsiTheme="majorHAnsi"/>
          <w:sz w:val="20"/>
          <w:szCs w:val="20"/>
          <w:lang w:eastAsia="es-ES"/>
        </w:rPr>
      </w:pPr>
    </w:p>
    <w:p w14:paraId="31317B07" w14:textId="77777777" w:rsidR="007D4D0A" w:rsidRPr="00C9052E" w:rsidRDefault="007D4D0A" w:rsidP="00326F31">
      <w:pPr>
        <w:ind w:left="708" w:right="720"/>
        <w:jc w:val="both"/>
        <w:rPr>
          <w:rFonts w:asciiTheme="majorHAnsi" w:eastAsia="Times New Roman" w:hAnsiTheme="majorHAnsi"/>
          <w:sz w:val="20"/>
          <w:szCs w:val="20"/>
          <w:lang w:eastAsia="es-ES"/>
        </w:rPr>
      </w:pPr>
      <w:r w:rsidRPr="00C9052E">
        <w:rPr>
          <w:rFonts w:asciiTheme="majorHAnsi" w:eastAsia="Times New Roman" w:hAnsiTheme="majorHAnsi"/>
          <w:sz w:val="20"/>
          <w:szCs w:val="20"/>
          <w:lang w:eastAsia="es-ES"/>
        </w:rPr>
        <w:t>(…)</w:t>
      </w:r>
    </w:p>
    <w:p w14:paraId="524991A3" w14:textId="77777777" w:rsidR="007D4D0A" w:rsidRPr="00C9052E" w:rsidRDefault="007D4D0A" w:rsidP="00326F31">
      <w:pPr>
        <w:ind w:left="708" w:right="720"/>
        <w:jc w:val="both"/>
        <w:rPr>
          <w:rFonts w:asciiTheme="majorHAnsi" w:eastAsia="Times New Roman" w:hAnsiTheme="majorHAnsi"/>
          <w:sz w:val="20"/>
          <w:szCs w:val="20"/>
          <w:lang w:eastAsia="es-ES"/>
        </w:rPr>
      </w:pPr>
    </w:p>
    <w:p w14:paraId="335CD882" w14:textId="560BB6D8" w:rsidR="008D0DEE" w:rsidRPr="00326F31" w:rsidRDefault="00D15325" w:rsidP="00326F31">
      <w:pPr>
        <w:ind w:left="708" w:right="720"/>
        <w:jc w:val="both"/>
        <w:rPr>
          <w:rFonts w:asciiTheme="majorHAnsi" w:eastAsia="Times New Roman" w:hAnsiTheme="majorHAnsi"/>
          <w:sz w:val="20"/>
          <w:szCs w:val="20"/>
          <w:lang w:eastAsia="es-ES"/>
        </w:rPr>
      </w:pPr>
      <w:r w:rsidRPr="00C9052E">
        <w:rPr>
          <w:rFonts w:asciiTheme="majorHAnsi" w:eastAsia="Times New Roman" w:hAnsiTheme="majorHAnsi"/>
          <w:sz w:val="20"/>
          <w:szCs w:val="20"/>
          <w:lang w:eastAsia="es-ES"/>
        </w:rPr>
        <w:t> </w:t>
      </w:r>
      <w:r w:rsidRPr="00326F31">
        <w:rPr>
          <w:rFonts w:asciiTheme="majorHAnsi" w:eastAsia="Times New Roman" w:hAnsiTheme="majorHAnsi"/>
          <w:sz w:val="20"/>
          <w:szCs w:val="20"/>
          <w:lang w:eastAsia="es-ES"/>
        </w:rPr>
        <w:t xml:space="preserve">3. </w:t>
      </w:r>
      <w:r w:rsidR="008D0DEE" w:rsidRPr="00326F31">
        <w:rPr>
          <w:rFonts w:asciiTheme="majorHAnsi" w:eastAsia="Times New Roman" w:hAnsiTheme="majorHAnsi"/>
          <w:sz w:val="20"/>
          <w:szCs w:val="20"/>
          <w:lang w:eastAsia="es-ES"/>
        </w:rPr>
        <w:t>The right of expression may not be restricted by indirect methods or means, such as the abuse of government or private controls over newsprint, radio broadcasting frequencies, or equipment used in the dissemination of information, or by any other means tending to impede the communication and circulation of ideas and opinions.</w:t>
      </w:r>
    </w:p>
    <w:p w14:paraId="1941824A" w14:textId="77777777" w:rsidR="00D15325" w:rsidRPr="00326F31" w:rsidRDefault="00D15325" w:rsidP="00326F31">
      <w:pPr>
        <w:ind w:left="720" w:right="720"/>
        <w:jc w:val="both"/>
        <w:rPr>
          <w:rFonts w:asciiTheme="majorHAnsi" w:eastAsia="Times New Roman" w:hAnsiTheme="majorHAnsi"/>
          <w:sz w:val="20"/>
          <w:szCs w:val="20"/>
          <w:lang w:eastAsia="es-ES"/>
        </w:rPr>
      </w:pPr>
    </w:p>
    <w:p w14:paraId="2B5A8121" w14:textId="0CA067BE" w:rsidR="007D4D0A" w:rsidRPr="00326F31" w:rsidRDefault="008D0DEE"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326F31">
        <w:rPr>
          <w:rFonts w:asciiTheme="majorHAnsi" w:eastAsia="Times New Roman" w:hAnsiTheme="majorHAnsi"/>
          <w:sz w:val="20"/>
          <w:szCs w:val="20"/>
          <w:lang w:eastAsia="es-ES"/>
        </w:rPr>
        <w:t>Article 24 of the Convention states:</w:t>
      </w:r>
    </w:p>
    <w:p w14:paraId="00B89601" w14:textId="77777777" w:rsidR="008D0DEE" w:rsidRPr="00326F31" w:rsidRDefault="008D0DEE" w:rsidP="00326F31">
      <w:pPr>
        <w:ind w:left="708" w:right="720"/>
        <w:jc w:val="both"/>
        <w:rPr>
          <w:rFonts w:asciiTheme="majorHAnsi" w:eastAsia="Times New Roman" w:hAnsiTheme="majorHAnsi"/>
          <w:sz w:val="20"/>
          <w:szCs w:val="20"/>
          <w:lang w:eastAsia="es-ES"/>
        </w:rPr>
      </w:pPr>
    </w:p>
    <w:p w14:paraId="199CBA90" w14:textId="51010EAC" w:rsidR="008D0DEE" w:rsidRPr="00326F31" w:rsidRDefault="008D0DEE" w:rsidP="00326F31">
      <w:pPr>
        <w:ind w:left="708" w:right="720"/>
        <w:jc w:val="both"/>
        <w:rPr>
          <w:rFonts w:asciiTheme="majorHAnsi" w:eastAsia="Times New Roman" w:hAnsiTheme="majorHAnsi"/>
          <w:sz w:val="20"/>
          <w:szCs w:val="20"/>
          <w:lang w:eastAsia="es-ES"/>
        </w:rPr>
      </w:pPr>
      <w:r w:rsidRPr="00326F31">
        <w:rPr>
          <w:rFonts w:asciiTheme="majorHAnsi" w:eastAsia="Times New Roman" w:hAnsiTheme="majorHAnsi"/>
          <w:sz w:val="20"/>
          <w:szCs w:val="20"/>
          <w:lang w:eastAsia="es-ES"/>
        </w:rPr>
        <w:t>All persons are equal before the law. Consequently, they are entitled, without discrimination, to equal protection of the law.</w:t>
      </w:r>
    </w:p>
    <w:p w14:paraId="642C4C9A" w14:textId="77777777" w:rsidR="00537CBF" w:rsidRPr="00C9052E" w:rsidRDefault="00537CBF"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lang w:eastAsia="es-ES"/>
        </w:rPr>
      </w:pPr>
    </w:p>
    <w:p w14:paraId="596515D1" w14:textId="6AAE4398" w:rsidR="00537CBF" w:rsidRPr="00C9052E" w:rsidRDefault="00537CBF"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326F31">
        <w:rPr>
          <w:rFonts w:asciiTheme="majorHAnsi" w:eastAsia="Times New Roman" w:hAnsiTheme="majorHAnsi"/>
          <w:sz w:val="20"/>
          <w:szCs w:val="20"/>
          <w:lang w:eastAsia="es-ES"/>
        </w:rPr>
        <w:t xml:space="preserve">At this point the Commission will determine whether the dismissal of </w:t>
      </w:r>
      <w:r w:rsidRPr="00326F31">
        <w:rPr>
          <w:rFonts w:asciiTheme="majorHAnsi" w:eastAsia="Calibri" w:hAnsiTheme="majorHAnsi"/>
          <w:sz w:val="20"/>
          <w:szCs w:val="20"/>
        </w:rPr>
        <w:t xml:space="preserve">Rocío San Miguel Sosa, Magally Chang Girón, and Thais Coromoto Peña </w:t>
      </w:r>
      <w:r w:rsidRPr="00326F31">
        <w:rPr>
          <w:rFonts w:asciiTheme="majorHAnsi" w:eastAsia="Times New Roman" w:hAnsiTheme="majorHAnsi"/>
          <w:sz w:val="20"/>
          <w:szCs w:val="20"/>
          <w:lang w:eastAsia="es-ES"/>
        </w:rPr>
        <w:t xml:space="preserve">of public office in the CNF constitutes a violation of the rights mentioned above. This determination requires the Commission to rule first on whether it was an act motivated by the political opinion expressed by signing the petition to convene the recall referendum, or if as indicated by the State, </w:t>
      </w:r>
      <w:r w:rsidR="00CE0946">
        <w:rPr>
          <w:rFonts w:asciiTheme="majorHAnsi" w:eastAsia="Times New Roman" w:hAnsiTheme="majorHAnsi"/>
          <w:sz w:val="20"/>
          <w:szCs w:val="20"/>
          <w:lang w:eastAsia="es-ES"/>
        </w:rPr>
        <w:t xml:space="preserve">if </w:t>
      </w:r>
      <w:r w:rsidRPr="00326F31">
        <w:rPr>
          <w:rFonts w:asciiTheme="majorHAnsi" w:eastAsia="Times New Roman" w:hAnsiTheme="majorHAnsi"/>
          <w:sz w:val="20"/>
          <w:szCs w:val="20"/>
          <w:lang w:eastAsia="es-ES"/>
        </w:rPr>
        <w:t>it was the application of the seventh clause of their employment contract. If it is an act motivated by politically opinion, the Commission will analyze whether such treatment is justified under the American Convention</w:t>
      </w:r>
      <w:r w:rsidR="00093BD2">
        <w:rPr>
          <w:rFonts w:asciiTheme="majorHAnsi" w:eastAsia="Times New Roman" w:hAnsiTheme="majorHAnsi"/>
          <w:sz w:val="20"/>
          <w:szCs w:val="20"/>
          <w:lang w:eastAsia="es-ES"/>
        </w:rPr>
        <w:t>.</w:t>
      </w:r>
    </w:p>
    <w:p w14:paraId="33845B4B" w14:textId="77777777" w:rsidR="00537CBF" w:rsidRPr="00C9052E" w:rsidRDefault="00537CBF" w:rsidP="00326F31">
      <w:pPr>
        <w:pStyle w:val="ListParagraph"/>
        <w:jc w:val="both"/>
        <w:rPr>
          <w:rFonts w:asciiTheme="majorHAnsi" w:eastAsia="Times New Roman" w:hAnsiTheme="majorHAnsi"/>
          <w:sz w:val="20"/>
          <w:szCs w:val="20"/>
        </w:rPr>
      </w:pPr>
    </w:p>
    <w:p w14:paraId="78975F00" w14:textId="3A6404DF" w:rsidR="00537CBF" w:rsidRPr="00326F31" w:rsidRDefault="00537CBF" w:rsidP="00326F3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326F31">
        <w:rPr>
          <w:rFonts w:asciiTheme="majorHAnsi" w:eastAsia="Times New Roman" w:hAnsiTheme="majorHAnsi"/>
          <w:sz w:val="20"/>
          <w:szCs w:val="20"/>
          <w:lang w:eastAsia="es-ES"/>
        </w:rPr>
        <w:t>The Commission shall conduct the analysis described in the previous section in the following order: i) General considerations on political rights and their relation to the right to freedom of expression, the indirect restrictions on freedom of expression and the principle of equality and non-discrimination; ii) Analysis of whether the dismissal was based on</w:t>
      </w:r>
      <w:r w:rsidR="00CE0946">
        <w:rPr>
          <w:rFonts w:asciiTheme="majorHAnsi" w:eastAsia="Times New Roman" w:hAnsiTheme="majorHAnsi"/>
          <w:sz w:val="20"/>
          <w:szCs w:val="20"/>
          <w:lang w:eastAsia="es-ES"/>
        </w:rPr>
        <w:t xml:space="preserve"> the</w:t>
      </w:r>
      <w:r w:rsidRPr="00326F31">
        <w:rPr>
          <w:rFonts w:asciiTheme="majorHAnsi" w:eastAsia="Times New Roman" w:hAnsiTheme="majorHAnsi"/>
          <w:sz w:val="20"/>
          <w:szCs w:val="20"/>
          <w:lang w:eastAsia="es-ES"/>
        </w:rPr>
        <w:t xml:space="preserve"> political opinion expressed by signing the petition for a recall referendum and, therefore, constituted a violation of political rights and freedom of expression; and iii) Analysis of whether the dismissal was an act of discrimination based on political opinion.</w:t>
      </w:r>
    </w:p>
    <w:p w14:paraId="10A0DBB1" w14:textId="77777777" w:rsidR="007D4D0A" w:rsidRPr="00326F31" w:rsidRDefault="007D4D0A"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lang w:eastAsia="es-ES"/>
        </w:rPr>
      </w:pPr>
    </w:p>
    <w:p w14:paraId="5EDCD70C" w14:textId="2729C953" w:rsidR="007E665B" w:rsidRPr="00326F31" w:rsidRDefault="007E665B" w:rsidP="00326F31">
      <w:pPr>
        <w:pStyle w:val="ListParagraph"/>
        <w:numPr>
          <w:ilvl w:val="1"/>
          <w:numId w:val="55"/>
        </w:numPr>
        <w:pBdr>
          <w:left w:val="none" w:sz="0" w:space="0" w:color="auto"/>
          <w:bottom w:val="none" w:sz="0" w:space="0" w:color="auto"/>
          <w:right w:val="none" w:sz="0" w:space="0" w:color="auto"/>
          <w:between w:val="none" w:sz="0" w:space="0" w:color="auto"/>
          <w:bar w:val="none" w:sz="0" w:color="auto"/>
        </w:pBdr>
        <w:tabs>
          <w:tab w:val="clear" w:pos="1800"/>
          <w:tab w:val="num" w:pos="1418"/>
        </w:tabs>
        <w:ind w:left="1418" w:hanging="709"/>
        <w:jc w:val="both"/>
        <w:rPr>
          <w:rFonts w:asciiTheme="majorHAnsi" w:eastAsia="Times New Roman" w:hAnsiTheme="majorHAnsi"/>
          <w:b/>
          <w:sz w:val="20"/>
          <w:szCs w:val="20"/>
        </w:rPr>
      </w:pPr>
      <w:r w:rsidRPr="00326F31">
        <w:rPr>
          <w:rFonts w:asciiTheme="majorHAnsi" w:eastAsia="Times New Roman" w:hAnsiTheme="majorHAnsi"/>
          <w:b/>
          <w:sz w:val="20"/>
          <w:szCs w:val="20"/>
        </w:rPr>
        <w:t xml:space="preserve">General considerations on political rights and their relation to the right to freedom of expression, </w:t>
      </w:r>
      <w:r w:rsidR="00E2435C" w:rsidRPr="00326F31">
        <w:rPr>
          <w:rFonts w:asciiTheme="majorHAnsi" w:eastAsia="Times New Roman" w:hAnsiTheme="majorHAnsi"/>
          <w:b/>
          <w:sz w:val="20"/>
          <w:szCs w:val="20"/>
        </w:rPr>
        <w:t xml:space="preserve">the </w:t>
      </w:r>
      <w:r w:rsidRPr="00326F31">
        <w:rPr>
          <w:rFonts w:asciiTheme="majorHAnsi" w:eastAsia="Times New Roman" w:hAnsiTheme="majorHAnsi"/>
          <w:b/>
          <w:sz w:val="20"/>
          <w:szCs w:val="20"/>
        </w:rPr>
        <w:t>indirect restrictions on freedom of expression and the principle of equality and non-discrimination</w:t>
      </w:r>
    </w:p>
    <w:p w14:paraId="7F936F32" w14:textId="77777777" w:rsidR="00AB7D09" w:rsidRPr="00326F31" w:rsidRDefault="00AB7D09" w:rsidP="00326F31">
      <w:pPr>
        <w:pBdr>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sz w:val="20"/>
          <w:szCs w:val="20"/>
        </w:rPr>
      </w:pPr>
    </w:p>
    <w:p w14:paraId="5F43CD24" w14:textId="77777777" w:rsidR="00585A52" w:rsidRDefault="00093BD2" w:rsidP="00585A5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093BD2">
        <w:rPr>
          <w:rFonts w:asciiTheme="majorHAnsi" w:eastAsia="Times New Roman" w:hAnsiTheme="majorHAnsi"/>
          <w:sz w:val="20"/>
          <w:szCs w:val="20"/>
          <w:lang w:eastAsia="es-ES"/>
        </w:rPr>
        <w:lastRenderedPageBreak/>
        <w:t>Both the Commission and the Court have stressed the importance of political rights by recognizing and protecting the right and the duty of every citizen to participate in his or her country’s political life, and to promote the strengthening of democracy and political pluralism</w:t>
      </w:r>
      <w:r w:rsidRPr="00093BD2">
        <w:rPr>
          <w:rFonts w:asciiTheme="majorHAnsi" w:eastAsia="Times New Roman" w:hAnsiTheme="majorHAnsi"/>
          <w:sz w:val="20"/>
          <w:szCs w:val="20"/>
          <w:vertAlign w:val="superscript"/>
          <w:lang w:eastAsia="es-ES"/>
        </w:rPr>
        <w:footnoteReference w:id="133"/>
      </w:r>
      <w:r w:rsidRPr="00093BD2">
        <w:rPr>
          <w:rFonts w:asciiTheme="majorHAnsi" w:eastAsia="Times New Roman" w:hAnsiTheme="majorHAnsi"/>
          <w:sz w:val="20"/>
          <w:szCs w:val="20"/>
          <w:lang w:eastAsia="es-ES"/>
        </w:rPr>
        <w:t xml:space="preserve"> . The Court has emphasized that because of its importance, the American Convention under Article 27 prohibits their suspension and the essential judicial guarantees for their protection</w:t>
      </w:r>
      <w:r>
        <w:rPr>
          <w:rFonts w:asciiTheme="majorHAnsi" w:eastAsia="Times New Roman" w:hAnsiTheme="majorHAnsi"/>
          <w:sz w:val="20"/>
          <w:szCs w:val="20"/>
          <w:lang w:eastAsia="es-ES"/>
        </w:rPr>
        <w:t xml:space="preserve">. </w:t>
      </w:r>
      <w:r w:rsidRPr="00093BD2">
        <w:rPr>
          <w:rFonts w:asciiTheme="majorHAnsi" w:eastAsia="Times New Roman" w:hAnsiTheme="majorHAnsi"/>
          <w:sz w:val="20"/>
          <w:szCs w:val="20"/>
          <w:lang w:eastAsia="es-ES"/>
        </w:rPr>
        <w:t xml:space="preserve"> </w:t>
      </w:r>
    </w:p>
    <w:p w14:paraId="754B9083" w14:textId="77777777" w:rsidR="00585A52" w:rsidRDefault="00585A52" w:rsidP="00585A52">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lang w:eastAsia="es-ES"/>
        </w:rPr>
      </w:pPr>
    </w:p>
    <w:p w14:paraId="43B5945C" w14:textId="77777777" w:rsidR="00585A52" w:rsidRDefault="00585A52" w:rsidP="00585A5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585A52">
        <w:rPr>
          <w:rFonts w:ascii="Cambria" w:hAnsi="Cambria"/>
          <w:sz w:val="20"/>
          <w:szCs w:val="20"/>
        </w:rPr>
        <w:t>The Inter-American Court has stated that Article 23 of the American Convention contains various norms that refer to the rights of the individual as a citizen; that is, as titleholder of the decision-making process in public matters, in his capacity as a voter by means of his vote, or as a public servant; in other words, to be elected by the people or by appointment or designation to occupy a public office. In words of the Court, “as distinct from almost all the other rights established in the Convention that are recognized to every person, Article 23 of the Convention not only establishes that its titleholders must enjoy rights, but adds the word “opportunities.” The latter implies the obligation to guarantee with positive measures that every person who is formally the titleholder of political rights has the real opportunity to exercise them. As the Court has previously indicated, it is essential that the State create optimum conditions and mechanisms to ensure that political rights can be exercised effectively, respecting the principle of equality and non-discrimination”</w:t>
      </w:r>
      <w:r w:rsidRPr="00585A52">
        <w:rPr>
          <w:rFonts w:ascii="Cambria" w:hAnsi="Cambria"/>
          <w:sz w:val="20"/>
          <w:szCs w:val="20"/>
          <w:vertAlign w:val="superscript"/>
        </w:rPr>
        <w:footnoteReference w:id="134"/>
      </w:r>
      <w:r w:rsidRPr="00585A52">
        <w:rPr>
          <w:rFonts w:ascii="Cambria" w:hAnsi="Cambria"/>
          <w:sz w:val="20"/>
          <w:szCs w:val="20"/>
        </w:rPr>
        <w:t>.</w:t>
      </w:r>
    </w:p>
    <w:p w14:paraId="0CE7DA36" w14:textId="77777777" w:rsidR="00585A52" w:rsidRDefault="00585A52" w:rsidP="00585A52">
      <w:pPr>
        <w:pStyle w:val="ListParagraph"/>
        <w:rPr>
          <w:sz w:val="20"/>
          <w:szCs w:val="20"/>
        </w:rPr>
      </w:pPr>
    </w:p>
    <w:p w14:paraId="234C511E" w14:textId="77777777" w:rsidR="00585A52" w:rsidRDefault="00585A52" w:rsidP="00585A5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585A52">
        <w:rPr>
          <w:rFonts w:ascii="Cambria" w:hAnsi="Cambria"/>
          <w:sz w:val="20"/>
          <w:szCs w:val="20"/>
        </w:rPr>
        <w:t>The rights enshrined in Article 23 of the American Convention can be exercised through broad and diverse activities that people do in order to participate in public affairs of a country and, under that rule, “citizens have the right to play an active role in the conduct of public affairs directly through referenda, plebiscites or consultations or through freely elected representatives”</w:t>
      </w:r>
      <w:r w:rsidRPr="00585A52">
        <w:rPr>
          <w:rFonts w:ascii="Cambria" w:hAnsi="Cambria"/>
          <w:sz w:val="20"/>
          <w:szCs w:val="20"/>
          <w:vertAlign w:val="superscript"/>
          <w:lang w:val="es-ES"/>
        </w:rPr>
        <w:footnoteReference w:id="135"/>
      </w:r>
      <w:r w:rsidRPr="00585A52">
        <w:rPr>
          <w:rFonts w:ascii="Cambria" w:hAnsi="Cambria"/>
          <w:sz w:val="20"/>
          <w:szCs w:val="20"/>
        </w:rPr>
        <w:t xml:space="preserve">. </w:t>
      </w:r>
    </w:p>
    <w:p w14:paraId="00AC276F" w14:textId="77777777" w:rsidR="00585A52" w:rsidRDefault="00585A52" w:rsidP="00585A52">
      <w:pPr>
        <w:pStyle w:val="ListParagraph"/>
        <w:rPr>
          <w:spacing w:val="-3"/>
          <w:sz w:val="20"/>
          <w:szCs w:val="20"/>
        </w:rPr>
      </w:pPr>
    </w:p>
    <w:p w14:paraId="2A03FE70" w14:textId="77777777" w:rsidR="00585A52" w:rsidRDefault="00585A52" w:rsidP="00585A5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585A52">
        <w:rPr>
          <w:rFonts w:ascii="Cambria" w:hAnsi="Cambria"/>
          <w:color w:val="000000"/>
          <w:spacing w:val="-3"/>
          <w:sz w:val="20"/>
          <w:szCs w:val="20"/>
        </w:rPr>
        <w:t>When examining the scope of Article 23, the Commission has stated that if Article 23 was to be fully respected elections had to be authentic, universal, periodic, and by secret ballot or some other means that enabled voters to express their will freely</w:t>
      </w:r>
      <w:r w:rsidRPr="00585A52">
        <w:rPr>
          <w:rFonts w:ascii="Cambria" w:hAnsi="Cambria"/>
          <w:sz w:val="20"/>
          <w:szCs w:val="20"/>
          <w:vertAlign w:val="superscript"/>
          <w:lang w:val="es-ES"/>
        </w:rPr>
        <w:footnoteReference w:id="136"/>
      </w:r>
      <w:r w:rsidRPr="00585A52">
        <w:rPr>
          <w:rFonts w:ascii="Cambria" w:hAnsi="Cambria"/>
          <w:sz w:val="20"/>
          <w:szCs w:val="20"/>
        </w:rPr>
        <w:t>.</w:t>
      </w:r>
    </w:p>
    <w:p w14:paraId="4840E6C4" w14:textId="77777777" w:rsidR="00585A52" w:rsidRDefault="00585A52" w:rsidP="00585A52">
      <w:pPr>
        <w:pStyle w:val="ListParagraph"/>
        <w:rPr>
          <w:sz w:val="20"/>
          <w:szCs w:val="20"/>
        </w:rPr>
      </w:pPr>
    </w:p>
    <w:p w14:paraId="00B05EBE" w14:textId="77777777" w:rsidR="00585A52" w:rsidRDefault="00585A52" w:rsidP="00585A5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585A52">
        <w:rPr>
          <w:rFonts w:ascii="Cambria" w:hAnsi="Cambria"/>
          <w:sz w:val="20"/>
          <w:szCs w:val="20"/>
        </w:rPr>
        <w:t>For its part, the United Nations, Human Rights Committee for the International Covenant on Civil and Political Rights (hereinafter “Human Rights Committee”), has indicated that “States should take measures to guarantee the requirement of the secrecy of the vote during elections (…) this implies that voters should be protected from any form of coercion or compulsion to disclose how they intend to vote or how they voted, and from any unlawful or arbitrary interference with the voting process”</w:t>
      </w:r>
      <w:r w:rsidRPr="00585A52">
        <w:rPr>
          <w:rFonts w:ascii="Cambria" w:hAnsi="Cambria"/>
          <w:sz w:val="20"/>
          <w:szCs w:val="20"/>
          <w:vertAlign w:val="superscript"/>
          <w:lang w:val="es-CO"/>
        </w:rPr>
        <w:footnoteReference w:id="137"/>
      </w:r>
      <w:r w:rsidRPr="00585A52">
        <w:rPr>
          <w:rFonts w:ascii="Cambria" w:hAnsi="Cambria"/>
          <w:sz w:val="20"/>
          <w:szCs w:val="20"/>
        </w:rPr>
        <w:t>.</w:t>
      </w:r>
    </w:p>
    <w:p w14:paraId="74BF69BA" w14:textId="77777777" w:rsidR="00585A52" w:rsidRDefault="00585A52" w:rsidP="00585A52">
      <w:pPr>
        <w:pStyle w:val="ListParagraph"/>
        <w:rPr>
          <w:rFonts w:asciiTheme="majorHAnsi" w:eastAsia="Times New Roman" w:hAnsiTheme="majorHAnsi"/>
          <w:sz w:val="20"/>
          <w:szCs w:val="20"/>
        </w:rPr>
      </w:pPr>
    </w:p>
    <w:p w14:paraId="12FDAF00" w14:textId="77777777" w:rsidR="00585A52" w:rsidRDefault="00585A52" w:rsidP="00585A5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Pr>
          <w:rFonts w:asciiTheme="majorHAnsi" w:eastAsia="Times New Roman" w:hAnsiTheme="majorHAnsi"/>
          <w:sz w:val="20"/>
          <w:szCs w:val="20"/>
          <w:lang w:eastAsia="es-ES"/>
        </w:rPr>
        <w:t xml:space="preserve"> T</w:t>
      </w:r>
      <w:r w:rsidR="00C77EA2" w:rsidRPr="00585A52">
        <w:rPr>
          <w:rFonts w:asciiTheme="majorHAnsi" w:eastAsia="Times New Roman" w:hAnsiTheme="majorHAnsi"/>
          <w:sz w:val="20"/>
          <w:szCs w:val="20"/>
          <w:lang w:eastAsia="es-ES"/>
        </w:rPr>
        <w:t>he two organs or the Inter- American system have pointed out that the exercise of political rights and freedom of thought and expression are closely linked and mutually reinforcing</w:t>
      </w:r>
      <w:r w:rsidR="00C77EA2" w:rsidRPr="00326F31">
        <w:rPr>
          <w:rStyle w:val="FootnoteReference"/>
          <w:rFonts w:asciiTheme="majorHAnsi" w:hAnsiTheme="majorHAnsi"/>
          <w:sz w:val="20"/>
          <w:szCs w:val="20"/>
          <w:lang w:val="es-ES"/>
        </w:rPr>
        <w:footnoteReference w:id="138"/>
      </w:r>
      <w:r w:rsidR="00C77EA2" w:rsidRPr="00585A52">
        <w:rPr>
          <w:rFonts w:asciiTheme="majorHAnsi" w:hAnsiTheme="majorHAnsi"/>
          <w:sz w:val="20"/>
          <w:szCs w:val="20"/>
        </w:rPr>
        <w:t>.</w:t>
      </w:r>
    </w:p>
    <w:p w14:paraId="1827EB8B" w14:textId="77777777" w:rsidR="00585A52" w:rsidRDefault="00585A52" w:rsidP="00585A52">
      <w:pPr>
        <w:pStyle w:val="ListParagraph"/>
        <w:rPr>
          <w:rFonts w:asciiTheme="majorHAnsi" w:hAnsiTheme="majorHAnsi"/>
          <w:sz w:val="20"/>
          <w:szCs w:val="20"/>
        </w:rPr>
      </w:pPr>
    </w:p>
    <w:p w14:paraId="60523C2C" w14:textId="61235468" w:rsidR="00585A52" w:rsidRDefault="00D57298" w:rsidP="00585A5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585A52">
        <w:rPr>
          <w:rFonts w:asciiTheme="majorHAnsi" w:hAnsiTheme="majorHAnsi"/>
          <w:sz w:val="20"/>
          <w:szCs w:val="20"/>
        </w:rPr>
        <w:t xml:space="preserve">As highlighted by the </w:t>
      </w:r>
      <w:r w:rsidR="00FA1F84">
        <w:rPr>
          <w:rFonts w:asciiTheme="majorHAnsi" w:hAnsiTheme="majorHAnsi"/>
          <w:sz w:val="20"/>
          <w:szCs w:val="20"/>
        </w:rPr>
        <w:t xml:space="preserve">Inter-American </w:t>
      </w:r>
      <w:r w:rsidRPr="00585A52">
        <w:rPr>
          <w:rFonts w:asciiTheme="majorHAnsi" w:hAnsiTheme="majorHAnsi"/>
          <w:sz w:val="20"/>
          <w:szCs w:val="20"/>
        </w:rPr>
        <w:t>Court</w:t>
      </w:r>
      <w:r w:rsidR="00AB7D09" w:rsidRPr="00585A52">
        <w:rPr>
          <w:rFonts w:asciiTheme="majorHAnsi" w:hAnsiTheme="majorHAnsi"/>
          <w:sz w:val="20"/>
          <w:szCs w:val="20"/>
        </w:rPr>
        <w:t xml:space="preserve">, </w:t>
      </w:r>
      <w:r w:rsidRPr="00585A52">
        <w:rPr>
          <w:rFonts w:asciiTheme="majorHAnsi" w:hAnsiTheme="majorHAnsi"/>
          <w:sz w:val="20"/>
          <w:szCs w:val="20"/>
        </w:rPr>
        <w:t>political rights are closely related to other rights embodied in the American Convention, such as freedom of expression, and freedom of association and assembly; together, they make democracy possible</w:t>
      </w:r>
      <w:r w:rsidR="00AB7D09" w:rsidRPr="00326F31">
        <w:rPr>
          <w:rStyle w:val="FootnoteReference"/>
          <w:rFonts w:asciiTheme="majorHAnsi" w:hAnsiTheme="majorHAnsi"/>
          <w:sz w:val="20"/>
          <w:szCs w:val="20"/>
          <w:lang w:val="es-ES"/>
        </w:rPr>
        <w:footnoteReference w:id="139"/>
      </w:r>
      <w:r w:rsidR="00AB7D09" w:rsidRPr="00585A52">
        <w:rPr>
          <w:rFonts w:asciiTheme="majorHAnsi" w:hAnsiTheme="majorHAnsi"/>
          <w:sz w:val="20"/>
          <w:szCs w:val="20"/>
        </w:rPr>
        <w:t xml:space="preserve">. </w:t>
      </w:r>
      <w:r w:rsidRPr="00585A52">
        <w:rPr>
          <w:rStyle w:val="apple-converted-space"/>
          <w:rFonts w:asciiTheme="majorHAnsi" w:hAnsiTheme="majorHAnsi"/>
          <w:color w:val="000000"/>
          <w:sz w:val="20"/>
          <w:szCs w:val="20"/>
        </w:rPr>
        <w:t>The right to freedom of expression is a cornerstone upon which the very existence of democratic societies is based, due to its indispensable structural relationship to democracy</w:t>
      </w:r>
      <w:r w:rsidR="00AB7D09" w:rsidRPr="00326F31">
        <w:rPr>
          <w:rStyle w:val="apple-converted-space"/>
          <w:rFonts w:asciiTheme="majorHAnsi" w:hAnsiTheme="majorHAnsi"/>
          <w:color w:val="000000"/>
          <w:sz w:val="20"/>
          <w:szCs w:val="20"/>
          <w:vertAlign w:val="superscript"/>
          <w:lang w:val="es-VE"/>
        </w:rPr>
        <w:footnoteReference w:id="140"/>
      </w:r>
      <w:r w:rsidR="00AB7D09" w:rsidRPr="00585A52">
        <w:rPr>
          <w:rStyle w:val="apple-converted-space"/>
          <w:rFonts w:asciiTheme="majorHAnsi" w:hAnsiTheme="majorHAnsi"/>
          <w:color w:val="000000"/>
          <w:sz w:val="20"/>
          <w:szCs w:val="20"/>
        </w:rPr>
        <w:t xml:space="preserve">. </w:t>
      </w:r>
      <w:r w:rsidR="004A7E40" w:rsidRPr="00585A52">
        <w:rPr>
          <w:rFonts w:asciiTheme="majorHAnsi" w:hAnsiTheme="majorHAnsi"/>
          <w:sz w:val="20"/>
          <w:szCs w:val="20"/>
        </w:rPr>
        <w:t>According to the Court without an effective guarantee of freedom of expression, democratic system weakens and pluralism and tolerance suffer grief; control mechanisms and citizen complaint may become ineffective and, ultimately, a fertile ground is created for authoritarian systems to take root</w:t>
      </w:r>
      <w:r w:rsidR="004A7E40" w:rsidRPr="00326F31">
        <w:rPr>
          <w:rStyle w:val="FootnoteReference"/>
          <w:rFonts w:asciiTheme="majorHAnsi" w:hAnsiTheme="majorHAnsi"/>
          <w:sz w:val="20"/>
          <w:szCs w:val="20"/>
          <w:lang w:val="es-ES"/>
        </w:rPr>
        <w:footnoteReference w:id="141"/>
      </w:r>
      <w:r w:rsidR="004A7E40" w:rsidRPr="00585A52">
        <w:rPr>
          <w:rFonts w:asciiTheme="majorHAnsi" w:hAnsiTheme="majorHAnsi"/>
          <w:sz w:val="20"/>
          <w:szCs w:val="20"/>
        </w:rPr>
        <w:t>.</w:t>
      </w:r>
    </w:p>
    <w:p w14:paraId="706C4779" w14:textId="77777777" w:rsidR="00585A52" w:rsidRDefault="00585A52" w:rsidP="00585A52">
      <w:pPr>
        <w:pStyle w:val="ListParagraph"/>
        <w:rPr>
          <w:rFonts w:asciiTheme="majorHAnsi" w:eastAsia="Times New Roman" w:hAnsiTheme="majorHAnsi"/>
          <w:sz w:val="20"/>
          <w:szCs w:val="20"/>
        </w:rPr>
      </w:pPr>
    </w:p>
    <w:p w14:paraId="064082E7" w14:textId="638FB80A" w:rsidR="00585A52" w:rsidRDefault="00333479" w:rsidP="00585A5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585A52">
        <w:rPr>
          <w:rFonts w:asciiTheme="majorHAnsi" w:eastAsia="Times New Roman" w:hAnsiTheme="majorHAnsi"/>
          <w:sz w:val="20"/>
          <w:szCs w:val="20"/>
        </w:rPr>
        <w:t>With regard to indirect restrictions on freedom of expression, the Court has held that the scope of Article 13.3 of the Convention should be the result of a joint reading with Article 13.1 of the Convention, in the sense that a broad interpretation</w:t>
      </w:r>
      <w:r w:rsidR="00CE0946">
        <w:rPr>
          <w:rFonts w:asciiTheme="majorHAnsi" w:eastAsia="Times New Roman" w:hAnsiTheme="majorHAnsi"/>
          <w:sz w:val="20"/>
          <w:szCs w:val="20"/>
        </w:rPr>
        <w:t xml:space="preserve"> of</w:t>
      </w:r>
      <w:r w:rsidRPr="00585A52">
        <w:rPr>
          <w:rFonts w:asciiTheme="majorHAnsi" w:eastAsia="Times New Roman" w:hAnsiTheme="majorHAnsi"/>
          <w:sz w:val="20"/>
          <w:szCs w:val="20"/>
        </w:rPr>
        <w:t xml:space="preserve"> this standard </w:t>
      </w:r>
      <w:r w:rsidR="00CE0946">
        <w:rPr>
          <w:rFonts w:asciiTheme="majorHAnsi" w:eastAsia="Times New Roman" w:hAnsiTheme="majorHAnsi"/>
          <w:sz w:val="20"/>
          <w:szCs w:val="20"/>
        </w:rPr>
        <w:t>allows to consider</w:t>
      </w:r>
      <w:r w:rsidRPr="00585A52">
        <w:rPr>
          <w:rFonts w:asciiTheme="majorHAnsi" w:eastAsia="Times New Roman" w:hAnsiTheme="majorHAnsi"/>
          <w:sz w:val="20"/>
          <w:szCs w:val="20"/>
        </w:rPr>
        <w:t xml:space="preserve"> that </w:t>
      </w:r>
      <w:r w:rsidR="00CE0946">
        <w:rPr>
          <w:rFonts w:asciiTheme="majorHAnsi" w:eastAsia="Times New Roman" w:hAnsiTheme="majorHAnsi"/>
          <w:sz w:val="20"/>
          <w:szCs w:val="20"/>
        </w:rPr>
        <w:t xml:space="preserve">it </w:t>
      </w:r>
      <w:r w:rsidRPr="00585A52">
        <w:rPr>
          <w:rFonts w:asciiTheme="majorHAnsi" w:eastAsia="Times New Roman" w:hAnsiTheme="majorHAnsi"/>
          <w:sz w:val="20"/>
          <w:szCs w:val="20"/>
        </w:rPr>
        <w:t xml:space="preserve">specifically protects communication, distribution and circulation of ideas and opinions, so that the use of "indirect methods or means" to restrict </w:t>
      </w:r>
      <w:r w:rsidR="009170B8" w:rsidRPr="00585A52">
        <w:rPr>
          <w:rFonts w:asciiTheme="majorHAnsi" w:eastAsia="Times New Roman" w:hAnsiTheme="majorHAnsi"/>
          <w:sz w:val="20"/>
          <w:szCs w:val="20"/>
        </w:rPr>
        <w:t>it are prohibited</w:t>
      </w:r>
      <w:r w:rsidR="009170B8" w:rsidRPr="00326F31">
        <w:rPr>
          <w:rStyle w:val="FootnoteReference"/>
          <w:rFonts w:asciiTheme="majorHAnsi" w:hAnsiTheme="majorHAnsi"/>
          <w:sz w:val="20"/>
          <w:szCs w:val="20"/>
        </w:rPr>
        <w:footnoteReference w:id="142"/>
      </w:r>
      <w:r w:rsidR="009170B8" w:rsidRPr="00585A52">
        <w:rPr>
          <w:rFonts w:asciiTheme="majorHAnsi" w:hAnsiTheme="majorHAnsi"/>
          <w:sz w:val="20"/>
          <w:szCs w:val="20"/>
        </w:rPr>
        <w:t xml:space="preserve">. </w:t>
      </w:r>
      <w:r w:rsidR="009170B8" w:rsidRPr="00585A52">
        <w:rPr>
          <w:rFonts w:asciiTheme="majorHAnsi" w:eastAsia="Times New Roman" w:hAnsiTheme="majorHAnsi"/>
          <w:sz w:val="20"/>
          <w:szCs w:val="20"/>
        </w:rPr>
        <w:t>In this regard, the Court has stated that what seeks this subsection is to exemplify more subtle forms of restricting the right to freedom of expression by State authorities or individuals</w:t>
      </w:r>
      <w:r w:rsidR="009170B8" w:rsidRPr="00326F31">
        <w:rPr>
          <w:rStyle w:val="FootnoteReference"/>
          <w:rFonts w:asciiTheme="majorHAnsi" w:hAnsiTheme="majorHAnsi"/>
          <w:sz w:val="20"/>
          <w:szCs w:val="20"/>
        </w:rPr>
        <w:footnoteReference w:id="143"/>
      </w:r>
      <w:r w:rsidR="009170B8" w:rsidRPr="00585A52">
        <w:rPr>
          <w:rFonts w:asciiTheme="majorHAnsi" w:eastAsia="Times New Roman" w:hAnsiTheme="majorHAnsi"/>
          <w:sz w:val="20"/>
          <w:szCs w:val="20"/>
        </w:rPr>
        <w:t>, and that the enunciation of mechanisms for indirect restriction of Article 13.3 of the Convention is not exhaustive</w:t>
      </w:r>
      <w:r w:rsidR="009170B8" w:rsidRPr="00326F31">
        <w:rPr>
          <w:rStyle w:val="FootnoteReference"/>
          <w:rFonts w:asciiTheme="majorHAnsi" w:hAnsiTheme="majorHAnsi"/>
          <w:sz w:val="20"/>
          <w:szCs w:val="20"/>
        </w:rPr>
        <w:footnoteReference w:id="144"/>
      </w:r>
      <w:r w:rsidR="009170B8" w:rsidRPr="00585A52">
        <w:rPr>
          <w:rFonts w:asciiTheme="majorHAnsi" w:hAnsiTheme="majorHAnsi"/>
          <w:sz w:val="20"/>
          <w:szCs w:val="20"/>
        </w:rPr>
        <w:t>.</w:t>
      </w:r>
      <w:r w:rsidR="009170B8" w:rsidRPr="00585A52">
        <w:rPr>
          <w:rFonts w:asciiTheme="majorHAnsi" w:eastAsia="Times New Roman" w:hAnsiTheme="majorHAnsi"/>
          <w:sz w:val="20"/>
          <w:szCs w:val="20"/>
        </w:rPr>
        <w:t xml:space="preserve"> The Court has also indicated that for a violation to Article 13.3 of the Convention to be configured, it’s required that the method or means effectively or indirectly restrict, the communication and circulation of ideas and opinions</w:t>
      </w:r>
      <w:r w:rsidR="009170B8" w:rsidRPr="00326F31">
        <w:rPr>
          <w:rStyle w:val="FootnoteReference"/>
          <w:rFonts w:asciiTheme="majorHAnsi" w:hAnsiTheme="majorHAnsi"/>
          <w:sz w:val="20"/>
          <w:szCs w:val="20"/>
        </w:rPr>
        <w:footnoteReference w:id="145"/>
      </w:r>
      <w:r w:rsidR="009170B8" w:rsidRPr="00585A52">
        <w:rPr>
          <w:rFonts w:asciiTheme="majorHAnsi" w:eastAsia="Times New Roman" w:hAnsiTheme="majorHAnsi"/>
          <w:sz w:val="20"/>
          <w:szCs w:val="20"/>
        </w:rPr>
        <w:t>.</w:t>
      </w:r>
    </w:p>
    <w:p w14:paraId="0859EEB6" w14:textId="77777777" w:rsidR="00585A52" w:rsidRDefault="00585A52" w:rsidP="00585A52">
      <w:pPr>
        <w:pStyle w:val="ListParagraph"/>
        <w:rPr>
          <w:rFonts w:asciiTheme="majorHAnsi" w:hAnsiTheme="majorHAnsi"/>
          <w:sz w:val="20"/>
          <w:szCs w:val="20"/>
        </w:rPr>
      </w:pPr>
    </w:p>
    <w:p w14:paraId="7582DA98" w14:textId="77777777" w:rsidR="00585A52" w:rsidRDefault="009170B8" w:rsidP="00585A5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585A52">
        <w:rPr>
          <w:rFonts w:asciiTheme="majorHAnsi" w:hAnsiTheme="majorHAnsi"/>
          <w:sz w:val="20"/>
          <w:szCs w:val="20"/>
        </w:rPr>
        <w:t xml:space="preserve">In regard to the principle of equality and non-discrimination established in Articles 24 and 1.1 of the Convention, the Commission and the Inter-American Court have repeatedly held that it constitutes the central and fundamental axis of the Inter-American human rights system. Also, it has been established that it "entails </w:t>
      </w:r>
      <w:r w:rsidRPr="00585A52">
        <w:rPr>
          <w:rFonts w:asciiTheme="majorHAnsi" w:hAnsiTheme="majorHAnsi"/>
          <w:i/>
          <w:sz w:val="20"/>
          <w:szCs w:val="20"/>
        </w:rPr>
        <w:t>erga omnes</w:t>
      </w:r>
      <w:r w:rsidRPr="00585A52">
        <w:rPr>
          <w:rFonts w:asciiTheme="majorHAnsi" w:hAnsiTheme="majorHAnsi"/>
          <w:sz w:val="20"/>
          <w:szCs w:val="20"/>
        </w:rPr>
        <w:t xml:space="preserve"> obligations of protection that bind all States and generate effect with regard to third parties, including individuals"</w:t>
      </w:r>
      <w:r w:rsidRPr="00326F31">
        <w:rPr>
          <w:rStyle w:val="FootnoteReference"/>
          <w:rFonts w:asciiTheme="majorHAnsi" w:hAnsiTheme="majorHAnsi"/>
          <w:sz w:val="20"/>
          <w:szCs w:val="20"/>
          <w:lang w:val="es-ES_tradnl"/>
        </w:rPr>
        <w:footnoteReference w:id="146"/>
      </w:r>
      <w:r w:rsidRPr="00585A52">
        <w:rPr>
          <w:rFonts w:asciiTheme="majorHAnsi" w:hAnsiTheme="majorHAnsi"/>
          <w:sz w:val="20"/>
          <w:szCs w:val="20"/>
        </w:rPr>
        <w:t xml:space="preserve">. The Court has indicated that in the current stage of the evolution of international law, the fundamental principle of equality and non-discrimination has entered the domain of </w:t>
      </w:r>
      <w:r w:rsidRPr="00585A52">
        <w:rPr>
          <w:rFonts w:asciiTheme="majorHAnsi" w:hAnsiTheme="majorHAnsi"/>
          <w:i/>
          <w:sz w:val="20"/>
          <w:szCs w:val="20"/>
        </w:rPr>
        <w:t>jus cogens</w:t>
      </w:r>
      <w:r w:rsidRPr="00585A52">
        <w:rPr>
          <w:rFonts w:asciiTheme="majorHAnsi" w:hAnsiTheme="majorHAnsi"/>
          <w:sz w:val="20"/>
          <w:szCs w:val="20"/>
        </w:rPr>
        <w:t>. On it rests the legal structure of national and international public order, and permeates the entire legal system</w:t>
      </w:r>
      <w:r w:rsidRPr="00326F31">
        <w:rPr>
          <w:rFonts w:asciiTheme="majorHAnsi" w:hAnsiTheme="majorHAnsi" w:cs="Arial"/>
          <w:sz w:val="20"/>
          <w:szCs w:val="20"/>
          <w:vertAlign w:val="superscript"/>
        </w:rPr>
        <w:footnoteReference w:id="147"/>
      </w:r>
      <w:r w:rsidRPr="00585A52">
        <w:rPr>
          <w:rFonts w:asciiTheme="majorHAnsi" w:hAnsiTheme="majorHAnsi" w:cs="Arial"/>
          <w:sz w:val="20"/>
          <w:szCs w:val="20"/>
        </w:rPr>
        <w:t>.</w:t>
      </w:r>
    </w:p>
    <w:p w14:paraId="4C2D0C5B" w14:textId="77777777" w:rsidR="00585A52" w:rsidRDefault="00585A52" w:rsidP="00585A52">
      <w:pPr>
        <w:pStyle w:val="ListParagraph"/>
        <w:rPr>
          <w:rFonts w:asciiTheme="majorHAnsi" w:hAnsiTheme="majorHAnsi"/>
          <w:sz w:val="20"/>
          <w:szCs w:val="20"/>
        </w:rPr>
      </w:pPr>
    </w:p>
    <w:p w14:paraId="48A64566" w14:textId="77777777" w:rsidR="00585A52" w:rsidRDefault="00182075" w:rsidP="00585A5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585A52">
        <w:rPr>
          <w:rFonts w:asciiTheme="majorHAnsi" w:hAnsiTheme="majorHAnsi"/>
          <w:sz w:val="20"/>
          <w:szCs w:val="20"/>
        </w:rPr>
        <w:t>The Court has established in its jurisprudence that Article 1.1 of the Convention is a general rule, the contents of which extends to all provisions of the treaty, because it has the obligation of States Parties to respect and guarantee the full and free exercise of the rights and freedoms recognized therein "without any discrimination". That is, whatever the origin or the form it takes, any treatment that can be considered discriminatory with respect to the exercise of any of the rights guaranteed under the Convention is per se incompatible with it</w:t>
      </w:r>
      <w:r w:rsidRPr="00326F31">
        <w:rPr>
          <w:rFonts w:asciiTheme="majorHAnsi" w:hAnsiTheme="majorHAnsi"/>
          <w:sz w:val="20"/>
          <w:szCs w:val="20"/>
          <w:vertAlign w:val="superscript"/>
        </w:rPr>
        <w:footnoteReference w:id="148"/>
      </w:r>
      <w:r w:rsidRPr="00585A52">
        <w:rPr>
          <w:rFonts w:asciiTheme="majorHAnsi" w:hAnsiTheme="majorHAnsi"/>
          <w:sz w:val="20"/>
          <w:szCs w:val="20"/>
        </w:rPr>
        <w:t>. Failure by the State, by any discriminatory treatment, of the general obligation to respect and guarantee human rights, gives rise to international responsibility</w:t>
      </w:r>
      <w:r w:rsidRPr="00326F31">
        <w:rPr>
          <w:rFonts w:asciiTheme="majorHAnsi" w:hAnsiTheme="majorHAnsi" w:cs="Arial"/>
          <w:sz w:val="20"/>
          <w:szCs w:val="20"/>
          <w:vertAlign w:val="superscript"/>
        </w:rPr>
        <w:footnoteReference w:id="149"/>
      </w:r>
      <w:r w:rsidRPr="00585A52">
        <w:rPr>
          <w:rFonts w:asciiTheme="majorHAnsi" w:hAnsiTheme="majorHAnsi"/>
          <w:sz w:val="20"/>
          <w:szCs w:val="20"/>
        </w:rPr>
        <w:t>. That is why there is an indissoluble link between the obligation to respect and guarantee human rights and the principle of equality and non-discrimination</w:t>
      </w:r>
      <w:r w:rsidRPr="00326F31">
        <w:rPr>
          <w:rFonts w:asciiTheme="majorHAnsi" w:hAnsiTheme="majorHAnsi" w:cs="Arial"/>
          <w:sz w:val="20"/>
          <w:szCs w:val="20"/>
          <w:vertAlign w:val="superscript"/>
        </w:rPr>
        <w:footnoteReference w:id="150"/>
      </w:r>
      <w:r w:rsidRPr="00585A52">
        <w:rPr>
          <w:rFonts w:asciiTheme="majorHAnsi" w:hAnsiTheme="majorHAnsi" w:cs="Arial"/>
          <w:sz w:val="20"/>
          <w:szCs w:val="20"/>
        </w:rPr>
        <w:t>.</w:t>
      </w:r>
      <w:r w:rsidRPr="00585A52">
        <w:rPr>
          <w:rFonts w:asciiTheme="majorHAnsi" w:hAnsiTheme="majorHAnsi"/>
          <w:sz w:val="20"/>
          <w:szCs w:val="20"/>
        </w:rPr>
        <w:t xml:space="preserve"> Article 1.1 of the Convention includes within the prohibited categories for discrimination "political opinion".</w:t>
      </w:r>
    </w:p>
    <w:p w14:paraId="680A88B2" w14:textId="77777777" w:rsidR="00585A52" w:rsidRDefault="00585A52" w:rsidP="00585A52">
      <w:pPr>
        <w:pStyle w:val="ListParagraph"/>
        <w:rPr>
          <w:rFonts w:asciiTheme="majorHAnsi" w:hAnsiTheme="majorHAnsi"/>
          <w:sz w:val="20"/>
          <w:szCs w:val="20"/>
        </w:rPr>
      </w:pPr>
    </w:p>
    <w:p w14:paraId="6FE3B6C4" w14:textId="6E11D7DA" w:rsidR="00A029D7" w:rsidRDefault="00C74105" w:rsidP="00A029D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585A52">
        <w:rPr>
          <w:rFonts w:asciiTheme="majorHAnsi" w:hAnsiTheme="majorHAnsi"/>
          <w:sz w:val="20"/>
          <w:szCs w:val="20"/>
        </w:rPr>
        <w:t xml:space="preserve">The Commission considers that the signature for the convening of a mechanism of political participation, such as the presidential recall referendum, is not only the exercise of political rights in accordance with Article 23 of the Convention, but also an expression </w:t>
      </w:r>
      <w:r w:rsidR="009E0C89">
        <w:rPr>
          <w:rFonts w:asciiTheme="majorHAnsi" w:hAnsiTheme="majorHAnsi"/>
          <w:sz w:val="20"/>
          <w:szCs w:val="20"/>
        </w:rPr>
        <w:t xml:space="preserve">of a </w:t>
      </w:r>
      <w:r w:rsidRPr="00585A52">
        <w:rPr>
          <w:rFonts w:asciiTheme="majorHAnsi" w:hAnsiTheme="majorHAnsi"/>
          <w:sz w:val="20"/>
          <w:szCs w:val="20"/>
        </w:rPr>
        <w:t xml:space="preserve">political opinion of </w:t>
      </w:r>
      <w:r w:rsidRPr="00585A52">
        <w:rPr>
          <w:rFonts w:asciiTheme="majorHAnsi" w:eastAsia="Calibri" w:hAnsiTheme="majorHAnsi"/>
          <w:sz w:val="20"/>
          <w:szCs w:val="20"/>
        </w:rPr>
        <w:t>Rocío San Miguel Sosa, Magally Chang Girón, and Thais Coromoto Peña</w:t>
      </w:r>
      <w:r w:rsidRPr="00585A52">
        <w:rPr>
          <w:rFonts w:asciiTheme="majorHAnsi" w:hAnsiTheme="majorHAnsi"/>
          <w:sz w:val="20"/>
          <w:szCs w:val="20"/>
        </w:rPr>
        <w:t xml:space="preserve">, in turn protected by Article 13 of the Convention and article 1.1 thereof as discrimination prohibited category. Consequently, in accordance with the standards mentioned so far, the State had to ensure that political opinion was </w:t>
      </w:r>
      <w:r w:rsidR="00FA1F84" w:rsidRPr="00585A52">
        <w:rPr>
          <w:rFonts w:asciiTheme="majorHAnsi" w:hAnsiTheme="majorHAnsi"/>
          <w:sz w:val="20"/>
          <w:szCs w:val="20"/>
        </w:rPr>
        <w:t xml:space="preserve">expressed </w:t>
      </w:r>
      <w:r w:rsidR="00FA1F84">
        <w:rPr>
          <w:rFonts w:asciiTheme="majorHAnsi" w:hAnsiTheme="majorHAnsi"/>
          <w:sz w:val="20"/>
          <w:szCs w:val="20"/>
        </w:rPr>
        <w:t>in conditions that protect the free exercise</w:t>
      </w:r>
      <w:r w:rsidRPr="00585A52">
        <w:rPr>
          <w:rFonts w:asciiTheme="majorHAnsi" w:hAnsiTheme="majorHAnsi"/>
          <w:sz w:val="20"/>
          <w:szCs w:val="20"/>
        </w:rPr>
        <w:t xml:space="preserve"> and without fear of reprisal</w:t>
      </w:r>
      <w:r w:rsidR="009E0C89">
        <w:rPr>
          <w:rFonts w:asciiTheme="majorHAnsi" w:hAnsiTheme="majorHAnsi"/>
          <w:sz w:val="20"/>
          <w:szCs w:val="20"/>
        </w:rPr>
        <w:t>s</w:t>
      </w:r>
      <w:r w:rsidR="00FA1F84">
        <w:rPr>
          <w:rFonts w:asciiTheme="majorHAnsi" w:hAnsiTheme="majorHAnsi"/>
          <w:sz w:val="20"/>
          <w:szCs w:val="20"/>
        </w:rPr>
        <w:t xml:space="preserve"> of the political rights</w:t>
      </w:r>
      <w:r w:rsidRPr="00585A52">
        <w:rPr>
          <w:rFonts w:asciiTheme="majorHAnsi" w:hAnsiTheme="majorHAnsi"/>
          <w:sz w:val="20"/>
          <w:szCs w:val="20"/>
        </w:rPr>
        <w:t xml:space="preserve">. The State </w:t>
      </w:r>
      <w:r w:rsidR="009E0C89">
        <w:rPr>
          <w:rFonts w:asciiTheme="majorHAnsi" w:hAnsiTheme="majorHAnsi"/>
          <w:sz w:val="20"/>
          <w:szCs w:val="20"/>
        </w:rPr>
        <w:t>should have also</w:t>
      </w:r>
      <w:r w:rsidRPr="00585A52">
        <w:rPr>
          <w:rFonts w:asciiTheme="majorHAnsi" w:hAnsiTheme="majorHAnsi"/>
          <w:sz w:val="20"/>
          <w:szCs w:val="20"/>
        </w:rPr>
        <w:t xml:space="preserve"> refrained from taking actions regarding </w:t>
      </w:r>
      <w:r w:rsidRPr="00585A52">
        <w:rPr>
          <w:rFonts w:asciiTheme="majorHAnsi" w:eastAsia="Calibri" w:hAnsiTheme="majorHAnsi"/>
          <w:sz w:val="20"/>
          <w:szCs w:val="20"/>
        </w:rPr>
        <w:t xml:space="preserve">Rocío San Miguel Sosa, Magally Chang Girón, and Thais Coromoto Peña </w:t>
      </w:r>
      <w:r w:rsidRPr="00585A52">
        <w:rPr>
          <w:rFonts w:asciiTheme="majorHAnsi" w:hAnsiTheme="majorHAnsi"/>
          <w:sz w:val="20"/>
          <w:szCs w:val="20"/>
        </w:rPr>
        <w:t>based on their political views without justification and, of indirectly penalizing such expression.</w:t>
      </w:r>
    </w:p>
    <w:p w14:paraId="03F3D9D8" w14:textId="77777777" w:rsidR="00A029D7" w:rsidRDefault="00A029D7" w:rsidP="00A029D7">
      <w:pPr>
        <w:pStyle w:val="ListParagraph"/>
        <w:rPr>
          <w:rFonts w:asciiTheme="majorHAnsi" w:hAnsiTheme="majorHAnsi"/>
          <w:sz w:val="20"/>
          <w:szCs w:val="20"/>
        </w:rPr>
      </w:pPr>
    </w:p>
    <w:p w14:paraId="7E205E74" w14:textId="1EB4F654" w:rsidR="00C74105" w:rsidRPr="00A029D7" w:rsidRDefault="00C74105" w:rsidP="00A029D7">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lang w:eastAsia="es-ES"/>
        </w:rPr>
      </w:pPr>
      <w:r w:rsidRPr="00A029D7">
        <w:rPr>
          <w:rFonts w:asciiTheme="majorHAnsi" w:hAnsiTheme="majorHAnsi"/>
          <w:sz w:val="20"/>
          <w:szCs w:val="20"/>
        </w:rPr>
        <w:t>The Commi</w:t>
      </w:r>
      <w:r w:rsidR="00886208">
        <w:rPr>
          <w:rFonts w:asciiTheme="majorHAnsi" w:hAnsiTheme="majorHAnsi"/>
          <w:sz w:val="20"/>
          <w:szCs w:val="20"/>
        </w:rPr>
        <w:t>ssion</w:t>
      </w:r>
      <w:r w:rsidRPr="00A029D7">
        <w:rPr>
          <w:rFonts w:asciiTheme="majorHAnsi" w:hAnsiTheme="majorHAnsi"/>
          <w:sz w:val="20"/>
          <w:szCs w:val="20"/>
        </w:rPr>
        <w:t xml:space="preserve"> will now determine whether the dismissal of </w:t>
      </w:r>
      <w:r w:rsidRPr="00A029D7">
        <w:rPr>
          <w:rFonts w:asciiTheme="majorHAnsi" w:eastAsia="Calibri" w:hAnsiTheme="majorHAnsi"/>
          <w:sz w:val="20"/>
          <w:szCs w:val="20"/>
        </w:rPr>
        <w:t>Rocío San Miguel Sosa, Magally Chang Girón, and Thais Coromoto Peña</w:t>
      </w:r>
      <w:r w:rsidRPr="00A029D7">
        <w:rPr>
          <w:rFonts w:asciiTheme="majorHAnsi" w:hAnsiTheme="majorHAnsi"/>
          <w:sz w:val="20"/>
          <w:szCs w:val="20"/>
        </w:rPr>
        <w:t>, was a breach of those obligations.</w:t>
      </w:r>
    </w:p>
    <w:p w14:paraId="78744318" w14:textId="77777777" w:rsidR="006F0BBD" w:rsidRPr="00326F31" w:rsidRDefault="006F0BBD" w:rsidP="00326F31">
      <w:pPr>
        <w:jc w:val="both"/>
        <w:rPr>
          <w:rFonts w:asciiTheme="majorHAnsi" w:eastAsia="Times New Roman" w:hAnsiTheme="majorHAnsi"/>
          <w:b/>
          <w:sz w:val="20"/>
          <w:szCs w:val="20"/>
        </w:rPr>
      </w:pPr>
    </w:p>
    <w:p w14:paraId="3E7A48E3" w14:textId="355365C0" w:rsidR="00222DA8" w:rsidRPr="00326F31" w:rsidRDefault="00222DA8" w:rsidP="00326F31">
      <w:pPr>
        <w:pStyle w:val="ListParagraph"/>
        <w:numPr>
          <w:ilvl w:val="1"/>
          <w:numId w:val="55"/>
        </w:numPr>
        <w:pBdr>
          <w:left w:val="none" w:sz="0" w:space="0" w:color="auto"/>
          <w:bottom w:val="none" w:sz="0" w:space="0" w:color="auto"/>
          <w:right w:val="none" w:sz="0" w:space="0" w:color="auto"/>
          <w:between w:val="none" w:sz="0" w:space="0" w:color="auto"/>
          <w:bar w:val="none" w:sz="0" w:color="auto"/>
        </w:pBdr>
        <w:tabs>
          <w:tab w:val="clear" w:pos="1800"/>
          <w:tab w:val="num" w:pos="1440"/>
        </w:tabs>
        <w:ind w:left="1440" w:hanging="720"/>
        <w:jc w:val="both"/>
        <w:rPr>
          <w:rFonts w:asciiTheme="majorHAnsi" w:eastAsia="Times New Roman" w:hAnsiTheme="majorHAnsi"/>
          <w:b/>
          <w:sz w:val="20"/>
          <w:szCs w:val="20"/>
        </w:rPr>
      </w:pPr>
      <w:r w:rsidRPr="00326F31">
        <w:rPr>
          <w:rFonts w:asciiTheme="majorHAnsi" w:eastAsia="Times New Roman" w:hAnsiTheme="majorHAnsi"/>
          <w:b/>
          <w:sz w:val="20"/>
          <w:szCs w:val="20"/>
        </w:rPr>
        <w:t>Analysis of whether the dismissal was based on the political opini</w:t>
      </w:r>
      <w:r w:rsidR="009251DB" w:rsidRPr="00326F31">
        <w:rPr>
          <w:rFonts w:asciiTheme="majorHAnsi" w:eastAsia="Times New Roman" w:hAnsiTheme="majorHAnsi"/>
          <w:b/>
          <w:sz w:val="20"/>
          <w:szCs w:val="20"/>
        </w:rPr>
        <w:t>on expressed by signing the petition</w:t>
      </w:r>
      <w:r w:rsidRPr="00326F31">
        <w:rPr>
          <w:rFonts w:asciiTheme="majorHAnsi" w:eastAsia="Times New Roman" w:hAnsiTheme="majorHAnsi"/>
          <w:b/>
          <w:sz w:val="20"/>
          <w:szCs w:val="20"/>
        </w:rPr>
        <w:t xml:space="preserve"> for a recall referendum and, therefore, constituted a violation of political rights and freedom of expression</w:t>
      </w:r>
    </w:p>
    <w:p w14:paraId="4A1FDE28" w14:textId="77777777" w:rsidR="00AB7D09" w:rsidRPr="00A029D7" w:rsidRDefault="00AB7D09" w:rsidP="00A029D7">
      <w:pPr>
        <w:pBdr>
          <w:left w:val="none" w:sz="0" w:space="0" w:color="auto"/>
          <w:bottom w:val="none" w:sz="0" w:space="0" w:color="auto"/>
          <w:right w:val="none" w:sz="0" w:space="0" w:color="auto"/>
          <w:between w:val="none" w:sz="0" w:space="0" w:color="auto"/>
          <w:bar w:val="none" w:sz="0" w:color="auto"/>
        </w:pBdr>
        <w:ind w:left="720"/>
        <w:jc w:val="both"/>
      </w:pPr>
    </w:p>
    <w:p w14:paraId="782B7C89" w14:textId="2F5BD812" w:rsidR="00602192" w:rsidRDefault="001A4155" w:rsidP="00602192">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326F31">
        <w:rPr>
          <w:rFonts w:asciiTheme="majorHAnsi" w:hAnsiTheme="majorHAnsi"/>
          <w:sz w:val="20"/>
          <w:szCs w:val="20"/>
        </w:rPr>
        <w:t xml:space="preserve">At this point the Commission has to address the debate on the statement by the State regarding the termination of the contract, against the alleged </w:t>
      </w:r>
      <w:r w:rsidR="00A029D7">
        <w:rPr>
          <w:rFonts w:asciiTheme="majorHAnsi" w:hAnsiTheme="majorHAnsi"/>
          <w:sz w:val="20"/>
          <w:szCs w:val="20"/>
        </w:rPr>
        <w:t xml:space="preserve">real motivation for such action. In the </w:t>
      </w:r>
      <w:r w:rsidR="00F053C0">
        <w:rPr>
          <w:rFonts w:asciiTheme="majorHAnsi" w:hAnsiTheme="majorHAnsi"/>
          <w:sz w:val="20"/>
          <w:szCs w:val="20"/>
        </w:rPr>
        <w:t xml:space="preserve">instant case the Commission notes that the decision to terminate the contracts with the alleged victims by letter dated March 12, 2004, lacks motivation, indicating in the text of the letters only </w:t>
      </w:r>
      <w:r w:rsidR="00602192">
        <w:rPr>
          <w:rFonts w:asciiTheme="majorHAnsi" w:hAnsiTheme="majorHAnsi"/>
          <w:sz w:val="20"/>
          <w:szCs w:val="20"/>
        </w:rPr>
        <w:t>that that the contracts with the National Border Council are terminated as from April 1, 2004</w:t>
      </w:r>
      <w:r w:rsidR="00602192" w:rsidRPr="00420489">
        <w:rPr>
          <w:rFonts w:asciiTheme="majorHAnsi" w:hAnsiTheme="majorHAnsi"/>
          <w:sz w:val="20"/>
          <w:szCs w:val="20"/>
          <w:vertAlign w:val="superscript"/>
          <w:lang w:val="es-VE"/>
        </w:rPr>
        <w:footnoteReference w:id="151"/>
      </w:r>
      <w:r w:rsidR="00602192">
        <w:rPr>
          <w:rFonts w:asciiTheme="majorHAnsi" w:hAnsiTheme="majorHAnsi"/>
          <w:sz w:val="20"/>
          <w:szCs w:val="20"/>
        </w:rPr>
        <w:t xml:space="preserve">. </w:t>
      </w:r>
    </w:p>
    <w:p w14:paraId="62186630" w14:textId="77777777" w:rsidR="00602192" w:rsidRDefault="00602192" w:rsidP="00602192">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5902A3A4" w14:textId="2EE9A11F" w:rsidR="00A705EC" w:rsidRDefault="00602192" w:rsidP="00A705E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pPr>
      <w:r>
        <w:rPr>
          <w:rFonts w:asciiTheme="majorHAnsi" w:hAnsiTheme="majorHAnsi"/>
          <w:sz w:val="20"/>
          <w:szCs w:val="20"/>
        </w:rPr>
        <w:lastRenderedPageBreak/>
        <w:t xml:space="preserve">The petitioners argued that the real motivation of the termination their contracts was the political opinion of Rocio San Miguel Sosa, </w:t>
      </w:r>
      <w:proofErr w:type="spellStart"/>
      <w:r>
        <w:rPr>
          <w:rFonts w:asciiTheme="majorHAnsi" w:hAnsiTheme="majorHAnsi"/>
          <w:sz w:val="20"/>
          <w:szCs w:val="20"/>
        </w:rPr>
        <w:t>Magally</w:t>
      </w:r>
      <w:proofErr w:type="spellEnd"/>
      <w:r>
        <w:rPr>
          <w:rFonts w:asciiTheme="majorHAnsi" w:hAnsiTheme="majorHAnsi"/>
          <w:sz w:val="20"/>
          <w:szCs w:val="20"/>
        </w:rPr>
        <w:t xml:space="preserve"> Chang </w:t>
      </w:r>
      <w:proofErr w:type="spellStart"/>
      <w:r>
        <w:rPr>
          <w:rFonts w:asciiTheme="majorHAnsi" w:hAnsiTheme="majorHAnsi"/>
          <w:sz w:val="20"/>
          <w:szCs w:val="20"/>
        </w:rPr>
        <w:t>Girón</w:t>
      </w:r>
      <w:proofErr w:type="spellEnd"/>
      <w:r>
        <w:rPr>
          <w:rFonts w:asciiTheme="majorHAnsi" w:hAnsiTheme="majorHAnsi"/>
          <w:sz w:val="20"/>
          <w:szCs w:val="20"/>
        </w:rPr>
        <w:t xml:space="preserve"> and Thais </w:t>
      </w:r>
      <w:proofErr w:type="spellStart"/>
      <w:r>
        <w:rPr>
          <w:rFonts w:asciiTheme="majorHAnsi" w:hAnsiTheme="majorHAnsi"/>
          <w:sz w:val="20"/>
          <w:szCs w:val="20"/>
        </w:rPr>
        <w:t>Coromoto</w:t>
      </w:r>
      <w:proofErr w:type="spellEnd"/>
      <w:r>
        <w:rPr>
          <w:rFonts w:asciiTheme="majorHAnsi" w:hAnsiTheme="majorHAnsi"/>
          <w:sz w:val="20"/>
          <w:szCs w:val="20"/>
        </w:rPr>
        <w:t xml:space="preserve"> Peña, expressed </w:t>
      </w:r>
      <w:r w:rsidR="00A705EC">
        <w:rPr>
          <w:rFonts w:asciiTheme="majorHAnsi" w:hAnsiTheme="majorHAnsi"/>
          <w:sz w:val="20"/>
          <w:szCs w:val="20"/>
        </w:rPr>
        <w:t>through in the recall referendum of the President of the Republic.</w:t>
      </w:r>
    </w:p>
    <w:p w14:paraId="53D6F3EF" w14:textId="77777777" w:rsidR="00C97F2E" w:rsidRDefault="00C97F2E" w:rsidP="00C97F2E">
      <w:pPr>
        <w:pBdr>
          <w:left w:val="none" w:sz="0" w:space="0" w:color="auto"/>
          <w:bottom w:val="none" w:sz="0" w:space="0" w:color="auto"/>
          <w:right w:val="none" w:sz="0" w:space="0" w:color="auto"/>
          <w:between w:val="none" w:sz="0" w:space="0" w:color="auto"/>
          <w:bar w:val="none" w:sz="0" w:color="auto"/>
        </w:pBdr>
        <w:jc w:val="both"/>
      </w:pPr>
    </w:p>
    <w:p w14:paraId="3FBDFF70" w14:textId="17BC6FBB" w:rsidR="00B107A9" w:rsidRDefault="00A705EC" w:rsidP="00835ED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B107A9">
        <w:rPr>
          <w:rFonts w:asciiTheme="majorHAnsi" w:hAnsiTheme="majorHAnsi"/>
          <w:sz w:val="20"/>
          <w:szCs w:val="20"/>
        </w:rPr>
        <w:t xml:space="preserve">In contrast within the framework of internal processes, CNF authorities who showed up said that the termination was merely the application of the seventh clause of the contract, which allows for discretional dismissal without motivation. </w:t>
      </w:r>
      <w:r w:rsidR="00B107A9" w:rsidRPr="00B107A9">
        <w:rPr>
          <w:rFonts w:asciiTheme="majorHAnsi" w:hAnsiTheme="majorHAnsi"/>
          <w:sz w:val="20"/>
          <w:szCs w:val="20"/>
        </w:rPr>
        <w:t>In a radio interview, the Executive Secretary of the CNF said that the three alleged victims were dismissed by order of the Vice President as a result of a restructuring.</w:t>
      </w:r>
      <w:r w:rsidRPr="00B107A9">
        <w:rPr>
          <w:rFonts w:asciiTheme="majorHAnsi" w:hAnsiTheme="majorHAnsi"/>
          <w:sz w:val="20"/>
          <w:szCs w:val="20"/>
        </w:rPr>
        <w:t xml:space="preserve"> In the same vein, the authorities </w:t>
      </w:r>
      <w:r w:rsidR="00B107A9" w:rsidRPr="00B107A9">
        <w:rPr>
          <w:rFonts w:asciiTheme="majorHAnsi" w:hAnsiTheme="majorHAnsi"/>
          <w:sz w:val="20"/>
          <w:szCs w:val="20"/>
        </w:rPr>
        <w:t>that were in charge of deciding the</w:t>
      </w:r>
      <w:r w:rsidRPr="00B107A9">
        <w:rPr>
          <w:rFonts w:asciiTheme="majorHAnsi" w:hAnsiTheme="majorHAnsi"/>
          <w:sz w:val="20"/>
          <w:szCs w:val="20"/>
        </w:rPr>
        <w:t xml:space="preserve"> various remedies assumed this version to be true, limiting themselves to declare </w:t>
      </w:r>
      <w:r w:rsidR="00B107A9" w:rsidRPr="00B107A9">
        <w:rPr>
          <w:rFonts w:asciiTheme="majorHAnsi" w:hAnsiTheme="majorHAnsi"/>
          <w:sz w:val="20"/>
          <w:szCs w:val="20"/>
        </w:rPr>
        <w:t xml:space="preserve">that </w:t>
      </w:r>
      <w:r w:rsidRPr="00B107A9">
        <w:rPr>
          <w:rFonts w:asciiTheme="majorHAnsi" w:hAnsiTheme="majorHAnsi"/>
          <w:sz w:val="20"/>
          <w:szCs w:val="20"/>
        </w:rPr>
        <w:t xml:space="preserve">the termination of the </w:t>
      </w:r>
      <w:r w:rsidR="00B107A9" w:rsidRPr="00B107A9">
        <w:rPr>
          <w:rFonts w:asciiTheme="majorHAnsi" w:hAnsiTheme="majorHAnsi"/>
          <w:sz w:val="20"/>
          <w:szCs w:val="20"/>
        </w:rPr>
        <w:t>work</w:t>
      </w:r>
      <w:r w:rsidRPr="00B107A9">
        <w:rPr>
          <w:rFonts w:asciiTheme="majorHAnsi" w:hAnsiTheme="majorHAnsi"/>
          <w:sz w:val="20"/>
          <w:szCs w:val="20"/>
        </w:rPr>
        <w:t xml:space="preserve"> relationship was the exercise of discretional powers under </w:t>
      </w:r>
      <w:r w:rsidR="00B107A9" w:rsidRPr="00B107A9">
        <w:rPr>
          <w:rFonts w:asciiTheme="majorHAnsi" w:hAnsiTheme="majorHAnsi"/>
          <w:sz w:val="20"/>
          <w:szCs w:val="20"/>
        </w:rPr>
        <w:t xml:space="preserve">the text of the </w:t>
      </w:r>
      <w:r w:rsidRPr="00B107A9">
        <w:rPr>
          <w:rFonts w:asciiTheme="majorHAnsi" w:hAnsiTheme="majorHAnsi"/>
          <w:sz w:val="20"/>
          <w:szCs w:val="20"/>
        </w:rPr>
        <w:t xml:space="preserve">contract. </w:t>
      </w:r>
      <w:r w:rsidR="00B107A9" w:rsidRPr="00B107A9">
        <w:rPr>
          <w:rFonts w:asciiTheme="majorHAnsi" w:hAnsiTheme="majorHAnsi"/>
          <w:sz w:val="20"/>
          <w:szCs w:val="20"/>
        </w:rPr>
        <w:t xml:space="preserve">In the </w:t>
      </w:r>
      <w:proofErr w:type="spellStart"/>
      <w:r w:rsidR="00B107A9" w:rsidRPr="00B107A9">
        <w:rPr>
          <w:rFonts w:asciiTheme="majorHAnsi" w:hAnsiTheme="majorHAnsi"/>
          <w:sz w:val="20"/>
          <w:szCs w:val="20"/>
        </w:rPr>
        <w:t>amparo</w:t>
      </w:r>
      <w:proofErr w:type="spellEnd"/>
      <w:r w:rsidR="00B107A9" w:rsidRPr="00B107A9">
        <w:rPr>
          <w:rFonts w:asciiTheme="majorHAnsi" w:hAnsiTheme="majorHAnsi"/>
          <w:sz w:val="20"/>
          <w:szCs w:val="20"/>
        </w:rPr>
        <w:t xml:space="preserve"> process it was concluded that "the plaintiffs have not shown that the performance of the contractual power of the employer constituted a discriminatory practice"</w:t>
      </w:r>
      <w:r w:rsidR="00B107A9" w:rsidRPr="00326F31">
        <w:rPr>
          <w:rStyle w:val="FootnoteReference"/>
          <w:rFonts w:asciiTheme="majorHAnsi" w:hAnsiTheme="majorHAnsi"/>
          <w:sz w:val="20"/>
          <w:szCs w:val="20"/>
          <w:lang w:val="es-VE"/>
        </w:rPr>
        <w:footnoteReference w:id="152"/>
      </w:r>
      <w:r w:rsidR="00B107A9" w:rsidRPr="00B107A9">
        <w:rPr>
          <w:rFonts w:asciiTheme="majorHAnsi" w:hAnsiTheme="majorHAnsi"/>
          <w:sz w:val="20"/>
          <w:szCs w:val="20"/>
        </w:rPr>
        <w:t>. In the criminal proceedings, the Twenty-First Court of First Instance dismissed the process by holding that "none of the elements lead to corroborate the complainants statements that the reason for the determination of the contract was voting in the recall referendum"</w:t>
      </w:r>
      <w:r w:rsidR="00B107A9" w:rsidRPr="00326F31">
        <w:rPr>
          <w:rFonts w:asciiTheme="majorHAnsi" w:hAnsiTheme="majorHAnsi"/>
          <w:sz w:val="20"/>
          <w:szCs w:val="20"/>
          <w:vertAlign w:val="superscript"/>
        </w:rPr>
        <w:footnoteReference w:id="153"/>
      </w:r>
      <w:r w:rsidR="00B107A9" w:rsidRPr="00B107A9">
        <w:rPr>
          <w:rFonts w:asciiTheme="majorHAnsi" w:hAnsiTheme="majorHAnsi"/>
          <w:sz w:val="20"/>
          <w:szCs w:val="20"/>
        </w:rPr>
        <w:t xml:space="preserve">. </w:t>
      </w:r>
      <w:r w:rsidR="005D46F5" w:rsidRPr="00326F31">
        <w:rPr>
          <w:rFonts w:asciiTheme="majorHAnsi" w:hAnsiTheme="majorHAnsi"/>
          <w:sz w:val="20"/>
          <w:szCs w:val="20"/>
        </w:rPr>
        <w:t>During</w:t>
      </w:r>
      <w:r w:rsidR="00C97F2E">
        <w:rPr>
          <w:rFonts w:asciiTheme="majorHAnsi" w:hAnsiTheme="majorHAnsi"/>
          <w:sz w:val="20"/>
          <w:szCs w:val="20"/>
        </w:rPr>
        <w:t xml:space="preserve"> the Inter-American proceedings,</w:t>
      </w:r>
      <w:r w:rsidR="00B107A9" w:rsidRPr="00326F31">
        <w:rPr>
          <w:rFonts w:asciiTheme="majorHAnsi" w:hAnsiTheme="majorHAnsi"/>
          <w:sz w:val="20"/>
          <w:szCs w:val="20"/>
        </w:rPr>
        <w:t xml:space="preserve"> the State maintained the same version on the exercise of the discretional power that the own contract allowed as motivation for its own termination</w:t>
      </w:r>
      <w:r w:rsidR="005D46F5">
        <w:rPr>
          <w:rFonts w:asciiTheme="majorHAnsi" w:hAnsiTheme="majorHAnsi"/>
          <w:sz w:val="20"/>
          <w:szCs w:val="20"/>
        </w:rPr>
        <w:t xml:space="preserve">. </w:t>
      </w:r>
    </w:p>
    <w:p w14:paraId="744E4FED" w14:textId="77777777" w:rsidR="005D46F5" w:rsidRDefault="005D46F5" w:rsidP="005D46F5">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0D536CF9" w14:textId="2AC2F562" w:rsidR="005D46F5" w:rsidRDefault="005D46F5" w:rsidP="005D46F5">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G</w:t>
      </w:r>
      <w:r w:rsidRPr="005D46F5">
        <w:rPr>
          <w:rFonts w:asciiTheme="majorHAnsi" w:hAnsiTheme="majorHAnsi"/>
          <w:sz w:val="20"/>
          <w:szCs w:val="20"/>
        </w:rPr>
        <w:t xml:space="preserve">iven the argument of the petitioners </w:t>
      </w:r>
      <w:r w:rsidR="00886208">
        <w:rPr>
          <w:rFonts w:asciiTheme="majorHAnsi" w:hAnsiTheme="majorHAnsi"/>
          <w:sz w:val="20"/>
          <w:szCs w:val="20"/>
        </w:rPr>
        <w:t xml:space="preserve">according to which the </w:t>
      </w:r>
      <w:r w:rsidR="00C97F2E">
        <w:rPr>
          <w:rFonts w:asciiTheme="majorHAnsi" w:hAnsiTheme="majorHAnsi"/>
          <w:sz w:val="20"/>
          <w:szCs w:val="20"/>
        </w:rPr>
        <w:t xml:space="preserve">real motivation of the </w:t>
      </w:r>
      <w:r w:rsidR="00886208">
        <w:rPr>
          <w:rFonts w:asciiTheme="majorHAnsi" w:hAnsiTheme="majorHAnsi"/>
          <w:sz w:val="20"/>
          <w:szCs w:val="20"/>
        </w:rPr>
        <w:t>contract termination with</w:t>
      </w:r>
      <w:r w:rsidR="00C97F2E">
        <w:rPr>
          <w:rFonts w:asciiTheme="majorHAnsi" w:hAnsiTheme="majorHAnsi"/>
          <w:sz w:val="20"/>
          <w:szCs w:val="20"/>
        </w:rPr>
        <w:t xml:space="preserve"> the alleged victims was to</w:t>
      </w:r>
      <w:r w:rsidRPr="005D46F5">
        <w:rPr>
          <w:rFonts w:asciiTheme="majorHAnsi" w:hAnsiTheme="majorHAnsi"/>
          <w:sz w:val="20"/>
          <w:szCs w:val="20"/>
        </w:rPr>
        <w:t xml:space="preserve"> punish</w:t>
      </w:r>
      <w:r w:rsidR="00C97F2E">
        <w:rPr>
          <w:rFonts w:asciiTheme="majorHAnsi" w:hAnsiTheme="majorHAnsi"/>
          <w:sz w:val="20"/>
          <w:szCs w:val="20"/>
        </w:rPr>
        <w:t xml:space="preserve"> them</w:t>
      </w:r>
      <w:r w:rsidRPr="005D46F5">
        <w:rPr>
          <w:rFonts w:asciiTheme="majorHAnsi" w:hAnsiTheme="majorHAnsi"/>
          <w:sz w:val="20"/>
          <w:szCs w:val="20"/>
        </w:rPr>
        <w:t xml:space="preserve"> for their political expression in the petition for referendum, the analysis</w:t>
      </w:r>
      <w:r>
        <w:rPr>
          <w:rFonts w:asciiTheme="majorHAnsi" w:hAnsiTheme="majorHAnsi"/>
          <w:sz w:val="20"/>
          <w:szCs w:val="20"/>
        </w:rPr>
        <w:t xml:space="preserve"> of the Commission</w:t>
      </w:r>
      <w:r w:rsidRPr="005D46F5">
        <w:rPr>
          <w:rFonts w:asciiTheme="majorHAnsi" w:hAnsiTheme="majorHAnsi"/>
          <w:sz w:val="20"/>
          <w:szCs w:val="20"/>
        </w:rPr>
        <w:t xml:space="preserve"> cannot be based solely on the motivation formally declared in the preceding paragraphs. I</w:t>
      </w:r>
      <w:r w:rsidR="00C97F2E">
        <w:rPr>
          <w:rFonts w:asciiTheme="majorHAnsi" w:hAnsiTheme="majorHAnsi"/>
          <w:sz w:val="20"/>
          <w:szCs w:val="20"/>
        </w:rPr>
        <w:t>t i</w:t>
      </w:r>
      <w:r w:rsidRPr="005D46F5">
        <w:rPr>
          <w:rFonts w:asciiTheme="majorHAnsi" w:hAnsiTheme="majorHAnsi"/>
          <w:sz w:val="20"/>
          <w:szCs w:val="20"/>
        </w:rPr>
        <w:t>s up to the Commission to evaluate all available evidence to determine whether the te</w:t>
      </w:r>
      <w:r>
        <w:rPr>
          <w:rFonts w:asciiTheme="majorHAnsi" w:hAnsiTheme="majorHAnsi"/>
          <w:sz w:val="20"/>
          <w:szCs w:val="20"/>
        </w:rPr>
        <w:t xml:space="preserve">rmination was a misuse of power, understood as </w:t>
      </w:r>
      <w:r w:rsidR="00000665">
        <w:rPr>
          <w:rFonts w:asciiTheme="majorHAnsi" w:hAnsiTheme="majorHAnsi"/>
          <w:sz w:val="20"/>
          <w:szCs w:val="20"/>
        </w:rPr>
        <w:t>the use of formally valid procedures to conceal an illegal practice</w:t>
      </w:r>
      <w:r w:rsidR="00603ED8" w:rsidRPr="00420489">
        <w:rPr>
          <w:rStyle w:val="FootnoteReference"/>
          <w:rFonts w:asciiTheme="majorHAnsi" w:hAnsiTheme="majorHAnsi"/>
          <w:sz w:val="20"/>
          <w:szCs w:val="20"/>
          <w:lang w:val="es-MX"/>
        </w:rPr>
        <w:footnoteReference w:id="154"/>
      </w:r>
      <w:r w:rsidR="00000665">
        <w:rPr>
          <w:rFonts w:asciiTheme="majorHAnsi" w:hAnsiTheme="majorHAnsi"/>
          <w:sz w:val="20"/>
          <w:szCs w:val="20"/>
        </w:rPr>
        <w:t xml:space="preserve">. The IACHR has stated that in </w:t>
      </w:r>
      <w:r w:rsidR="00603ED8">
        <w:rPr>
          <w:rFonts w:asciiTheme="majorHAnsi" w:hAnsiTheme="majorHAnsi"/>
          <w:sz w:val="20"/>
          <w:szCs w:val="20"/>
        </w:rPr>
        <w:t>these cases</w:t>
      </w:r>
      <w:r w:rsidR="00000665">
        <w:rPr>
          <w:rFonts w:asciiTheme="majorHAnsi" w:hAnsiTheme="majorHAnsi"/>
          <w:sz w:val="20"/>
          <w:szCs w:val="20"/>
        </w:rPr>
        <w:t xml:space="preserve"> </w:t>
      </w:r>
      <w:r w:rsidR="00603ED8">
        <w:rPr>
          <w:rFonts w:asciiTheme="majorHAnsi" w:hAnsiTheme="majorHAnsi"/>
          <w:sz w:val="20"/>
          <w:szCs w:val="20"/>
        </w:rPr>
        <w:t>circumstantial or presumptive evidence is of especial importance</w:t>
      </w:r>
      <w:r w:rsidR="00603ED8" w:rsidRPr="00420489">
        <w:rPr>
          <w:rStyle w:val="FootnoteReference"/>
          <w:rFonts w:asciiTheme="majorHAnsi" w:hAnsiTheme="majorHAnsi"/>
          <w:sz w:val="20"/>
          <w:szCs w:val="20"/>
          <w:lang w:val="es-MX"/>
        </w:rPr>
        <w:footnoteReference w:id="155"/>
      </w:r>
      <w:r w:rsidR="00603ED8">
        <w:rPr>
          <w:rFonts w:asciiTheme="majorHAnsi" w:hAnsiTheme="majorHAnsi"/>
          <w:sz w:val="20"/>
          <w:szCs w:val="20"/>
        </w:rPr>
        <w:t xml:space="preserve">. </w:t>
      </w:r>
    </w:p>
    <w:p w14:paraId="62FE17C3" w14:textId="77777777" w:rsidR="00603ED8" w:rsidRDefault="00603ED8" w:rsidP="00603ED8">
      <w:pPr>
        <w:pStyle w:val="ListParagraph"/>
        <w:rPr>
          <w:rFonts w:asciiTheme="majorHAnsi" w:hAnsiTheme="majorHAnsi"/>
          <w:sz w:val="20"/>
          <w:szCs w:val="20"/>
        </w:rPr>
      </w:pPr>
    </w:p>
    <w:p w14:paraId="2F853C12" w14:textId="77777777" w:rsidR="006D7A70" w:rsidRDefault="00886208" w:rsidP="006D7A70">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Commission will now summarize the different elements that it has in its possession to determine </w:t>
      </w:r>
      <w:r w:rsidRPr="00886208">
        <w:rPr>
          <w:rFonts w:asciiTheme="majorHAnsi" w:hAnsiTheme="majorHAnsi"/>
          <w:sz w:val="20"/>
          <w:szCs w:val="20"/>
        </w:rPr>
        <w:t xml:space="preserve">whether the dismissal of </w:t>
      </w:r>
      <w:proofErr w:type="spellStart"/>
      <w:r w:rsidRPr="00886208">
        <w:rPr>
          <w:rFonts w:asciiTheme="majorHAnsi" w:eastAsia="Calibri" w:hAnsiTheme="majorHAnsi"/>
          <w:sz w:val="20"/>
          <w:szCs w:val="20"/>
        </w:rPr>
        <w:t>Rocío</w:t>
      </w:r>
      <w:proofErr w:type="spellEnd"/>
      <w:r w:rsidRPr="00886208">
        <w:rPr>
          <w:rFonts w:asciiTheme="majorHAnsi" w:eastAsia="Calibri" w:hAnsiTheme="majorHAnsi"/>
          <w:sz w:val="20"/>
          <w:szCs w:val="20"/>
        </w:rPr>
        <w:t xml:space="preserve"> San Miguel Sosa, </w:t>
      </w:r>
      <w:proofErr w:type="spellStart"/>
      <w:r w:rsidRPr="00886208">
        <w:rPr>
          <w:rFonts w:asciiTheme="majorHAnsi" w:eastAsia="Calibri" w:hAnsiTheme="majorHAnsi"/>
          <w:sz w:val="20"/>
          <w:szCs w:val="20"/>
        </w:rPr>
        <w:t>Magally</w:t>
      </w:r>
      <w:proofErr w:type="spellEnd"/>
      <w:r w:rsidRPr="00886208">
        <w:rPr>
          <w:rFonts w:asciiTheme="majorHAnsi" w:eastAsia="Calibri" w:hAnsiTheme="majorHAnsi"/>
          <w:sz w:val="20"/>
          <w:szCs w:val="20"/>
        </w:rPr>
        <w:t xml:space="preserve"> Chang </w:t>
      </w:r>
      <w:proofErr w:type="spellStart"/>
      <w:r w:rsidRPr="00886208">
        <w:rPr>
          <w:rFonts w:asciiTheme="majorHAnsi" w:eastAsia="Calibri" w:hAnsiTheme="majorHAnsi"/>
          <w:sz w:val="20"/>
          <w:szCs w:val="20"/>
        </w:rPr>
        <w:t>Girón</w:t>
      </w:r>
      <w:proofErr w:type="spellEnd"/>
      <w:r w:rsidRPr="00886208">
        <w:rPr>
          <w:rFonts w:asciiTheme="majorHAnsi" w:eastAsia="Calibri" w:hAnsiTheme="majorHAnsi"/>
          <w:sz w:val="20"/>
          <w:szCs w:val="20"/>
        </w:rPr>
        <w:t xml:space="preserve">, and Thais </w:t>
      </w:r>
      <w:proofErr w:type="spellStart"/>
      <w:r w:rsidRPr="00886208">
        <w:rPr>
          <w:rFonts w:asciiTheme="majorHAnsi" w:eastAsia="Calibri" w:hAnsiTheme="majorHAnsi"/>
          <w:sz w:val="20"/>
          <w:szCs w:val="20"/>
        </w:rPr>
        <w:t>Coromoto</w:t>
      </w:r>
      <w:proofErr w:type="spellEnd"/>
      <w:r w:rsidRPr="00886208">
        <w:rPr>
          <w:rFonts w:asciiTheme="majorHAnsi" w:eastAsia="Calibri" w:hAnsiTheme="majorHAnsi"/>
          <w:sz w:val="20"/>
          <w:szCs w:val="20"/>
        </w:rPr>
        <w:t xml:space="preserve"> Peña</w:t>
      </w:r>
      <w:r w:rsidRPr="00886208">
        <w:rPr>
          <w:rFonts w:asciiTheme="majorHAnsi" w:hAnsiTheme="majorHAnsi"/>
          <w:sz w:val="20"/>
          <w:szCs w:val="20"/>
        </w:rPr>
        <w:t xml:space="preserve">, was </w:t>
      </w:r>
      <w:r>
        <w:rPr>
          <w:rFonts w:asciiTheme="majorHAnsi" w:hAnsiTheme="majorHAnsi"/>
          <w:sz w:val="20"/>
          <w:szCs w:val="20"/>
        </w:rPr>
        <w:t xml:space="preserve">motivated by </w:t>
      </w:r>
      <w:r w:rsidRPr="00886208">
        <w:rPr>
          <w:rFonts w:asciiTheme="majorHAnsi" w:hAnsiTheme="majorHAnsi"/>
          <w:sz w:val="20"/>
          <w:szCs w:val="20"/>
        </w:rPr>
        <w:t>the political opinion</w:t>
      </w:r>
      <w:r>
        <w:rPr>
          <w:rFonts w:asciiTheme="majorHAnsi" w:hAnsiTheme="majorHAnsi"/>
          <w:sz w:val="20"/>
          <w:szCs w:val="20"/>
        </w:rPr>
        <w:t xml:space="preserve">s </w:t>
      </w:r>
      <w:r w:rsidRPr="00886208">
        <w:rPr>
          <w:rFonts w:asciiTheme="majorHAnsi" w:hAnsiTheme="majorHAnsi"/>
          <w:sz w:val="20"/>
          <w:szCs w:val="20"/>
        </w:rPr>
        <w:t xml:space="preserve">of Rocio San Miguel Sosa, </w:t>
      </w:r>
      <w:proofErr w:type="spellStart"/>
      <w:r w:rsidRPr="00886208">
        <w:rPr>
          <w:rFonts w:asciiTheme="majorHAnsi" w:hAnsiTheme="majorHAnsi"/>
          <w:sz w:val="20"/>
          <w:szCs w:val="20"/>
        </w:rPr>
        <w:t>Magally</w:t>
      </w:r>
      <w:proofErr w:type="spellEnd"/>
      <w:r w:rsidRPr="00886208">
        <w:rPr>
          <w:rFonts w:asciiTheme="majorHAnsi" w:hAnsiTheme="majorHAnsi"/>
          <w:sz w:val="20"/>
          <w:szCs w:val="20"/>
        </w:rPr>
        <w:t xml:space="preserve"> Chang </w:t>
      </w:r>
      <w:proofErr w:type="spellStart"/>
      <w:r w:rsidRPr="00886208">
        <w:rPr>
          <w:rFonts w:asciiTheme="majorHAnsi" w:hAnsiTheme="majorHAnsi"/>
          <w:sz w:val="20"/>
          <w:szCs w:val="20"/>
        </w:rPr>
        <w:t>Girón</w:t>
      </w:r>
      <w:proofErr w:type="spellEnd"/>
      <w:r w:rsidRPr="00886208">
        <w:rPr>
          <w:rFonts w:asciiTheme="majorHAnsi" w:hAnsiTheme="majorHAnsi"/>
          <w:sz w:val="20"/>
          <w:szCs w:val="20"/>
        </w:rPr>
        <w:t xml:space="preserve"> and Thais </w:t>
      </w:r>
      <w:proofErr w:type="spellStart"/>
      <w:r w:rsidRPr="00886208">
        <w:rPr>
          <w:rFonts w:asciiTheme="majorHAnsi" w:hAnsiTheme="majorHAnsi"/>
          <w:sz w:val="20"/>
          <w:szCs w:val="20"/>
        </w:rPr>
        <w:t>Coromoto</w:t>
      </w:r>
      <w:proofErr w:type="spellEnd"/>
      <w:r w:rsidRPr="00886208">
        <w:rPr>
          <w:rFonts w:asciiTheme="majorHAnsi" w:hAnsiTheme="majorHAnsi"/>
          <w:sz w:val="20"/>
          <w:szCs w:val="20"/>
        </w:rPr>
        <w:t xml:space="preserve"> Peña</w:t>
      </w:r>
      <w:r>
        <w:rPr>
          <w:rFonts w:asciiTheme="majorHAnsi" w:hAnsiTheme="majorHAnsi"/>
          <w:sz w:val="20"/>
          <w:szCs w:val="20"/>
        </w:rPr>
        <w:t xml:space="preserve"> and was therefore </w:t>
      </w:r>
      <w:r w:rsidR="006D7A70">
        <w:rPr>
          <w:rFonts w:asciiTheme="majorHAnsi" w:hAnsiTheme="majorHAnsi"/>
          <w:sz w:val="20"/>
          <w:szCs w:val="20"/>
        </w:rPr>
        <w:t xml:space="preserve">a misuse of power concealed in the motive argued by the State according to which the termination of the contracts with the alleged victims was the application of a provision of the contract or part of a restructuring process. </w:t>
      </w:r>
    </w:p>
    <w:p w14:paraId="2CB6D256" w14:textId="77777777" w:rsidR="006D7A70" w:rsidRDefault="006D7A70" w:rsidP="006D7A70">
      <w:pPr>
        <w:pStyle w:val="ListParagraph"/>
        <w:rPr>
          <w:rFonts w:asciiTheme="majorHAnsi" w:hAnsiTheme="majorHAnsi"/>
          <w:sz w:val="20"/>
          <w:szCs w:val="20"/>
        </w:rPr>
      </w:pPr>
    </w:p>
    <w:p w14:paraId="06502735" w14:textId="2F85478C" w:rsidR="001D57DD" w:rsidRDefault="00FA114B" w:rsidP="00E96E11">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E96E11">
        <w:rPr>
          <w:rFonts w:asciiTheme="majorHAnsi" w:hAnsiTheme="majorHAnsi"/>
          <w:color w:val="000000"/>
          <w:sz w:val="20"/>
          <w:szCs w:val="20"/>
        </w:rPr>
        <w:t xml:space="preserve">First, </w:t>
      </w:r>
      <w:r w:rsidR="006651E9" w:rsidRPr="00E96E11">
        <w:rPr>
          <w:rFonts w:asciiTheme="majorHAnsi" w:hAnsiTheme="majorHAnsi"/>
          <w:color w:val="000000"/>
          <w:sz w:val="20"/>
          <w:szCs w:val="20"/>
        </w:rPr>
        <w:t xml:space="preserve">the Commission notes that the process of creation and publication of the </w:t>
      </w:r>
      <w:proofErr w:type="spellStart"/>
      <w:r w:rsidR="006651E9" w:rsidRPr="00E96E11">
        <w:rPr>
          <w:rFonts w:asciiTheme="majorHAnsi" w:hAnsiTheme="majorHAnsi"/>
          <w:color w:val="000000"/>
          <w:sz w:val="20"/>
          <w:szCs w:val="20"/>
        </w:rPr>
        <w:t>Tascón</w:t>
      </w:r>
      <w:proofErr w:type="spellEnd"/>
      <w:r w:rsidR="006651E9" w:rsidRPr="00E96E11">
        <w:rPr>
          <w:rFonts w:asciiTheme="majorHAnsi" w:hAnsiTheme="majorHAnsi"/>
          <w:color w:val="000000"/>
          <w:sz w:val="20"/>
          <w:szCs w:val="20"/>
        </w:rPr>
        <w:t xml:space="preserve"> List, constitutes, </w:t>
      </w:r>
      <w:r w:rsidR="006651E9" w:rsidRPr="00E96E11">
        <w:rPr>
          <w:rFonts w:asciiTheme="majorHAnsi" w:hAnsiTheme="majorHAnsi"/>
          <w:i/>
          <w:color w:val="000000"/>
          <w:sz w:val="20"/>
          <w:szCs w:val="20"/>
        </w:rPr>
        <w:t>per se</w:t>
      </w:r>
      <w:r w:rsidR="006651E9" w:rsidRPr="00E96E11">
        <w:rPr>
          <w:rFonts w:asciiTheme="majorHAnsi" w:hAnsiTheme="majorHAnsi"/>
          <w:color w:val="000000"/>
          <w:sz w:val="20"/>
          <w:szCs w:val="20"/>
        </w:rPr>
        <w:t>, a reflection on the lack of safeguards during the recall referendum of the President of the Republic, in order to guarantee the “free expression of the will of the voters” in the terms of article 23.1 b) of the Convention. This article seeks to protect persons against forms of pressure and reprisals within electoral processes. The Commission understands that these guarantees are applicable to the processes of recall referendums</w:t>
      </w:r>
      <w:r w:rsidR="004127E4" w:rsidRPr="00E96E11">
        <w:rPr>
          <w:rFonts w:asciiTheme="majorHAnsi" w:hAnsiTheme="majorHAnsi"/>
          <w:color w:val="000000"/>
          <w:sz w:val="20"/>
          <w:szCs w:val="20"/>
        </w:rPr>
        <w:t xml:space="preserve"> </w:t>
      </w:r>
      <w:r w:rsidR="001F1400" w:rsidRPr="00E96E11">
        <w:rPr>
          <w:rFonts w:asciiTheme="majorHAnsi" w:hAnsiTheme="majorHAnsi"/>
          <w:color w:val="000000"/>
          <w:sz w:val="20"/>
          <w:szCs w:val="20"/>
        </w:rPr>
        <w:t>of positions elected by popular vote</w:t>
      </w:r>
      <w:r w:rsidR="006651E9" w:rsidRPr="00E96E11">
        <w:rPr>
          <w:rFonts w:asciiTheme="majorHAnsi" w:hAnsiTheme="majorHAnsi"/>
          <w:color w:val="000000"/>
          <w:sz w:val="20"/>
          <w:szCs w:val="20"/>
        </w:rPr>
        <w:t xml:space="preserve">. </w:t>
      </w:r>
      <w:r w:rsidR="001F1400" w:rsidRPr="00E96E11">
        <w:rPr>
          <w:rFonts w:asciiTheme="majorHAnsi" w:hAnsiTheme="majorHAnsi"/>
          <w:color w:val="000000"/>
          <w:sz w:val="20"/>
          <w:szCs w:val="20"/>
        </w:rPr>
        <w:t xml:space="preserve"> </w:t>
      </w:r>
      <w:r w:rsidR="00E96E11" w:rsidRPr="00E96E11">
        <w:rPr>
          <w:rFonts w:asciiTheme="majorHAnsi" w:hAnsiTheme="majorHAnsi"/>
          <w:sz w:val="20"/>
          <w:szCs w:val="20"/>
        </w:rPr>
        <w:t xml:space="preserve">The Commission recognizes that the process of collecting signatures to hold a recall referendum, by its own procedure of collecting signatures, cannot guarantee the anonymity of the expression of the voters. However, this does not mean that the identity of the people who signed the petition for a recall referendum is public information. While the State must investigate any </w:t>
      </w:r>
      <w:r w:rsidR="00E96E11" w:rsidRPr="00E96E11">
        <w:rPr>
          <w:rFonts w:asciiTheme="majorHAnsi" w:hAnsiTheme="majorHAnsi"/>
          <w:sz w:val="20"/>
          <w:szCs w:val="20"/>
        </w:rPr>
        <w:lastRenderedPageBreak/>
        <w:t>allegation of fraud in the electoral process, mechanisms should be explored in that framework, to protect voters against retaliation.</w:t>
      </w:r>
      <w:r w:rsidR="00E96E11">
        <w:rPr>
          <w:rFonts w:asciiTheme="majorHAnsi" w:hAnsiTheme="majorHAnsi"/>
          <w:sz w:val="20"/>
          <w:szCs w:val="20"/>
        </w:rPr>
        <w:t xml:space="preserve"> In this sense, </w:t>
      </w:r>
      <w:r w:rsidR="00E96E11" w:rsidRPr="00E96E11">
        <w:rPr>
          <w:rFonts w:asciiTheme="majorHAnsi" w:hAnsiTheme="majorHAnsi"/>
          <w:sz w:val="20"/>
          <w:szCs w:val="20"/>
        </w:rPr>
        <w:t>providing information on the identity of the persons who signed the petition to convene the recall r</w:t>
      </w:r>
      <w:r w:rsidR="00E96E11">
        <w:rPr>
          <w:rFonts w:asciiTheme="majorHAnsi" w:hAnsiTheme="majorHAnsi"/>
          <w:sz w:val="20"/>
          <w:szCs w:val="20"/>
        </w:rPr>
        <w:t>eferendum to a Congressman, taking into account the context and the public statements made by officials; as well as the creation of the “</w:t>
      </w:r>
      <w:proofErr w:type="spellStart"/>
      <w:r w:rsidR="00E96E11">
        <w:rPr>
          <w:rFonts w:asciiTheme="majorHAnsi" w:hAnsiTheme="majorHAnsi"/>
          <w:sz w:val="20"/>
          <w:szCs w:val="20"/>
        </w:rPr>
        <w:t>Tascón</w:t>
      </w:r>
      <w:proofErr w:type="spellEnd"/>
      <w:r w:rsidR="00E96E11">
        <w:rPr>
          <w:rFonts w:asciiTheme="majorHAnsi" w:hAnsiTheme="majorHAnsi"/>
          <w:sz w:val="20"/>
          <w:szCs w:val="20"/>
        </w:rPr>
        <w:t xml:space="preserve"> list” </w:t>
      </w:r>
      <w:r w:rsidR="00E96E11" w:rsidRPr="00E96E11">
        <w:rPr>
          <w:rFonts w:asciiTheme="majorHAnsi" w:hAnsiTheme="majorHAnsi"/>
          <w:sz w:val="20"/>
          <w:szCs w:val="20"/>
        </w:rPr>
        <w:t>on a web page, unde</w:t>
      </w:r>
      <w:r w:rsidR="001D57DD">
        <w:rPr>
          <w:rFonts w:asciiTheme="majorHAnsi" w:hAnsiTheme="majorHAnsi"/>
          <w:sz w:val="20"/>
          <w:szCs w:val="20"/>
        </w:rPr>
        <w:t xml:space="preserve">r accusations of a “mega-fraud” created an enabling environment for the realization of reprisals. </w:t>
      </w:r>
    </w:p>
    <w:p w14:paraId="681DE7EC" w14:textId="77777777" w:rsidR="006D7A70" w:rsidRPr="001D57DD" w:rsidRDefault="006D7A70" w:rsidP="001D57DD">
      <w:pPr>
        <w:rPr>
          <w:rFonts w:asciiTheme="majorHAnsi" w:hAnsiTheme="majorHAnsi"/>
          <w:sz w:val="20"/>
          <w:szCs w:val="20"/>
        </w:rPr>
      </w:pPr>
    </w:p>
    <w:p w14:paraId="0298659F" w14:textId="6887476D" w:rsidR="001D57DD" w:rsidRDefault="003E130B" w:rsidP="001D57DD">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color w:val="000000"/>
          <w:sz w:val="20"/>
          <w:szCs w:val="20"/>
        </w:rPr>
        <w:t>Second, t</w:t>
      </w:r>
      <w:r w:rsidR="001D57DD">
        <w:rPr>
          <w:rFonts w:asciiTheme="majorHAnsi" w:hAnsiTheme="majorHAnsi"/>
          <w:color w:val="000000"/>
          <w:sz w:val="20"/>
          <w:szCs w:val="20"/>
        </w:rPr>
        <w:t>he</w:t>
      </w:r>
      <w:r w:rsidR="00FA114B" w:rsidRPr="006D7A70">
        <w:rPr>
          <w:rFonts w:asciiTheme="majorHAnsi" w:hAnsiTheme="majorHAnsi"/>
          <w:color w:val="000000"/>
          <w:sz w:val="20"/>
          <w:szCs w:val="20"/>
        </w:rPr>
        <w:t xml:space="preserve"> Commission notes the existence of a known political context of widespread polarization by the time the events occurred. In this framework, the Commission established as proven that both the then President of the Republic and other senior government officials, including at least two ministers and a Congressman, made contemporaneous statements or at the time of signature or at the time of their presentation to the CNE, whose contents clearly show that they were forms of pressure for people not to sign, and of threats of retaliation for those who had signed, and even the unfounded accusation of terrorists to those who signed. Of particular relevance is the statement of the then President of the Republic who, referring to the "Tascón list," said "let the faces come out".</w:t>
      </w:r>
    </w:p>
    <w:p w14:paraId="47C8EE6D" w14:textId="77777777" w:rsidR="001D57DD" w:rsidRDefault="001D57DD" w:rsidP="001D57DD">
      <w:pPr>
        <w:pStyle w:val="ListParagraph"/>
        <w:rPr>
          <w:rFonts w:asciiTheme="majorHAnsi" w:hAnsiTheme="majorHAnsi"/>
          <w:sz w:val="20"/>
          <w:szCs w:val="20"/>
        </w:rPr>
      </w:pPr>
    </w:p>
    <w:p w14:paraId="2069A815" w14:textId="2B7F255B" w:rsidR="00FA114B" w:rsidRDefault="00FA114B" w:rsidP="001D57DD">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1D57DD">
        <w:rPr>
          <w:rFonts w:asciiTheme="majorHAnsi" w:hAnsiTheme="majorHAnsi"/>
          <w:color w:val="000000"/>
          <w:sz w:val="20"/>
          <w:szCs w:val="20"/>
        </w:rPr>
        <w:t>The Commission notes that in response to the State's obligations to respect, guarantee and promote human rights, officials have a duty to ensure that in exercising their freedom of expression, they don’t incur in the disregard of fundamental rights</w:t>
      </w:r>
      <w:r w:rsidRPr="00326F31">
        <w:rPr>
          <w:rFonts w:asciiTheme="majorHAnsi" w:hAnsiTheme="majorHAnsi"/>
          <w:sz w:val="20"/>
          <w:szCs w:val="20"/>
          <w:vertAlign w:val="superscript"/>
          <w:lang w:val="es-ES"/>
        </w:rPr>
        <w:footnoteReference w:id="156"/>
      </w:r>
      <w:r w:rsidRPr="001D57DD">
        <w:rPr>
          <w:rFonts w:asciiTheme="majorHAnsi" w:hAnsiTheme="majorHAnsi" w:cs="Calibri"/>
          <w:sz w:val="20"/>
          <w:szCs w:val="20"/>
        </w:rPr>
        <w:t>.</w:t>
      </w:r>
      <w:r w:rsidRPr="001D57DD">
        <w:rPr>
          <w:rFonts w:asciiTheme="majorHAnsi" w:hAnsiTheme="majorHAnsi"/>
          <w:color w:val="000000"/>
          <w:sz w:val="20"/>
          <w:szCs w:val="20"/>
        </w:rPr>
        <w:t xml:space="preserve"> They should also ensure that their expressions are not a "forms of direct or indirect interference or harmful pressure on the rights of those who seek to contribute to public deliberation through the expression and dissemination of thought"</w:t>
      </w:r>
      <w:r w:rsidRPr="00326F31">
        <w:rPr>
          <w:rFonts w:asciiTheme="majorHAnsi" w:hAnsiTheme="majorHAnsi" w:cs="Calibri"/>
          <w:sz w:val="20"/>
          <w:szCs w:val="20"/>
          <w:vertAlign w:val="superscript"/>
          <w:lang w:val="es-ES"/>
        </w:rPr>
        <w:footnoteReference w:id="157"/>
      </w:r>
      <w:r w:rsidRPr="001D57DD">
        <w:rPr>
          <w:rFonts w:asciiTheme="majorHAnsi" w:hAnsiTheme="majorHAnsi" w:cs="Calibri"/>
          <w:sz w:val="20"/>
          <w:szCs w:val="20"/>
        </w:rPr>
        <w:t>.</w:t>
      </w:r>
      <w:r w:rsidRPr="001D57DD">
        <w:rPr>
          <w:rFonts w:asciiTheme="majorHAnsi" w:hAnsiTheme="majorHAnsi"/>
          <w:color w:val="000000"/>
          <w:sz w:val="20"/>
          <w:szCs w:val="20"/>
        </w:rPr>
        <w:t xml:space="preserve"> This special duty of care is particularly pronounced in situations of great social unrest, public disorder or social or political polarization, </w:t>
      </w:r>
      <w:r w:rsidRPr="001D57DD">
        <w:rPr>
          <w:rFonts w:asciiTheme="majorHAnsi" w:hAnsiTheme="majorHAnsi"/>
          <w:sz w:val="20"/>
          <w:szCs w:val="20"/>
        </w:rPr>
        <w:t>precisely because of the risks such situations might pose for specific individuals or groups at a given time</w:t>
      </w:r>
      <w:r w:rsidRPr="00326F31">
        <w:rPr>
          <w:rFonts w:asciiTheme="majorHAnsi" w:hAnsiTheme="majorHAnsi"/>
          <w:sz w:val="20"/>
          <w:szCs w:val="20"/>
          <w:vertAlign w:val="superscript"/>
          <w:lang w:val="es-ES"/>
        </w:rPr>
        <w:footnoteReference w:id="158"/>
      </w:r>
      <w:r w:rsidRPr="001D57DD">
        <w:rPr>
          <w:rFonts w:asciiTheme="majorHAnsi" w:hAnsiTheme="majorHAnsi"/>
          <w:sz w:val="20"/>
          <w:szCs w:val="20"/>
        </w:rPr>
        <w:t>.</w:t>
      </w:r>
    </w:p>
    <w:p w14:paraId="75C03A4E" w14:textId="77777777" w:rsidR="001D57DD" w:rsidRDefault="001D57DD" w:rsidP="001D57DD">
      <w:pPr>
        <w:pStyle w:val="ListParagraph"/>
        <w:rPr>
          <w:rFonts w:asciiTheme="majorHAnsi" w:hAnsiTheme="majorHAnsi"/>
          <w:sz w:val="20"/>
          <w:szCs w:val="20"/>
        </w:rPr>
      </w:pPr>
    </w:p>
    <w:p w14:paraId="5B3A4AEE" w14:textId="4D3B9A5B" w:rsidR="00FA114B" w:rsidRPr="005B5065" w:rsidRDefault="001D57DD" w:rsidP="005B5065">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Third, </w:t>
      </w:r>
      <w:r w:rsidR="00FA114B" w:rsidRPr="001D57DD">
        <w:rPr>
          <w:rFonts w:asciiTheme="majorHAnsi" w:hAnsiTheme="majorHAnsi"/>
          <w:color w:val="000000"/>
          <w:sz w:val="20"/>
          <w:szCs w:val="20"/>
        </w:rPr>
        <w:t xml:space="preserve">the Commission notes that </w:t>
      </w:r>
      <w:r>
        <w:rPr>
          <w:rFonts w:asciiTheme="majorHAnsi" w:hAnsiTheme="majorHAnsi"/>
          <w:color w:val="000000"/>
          <w:sz w:val="20"/>
          <w:szCs w:val="20"/>
        </w:rPr>
        <w:t xml:space="preserve">the present case does not constitute an isolated </w:t>
      </w:r>
      <w:r w:rsidR="005B5065">
        <w:rPr>
          <w:rFonts w:asciiTheme="majorHAnsi" w:hAnsiTheme="majorHAnsi"/>
          <w:color w:val="000000"/>
          <w:sz w:val="20"/>
          <w:szCs w:val="20"/>
        </w:rPr>
        <w:t xml:space="preserve">complaint but </w:t>
      </w:r>
      <w:r w:rsidR="00FA114B" w:rsidRPr="005B5065">
        <w:rPr>
          <w:rFonts w:asciiTheme="majorHAnsi" w:hAnsiTheme="majorHAnsi"/>
          <w:color w:val="000000"/>
          <w:sz w:val="20"/>
          <w:szCs w:val="20"/>
        </w:rPr>
        <w:t>there are many complaints about the materialization of these threats. These complaints were documented by Human Rights Watch in the above mentioned report in the section on proven facts. In addition, there are multiple press documents that account for allegations of dismissals of people who appeared on the "Tascón list" in six different state</w:t>
      </w:r>
      <w:r w:rsidR="00A44B9C">
        <w:rPr>
          <w:rFonts w:asciiTheme="majorHAnsi" w:hAnsiTheme="majorHAnsi"/>
          <w:color w:val="000000"/>
          <w:sz w:val="20"/>
          <w:szCs w:val="20"/>
        </w:rPr>
        <w:t xml:space="preserve"> offices</w:t>
      </w:r>
      <w:r w:rsidR="005B5065">
        <w:rPr>
          <w:rFonts w:asciiTheme="majorHAnsi" w:hAnsiTheme="majorHAnsi"/>
          <w:color w:val="000000"/>
          <w:sz w:val="20"/>
          <w:szCs w:val="20"/>
        </w:rPr>
        <w:t xml:space="preserve">. Even the Attorney General’s Office itself acknowledged the existence of many complaints in this regard, when it ordered in April 2005 to open an investigation into cases of political discrimination.  </w:t>
      </w:r>
    </w:p>
    <w:p w14:paraId="1948968E" w14:textId="77777777" w:rsidR="005B5065" w:rsidRDefault="005B5065" w:rsidP="005B5065">
      <w:pPr>
        <w:pStyle w:val="ListParagraph"/>
        <w:rPr>
          <w:rFonts w:asciiTheme="majorHAnsi" w:hAnsiTheme="majorHAnsi"/>
          <w:sz w:val="20"/>
          <w:szCs w:val="20"/>
        </w:rPr>
      </w:pPr>
    </w:p>
    <w:p w14:paraId="1B903141" w14:textId="77777777" w:rsidR="00163AF3" w:rsidRDefault="005B5065" w:rsidP="00163AF3">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Fourth, </w:t>
      </w:r>
      <w:r w:rsidR="00FA114B" w:rsidRPr="00D57F66">
        <w:rPr>
          <w:rFonts w:asciiTheme="majorHAnsi" w:hAnsiTheme="majorHAnsi"/>
          <w:color w:val="000000"/>
          <w:sz w:val="20"/>
          <w:szCs w:val="20"/>
        </w:rPr>
        <w:t xml:space="preserve">the Commission notes that the signature challenge process carried out by the CNE and held on June 27, 2004, was not merely so that people could object to possible fraudulent use of their signatures and identities. When calling to the challenge process, the option to retract and withdraw their signature for people who signed for the recall referendum validly was also given. </w:t>
      </w:r>
      <w:r w:rsidR="00D57F66">
        <w:rPr>
          <w:rFonts w:asciiTheme="majorHAnsi" w:hAnsiTheme="majorHAnsi"/>
          <w:color w:val="000000"/>
          <w:sz w:val="20"/>
          <w:szCs w:val="20"/>
        </w:rPr>
        <w:t xml:space="preserve"> While it may be reasonable to create a </w:t>
      </w:r>
      <w:r w:rsidR="00163AF3">
        <w:rPr>
          <w:rFonts w:asciiTheme="majorHAnsi" w:hAnsiTheme="majorHAnsi"/>
          <w:color w:val="000000"/>
          <w:sz w:val="20"/>
          <w:szCs w:val="20"/>
        </w:rPr>
        <w:t xml:space="preserve">verification system in order to examine allegations of fraud, the object of it should not be to obtain a new expression of the persons who validly signed. </w:t>
      </w:r>
      <w:r w:rsidR="00163AF3">
        <w:rPr>
          <w:rFonts w:asciiTheme="majorHAnsi" w:hAnsiTheme="majorHAnsi"/>
          <w:sz w:val="20"/>
          <w:szCs w:val="20"/>
        </w:rPr>
        <w:t xml:space="preserve"> </w:t>
      </w:r>
      <w:r w:rsidR="00FA114B" w:rsidRPr="00163AF3">
        <w:rPr>
          <w:rFonts w:asciiTheme="majorHAnsi" w:hAnsiTheme="majorHAnsi"/>
          <w:color w:val="000000"/>
          <w:sz w:val="20"/>
          <w:szCs w:val="20"/>
        </w:rPr>
        <w:t>The granting of this option is problematic in the context of threatening statements by senior government officials, including the President of the Republic.</w:t>
      </w:r>
    </w:p>
    <w:p w14:paraId="72C79754" w14:textId="77777777" w:rsidR="00163AF3" w:rsidRDefault="00163AF3" w:rsidP="00163AF3">
      <w:pPr>
        <w:pStyle w:val="ListParagraph"/>
        <w:rPr>
          <w:rFonts w:asciiTheme="majorHAnsi" w:hAnsiTheme="majorHAnsi"/>
          <w:sz w:val="20"/>
          <w:szCs w:val="20"/>
        </w:rPr>
      </w:pPr>
    </w:p>
    <w:p w14:paraId="374343A7" w14:textId="77777777" w:rsidR="00B7781C" w:rsidRDefault="00FA114B" w:rsidP="00B7781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163AF3">
        <w:rPr>
          <w:rFonts w:asciiTheme="majorHAnsi" w:hAnsiTheme="majorHAnsi"/>
          <w:sz w:val="20"/>
          <w:szCs w:val="20"/>
        </w:rPr>
        <w:t>F</w:t>
      </w:r>
      <w:r w:rsidR="00163AF3" w:rsidRPr="00163AF3">
        <w:rPr>
          <w:rFonts w:asciiTheme="majorHAnsi" w:hAnsiTheme="majorHAnsi"/>
          <w:sz w:val="20"/>
          <w:szCs w:val="20"/>
        </w:rPr>
        <w:t>ifth</w:t>
      </w:r>
      <w:r w:rsidRPr="00163AF3">
        <w:rPr>
          <w:rFonts w:asciiTheme="majorHAnsi" w:hAnsiTheme="majorHAnsi"/>
          <w:sz w:val="20"/>
          <w:szCs w:val="20"/>
        </w:rPr>
        <w:t>, the Commission notes that</w:t>
      </w:r>
      <w:r w:rsidR="00163AF3">
        <w:rPr>
          <w:rFonts w:asciiTheme="majorHAnsi" w:hAnsiTheme="majorHAnsi"/>
          <w:sz w:val="20"/>
          <w:szCs w:val="20"/>
        </w:rPr>
        <w:t>, as was indicated in paragraph 87,</w:t>
      </w:r>
      <w:r w:rsidRPr="00163AF3">
        <w:rPr>
          <w:rFonts w:asciiTheme="majorHAnsi" w:hAnsiTheme="majorHAnsi"/>
          <w:sz w:val="20"/>
          <w:szCs w:val="20"/>
        </w:rPr>
        <w:t xml:space="preserve"> the then President of the Republic, in a statement of 15 April 2005, recognized that "</w:t>
      </w:r>
      <w:proofErr w:type="spellStart"/>
      <w:r w:rsidRPr="00163AF3">
        <w:rPr>
          <w:rFonts w:asciiTheme="majorHAnsi" w:hAnsiTheme="majorHAnsi"/>
          <w:sz w:val="20"/>
          <w:szCs w:val="20"/>
        </w:rPr>
        <w:t>Tascón</w:t>
      </w:r>
      <w:proofErr w:type="spellEnd"/>
      <w:r w:rsidRPr="00163AF3">
        <w:rPr>
          <w:rFonts w:asciiTheme="majorHAnsi" w:hAnsiTheme="majorHAnsi"/>
          <w:sz w:val="20"/>
          <w:szCs w:val="20"/>
        </w:rPr>
        <w:t xml:space="preserve"> list"</w:t>
      </w:r>
      <w:r w:rsidR="00163AF3" w:rsidRPr="00F17535">
        <w:rPr>
          <w:rStyle w:val="FootnoteReference"/>
          <w:rFonts w:asciiTheme="majorHAnsi" w:hAnsiTheme="majorHAnsi"/>
          <w:sz w:val="20"/>
          <w:szCs w:val="20"/>
          <w:lang w:val="es-VE"/>
        </w:rPr>
        <w:footnoteReference w:id="159"/>
      </w:r>
      <w:r w:rsidRPr="00163AF3">
        <w:rPr>
          <w:rFonts w:asciiTheme="majorHAnsi" w:hAnsiTheme="majorHAnsi"/>
          <w:sz w:val="20"/>
          <w:szCs w:val="20"/>
        </w:rPr>
        <w:t xml:space="preserve"> was used to fire workers or block job applications. This time the then President called to build bridges and to "bury" the "Tascón list". Regardless, as relevant to this analysis, the Commission notes that there was </w:t>
      </w:r>
      <w:r w:rsidR="00B7781C" w:rsidRPr="00163AF3">
        <w:rPr>
          <w:rFonts w:asciiTheme="majorHAnsi" w:hAnsiTheme="majorHAnsi"/>
          <w:sz w:val="20"/>
          <w:szCs w:val="20"/>
        </w:rPr>
        <w:t>recognition</w:t>
      </w:r>
      <w:r w:rsidRPr="00163AF3">
        <w:rPr>
          <w:rFonts w:asciiTheme="majorHAnsi" w:hAnsiTheme="majorHAnsi"/>
          <w:sz w:val="20"/>
          <w:szCs w:val="20"/>
        </w:rPr>
        <w:t xml:space="preserve"> from the highest echelons of power, of the use of the "Tascón list" as a means to realize retaliation against people who signed. The Commission further notes that under this recognition, the use of the "Tascón list" occurred in the workplace.</w:t>
      </w:r>
    </w:p>
    <w:p w14:paraId="1CFF6F37" w14:textId="77777777" w:rsidR="00B7781C" w:rsidRDefault="00B7781C" w:rsidP="00B7781C">
      <w:pPr>
        <w:pStyle w:val="ListParagraph"/>
        <w:rPr>
          <w:rFonts w:asciiTheme="majorHAnsi" w:hAnsiTheme="majorHAnsi"/>
          <w:sz w:val="20"/>
          <w:szCs w:val="20"/>
        </w:rPr>
      </w:pPr>
    </w:p>
    <w:p w14:paraId="5178B81C" w14:textId="14E73399" w:rsidR="008B20E5" w:rsidRPr="00B7781C" w:rsidRDefault="003E130B" w:rsidP="00B7781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Six</w:t>
      </w:r>
      <w:r w:rsidR="00FA114B" w:rsidRPr="00B7781C">
        <w:rPr>
          <w:rFonts w:asciiTheme="majorHAnsi" w:hAnsiTheme="majorHAnsi"/>
          <w:sz w:val="20"/>
          <w:szCs w:val="20"/>
        </w:rPr>
        <w:t>th, the Commission has the testimony of Rocío San Miguel, Magally Chang Girón, and Thais Coromoto Peña, who provided the following elements:</w:t>
      </w:r>
    </w:p>
    <w:p w14:paraId="285F952F" w14:textId="77777777" w:rsidR="00FA114B" w:rsidRPr="00326F31" w:rsidRDefault="00FA114B"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5FA8C0E2" w14:textId="1C2CCEA2" w:rsidR="00FA114B" w:rsidRPr="00326F31" w:rsidRDefault="008B20E5" w:rsidP="00B7781C">
      <w:pPr>
        <w:ind w:left="720" w:right="720"/>
        <w:jc w:val="both"/>
        <w:rPr>
          <w:rFonts w:asciiTheme="majorHAnsi" w:hAnsiTheme="majorHAnsi"/>
          <w:sz w:val="20"/>
          <w:szCs w:val="20"/>
        </w:rPr>
      </w:pPr>
      <w:r w:rsidRPr="00326F31">
        <w:rPr>
          <w:rFonts w:asciiTheme="majorHAnsi" w:hAnsiTheme="majorHAnsi"/>
          <w:sz w:val="20"/>
          <w:szCs w:val="20"/>
        </w:rPr>
        <w:t xml:space="preserve">- </w:t>
      </w:r>
      <w:r w:rsidR="00AB7D09" w:rsidRPr="00326F31">
        <w:rPr>
          <w:rFonts w:asciiTheme="majorHAnsi" w:hAnsiTheme="majorHAnsi"/>
          <w:sz w:val="20"/>
          <w:szCs w:val="20"/>
        </w:rPr>
        <w:t xml:space="preserve">Rocío San Miguel Sosa </w:t>
      </w:r>
      <w:r w:rsidR="00FA114B" w:rsidRPr="00326F31">
        <w:rPr>
          <w:rFonts w:asciiTheme="majorHAnsi" w:hAnsiTheme="majorHAnsi"/>
          <w:sz w:val="20"/>
          <w:szCs w:val="20"/>
        </w:rPr>
        <w:t xml:space="preserve">referred to a conversation with the Executive Secretary of the National Border Council who indicated that the reason for her dismissal was for petitioning for the presidential recall as well as a conversation with the legal consultant </w:t>
      </w:r>
      <w:r w:rsidR="00B7781C">
        <w:rPr>
          <w:rFonts w:asciiTheme="majorHAnsi" w:hAnsiTheme="majorHAnsi"/>
          <w:sz w:val="20"/>
          <w:szCs w:val="20"/>
        </w:rPr>
        <w:t xml:space="preserve">of the </w:t>
      </w:r>
      <w:r w:rsidR="00FA114B" w:rsidRPr="00326F31">
        <w:rPr>
          <w:rFonts w:asciiTheme="majorHAnsi" w:hAnsiTheme="majorHAnsi"/>
          <w:sz w:val="20"/>
          <w:szCs w:val="20"/>
        </w:rPr>
        <w:t>vice presidency</w:t>
      </w:r>
      <w:r w:rsidR="00B7781C">
        <w:rPr>
          <w:rFonts w:asciiTheme="majorHAnsi" w:hAnsiTheme="majorHAnsi"/>
          <w:sz w:val="20"/>
          <w:szCs w:val="20"/>
        </w:rPr>
        <w:t xml:space="preserve"> who told her</w:t>
      </w:r>
      <w:r w:rsidR="00FA114B" w:rsidRPr="00326F31">
        <w:rPr>
          <w:rFonts w:asciiTheme="majorHAnsi" w:hAnsiTheme="majorHAnsi"/>
          <w:sz w:val="20"/>
          <w:szCs w:val="20"/>
        </w:rPr>
        <w:t xml:space="preserve"> she was a trusted staff member and by signing she expressed a gesture of distrust.</w:t>
      </w:r>
    </w:p>
    <w:p w14:paraId="3F31596E" w14:textId="77777777" w:rsidR="00291197" w:rsidRPr="00326F31" w:rsidRDefault="00291197" w:rsidP="00B7781C">
      <w:pPr>
        <w:ind w:left="720" w:right="720"/>
        <w:jc w:val="both"/>
        <w:rPr>
          <w:rFonts w:asciiTheme="majorHAnsi" w:hAnsiTheme="majorHAnsi"/>
          <w:sz w:val="20"/>
          <w:szCs w:val="20"/>
        </w:rPr>
      </w:pPr>
    </w:p>
    <w:p w14:paraId="472384B2" w14:textId="654A13D2" w:rsidR="00FA114B" w:rsidRPr="00326F31" w:rsidRDefault="008B20E5" w:rsidP="00B7781C">
      <w:pPr>
        <w:ind w:left="720" w:right="720"/>
        <w:jc w:val="both"/>
        <w:rPr>
          <w:rFonts w:asciiTheme="majorHAnsi" w:hAnsiTheme="majorHAnsi"/>
          <w:sz w:val="20"/>
          <w:szCs w:val="20"/>
        </w:rPr>
      </w:pPr>
      <w:r w:rsidRPr="00326F31">
        <w:rPr>
          <w:rFonts w:asciiTheme="majorHAnsi" w:hAnsiTheme="majorHAnsi"/>
          <w:sz w:val="20"/>
          <w:szCs w:val="20"/>
        </w:rPr>
        <w:t xml:space="preserve">- </w:t>
      </w:r>
      <w:r w:rsidR="00AB7D09" w:rsidRPr="00326F31">
        <w:rPr>
          <w:rFonts w:asciiTheme="majorHAnsi" w:hAnsiTheme="majorHAnsi"/>
          <w:sz w:val="20"/>
          <w:szCs w:val="20"/>
        </w:rPr>
        <w:t>Magally Chang Girón</w:t>
      </w:r>
      <w:r w:rsidR="00FA114B" w:rsidRPr="00326F31">
        <w:rPr>
          <w:rFonts w:asciiTheme="majorHAnsi" w:hAnsiTheme="majorHAnsi"/>
          <w:sz w:val="20"/>
          <w:szCs w:val="20"/>
        </w:rPr>
        <w:t xml:space="preserve"> referred to the fact that three of the four people who signed the request for a referendum were dismissed, and </w:t>
      </w:r>
      <w:r w:rsidR="007A5CA0">
        <w:rPr>
          <w:rFonts w:asciiTheme="majorHAnsi" w:hAnsiTheme="majorHAnsi"/>
          <w:sz w:val="20"/>
          <w:szCs w:val="20"/>
        </w:rPr>
        <w:t>that she saw the communication for dismissal</w:t>
      </w:r>
      <w:r w:rsidR="00FA114B" w:rsidRPr="00326F31">
        <w:rPr>
          <w:rFonts w:asciiTheme="majorHAnsi" w:hAnsiTheme="majorHAnsi"/>
          <w:sz w:val="20"/>
          <w:szCs w:val="20"/>
        </w:rPr>
        <w:t xml:space="preserve"> of the fourth person - Jorge Guerra – learning later that ultimately he was not dismissed, without knowing the reasons.</w:t>
      </w:r>
    </w:p>
    <w:p w14:paraId="66134A4D" w14:textId="77777777" w:rsidR="00640598" w:rsidRPr="00326F31" w:rsidRDefault="00640598" w:rsidP="00B7781C">
      <w:pPr>
        <w:ind w:left="720" w:right="720"/>
        <w:jc w:val="both"/>
        <w:rPr>
          <w:rFonts w:asciiTheme="majorHAnsi" w:hAnsiTheme="majorHAnsi"/>
          <w:sz w:val="20"/>
          <w:szCs w:val="20"/>
        </w:rPr>
      </w:pPr>
    </w:p>
    <w:p w14:paraId="2FD9F010" w14:textId="59AB9AE7" w:rsidR="00FA114B" w:rsidRPr="00326F31" w:rsidRDefault="00640598" w:rsidP="00B7781C">
      <w:pPr>
        <w:ind w:left="720" w:right="720"/>
        <w:jc w:val="both"/>
        <w:rPr>
          <w:rFonts w:asciiTheme="majorHAnsi" w:hAnsiTheme="majorHAnsi"/>
          <w:sz w:val="20"/>
          <w:szCs w:val="20"/>
        </w:rPr>
      </w:pPr>
      <w:r w:rsidRPr="00326F31">
        <w:rPr>
          <w:rFonts w:asciiTheme="majorHAnsi" w:hAnsiTheme="majorHAnsi"/>
          <w:sz w:val="20"/>
          <w:szCs w:val="20"/>
        </w:rPr>
        <w:t xml:space="preserve">- </w:t>
      </w:r>
      <w:r w:rsidR="00AB7D09" w:rsidRPr="00326F31">
        <w:rPr>
          <w:rFonts w:asciiTheme="majorHAnsi" w:hAnsiTheme="majorHAnsi"/>
          <w:sz w:val="20"/>
          <w:szCs w:val="20"/>
        </w:rPr>
        <w:t xml:space="preserve">Thais Coromoto Peña </w:t>
      </w:r>
      <w:r w:rsidR="00FA114B" w:rsidRPr="00326F31">
        <w:rPr>
          <w:rFonts w:asciiTheme="majorHAnsi" w:hAnsiTheme="majorHAnsi"/>
          <w:sz w:val="20"/>
          <w:szCs w:val="20"/>
        </w:rPr>
        <w:t>mentioned that after being notified of the dismissal</w:t>
      </w:r>
      <w:r w:rsidR="00B7781C">
        <w:rPr>
          <w:rFonts w:asciiTheme="majorHAnsi" w:hAnsiTheme="majorHAnsi"/>
          <w:sz w:val="20"/>
          <w:szCs w:val="20"/>
        </w:rPr>
        <w:t xml:space="preserve">, </w:t>
      </w:r>
      <w:r w:rsidR="00FA114B" w:rsidRPr="00326F31">
        <w:rPr>
          <w:rFonts w:asciiTheme="majorHAnsi" w:hAnsiTheme="majorHAnsi"/>
          <w:sz w:val="20"/>
          <w:szCs w:val="20"/>
        </w:rPr>
        <w:t>the Executive Secretary of the National Border Council told her that if she withdrew the signature he could support her to suspend her dismissal as was done with Jorge Guerra.</w:t>
      </w:r>
    </w:p>
    <w:p w14:paraId="3E293655" w14:textId="77777777" w:rsidR="00291197" w:rsidRPr="00326F31" w:rsidRDefault="00291197"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06ACA841" w14:textId="77777777" w:rsidR="00B7781C" w:rsidRDefault="00B7781C" w:rsidP="00B7781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Seventh</w:t>
      </w:r>
      <w:r w:rsidR="0064745D" w:rsidRPr="00326F31">
        <w:rPr>
          <w:rFonts w:asciiTheme="majorHAnsi" w:hAnsiTheme="majorHAnsi"/>
          <w:sz w:val="20"/>
          <w:szCs w:val="20"/>
        </w:rPr>
        <w:t>, the payroll of the National Border Council for 2003, confirms that of the total of 23 employees of the institution, the dismissal was notified only to the four people in the Council who signed the petition for a recall referendum: Rocío San Miguel, Magally Chang Girón, Thais Coromoto Peña, and Jorge Guerra Navarro.</w:t>
      </w:r>
    </w:p>
    <w:p w14:paraId="530E4A9D" w14:textId="77777777" w:rsidR="00B7781C" w:rsidRDefault="00B7781C" w:rsidP="00B7781C">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5CB2B6D0" w14:textId="77777777" w:rsidR="000452BC" w:rsidRDefault="00B7781C" w:rsidP="000452B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Eig</w:t>
      </w:r>
      <w:r w:rsidR="0064745D" w:rsidRPr="00B7781C">
        <w:rPr>
          <w:rFonts w:asciiTheme="majorHAnsi" w:hAnsiTheme="majorHAnsi"/>
          <w:sz w:val="20"/>
          <w:szCs w:val="20"/>
        </w:rPr>
        <w:t>h</w:t>
      </w:r>
      <w:r>
        <w:rPr>
          <w:rFonts w:asciiTheme="majorHAnsi" w:hAnsiTheme="majorHAnsi"/>
          <w:sz w:val="20"/>
          <w:szCs w:val="20"/>
        </w:rPr>
        <w:t>t</w:t>
      </w:r>
      <w:r w:rsidR="0064745D" w:rsidRPr="00B7781C">
        <w:rPr>
          <w:rFonts w:asciiTheme="majorHAnsi" w:hAnsiTheme="majorHAnsi"/>
          <w:sz w:val="20"/>
          <w:szCs w:val="20"/>
        </w:rPr>
        <w:t xml:space="preserve">, on many occasions, including one of the conversations referred to by </w:t>
      </w:r>
      <w:proofErr w:type="spellStart"/>
      <w:r w:rsidR="0064745D" w:rsidRPr="00B7781C">
        <w:rPr>
          <w:rFonts w:asciiTheme="majorHAnsi" w:hAnsiTheme="majorHAnsi"/>
          <w:sz w:val="20"/>
          <w:szCs w:val="20"/>
        </w:rPr>
        <w:t>Rocío</w:t>
      </w:r>
      <w:proofErr w:type="spellEnd"/>
      <w:r w:rsidR="0064745D" w:rsidRPr="00B7781C">
        <w:rPr>
          <w:rFonts w:asciiTheme="majorHAnsi" w:hAnsiTheme="majorHAnsi"/>
          <w:sz w:val="20"/>
          <w:szCs w:val="20"/>
        </w:rPr>
        <w:t xml:space="preserve"> San Miguel, the</w:t>
      </w:r>
      <w:r>
        <w:rPr>
          <w:rFonts w:asciiTheme="majorHAnsi" w:hAnsiTheme="majorHAnsi"/>
          <w:sz w:val="20"/>
          <w:szCs w:val="20"/>
        </w:rPr>
        <w:t>re is</w:t>
      </w:r>
      <w:r w:rsidR="0064745D" w:rsidRPr="00B7781C">
        <w:rPr>
          <w:rFonts w:asciiTheme="majorHAnsi" w:hAnsiTheme="majorHAnsi"/>
          <w:sz w:val="20"/>
          <w:szCs w:val="20"/>
        </w:rPr>
        <w:t xml:space="preserve"> reference to the fact that Jorge Navarro Guerra could keep hi</w:t>
      </w:r>
      <w:r w:rsidR="000452BC">
        <w:rPr>
          <w:rFonts w:asciiTheme="majorHAnsi" w:hAnsiTheme="majorHAnsi"/>
          <w:sz w:val="20"/>
          <w:szCs w:val="20"/>
        </w:rPr>
        <w:t>s job because he objected to his</w:t>
      </w:r>
      <w:r w:rsidR="0064745D" w:rsidRPr="00B7781C">
        <w:rPr>
          <w:rFonts w:asciiTheme="majorHAnsi" w:hAnsiTheme="majorHAnsi"/>
          <w:sz w:val="20"/>
          <w:szCs w:val="20"/>
        </w:rPr>
        <w:t xml:space="preserve"> signature. The State has failed to contest before the Commission that Jorge Guerra initially signed, was fired along with the three alleged victims, then participated in the process of challenge objecting his signature, and was precisely the only one of the four dismissed that could preserve his job.</w:t>
      </w:r>
    </w:p>
    <w:p w14:paraId="094CCCA4" w14:textId="77777777" w:rsidR="000452BC" w:rsidRDefault="000452BC" w:rsidP="000452BC">
      <w:pPr>
        <w:pStyle w:val="ListParagraph"/>
        <w:rPr>
          <w:rFonts w:asciiTheme="majorHAnsi" w:hAnsiTheme="majorHAnsi"/>
          <w:sz w:val="20"/>
          <w:szCs w:val="20"/>
        </w:rPr>
      </w:pPr>
    </w:p>
    <w:p w14:paraId="2E5897BD" w14:textId="77777777" w:rsidR="000452BC" w:rsidRDefault="000452BC" w:rsidP="000452B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0452BC">
        <w:rPr>
          <w:rFonts w:asciiTheme="majorHAnsi" w:hAnsiTheme="majorHAnsi"/>
          <w:sz w:val="20"/>
          <w:szCs w:val="20"/>
        </w:rPr>
        <w:t>Ninth</w:t>
      </w:r>
      <w:r w:rsidR="0064745D" w:rsidRPr="000452BC">
        <w:rPr>
          <w:rFonts w:asciiTheme="majorHAnsi" w:hAnsiTheme="majorHAnsi"/>
          <w:sz w:val="20"/>
          <w:szCs w:val="20"/>
        </w:rPr>
        <w:t>, the Commission notes the continuation of the alleged victims contracts with the National Border Council for periods of eight years in the case of Rocío San Miguel, seven years in the case of Magally Chang Girón, and four years in the case of Thais Coromoto Peña, without them being resolved before the period agreed in each of them, except for the last contract that was terminated a few months after the alleged victims signed the petition for a recall referendum.</w:t>
      </w:r>
    </w:p>
    <w:p w14:paraId="066AB06C" w14:textId="77777777" w:rsidR="000452BC" w:rsidRDefault="000452BC" w:rsidP="000452BC">
      <w:pPr>
        <w:pStyle w:val="ListParagraph"/>
        <w:rPr>
          <w:rFonts w:asciiTheme="majorHAnsi" w:hAnsiTheme="majorHAnsi"/>
          <w:sz w:val="20"/>
          <w:szCs w:val="20"/>
        </w:rPr>
      </w:pPr>
    </w:p>
    <w:p w14:paraId="3EB724EC" w14:textId="17C1F1EC" w:rsidR="00E361C5" w:rsidRDefault="00E361C5" w:rsidP="000452B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0452BC">
        <w:rPr>
          <w:rFonts w:asciiTheme="majorHAnsi" w:hAnsiTheme="majorHAnsi"/>
          <w:sz w:val="20"/>
          <w:szCs w:val="20"/>
        </w:rPr>
        <w:t>Finally, the Commission was provided by the petitioners of the transcript of telephone conversations of Rocío San Miguel with the Executive Secretary of the National Border Council and the Legal Adviser of the Vice President, who suggest that her participation in the referendum was the cause for terminating her contract. The State has failed to demonstrate the lack of authenticity of the transcript of these conversations.</w:t>
      </w:r>
    </w:p>
    <w:p w14:paraId="5B7926B4" w14:textId="77777777" w:rsidR="000452BC" w:rsidRDefault="000452BC" w:rsidP="000452BC">
      <w:pPr>
        <w:pStyle w:val="ListParagraph"/>
        <w:rPr>
          <w:rFonts w:asciiTheme="majorHAnsi" w:hAnsiTheme="majorHAnsi"/>
          <w:sz w:val="20"/>
          <w:szCs w:val="20"/>
        </w:rPr>
      </w:pPr>
    </w:p>
    <w:p w14:paraId="45FECFDD" w14:textId="6FF019FA" w:rsidR="000452BC" w:rsidRPr="000452BC" w:rsidRDefault="000452BC" w:rsidP="000452BC">
      <w:pPr>
        <w:numPr>
          <w:ilvl w:val="0"/>
          <w:numId w:val="58"/>
        </w:numPr>
        <w:pBdr>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Pr>
          <w:rFonts w:asciiTheme="majorHAnsi" w:hAnsiTheme="majorHAnsi"/>
          <w:sz w:val="20"/>
          <w:szCs w:val="20"/>
        </w:rPr>
        <w:t xml:space="preserve">The Commission recalls that </w:t>
      </w:r>
      <w:r w:rsidR="00924E1F">
        <w:rPr>
          <w:rFonts w:asciiTheme="majorHAnsi" w:hAnsiTheme="majorHAnsi"/>
          <w:sz w:val="20"/>
          <w:szCs w:val="20"/>
        </w:rPr>
        <w:t>there are formally valid decisions which can be used not as legitimate means of administering justice, but as mechanisms for achieving undeclared ends that were not evident at first sight</w:t>
      </w:r>
      <w:r w:rsidR="003B7ACF">
        <w:rPr>
          <w:rFonts w:asciiTheme="majorHAnsi" w:hAnsiTheme="majorHAnsi"/>
          <w:sz w:val="20"/>
          <w:szCs w:val="20"/>
        </w:rPr>
        <w:t xml:space="preserve"> and seek to impose an implicit </w:t>
      </w:r>
      <w:r w:rsidR="00A44B9C">
        <w:rPr>
          <w:rFonts w:asciiTheme="majorHAnsi" w:hAnsiTheme="majorHAnsi"/>
          <w:sz w:val="20"/>
          <w:szCs w:val="20"/>
        </w:rPr>
        <w:t>sanction with</w:t>
      </w:r>
      <w:r w:rsidR="003B7ACF">
        <w:rPr>
          <w:rFonts w:asciiTheme="majorHAnsi" w:hAnsiTheme="majorHAnsi"/>
          <w:sz w:val="20"/>
          <w:szCs w:val="20"/>
        </w:rPr>
        <w:t xml:space="preserve"> a </w:t>
      </w:r>
      <w:r w:rsidR="00DA307A">
        <w:rPr>
          <w:rFonts w:asciiTheme="majorHAnsi" w:hAnsiTheme="majorHAnsi"/>
          <w:sz w:val="20"/>
          <w:szCs w:val="20"/>
        </w:rPr>
        <w:t>purpose other than those for which they have been prescribed by law</w:t>
      </w:r>
      <w:r w:rsidR="00DA307A" w:rsidRPr="00924E1F">
        <w:rPr>
          <w:rStyle w:val="FootnoteReference"/>
          <w:rFonts w:asciiTheme="majorHAnsi" w:hAnsiTheme="majorHAnsi"/>
          <w:sz w:val="20"/>
          <w:szCs w:val="20"/>
        </w:rPr>
        <w:footnoteReference w:id="160"/>
      </w:r>
      <w:r w:rsidR="00DA307A">
        <w:rPr>
          <w:rFonts w:asciiTheme="majorHAnsi" w:hAnsiTheme="majorHAnsi"/>
          <w:sz w:val="20"/>
          <w:szCs w:val="20"/>
        </w:rPr>
        <w:t>.</w:t>
      </w:r>
      <w:r w:rsidR="003B7ACF">
        <w:rPr>
          <w:rFonts w:asciiTheme="majorHAnsi" w:hAnsiTheme="majorHAnsi"/>
          <w:sz w:val="20"/>
          <w:szCs w:val="20"/>
        </w:rPr>
        <w:t xml:space="preserve"> </w:t>
      </w:r>
    </w:p>
    <w:p w14:paraId="339B9A1F" w14:textId="77777777" w:rsidR="00924E1F" w:rsidRDefault="00924E1F" w:rsidP="00924E1F">
      <w:pPr>
        <w:jc w:val="both"/>
        <w:rPr>
          <w:rFonts w:asciiTheme="majorHAnsi" w:hAnsiTheme="majorHAnsi"/>
          <w:sz w:val="20"/>
          <w:szCs w:val="20"/>
        </w:rPr>
      </w:pPr>
    </w:p>
    <w:p w14:paraId="273058E0" w14:textId="77777777" w:rsidR="000452BC" w:rsidRPr="00326F31" w:rsidRDefault="000452BC" w:rsidP="000452BC">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326F31">
        <w:rPr>
          <w:rFonts w:asciiTheme="majorHAnsi" w:hAnsiTheme="majorHAnsi"/>
          <w:sz w:val="20"/>
          <w:szCs w:val="20"/>
        </w:rPr>
        <w:t>For its part, the Court has also referred to the importance of the concept of misuse of power in cases such as this:</w:t>
      </w:r>
    </w:p>
    <w:p w14:paraId="04CE4C97" w14:textId="77777777" w:rsidR="000452BC" w:rsidRPr="00326F31" w:rsidRDefault="000452BC" w:rsidP="000452BC">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cs="Times"/>
          <w:sz w:val="20"/>
          <w:szCs w:val="20"/>
        </w:rPr>
      </w:pPr>
    </w:p>
    <w:p w14:paraId="795CEDB5" w14:textId="77777777" w:rsidR="000452BC" w:rsidRPr="00326F31" w:rsidRDefault="000452BC" w:rsidP="000452BC">
      <w:pPr>
        <w:pBdr>
          <w:left w:val="none" w:sz="0" w:space="0" w:color="auto"/>
          <w:bottom w:val="none" w:sz="0" w:space="0" w:color="auto"/>
          <w:right w:val="none" w:sz="0" w:space="0" w:color="auto"/>
          <w:between w:val="none" w:sz="0" w:space="0" w:color="auto"/>
          <w:bar w:val="none" w:sz="0" w:color="auto"/>
        </w:pBdr>
        <w:ind w:left="720" w:right="810"/>
        <w:jc w:val="both"/>
        <w:rPr>
          <w:rFonts w:asciiTheme="majorHAnsi" w:eastAsia="Calibri" w:hAnsiTheme="majorHAnsi" w:cs="Arial"/>
          <w:sz w:val="20"/>
          <w:szCs w:val="20"/>
          <w:lang w:eastAsia="de-DE"/>
        </w:rPr>
      </w:pPr>
      <w:r w:rsidRPr="00326F31">
        <w:rPr>
          <w:rFonts w:asciiTheme="majorHAnsi" w:eastAsia="Calibri" w:hAnsiTheme="majorHAnsi" w:cs="Arial"/>
          <w:sz w:val="20"/>
          <w:szCs w:val="20"/>
          <w:lang w:eastAsia="de-DE"/>
        </w:rPr>
        <w:lastRenderedPageBreak/>
        <w:t>(…) The Court considers necessary to note that the reason or purpose of a particular act of State authorities is relevant to the legal analysis of a case</w:t>
      </w:r>
      <w:r w:rsidRPr="00326F31">
        <w:rPr>
          <w:rStyle w:val="FootnoteReference"/>
          <w:rFonts w:asciiTheme="majorHAnsi" w:hAnsiTheme="majorHAnsi"/>
          <w:sz w:val="20"/>
          <w:szCs w:val="20"/>
        </w:rPr>
        <w:footnoteReference w:id="161"/>
      </w:r>
      <w:r w:rsidRPr="00326F31">
        <w:rPr>
          <w:rFonts w:asciiTheme="majorHAnsi" w:eastAsia="Calibri" w:hAnsiTheme="majorHAnsi" w:cs="Arial"/>
          <w:sz w:val="20"/>
          <w:szCs w:val="20"/>
          <w:lang w:eastAsia="de-DE"/>
        </w:rPr>
        <w:t>, because a motivation or a different purpose of the rule that grants the powers State authority to act, can show whether the action may be considered arbitrary</w:t>
      </w:r>
      <w:r w:rsidRPr="00326F31">
        <w:rPr>
          <w:rStyle w:val="FootnoteReference"/>
          <w:rFonts w:asciiTheme="majorHAnsi" w:eastAsia="ヒラギノ角ゴ Pro W3" w:hAnsiTheme="majorHAnsi"/>
          <w:sz w:val="20"/>
          <w:szCs w:val="20"/>
        </w:rPr>
        <w:footnoteReference w:id="162"/>
      </w:r>
      <w:r w:rsidRPr="00326F31">
        <w:rPr>
          <w:rFonts w:asciiTheme="majorHAnsi" w:eastAsia="Calibri" w:hAnsiTheme="majorHAnsi" w:cs="Arial"/>
          <w:sz w:val="20"/>
          <w:szCs w:val="20"/>
          <w:lang w:eastAsia="de-DE"/>
        </w:rPr>
        <w:t xml:space="preserve"> or a misuse of powers. In relation to this, the Court takes as its starting point that the actions of State authorities are covered by a presumption of lawful behavior</w:t>
      </w:r>
      <w:r w:rsidRPr="00326F31">
        <w:rPr>
          <w:rStyle w:val="FootnoteReference"/>
          <w:rFonts w:asciiTheme="majorHAnsi" w:hAnsiTheme="majorHAnsi"/>
          <w:color w:val="000000"/>
          <w:sz w:val="20"/>
          <w:szCs w:val="20"/>
        </w:rPr>
        <w:footnoteReference w:id="163"/>
      </w:r>
      <w:r w:rsidRPr="00326F31">
        <w:rPr>
          <w:rFonts w:asciiTheme="majorHAnsi" w:eastAsia="Calibri" w:hAnsiTheme="majorHAnsi" w:cs="Arial"/>
          <w:sz w:val="20"/>
          <w:szCs w:val="20"/>
          <w:lang w:eastAsia="de-DE"/>
        </w:rPr>
        <w:t xml:space="preserve">. And therefore unlawful conduct by state authorities must appear </w:t>
      </w:r>
      <w:proofErr w:type="gramStart"/>
      <w:r w:rsidRPr="00326F31">
        <w:rPr>
          <w:rFonts w:asciiTheme="majorHAnsi" w:eastAsia="Calibri" w:hAnsiTheme="majorHAnsi" w:cs="Arial"/>
          <w:sz w:val="20"/>
          <w:szCs w:val="20"/>
          <w:lang w:eastAsia="de-DE"/>
        </w:rPr>
        <w:t>proven</w:t>
      </w:r>
      <w:proofErr w:type="gramEnd"/>
      <w:r w:rsidRPr="00326F31">
        <w:rPr>
          <w:rFonts w:asciiTheme="majorHAnsi" w:eastAsia="Calibri" w:hAnsiTheme="majorHAnsi" w:cs="Arial"/>
          <w:sz w:val="20"/>
          <w:szCs w:val="20"/>
          <w:lang w:eastAsia="de-DE"/>
        </w:rPr>
        <w:t xml:space="preserve"> to rebut the presumption of good faith</w:t>
      </w:r>
      <w:r w:rsidRPr="00326F31">
        <w:rPr>
          <w:rStyle w:val="FootnoteReference"/>
          <w:rFonts w:asciiTheme="majorHAnsi" w:eastAsia="Calibri" w:hAnsiTheme="majorHAnsi" w:cs="Arial"/>
          <w:sz w:val="20"/>
          <w:szCs w:val="20"/>
          <w:lang w:eastAsia="de-DE"/>
        </w:rPr>
        <w:footnoteReference w:id="164"/>
      </w:r>
      <w:r w:rsidRPr="00326F31">
        <w:rPr>
          <w:rFonts w:asciiTheme="majorHAnsi" w:eastAsia="Calibri" w:hAnsiTheme="majorHAnsi" w:cs="Arial"/>
          <w:sz w:val="20"/>
          <w:szCs w:val="20"/>
          <w:lang w:eastAsia="de-DE"/>
        </w:rPr>
        <w:t>.</w:t>
      </w:r>
    </w:p>
    <w:p w14:paraId="7B88C120" w14:textId="77777777" w:rsidR="000452BC" w:rsidRPr="00924E1F" w:rsidRDefault="000452BC" w:rsidP="00924E1F">
      <w:pPr>
        <w:jc w:val="both"/>
        <w:rPr>
          <w:rFonts w:asciiTheme="majorHAnsi" w:hAnsiTheme="majorHAnsi"/>
          <w:sz w:val="20"/>
          <w:szCs w:val="20"/>
        </w:rPr>
      </w:pPr>
    </w:p>
    <w:p w14:paraId="152597F0" w14:textId="77777777" w:rsidR="00924E1F" w:rsidRDefault="00E361C5" w:rsidP="00924E1F">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326F31">
        <w:rPr>
          <w:rFonts w:asciiTheme="majorHAnsi" w:hAnsiTheme="majorHAnsi"/>
          <w:sz w:val="20"/>
          <w:szCs w:val="20"/>
        </w:rPr>
        <w:t>The Commission considers that all these elements are consistent with each other and allow to reach the conviction that the termination of contracts of Rocío San Miguel Sosa, Magally Chang Girón, and Thais Coromoto Peña, constituted an act of misuse of power in which the existence of a discretional power was used in the contracts as a veil of legality for the true motivation to punish the victims for their expression of political opinion by signing the petition for the recall referendum. This implicit sanction constituted a violation of political rights and an indirect restriction on freedom of expression.</w:t>
      </w:r>
    </w:p>
    <w:p w14:paraId="3A730C65" w14:textId="77777777" w:rsidR="00924E1F" w:rsidRDefault="00924E1F" w:rsidP="00924E1F">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5F2E7D4C" w14:textId="4AAE4673" w:rsidR="00E361C5" w:rsidRPr="00924E1F" w:rsidRDefault="00E361C5" w:rsidP="00924E1F">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924E1F">
        <w:rPr>
          <w:rFonts w:asciiTheme="majorHAnsi" w:hAnsiTheme="majorHAnsi"/>
          <w:sz w:val="20"/>
          <w:szCs w:val="20"/>
        </w:rPr>
        <w:t xml:space="preserve">Consequently, the Commission concludes that the State of Venezuela violated the rights established in Articles 23.1 and 13.3 of the American Convention, in conjunction with Article 1.1 thereof, to the detriment of Rocío San Miguel Sosa, Magally Chang Girón, and Thais Coromoto Peña. Also, by finding that these violations took place in the context of </w:t>
      </w:r>
      <w:r w:rsidR="00DA307A">
        <w:rPr>
          <w:rFonts w:asciiTheme="majorHAnsi" w:hAnsiTheme="majorHAnsi"/>
          <w:sz w:val="20"/>
          <w:szCs w:val="20"/>
        </w:rPr>
        <w:t xml:space="preserve">a </w:t>
      </w:r>
      <w:r w:rsidRPr="00924E1F">
        <w:rPr>
          <w:rFonts w:asciiTheme="majorHAnsi" w:hAnsiTheme="majorHAnsi"/>
          <w:sz w:val="20"/>
          <w:szCs w:val="20"/>
        </w:rPr>
        <w:t>widespread practice of retaliation for the expression of political opinion</w:t>
      </w:r>
      <w:r w:rsidR="00DA307A">
        <w:rPr>
          <w:rFonts w:asciiTheme="majorHAnsi" w:hAnsiTheme="majorHAnsi"/>
          <w:sz w:val="20"/>
          <w:szCs w:val="20"/>
        </w:rPr>
        <w:t>s</w:t>
      </w:r>
      <w:r w:rsidRPr="00924E1F">
        <w:rPr>
          <w:rFonts w:asciiTheme="majorHAnsi" w:hAnsiTheme="majorHAnsi"/>
          <w:sz w:val="20"/>
          <w:szCs w:val="20"/>
        </w:rPr>
        <w:t xml:space="preserve"> under the recall referendum, the Commission considers that the State also violated its obligations under Article 2 of the American Convention.</w:t>
      </w:r>
    </w:p>
    <w:p w14:paraId="343028AE" w14:textId="77777777" w:rsidR="00471484" w:rsidRPr="00326F31" w:rsidRDefault="00471484" w:rsidP="00326F31">
      <w:pPr>
        <w:jc w:val="both"/>
        <w:rPr>
          <w:rFonts w:asciiTheme="majorHAnsi" w:eastAsia="Times New Roman" w:hAnsiTheme="majorHAnsi"/>
          <w:b/>
          <w:sz w:val="20"/>
          <w:szCs w:val="20"/>
        </w:rPr>
      </w:pPr>
    </w:p>
    <w:p w14:paraId="5B601F1A" w14:textId="2E01B6F2" w:rsidR="0000014F" w:rsidRPr="00326F31" w:rsidRDefault="0000014F" w:rsidP="00326F31">
      <w:pPr>
        <w:pStyle w:val="ListParagraph"/>
        <w:numPr>
          <w:ilvl w:val="1"/>
          <w:numId w:val="55"/>
        </w:numPr>
        <w:pBdr>
          <w:left w:val="none" w:sz="0" w:space="0" w:color="auto"/>
          <w:bottom w:val="none" w:sz="0" w:space="0" w:color="auto"/>
          <w:right w:val="none" w:sz="0" w:space="0" w:color="auto"/>
          <w:between w:val="none" w:sz="0" w:space="0" w:color="auto"/>
          <w:bar w:val="none" w:sz="0" w:color="auto"/>
        </w:pBdr>
        <w:tabs>
          <w:tab w:val="clear" w:pos="1800"/>
          <w:tab w:val="num" w:pos="1440"/>
        </w:tabs>
        <w:ind w:left="1440" w:hanging="720"/>
        <w:jc w:val="both"/>
        <w:rPr>
          <w:rFonts w:asciiTheme="majorHAnsi" w:eastAsia="Times New Roman" w:hAnsiTheme="majorHAnsi"/>
          <w:b/>
          <w:sz w:val="20"/>
          <w:szCs w:val="20"/>
        </w:rPr>
      </w:pPr>
      <w:r w:rsidRPr="00326F31">
        <w:rPr>
          <w:rFonts w:asciiTheme="majorHAnsi" w:eastAsia="Times New Roman" w:hAnsiTheme="majorHAnsi"/>
          <w:b/>
          <w:sz w:val="20"/>
          <w:szCs w:val="20"/>
        </w:rPr>
        <w:t>Analysis of whether the dismissal constituted an act of discrimination based on political opinion</w:t>
      </w:r>
    </w:p>
    <w:p w14:paraId="2A0B17B6" w14:textId="77777777" w:rsidR="00B20723" w:rsidRPr="00326F31" w:rsidRDefault="00B20723"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6F48A875" w14:textId="77777777" w:rsidR="005D50AA" w:rsidRDefault="0017788C" w:rsidP="005D50AA">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326F31">
        <w:rPr>
          <w:rFonts w:asciiTheme="majorHAnsi" w:hAnsiTheme="majorHAnsi"/>
          <w:sz w:val="20"/>
          <w:szCs w:val="20"/>
        </w:rPr>
        <w:t xml:space="preserve">Of particular relevance to the analysis of the alleged discrimination, the Commission stresses that in accordance with the indications listed in the previous section is that of the total of 23 employees at the National Border Council to date the only those who signed the presidential recall referendum request were notified of their contract termination, as is the case of the three alleged victims. According to her statement, in </w:t>
      </w:r>
      <w:r w:rsidRPr="00326F31">
        <w:rPr>
          <w:rFonts w:asciiTheme="majorHAnsi" w:hAnsiTheme="majorHAnsi"/>
          <w:sz w:val="20"/>
          <w:szCs w:val="20"/>
        </w:rPr>
        <w:lastRenderedPageBreak/>
        <w:t>the case of Thais Coromoto Peña, the Executive Secretary of the National Border Council told her that she could keep her job if she withdrew her signature petitioning for the presidential recall referendum. Also, as noted, the State has failed to controvert the fact that Mr. Jorge Guerra Navarro, was able to keep his job after he disavowed his signature. With these elements, the Commission considers that the National Border Council granted differential treatment to those public employees who participated in the petition for the presidential recall referendum.</w:t>
      </w:r>
    </w:p>
    <w:p w14:paraId="56334793" w14:textId="77777777" w:rsidR="005D50AA" w:rsidRDefault="005D50AA" w:rsidP="005D50AA">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73296B67" w14:textId="77777777" w:rsidR="005D50AA" w:rsidRDefault="0017788C" w:rsidP="005D50AA">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5D50AA">
        <w:rPr>
          <w:rFonts w:asciiTheme="majorHAnsi" w:hAnsiTheme="majorHAnsi"/>
          <w:sz w:val="20"/>
          <w:szCs w:val="20"/>
        </w:rPr>
        <w:t xml:space="preserve">The </w:t>
      </w:r>
      <w:r w:rsidR="005D50AA">
        <w:rPr>
          <w:rFonts w:asciiTheme="majorHAnsi" w:hAnsiTheme="majorHAnsi"/>
          <w:sz w:val="20"/>
          <w:szCs w:val="20"/>
        </w:rPr>
        <w:t xml:space="preserve">Inter-American </w:t>
      </w:r>
      <w:r w:rsidRPr="005D50AA">
        <w:rPr>
          <w:rFonts w:asciiTheme="majorHAnsi" w:hAnsiTheme="majorHAnsi"/>
          <w:sz w:val="20"/>
          <w:szCs w:val="20"/>
        </w:rPr>
        <w:t>Court has, however, noted that "not all differences in treatment may be considered offensive by itself," but only that distinction that "has no objective and reasonable justification"</w:t>
      </w:r>
      <w:r w:rsidRPr="00326F31">
        <w:rPr>
          <w:rFonts w:asciiTheme="majorHAnsi" w:hAnsiTheme="majorHAnsi"/>
          <w:color w:val="000000"/>
          <w:sz w:val="20"/>
          <w:szCs w:val="20"/>
          <w:vertAlign w:val="superscript"/>
          <w:lang w:val="es-VE"/>
        </w:rPr>
        <w:footnoteReference w:id="165"/>
      </w:r>
      <w:r w:rsidRPr="005D50AA">
        <w:rPr>
          <w:rFonts w:asciiTheme="majorHAnsi" w:hAnsiTheme="majorHAnsi"/>
          <w:sz w:val="20"/>
          <w:szCs w:val="20"/>
        </w:rPr>
        <w:t>. The Court made the difference between "distinction" and "discrimination" so that the first are compatible with the American Convention as they are reasonable and objective, while the latter are arbitrary differences that lead to the detriment of human rights</w:t>
      </w:r>
      <w:r w:rsidRPr="00326F31">
        <w:rPr>
          <w:rFonts w:asciiTheme="majorHAnsi" w:hAnsiTheme="majorHAnsi"/>
          <w:color w:val="000000"/>
          <w:sz w:val="20"/>
          <w:szCs w:val="20"/>
          <w:vertAlign w:val="superscript"/>
          <w:lang w:val="es-VE"/>
        </w:rPr>
        <w:footnoteReference w:id="166"/>
      </w:r>
      <w:r w:rsidRPr="005D50AA">
        <w:rPr>
          <w:rFonts w:asciiTheme="majorHAnsi" w:hAnsiTheme="majorHAnsi"/>
          <w:color w:val="000000"/>
          <w:sz w:val="20"/>
          <w:szCs w:val="20"/>
        </w:rPr>
        <w:t>.</w:t>
      </w:r>
    </w:p>
    <w:p w14:paraId="7DC54621" w14:textId="77777777" w:rsidR="005D50AA" w:rsidRDefault="005D50AA" w:rsidP="005D50AA">
      <w:pPr>
        <w:pStyle w:val="ListParagraph"/>
        <w:rPr>
          <w:rFonts w:asciiTheme="majorHAnsi" w:hAnsiTheme="majorHAnsi"/>
          <w:sz w:val="20"/>
          <w:szCs w:val="20"/>
        </w:rPr>
      </w:pPr>
    </w:p>
    <w:p w14:paraId="5B25BDEC" w14:textId="77777777" w:rsidR="005D50AA" w:rsidRDefault="005D50AA" w:rsidP="005D50AA">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Pr>
          <w:rFonts w:asciiTheme="majorHAnsi" w:hAnsiTheme="majorHAnsi"/>
          <w:color w:val="000000"/>
          <w:sz w:val="20"/>
          <w:szCs w:val="20"/>
        </w:rPr>
        <w:t>A</w:t>
      </w:r>
      <w:r w:rsidR="004331B4" w:rsidRPr="005D50AA">
        <w:rPr>
          <w:rFonts w:asciiTheme="majorHAnsi" w:hAnsiTheme="majorHAnsi"/>
          <w:color w:val="000000"/>
          <w:sz w:val="20"/>
          <w:szCs w:val="20"/>
        </w:rPr>
        <w:t>rticle 1.1 of the Convention specifically stipulates that the rights enshrined in the treaty should be respected and guaranteed "without discrimination on grounds of [...] political opinion". As for the reason for the different treatment received by the three victims, the Commission already stated in the previous section that the dismissal was based on the expression of their political opinions, so it is not necessary to further explore this point.</w:t>
      </w:r>
    </w:p>
    <w:p w14:paraId="134BE0F7" w14:textId="77777777" w:rsidR="005D50AA" w:rsidRDefault="005D50AA" w:rsidP="005D50AA">
      <w:pPr>
        <w:pStyle w:val="ListParagraph"/>
        <w:rPr>
          <w:rFonts w:asciiTheme="majorHAnsi" w:hAnsiTheme="majorHAnsi"/>
          <w:sz w:val="20"/>
          <w:szCs w:val="20"/>
        </w:rPr>
      </w:pPr>
    </w:p>
    <w:p w14:paraId="044F81E4" w14:textId="77777777" w:rsidR="005D50AA" w:rsidRDefault="004331B4" w:rsidP="005D50AA">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5D50AA">
        <w:rPr>
          <w:rFonts w:asciiTheme="majorHAnsi" w:hAnsiTheme="majorHAnsi"/>
          <w:sz w:val="20"/>
          <w:szCs w:val="20"/>
          <w:lang w:eastAsia="es-ES"/>
        </w:rPr>
        <w:t>However, the Commission notes that the specific criteria under which discrimination is prohibited under Article 1.1, although not an exhaustive list</w:t>
      </w:r>
      <w:r w:rsidRPr="00326F31">
        <w:rPr>
          <w:rStyle w:val="FootnoteReference"/>
          <w:rFonts w:asciiTheme="majorHAnsi" w:hAnsiTheme="majorHAnsi"/>
          <w:sz w:val="20"/>
          <w:szCs w:val="20"/>
          <w:lang w:val="es-CO" w:eastAsia="es-ES"/>
        </w:rPr>
        <w:footnoteReference w:id="167"/>
      </w:r>
      <w:r w:rsidRPr="005D50AA">
        <w:rPr>
          <w:rFonts w:asciiTheme="majorHAnsi" w:hAnsiTheme="majorHAnsi"/>
          <w:sz w:val="20"/>
          <w:szCs w:val="20"/>
          <w:lang w:eastAsia="es-ES"/>
        </w:rPr>
        <w:t>, it constitutes an illustrative list of categories for which the differences in treatment are particularly problematic</w:t>
      </w:r>
      <w:r w:rsidRPr="00326F31">
        <w:rPr>
          <w:rStyle w:val="FootnoteReference"/>
          <w:rFonts w:asciiTheme="majorHAnsi" w:hAnsiTheme="majorHAnsi"/>
          <w:sz w:val="20"/>
          <w:szCs w:val="20"/>
          <w:lang w:val="es-CO" w:eastAsia="es-ES"/>
        </w:rPr>
        <w:footnoteReference w:id="168"/>
      </w:r>
      <w:r w:rsidRPr="005D50AA">
        <w:rPr>
          <w:rFonts w:asciiTheme="majorHAnsi" w:hAnsiTheme="majorHAnsi"/>
          <w:sz w:val="20"/>
          <w:szCs w:val="20"/>
          <w:lang w:eastAsia="es-ES"/>
        </w:rPr>
        <w:t>. In the case Granier et al (</w:t>
      </w:r>
      <w:r w:rsidRPr="005D50AA">
        <w:rPr>
          <w:rFonts w:asciiTheme="majorHAnsi" w:hAnsiTheme="majorHAnsi"/>
          <w:i/>
          <w:sz w:val="20"/>
          <w:szCs w:val="20"/>
          <w:lang w:eastAsia="es-ES"/>
        </w:rPr>
        <w:t>Radio Caracas Televisión</w:t>
      </w:r>
      <w:r w:rsidRPr="005D50AA">
        <w:rPr>
          <w:rFonts w:asciiTheme="majorHAnsi" w:hAnsiTheme="majorHAnsi"/>
          <w:sz w:val="20"/>
          <w:szCs w:val="20"/>
          <w:lang w:eastAsia="es-ES"/>
        </w:rPr>
        <w:t>) v. Venezuela, the Court found that "political opinion" is one of those categories that trigger strict scrutiny against any difference in treatment based on it</w:t>
      </w:r>
      <w:r w:rsidRPr="00326F31">
        <w:rPr>
          <w:rStyle w:val="FootnoteReference"/>
          <w:rFonts w:asciiTheme="majorHAnsi" w:hAnsiTheme="majorHAnsi"/>
          <w:sz w:val="20"/>
          <w:szCs w:val="20"/>
          <w:lang w:val="es-CO" w:eastAsia="es-ES"/>
        </w:rPr>
        <w:footnoteReference w:id="169"/>
      </w:r>
      <w:r w:rsidRPr="005D50AA">
        <w:rPr>
          <w:rFonts w:asciiTheme="majorHAnsi" w:hAnsiTheme="majorHAnsi"/>
          <w:sz w:val="20"/>
          <w:szCs w:val="20"/>
          <w:lang w:eastAsia="es-ES"/>
        </w:rPr>
        <w:t xml:space="preserve">. </w:t>
      </w:r>
    </w:p>
    <w:p w14:paraId="440FCD42" w14:textId="77777777" w:rsidR="005D50AA" w:rsidRDefault="005D50AA" w:rsidP="005D50AA">
      <w:pPr>
        <w:pStyle w:val="ListParagraph"/>
        <w:rPr>
          <w:rFonts w:asciiTheme="majorHAnsi" w:hAnsiTheme="majorHAnsi"/>
          <w:sz w:val="20"/>
          <w:szCs w:val="20"/>
        </w:rPr>
      </w:pPr>
    </w:p>
    <w:p w14:paraId="253928C6" w14:textId="77777777" w:rsidR="005D50AA" w:rsidRDefault="00C75A7C" w:rsidP="005D50AA">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5D50AA">
        <w:rPr>
          <w:rFonts w:asciiTheme="majorHAnsi" w:hAnsiTheme="majorHAnsi"/>
          <w:sz w:val="20"/>
          <w:szCs w:val="20"/>
        </w:rPr>
        <w:t>In practical terms this means that, having established a difference in treatment based on political opinion, the same is presumed incompatible with the American Convention, reversing the burden of proof for the State, which must give reasons of much weight to support a distinction of this nature in the light of the judgment of proportionality and its sub-principles of legitimate aim – that in the case of a strict judgment must be a pressing social need - suitability, necessity and proportionality in strict sense</w:t>
      </w:r>
      <w:r w:rsidRPr="00326F31">
        <w:rPr>
          <w:rStyle w:val="FootnoteReference"/>
          <w:rFonts w:asciiTheme="majorHAnsi" w:hAnsiTheme="majorHAnsi"/>
          <w:sz w:val="20"/>
          <w:szCs w:val="20"/>
          <w:lang w:val="es-ES"/>
        </w:rPr>
        <w:footnoteReference w:id="170"/>
      </w:r>
      <w:r w:rsidRPr="005D50AA">
        <w:rPr>
          <w:rFonts w:asciiTheme="majorHAnsi" w:hAnsiTheme="majorHAnsi"/>
          <w:sz w:val="20"/>
          <w:szCs w:val="20"/>
        </w:rPr>
        <w:t>.</w:t>
      </w:r>
    </w:p>
    <w:p w14:paraId="095F22CF" w14:textId="77777777" w:rsidR="005D50AA" w:rsidRDefault="005D50AA" w:rsidP="005D50AA">
      <w:pPr>
        <w:pStyle w:val="ListParagraph"/>
        <w:rPr>
          <w:rFonts w:asciiTheme="majorHAnsi" w:hAnsiTheme="majorHAnsi"/>
          <w:sz w:val="20"/>
          <w:szCs w:val="20"/>
        </w:rPr>
      </w:pPr>
    </w:p>
    <w:p w14:paraId="4E32F421" w14:textId="77777777" w:rsidR="005D50AA" w:rsidRDefault="00851220" w:rsidP="005D50AA">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5D50AA">
        <w:rPr>
          <w:rFonts w:asciiTheme="majorHAnsi" w:hAnsiTheme="majorHAnsi"/>
          <w:sz w:val="20"/>
          <w:szCs w:val="20"/>
        </w:rPr>
        <w:t>In the present case the Commission notes that the State has denied that the dismissal had taken place as a result of the political views of the victims expressed by signing the petition for the recall referendum. Consequently, the State has not attempted to justify the difference in treatment based on political opinions, because their argument has been based on objecting that this was the real reason for the dismissal, which has already been undermined by the Commission throughout this report.</w:t>
      </w:r>
    </w:p>
    <w:p w14:paraId="254125CF" w14:textId="77777777" w:rsidR="005D50AA" w:rsidRDefault="005D50AA" w:rsidP="005D50AA">
      <w:pPr>
        <w:pStyle w:val="ListParagraph"/>
        <w:rPr>
          <w:rFonts w:asciiTheme="majorHAnsi" w:hAnsiTheme="majorHAnsi"/>
          <w:sz w:val="20"/>
          <w:szCs w:val="20"/>
        </w:rPr>
      </w:pPr>
    </w:p>
    <w:p w14:paraId="21C6C065" w14:textId="13CC7214" w:rsidR="00851220" w:rsidRPr="005D50AA" w:rsidRDefault="00851220" w:rsidP="005D50AA">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5D50AA">
        <w:rPr>
          <w:rFonts w:asciiTheme="majorHAnsi" w:hAnsiTheme="majorHAnsi"/>
          <w:color w:val="000000"/>
          <w:sz w:val="20"/>
          <w:szCs w:val="20"/>
        </w:rPr>
        <w:t xml:space="preserve">In these circumstances and considering the presumption of unconventionality of any difference in treatment based on political opinion and subsequent burden of proof breached by the State in the </w:t>
      </w:r>
      <w:r w:rsidRPr="005D50AA">
        <w:rPr>
          <w:rFonts w:asciiTheme="majorHAnsi" w:hAnsiTheme="majorHAnsi"/>
          <w:color w:val="000000"/>
          <w:sz w:val="20"/>
          <w:szCs w:val="20"/>
        </w:rPr>
        <w:lastRenderedPageBreak/>
        <w:t xml:space="preserve">present case, the Commission concludes that the State violated the principle of equality and nondiscrimination established in Articles 24 and 1.1 of the American Convention to the detriment of </w:t>
      </w:r>
      <w:r w:rsidRPr="005D50AA">
        <w:rPr>
          <w:rFonts w:asciiTheme="majorHAnsi" w:hAnsiTheme="majorHAnsi"/>
          <w:sz w:val="20"/>
          <w:szCs w:val="20"/>
        </w:rPr>
        <w:t xml:space="preserve">Rocío San Miguel Sosa, Magally Chang Girón, and Thais Coromoto Peña. </w:t>
      </w:r>
    </w:p>
    <w:p w14:paraId="7216C507" w14:textId="13543D77" w:rsidR="00532A86" w:rsidRPr="00326F31" w:rsidRDefault="00532A86"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6E918444" w14:textId="62C800BB" w:rsidR="0096395A" w:rsidRPr="00326F31" w:rsidRDefault="00D4736B" w:rsidP="00326F31">
      <w:pPr>
        <w:pStyle w:val="Heading2"/>
        <w:numPr>
          <w:ilvl w:val="0"/>
          <w:numId w:val="62"/>
        </w:numPr>
        <w:rPr>
          <w:lang w:val="en-US"/>
        </w:rPr>
      </w:pPr>
      <w:bookmarkStart w:id="20" w:name="_Toc433311136"/>
      <w:r w:rsidRPr="00326F31">
        <w:rPr>
          <w:lang w:val="en-US"/>
        </w:rPr>
        <w:t>The rights to a fair trial and judicial protection (Articles 8.1, 25.1 of the American Convention), in relation to the obligation to respect rights (Article 1.1 of the American Convention)</w:t>
      </w:r>
      <w:bookmarkEnd w:id="20"/>
    </w:p>
    <w:p w14:paraId="64CFBE10" w14:textId="77777777" w:rsidR="00E802E4" w:rsidRPr="005D50AA" w:rsidRDefault="00E802E4" w:rsidP="005D50AA">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sz w:val="20"/>
          <w:szCs w:val="20"/>
        </w:rPr>
      </w:pPr>
    </w:p>
    <w:p w14:paraId="3446B95F" w14:textId="363DBC07" w:rsidR="00D6022F" w:rsidRPr="005D50AA" w:rsidRDefault="008456CB" w:rsidP="005D50AA">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color w:val="000000"/>
          <w:sz w:val="20"/>
          <w:szCs w:val="20"/>
        </w:rPr>
      </w:pPr>
      <w:r w:rsidRPr="005D50AA">
        <w:rPr>
          <w:rFonts w:asciiTheme="majorHAnsi" w:hAnsiTheme="majorHAnsi"/>
          <w:color w:val="000000"/>
          <w:sz w:val="20"/>
          <w:szCs w:val="20"/>
        </w:rPr>
        <w:t>The articles of the Convention mentioned in the title of this section read as follows:</w:t>
      </w:r>
    </w:p>
    <w:p w14:paraId="4316D7AF" w14:textId="77777777" w:rsidR="008456CB" w:rsidRPr="00326F31" w:rsidRDefault="008456CB" w:rsidP="00326F31">
      <w:pPr>
        <w:ind w:firstLine="708"/>
        <w:jc w:val="both"/>
        <w:rPr>
          <w:rFonts w:asciiTheme="majorHAnsi" w:hAnsiTheme="majorHAnsi"/>
          <w:sz w:val="20"/>
          <w:szCs w:val="20"/>
        </w:rPr>
      </w:pPr>
    </w:p>
    <w:p w14:paraId="38DAC98B" w14:textId="77777777" w:rsidR="008456CB" w:rsidRPr="00326F31" w:rsidRDefault="008456CB" w:rsidP="00326F31">
      <w:pPr>
        <w:ind w:left="720" w:right="720"/>
        <w:jc w:val="both"/>
        <w:rPr>
          <w:rFonts w:asciiTheme="majorHAnsi" w:eastAsia="Times New Roman" w:hAnsiTheme="majorHAnsi"/>
          <w:sz w:val="20"/>
          <w:szCs w:val="20"/>
          <w:lang w:eastAsia="es-ES"/>
        </w:rPr>
      </w:pPr>
      <w:r w:rsidRPr="00326F31">
        <w:rPr>
          <w:rFonts w:asciiTheme="majorHAnsi" w:eastAsia="Times New Roman" w:hAnsiTheme="majorHAnsi"/>
          <w:sz w:val="20"/>
          <w:szCs w:val="20"/>
          <w:lang w:eastAsia="es-ES"/>
        </w:rPr>
        <w:t>Article 8. Right to a Fair Trial</w:t>
      </w:r>
    </w:p>
    <w:p w14:paraId="434022A2" w14:textId="77777777" w:rsidR="00D6022F" w:rsidRPr="00326F31" w:rsidRDefault="00D6022F" w:rsidP="00326F31">
      <w:pPr>
        <w:ind w:firstLine="708"/>
        <w:jc w:val="both"/>
        <w:rPr>
          <w:rFonts w:asciiTheme="majorHAnsi" w:hAnsiTheme="majorHAnsi"/>
          <w:sz w:val="20"/>
          <w:szCs w:val="20"/>
        </w:rPr>
      </w:pPr>
    </w:p>
    <w:p w14:paraId="79632B30" w14:textId="3E0ABA13" w:rsidR="008456CB" w:rsidRPr="00326F31" w:rsidRDefault="008456CB" w:rsidP="00326F31">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sz w:val="20"/>
          <w:szCs w:val="20"/>
          <w:lang w:eastAsia="es-ES"/>
        </w:rPr>
      </w:pPr>
      <w:r w:rsidRPr="00326F31">
        <w:rPr>
          <w:rFonts w:asciiTheme="majorHAnsi" w:eastAsia="Times New Roman" w:hAnsiTheme="majorHAnsi"/>
          <w:sz w:val="20"/>
          <w:szCs w:val="20"/>
          <w:lang w:eastAsia="es-E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14:paraId="6C7CB7B0" w14:textId="77777777" w:rsidR="008456CB" w:rsidRPr="00326F31" w:rsidRDefault="008456CB" w:rsidP="00326F31">
      <w:pPr>
        <w:ind w:left="720" w:right="720"/>
        <w:jc w:val="both"/>
        <w:rPr>
          <w:rFonts w:asciiTheme="majorHAnsi" w:eastAsia="Times New Roman" w:hAnsiTheme="majorHAnsi"/>
          <w:sz w:val="20"/>
          <w:szCs w:val="20"/>
          <w:lang w:eastAsia="es-ES"/>
        </w:rPr>
      </w:pPr>
    </w:p>
    <w:p w14:paraId="0C658090" w14:textId="7DCF1973" w:rsidR="00D6022F" w:rsidRPr="00326F31" w:rsidRDefault="008456CB" w:rsidP="00326F31">
      <w:pPr>
        <w:ind w:firstLine="708"/>
        <w:jc w:val="both"/>
        <w:rPr>
          <w:rFonts w:asciiTheme="majorHAnsi" w:hAnsiTheme="majorHAnsi"/>
          <w:sz w:val="20"/>
          <w:szCs w:val="20"/>
        </w:rPr>
      </w:pPr>
      <w:r w:rsidRPr="00326F31">
        <w:rPr>
          <w:rFonts w:asciiTheme="majorHAnsi" w:hAnsiTheme="majorHAnsi"/>
          <w:sz w:val="20"/>
          <w:szCs w:val="20"/>
        </w:rPr>
        <w:t>Article 25. Right to Judicial Protection</w:t>
      </w:r>
    </w:p>
    <w:p w14:paraId="0D104B97" w14:textId="77777777" w:rsidR="008456CB" w:rsidRPr="00326F31" w:rsidRDefault="008456CB" w:rsidP="00326F31">
      <w:pPr>
        <w:ind w:firstLine="708"/>
        <w:jc w:val="both"/>
        <w:rPr>
          <w:rFonts w:asciiTheme="majorHAnsi" w:hAnsiTheme="majorHAnsi"/>
          <w:sz w:val="20"/>
          <w:szCs w:val="20"/>
        </w:rPr>
      </w:pPr>
    </w:p>
    <w:p w14:paraId="3C914A10" w14:textId="0CCA5684" w:rsidR="008456CB" w:rsidRPr="00326F31" w:rsidRDefault="008456CB" w:rsidP="00D61FF7">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eastAsia="Times New Roman" w:hAnsiTheme="majorHAnsi"/>
          <w:sz w:val="20"/>
          <w:szCs w:val="20"/>
        </w:rPr>
      </w:pPr>
      <w:r w:rsidRPr="00326F31">
        <w:rPr>
          <w:rFonts w:asciiTheme="majorHAnsi" w:eastAsia="Times New Roman" w:hAnsiTheme="majorHAnsi"/>
          <w:sz w:val="20"/>
          <w:szCs w:val="20"/>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14:paraId="2CD31584" w14:textId="77777777" w:rsidR="008456CB" w:rsidRPr="00326F31" w:rsidRDefault="008456CB" w:rsidP="00326F31">
      <w:pPr>
        <w:ind w:right="720"/>
        <w:jc w:val="both"/>
        <w:rPr>
          <w:rFonts w:asciiTheme="majorHAnsi" w:eastAsia="Times New Roman" w:hAnsiTheme="majorHAnsi"/>
          <w:sz w:val="20"/>
          <w:szCs w:val="20"/>
          <w:lang w:eastAsia="es-ES"/>
        </w:rPr>
      </w:pPr>
    </w:p>
    <w:p w14:paraId="4DDBDB14" w14:textId="230D9A34" w:rsidR="00D6022F" w:rsidRPr="00C9052E" w:rsidRDefault="008456CB" w:rsidP="00326F31">
      <w:pPr>
        <w:ind w:left="720" w:right="720"/>
        <w:jc w:val="both"/>
        <w:rPr>
          <w:rFonts w:asciiTheme="majorHAnsi" w:eastAsia="Times New Roman" w:hAnsiTheme="majorHAnsi"/>
          <w:sz w:val="20"/>
          <w:szCs w:val="20"/>
          <w:lang w:eastAsia="es-ES"/>
        </w:rPr>
      </w:pPr>
      <w:r w:rsidRPr="00C9052E">
        <w:rPr>
          <w:rFonts w:asciiTheme="majorHAnsi" w:eastAsia="Times New Roman" w:hAnsiTheme="majorHAnsi"/>
          <w:sz w:val="20"/>
          <w:szCs w:val="20"/>
          <w:lang w:eastAsia="es-ES"/>
        </w:rPr>
        <w:t>Article 1.1 of the Convention states</w:t>
      </w:r>
    </w:p>
    <w:p w14:paraId="5BE17C34" w14:textId="77777777" w:rsidR="008456CB" w:rsidRPr="00C9052E" w:rsidRDefault="008456CB" w:rsidP="00326F31">
      <w:pPr>
        <w:ind w:left="720" w:right="720"/>
        <w:jc w:val="both"/>
        <w:rPr>
          <w:rFonts w:asciiTheme="majorHAnsi" w:eastAsia="Times New Roman" w:hAnsiTheme="majorHAnsi"/>
          <w:sz w:val="20"/>
          <w:szCs w:val="20"/>
          <w:lang w:eastAsia="es-ES"/>
        </w:rPr>
      </w:pPr>
    </w:p>
    <w:p w14:paraId="25628768" w14:textId="11820AC5" w:rsidR="008456CB" w:rsidRPr="00326F31" w:rsidRDefault="008456CB" w:rsidP="00326F31">
      <w:pPr>
        <w:ind w:left="720" w:right="720"/>
        <w:jc w:val="both"/>
        <w:rPr>
          <w:rFonts w:asciiTheme="majorHAnsi" w:eastAsia="Times New Roman" w:hAnsiTheme="majorHAnsi"/>
          <w:sz w:val="20"/>
          <w:szCs w:val="20"/>
          <w:lang w:eastAsia="es-ES"/>
        </w:rPr>
      </w:pPr>
      <w:r w:rsidRPr="00326F31">
        <w:rPr>
          <w:rFonts w:asciiTheme="majorHAnsi" w:eastAsia="Times New Roman" w:hAnsiTheme="majorHAnsi"/>
          <w:sz w:val="20"/>
          <w:szCs w:val="20"/>
          <w:lang w:eastAsia="es-E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14:paraId="245BE2B2" w14:textId="77777777" w:rsidR="00D6022F" w:rsidRPr="00326F31" w:rsidRDefault="00D6022F" w:rsidP="00326F31">
      <w:pPr>
        <w:jc w:val="both"/>
        <w:rPr>
          <w:rFonts w:asciiTheme="majorHAnsi" w:eastAsia="Times New Roman" w:hAnsiTheme="majorHAnsi"/>
          <w:sz w:val="20"/>
          <w:szCs w:val="20"/>
        </w:rPr>
      </w:pPr>
    </w:p>
    <w:p w14:paraId="24940D49" w14:textId="02AA2F40" w:rsidR="008456CB" w:rsidRPr="005D50AA" w:rsidRDefault="008456CB" w:rsidP="005D50AA">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color w:val="000000"/>
          <w:sz w:val="20"/>
          <w:szCs w:val="20"/>
        </w:rPr>
      </w:pPr>
      <w:r w:rsidRPr="005D50AA">
        <w:rPr>
          <w:rFonts w:asciiTheme="majorHAnsi" w:hAnsiTheme="majorHAnsi"/>
          <w:color w:val="000000"/>
          <w:sz w:val="20"/>
          <w:szCs w:val="20"/>
        </w:rPr>
        <w:t>The Commission will analyze the facts in light of these standards from the following structure: 1. The due process within the context of the dismissal; 2. Analysis of effectiveness and due diligence of the amparo remedy and criminal complaint; 3. Reasonable time analysis of the amparo remedy.</w:t>
      </w:r>
    </w:p>
    <w:p w14:paraId="192F1280" w14:textId="77777777" w:rsidR="008456CB" w:rsidRPr="00326F31" w:rsidRDefault="008456CB" w:rsidP="00326F31">
      <w:pPr>
        <w:pBdr>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p w14:paraId="2BDE7814" w14:textId="16460B9E" w:rsidR="00D6022F" w:rsidRPr="00326F31" w:rsidRDefault="00A61AE2" w:rsidP="00D61FF7">
      <w:pPr>
        <w:pStyle w:val="ListParagraph"/>
        <w:numPr>
          <w:ilvl w:val="0"/>
          <w:numId w:val="65"/>
        </w:numPr>
        <w:ind w:left="1440" w:hanging="720"/>
        <w:jc w:val="both"/>
        <w:rPr>
          <w:rFonts w:asciiTheme="majorHAnsi" w:eastAsia="Times New Roman" w:hAnsiTheme="majorHAnsi"/>
          <w:b/>
          <w:sz w:val="20"/>
          <w:szCs w:val="20"/>
        </w:rPr>
      </w:pPr>
      <w:r w:rsidRPr="00326F31">
        <w:rPr>
          <w:rFonts w:asciiTheme="majorHAnsi" w:eastAsia="Times New Roman" w:hAnsiTheme="majorHAnsi"/>
          <w:b/>
          <w:sz w:val="20"/>
          <w:szCs w:val="20"/>
        </w:rPr>
        <w:t xml:space="preserve">Due process within the </w:t>
      </w:r>
      <w:r w:rsidR="00003C98" w:rsidRPr="00326F31">
        <w:rPr>
          <w:rFonts w:asciiTheme="majorHAnsi" w:eastAsia="Times New Roman" w:hAnsiTheme="majorHAnsi"/>
          <w:b/>
          <w:sz w:val="20"/>
          <w:szCs w:val="20"/>
        </w:rPr>
        <w:t>context of</w:t>
      </w:r>
      <w:r w:rsidRPr="00326F31">
        <w:rPr>
          <w:rFonts w:asciiTheme="majorHAnsi" w:eastAsia="Times New Roman" w:hAnsiTheme="majorHAnsi"/>
          <w:b/>
          <w:sz w:val="20"/>
          <w:szCs w:val="20"/>
        </w:rPr>
        <w:t xml:space="preserve"> the dismissal</w:t>
      </w:r>
    </w:p>
    <w:p w14:paraId="64E51A30" w14:textId="77777777" w:rsidR="006D2E3E" w:rsidRPr="00C9052E" w:rsidRDefault="006D2E3E"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4916B2BD" w14:textId="77777777" w:rsidR="00835ED3" w:rsidRDefault="006D2E3E" w:rsidP="00835ED3">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color w:val="000000"/>
          <w:sz w:val="20"/>
          <w:szCs w:val="20"/>
        </w:rPr>
      </w:pPr>
      <w:r w:rsidRPr="00835ED3">
        <w:rPr>
          <w:rFonts w:asciiTheme="majorHAnsi" w:hAnsiTheme="majorHAnsi"/>
          <w:color w:val="000000"/>
          <w:sz w:val="20"/>
          <w:szCs w:val="20"/>
        </w:rPr>
        <w:t>In the previous section, the Commission established that there was a misuse of power in the termination of contracts of the victims with the National Border Council. This implies that such termination constituted, in fact, an administrative penalty. The Inter-American Commission has stated that the misuse of power constitutes a violation of the right to a fair trial and may involve the violation of other rights protected by the Convention</w:t>
      </w:r>
      <w:r w:rsidRPr="00835ED3">
        <w:rPr>
          <w:rFonts w:asciiTheme="majorHAnsi" w:hAnsiTheme="majorHAnsi"/>
          <w:color w:val="000000"/>
          <w:sz w:val="20"/>
          <w:szCs w:val="20"/>
          <w:vertAlign w:val="superscript"/>
        </w:rPr>
        <w:footnoteReference w:id="171"/>
      </w:r>
      <w:r w:rsidRPr="00835ED3">
        <w:rPr>
          <w:rFonts w:asciiTheme="majorHAnsi" w:hAnsiTheme="majorHAnsi"/>
          <w:color w:val="000000"/>
          <w:sz w:val="20"/>
          <w:szCs w:val="20"/>
        </w:rPr>
        <w:t>.</w:t>
      </w:r>
    </w:p>
    <w:p w14:paraId="0A3A22C2" w14:textId="77777777" w:rsidR="00835ED3" w:rsidRDefault="00835ED3" w:rsidP="00835ED3">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olor w:val="000000"/>
          <w:sz w:val="20"/>
          <w:szCs w:val="20"/>
        </w:rPr>
      </w:pPr>
    </w:p>
    <w:p w14:paraId="2741BDA0" w14:textId="77777777" w:rsidR="00835ED3" w:rsidRDefault="00E73EA0" w:rsidP="00835ED3">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color w:val="000000"/>
          <w:sz w:val="20"/>
          <w:szCs w:val="20"/>
        </w:rPr>
      </w:pPr>
      <w:r w:rsidRPr="00835ED3">
        <w:rPr>
          <w:rFonts w:asciiTheme="majorHAnsi" w:hAnsiTheme="majorHAnsi"/>
          <w:sz w:val="20"/>
          <w:szCs w:val="20"/>
        </w:rPr>
        <w:t>In this regard, both the Inter-American Court and the IACHR have indicated that although Article 8 of the American Convention is titled "</w:t>
      </w:r>
      <w:r w:rsidRPr="00835ED3">
        <w:rPr>
          <w:rFonts w:asciiTheme="majorHAnsi" w:eastAsia="Times New Roman" w:hAnsiTheme="majorHAnsi"/>
          <w:sz w:val="20"/>
          <w:szCs w:val="20"/>
          <w:lang w:eastAsia="es-ES"/>
        </w:rPr>
        <w:t xml:space="preserve"> Right to a Fair Trial</w:t>
      </w:r>
      <w:r w:rsidRPr="00835ED3">
        <w:rPr>
          <w:rFonts w:asciiTheme="majorHAnsi" w:hAnsiTheme="majorHAnsi"/>
          <w:sz w:val="20"/>
          <w:szCs w:val="20"/>
        </w:rPr>
        <w:t xml:space="preserve"> " its application is not limited to judicial remedies in a strict sense, "but to all</w:t>
      </w:r>
      <w:r w:rsidR="00D647EB" w:rsidRPr="00835ED3">
        <w:rPr>
          <w:rFonts w:asciiTheme="majorHAnsi" w:hAnsiTheme="majorHAnsi"/>
          <w:sz w:val="20"/>
          <w:szCs w:val="20"/>
        </w:rPr>
        <w:t xml:space="preserve"> the</w:t>
      </w:r>
      <w:r w:rsidRPr="00835ED3">
        <w:rPr>
          <w:rFonts w:asciiTheme="majorHAnsi" w:hAnsiTheme="majorHAnsi"/>
          <w:sz w:val="20"/>
          <w:szCs w:val="20"/>
        </w:rPr>
        <w:t xml:space="preserve"> requirements that must be observed in the p</w:t>
      </w:r>
      <w:r w:rsidR="00D647EB" w:rsidRPr="00835ED3">
        <w:rPr>
          <w:rFonts w:asciiTheme="majorHAnsi" w:hAnsiTheme="majorHAnsi"/>
          <w:sz w:val="20"/>
          <w:szCs w:val="20"/>
        </w:rPr>
        <w:t>rocedural stages</w:t>
      </w:r>
      <w:r w:rsidRPr="00835ED3">
        <w:rPr>
          <w:rFonts w:asciiTheme="majorHAnsi" w:hAnsiTheme="majorHAnsi"/>
          <w:sz w:val="20"/>
          <w:szCs w:val="20"/>
        </w:rPr>
        <w:t xml:space="preserve">" </w:t>
      </w:r>
      <w:r w:rsidR="00D647EB" w:rsidRPr="00835ED3">
        <w:rPr>
          <w:rFonts w:asciiTheme="majorHAnsi" w:hAnsiTheme="majorHAnsi"/>
          <w:sz w:val="20"/>
          <w:szCs w:val="20"/>
        </w:rPr>
        <w:t>in order for all persons to be able to defend their rights adequately vis-à-vis any type of State action that could affect them</w:t>
      </w:r>
      <w:r w:rsidRPr="00835ED3">
        <w:rPr>
          <w:rFonts w:asciiTheme="majorHAnsi" w:hAnsiTheme="majorHAnsi"/>
          <w:sz w:val="20"/>
          <w:szCs w:val="20"/>
        </w:rPr>
        <w:t xml:space="preserve">. </w:t>
      </w:r>
      <w:r w:rsidR="00D647EB" w:rsidRPr="00835ED3">
        <w:rPr>
          <w:rFonts w:asciiTheme="majorHAnsi" w:hAnsiTheme="majorHAnsi"/>
          <w:sz w:val="20"/>
          <w:szCs w:val="20"/>
        </w:rPr>
        <w:t>That is to say that the due process of law must be respected in any act or omission on the part of the State bodies in a proceeding, whether of a punitive administrative, or of a judicial nature</w:t>
      </w:r>
      <w:r w:rsidR="00D647EB" w:rsidRPr="00326F31">
        <w:rPr>
          <w:rFonts w:asciiTheme="majorHAnsi" w:hAnsiTheme="majorHAnsi"/>
          <w:sz w:val="20"/>
          <w:szCs w:val="20"/>
          <w:vertAlign w:val="superscript"/>
        </w:rPr>
        <w:footnoteReference w:id="172"/>
      </w:r>
      <w:r w:rsidR="00D647EB" w:rsidRPr="00835ED3">
        <w:rPr>
          <w:rFonts w:asciiTheme="majorHAnsi" w:hAnsiTheme="majorHAnsi"/>
          <w:sz w:val="20"/>
          <w:szCs w:val="20"/>
        </w:rPr>
        <w:t>.</w:t>
      </w:r>
    </w:p>
    <w:p w14:paraId="47C3DE2F" w14:textId="77777777" w:rsidR="00835ED3" w:rsidRDefault="00835ED3" w:rsidP="003B7ACF">
      <w:pPr>
        <w:pStyle w:val="ListParagraph"/>
        <w:rPr>
          <w:rFonts w:asciiTheme="majorHAnsi" w:hAnsiTheme="majorHAnsi"/>
          <w:sz w:val="20"/>
          <w:szCs w:val="20"/>
        </w:rPr>
      </w:pPr>
    </w:p>
    <w:p w14:paraId="07FB2EFE" w14:textId="77777777" w:rsidR="00835ED3" w:rsidRDefault="00D647EB" w:rsidP="00835ED3">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color w:val="000000"/>
          <w:sz w:val="20"/>
          <w:szCs w:val="20"/>
        </w:rPr>
      </w:pPr>
      <w:r w:rsidRPr="00835ED3">
        <w:rPr>
          <w:rFonts w:asciiTheme="majorHAnsi" w:hAnsiTheme="majorHAnsi"/>
          <w:sz w:val="20"/>
          <w:szCs w:val="20"/>
        </w:rPr>
        <w:t>In the present case, since it is an implicit sanction, imposed by an unjustified decision, the victims in the case were prevented from criticizing the real reason for it or impose a further review by a higher court to analyze the seriousness of the conduct in question and the proportionality of the sanction. The Commission notes that motivation has a significant impact on the analysis of the impartiality of</w:t>
      </w:r>
      <w:r w:rsidR="00B1309A" w:rsidRPr="00835ED3">
        <w:rPr>
          <w:rFonts w:asciiTheme="majorHAnsi" w:hAnsiTheme="majorHAnsi"/>
          <w:sz w:val="20"/>
          <w:szCs w:val="20"/>
        </w:rPr>
        <w:t xml:space="preserve"> the authority in charge of the exam</w:t>
      </w:r>
      <w:r w:rsidRPr="00835ED3">
        <w:rPr>
          <w:rFonts w:asciiTheme="majorHAnsi" w:hAnsiTheme="majorHAnsi"/>
          <w:sz w:val="20"/>
          <w:szCs w:val="20"/>
        </w:rPr>
        <w:t xml:space="preserve"> and application of the </w:t>
      </w:r>
      <w:r w:rsidR="00B1309A" w:rsidRPr="00835ED3">
        <w:rPr>
          <w:rFonts w:asciiTheme="majorHAnsi" w:hAnsiTheme="majorHAnsi"/>
          <w:sz w:val="20"/>
          <w:szCs w:val="20"/>
        </w:rPr>
        <w:t>penalty, precisely because of this</w:t>
      </w:r>
      <w:r w:rsidRPr="00835ED3">
        <w:rPr>
          <w:rFonts w:asciiTheme="majorHAnsi" w:hAnsiTheme="majorHAnsi"/>
          <w:sz w:val="20"/>
          <w:szCs w:val="20"/>
        </w:rPr>
        <w:t xml:space="preserve"> absence favors</w:t>
      </w:r>
      <w:r w:rsidR="00B1309A" w:rsidRPr="00835ED3">
        <w:rPr>
          <w:rFonts w:asciiTheme="majorHAnsi" w:hAnsiTheme="majorHAnsi"/>
          <w:sz w:val="20"/>
          <w:szCs w:val="20"/>
        </w:rPr>
        <w:t xml:space="preserve"> that</w:t>
      </w:r>
      <w:r w:rsidRPr="00835ED3">
        <w:rPr>
          <w:rFonts w:asciiTheme="majorHAnsi" w:hAnsiTheme="majorHAnsi"/>
          <w:sz w:val="20"/>
          <w:szCs w:val="20"/>
        </w:rPr>
        <w:t xml:space="preserve"> </w:t>
      </w:r>
      <w:r w:rsidR="00B1309A" w:rsidRPr="00835ED3">
        <w:rPr>
          <w:rFonts w:asciiTheme="majorHAnsi" w:hAnsiTheme="majorHAnsi"/>
          <w:sz w:val="20"/>
          <w:szCs w:val="20"/>
        </w:rPr>
        <w:t>non punitive formal act</w:t>
      </w:r>
      <w:r w:rsidRPr="00835ED3">
        <w:rPr>
          <w:rFonts w:asciiTheme="majorHAnsi" w:hAnsiTheme="majorHAnsi"/>
          <w:sz w:val="20"/>
          <w:szCs w:val="20"/>
        </w:rPr>
        <w:t>s translate into real sanctions as a way of retaliation against the people who are targeted.</w:t>
      </w:r>
    </w:p>
    <w:p w14:paraId="0B779AE9" w14:textId="77777777" w:rsidR="00835ED3" w:rsidRDefault="00835ED3" w:rsidP="00835ED3">
      <w:pPr>
        <w:pStyle w:val="ListParagraph"/>
        <w:rPr>
          <w:rFonts w:asciiTheme="majorHAnsi" w:eastAsia="Times New Roman" w:hAnsiTheme="majorHAnsi"/>
          <w:sz w:val="20"/>
          <w:szCs w:val="20"/>
        </w:rPr>
      </w:pPr>
    </w:p>
    <w:p w14:paraId="516AD974" w14:textId="5F289AFB" w:rsidR="00B1309A" w:rsidRPr="00835ED3" w:rsidRDefault="00B1309A" w:rsidP="00835ED3">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color w:val="000000"/>
          <w:sz w:val="20"/>
          <w:szCs w:val="20"/>
        </w:rPr>
      </w:pPr>
      <w:r w:rsidRPr="00835ED3">
        <w:rPr>
          <w:rFonts w:asciiTheme="majorHAnsi" w:eastAsia="Times New Roman" w:hAnsiTheme="majorHAnsi"/>
          <w:sz w:val="20"/>
          <w:szCs w:val="20"/>
        </w:rPr>
        <w:t xml:space="preserve">For these reasons, the Commission considers that the State is responsible for the abuse of power that took place with the aim of imposing an implicit sanction under the excuse of applying a discretional power, which carried the violation of the substantive rights mentioned, and a general violation of the guarantees of due process enshrined in Article 8 of the American Convention in conjunction with Article 1.1 thereof, to the detriment </w:t>
      </w:r>
      <w:r w:rsidRPr="00835ED3">
        <w:rPr>
          <w:rFonts w:asciiTheme="majorHAnsi" w:hAnsiTheme="majorHAnsi"/>
          <w:sz w:val="20"/>
          <w:szCs w:val="20"/>
        </w:rPr>
        <w:t xml:space="preserve">Rocío San Miguel Sosa, </w:t>
      </w:r>
      <w:proofErr w:type="spellStart"/>
      <w:r w:rsidRPr="00835ED3">
        <w:rPr>
          <w:rFonts w:asciiTheme="majorHAnsi" w:hAnsiTheme="majorHAnsi"/>
          <w:sz w:val="20"/>
          <w:szCs w:val="20"/>
        </w:rPr>
        <w:t>Magally</w:t>
      </w:r>
      <w:proofErr w:type="spellEnd"/>
      <w:r w:rsidRPr="00835ED3">
        <w:rPr>
          <w:rFonts w:asciiTheme="majorHAnsi" w:hAnsiTheme="majorHAnsi"/>
          <w:sz w:val="20"/>
          <w:szCs w:val="20"/>
        </w:rPr>
        <w:t xml:space="preserve"> Chang </w:t>
      </w:r>
      <w:proofErr w:type="spellStart"/>
      <w:r w:rsidRPr="00835ED3">
        <w:rPr>
          <w:rFonts w:asciiTheme="majorHAnsi" w:hAnsiTheme="majorHAnsi"/>
          <w:sz w:val="20"/>
          <w:szCs w:val="20"/>
        </w:rPr>
        <w:t>Girón</w:t>
      </w:r>
      <w:proofErr w:type="spellEnd"/>
      <w:r w:rsidRPr="00835ED3">
        <w:rPr>
          <w:rFonts w:asciiTheme="majorHAnsi" w:hAnsiTheme="majorHAnsi"/>
          <w:sz w:val="20"/>
          <w:szCs w:val="20"/>
        </w:rPr>
        <w:t xml:space="preserve">, and Thais </w:t>
      </w:r>
      <w:proofErr w:type="spellStart"/>
      <w:r w:rsidRPr="00835ED3">
        <w:rPr>
          <w:rFonts w:asciiTheme="majorHAnsi" w:hAnsiTheme="majorHAnsi"/>
          <w:sz w:val="20"/>
          <w:szCs w:val="20"/>
        </w:rPr>
        <w:t>Coromoto</w:t>
      </w:r>
      <w:proofErr w:type="spellEnd"/>
      <w:r w:rsidR="0029245A">
        <w:rPr>
          <w:rFonts w:asciiTheme="majorHAnsi" w:hAnsiTheme="majorHAnsi"/>
          <w:sz w:val="20"/>
          <w:szCs w:val="20"/>
        </w:rPr>
        <w:t xml:space="preserve"> Peña</w:t>
      </w:r>
      <w:r w:rsidR="00EB13E5" w:rsidRPr="00835ED3">
        <w:rPr>
          <w:rFonts w:asciiTheme="majorHAnsi" w:hAnsiTheme="majorHAnsi"/>
          <w:sz w:val="20"/>
          <w:szCs w:val="20"/>
        </w:rPr>
        <w:t>.</w:t>
      </w:r>
    </w:p>
    <w:p w14:paraId="7523CCB0" w14:textId="77777777" w:rsidR="00D6022F" w:rsidRPr="00326F31" w:rsidRDefault="00D6022F" w:rsidP="00326F31">
      <w:pPr>
        <w:jc w:val="both"/>
        <w:rPr>
          <w:rFonts w:asciiTheme="majorHAnsi" w:eastAsia="Times New Roman" w:hAnsiTheme="majorHAnsi"/>
          <w:b/>
          <w:sz w:val="20"/>
          <w:szCs w:val="20"/>
        </w:rPr>
      </w:pPr>
    </w:p>
    <w:p w14:paraId="67C254CD" w14:textId="4BAAAA86" w:rsidR="00A938A9" w:rsidRPr="00326F31" w:rsidRDefault="00A938A9" w:rsidP="00D61FF7">
      <w:pPr>
        <w:pStyle w:val="ListParagraph"/>
        <w:numPr>
          <w:ilvl w:val="0"/>
          <w:numId w:val="65"/>
        </w:numPr>
        <w:ind w:left="1440" w:hanging="720"/>
        <w:jc w:val="both"/>
        <w:rPr>
          <w:rFonts w:asciiTheme="majorHAnsi" w:eastAsia="Times New Roman" w:hAnsiTheme="majorHAnsi"/>
          <w:b/>
          <w:sz w:val="20"/>
          <w:szCs w:val="20"/>
        </w:rPr>
      </w:pPr>
      <w:r w:rsidRPr="00326F31">
        <w:rPr>
          <w:rFonts w:asciiTheme="majorHAnsi" w:eastAsia="Times New Roman" w:hAnsiTheme="majorHAnsi"/>
          <w:b/>
          <w:sz w:val="20"/>
          <w:szCs w:val="20"/>
        </w:rPr>
        <w:t>Analysis of effectiveness and due diligence</w:t>
      </w:r>
      <w:r w:rsidR="00A61AE2" w:rsidRPr="00326F31">
        <w:rPr>
          <w:rFonts w:asciiTheme="majorHAnsi" w:eastAsia="Times New Roman" w:hAnsiTheme="majorHAnsi"/>
          <w:b/>
          <w:sz w:val="20"/>
          <w:szCs w:val="20"/>
        </w:rPr>
        <w:t xml:space="preserve"> of</w:t>
      </w:r>
      <w:r w:rsidRPr="00326F31">
        <w:rPr>
          <w:rFonts w:asciiTheme="majorHAnsi" w:eastAsia="Times New Roman" w:hAnsiTheme="majorHAnsi"/>
          <w:b/>
          <w:sz w:val="20"/>
          <w:szCs w:val="20"/>
        </w:rPr>
        <w:t xml:space="preserve"> the </w:t>
      </w:r>
      <w:r w:rsidRPr="00326F31">
        <w:rPr>
          <w:rFonts w:asciiTheme="majorHAnsi" w:eastAsia="Times New Roman" w:hAnsiTheme="majorHAnsi"/>
          <w:b/>
          <w:i/>
          <w:sz w:val="20"/>
          <w:szCs w:val="20"/>
        </w:rPr>
        <w:t>amparo</w:t>
      </w:r>
      <w:r w:rsidRPr="00326F31">
        <w:rPr>
          <w:rFonts w:asciiTheme="majorHAnsi" w:eastAsia="Times New Roman" w:hAnsiTheme="majorHAnsi"/>
          <w:b/>
          <w:sz w:val="20"/>
          <w:szCs w:val="20"/>
        </w:rPr>
        <w:t xml:space="preserve"> </w:t>
      </w:r>
      <w:r w:rsidR="00A61AE2" w:rsidRPr="00326F31">
        <w:rPr>
          <w:rFonts w:asciiTheme="majorHAnsi" w:eastAsia="Times New Roman" w:hAnsiTheme="majorHAnsi"/>
          <w:b/>
          <w:sz w:val="20"/>
          <w:szCs w:val="20"/>
        </w:rPr>
        <w:t xml:space="preserve">remedy </w:t>
      </w:r>
      <w:r w:rsidRPr="00326F31">
        <w:rPr>
          <w:rFonts w:asciiTheme="majorHAnsi" w:eastAsia="Times New Roman" w:hAnsiTheme="majorHAnsi"/>
          <w:b/>
          <w:sz w:val="20"/>
          <w:szCs w:val="20"/>
        </w:rPr>
        <w:t>and</w:t>
      </w:r>
      <w:r w:rsidR="00A61AE2" w:rsidRPr="00326F31">
        <w:rPr>
          <w:rFonts w:asciiTheme="majorHAnsi" w:eastAsia="Times New Roman" w:hAnsiTheme="majorHAnsi"/>
          <w:b/>
          <w:sz w:val="20"/>
          <w:szCs w:val="20"/>
        </w:rPr>
        <w:t xml:space="preserve"> the</w:t>
      </w:r>
      <w:r w:rsidRPr="00326F31">
        <w:rPr>
          <w:rFonts w:asciiTheme="majorHAnsi" w:eastAsia="Times New Roman" w:hAnsiTheme="majorHAnsi"/>
          <w:b/>
          <w:sz w:val="20"/>
          <w:szCs w:val="20"/>
        </w:rPr>
        <w:t xml:space="preserve"> criminal complaint</w:t>
      </w:r>
    </w:p>
    <w:p w14:paraId="19D33A6D" w14:textId="021BF871" w:rsidR="00375706" w:rsidRPr="00C9052E" w:rsidRDefault="00375706" w:rsidP="00326F31">
      <w:pPr>
        <w:pBdr>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60BE0C2E" w14:textId="77777777" w:rsidR="00835ED3" w:rsidRDefault="00375706" w:rsidP="00835ED3">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835ED3">
        <w:rPr>
          <w:rFonts w:asciiTheme="majorHAnsi" w:eastAsia="Times New Roman" w:hAnsiTheme="majorHAnsi"/>
          <w:sz w:val="20"/>
          <w:szCs w:val="20"/>
        </w:rPr>
        <w:t>The Court has indicated that the protection of the individual against the arbitrary exercise of public power is the primary objective of international protection of human rights. The lack of effective domestic remedies renders people defenseless</w:t>
      </w:r>
      <w:r w:rsidRPr="00835ED3">
        <w:rPr>
          <w:rFonts w:asciiTheme="majorHAnsi" w:eastAsia="Times New Roman" w:hAnsiTheme="majorHAnsi"/>
          <w:sz w:val="20"/>
          <w:szCs w:val="20"/>
          <w:vertAlign w:val="superscript"/>
        </w:rPr>
        <w:footnoteReference w:id="173"/>
      </w:r>
      <w:r w:rsidRPr="00835ED3">
        <w:rPr>
          <w:rFonts w:asciiTheme="majorHAnsi" w:eastAsia="Times New Roman" w:hAnsiTheme="majorHAnsi"/>
          <w:sz w:val="20"/>
          <w:szCs w:val="20"/>
        </w:rPr>
        <w:t>.</w:t>
      </w:r>
    </w:p>
    <w:p w14:paraId="17F440A1" w14:textId="77777777" w:rsidR="00835ED3" w:rsidRDefault="00835ED3" w:rsidP="00835ED3">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rPr>
      </w:pPr>
    </w:p>
    <w:p w14:paraId="0E4C25AC" w14:textId="77777777" w:rsidR="003B3C70" w:rsidRDefault="00277F61"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835ED3">
        <w:rPr>
          <w:rFonts w:asciiTheme="majorHAnsi" w:hAnsiTheme="majorHAnsi"/>
          <w:sz w:val="20"/>
          <w:szCs w:val="20"/>
        </w:rPr>
        <w:t>The Commission notes that the State has a general obligation to provide effective judicial remedies to individuals claiming to be victims of human rights violations (Article 25), remedies that must be substantiated in accordance with the rules of due process (Article 8.1), all within the general obligation, by such States to guarantee the free and full exercise of the rights recognized by the Convention to all persons subject to their jurisdiction (Article 1.1)</w:t>
      </w:r>
      <w:r w:rsidRPr="00326F31">
        <w:rPr>
          <w:rFonts w:asciiTheme="majorHAnsi" w:hAnsiTheme="majorHAnsi"/>
          <w:sz w:val="20"/>
          <w:szCs w:val="20"/>
          <w:vertAlign w:val="superscript"/>
          <w:lang w:val="es-ES"/>
        </w:rPr>
        <w:footnoteReference w:id="174"/>
      </w:r>
      <w:r w:rsidRPr="00835ED3">
        <w:rPr>
          <w:rFonts w:asciiTheme="majorHAnsi" w:hAnsiTheme="majorHAnsi"/>
          <w:sz w:val="20"/>
          <w:szCs w:val="20"/>
        </w:rPr>
        <w:t xml:space="preserve">. The Court has indicated that the victims and their relatives have the right, and the States the obligation, to </w:t>
      </w:r>
      <w:r w:rsidR="00E7757D" w:rsidRPr="00835ED3">
        <w:rPr>
          <w:rFonts w:asciiTheme="majorHAnsi" w:hAnsiTheme="majorHAnsi"/>
          <w:sz w:val="20"/>
          <w:szCs w:val="20"/>
        </w:rPr>
        <w:t xml:space="preserve">ensure, that what befell the alleged victims will be investigated effectively by the State authorities; that proceedings will be filed against those allegedly responsible for the </w:t>
      </w:r>
      <w:r w:rsidR="00E7757D" w:rsidRPr="00835ED3">
        <w:rPr>
          <w:rFonts w:asciiTheme="majorHAnsi" w:hAnsiTheme="majorHAnsi"/>
          <w:sz w:val="20"/>
          <w:szCs w:val="20"/>
        </w:rPr>
        <w:lastRenderedPageBreak/>
        <w:t>unlawful acts; and, if applicable, the pertinent penalties will be imposed, and the losses suffered by the next of kin repaired</w:t>
      </w:r>
      <w:r w:rsidRPr="00326F31">
        <w:rPr>
          <w:rStyle w:val="FootnoteReference"/>
          <w:rFonts w:asciiTheme="majorHAnsi" w:hAnsiTheme="majorHAnsi"/>
          <w:sz w:val="20"/>
          <w:szCs w:val="20"/>
        </w:rPr>
        <w:footnoteReference w:id="175"/>
      </w:r>
      <w:r w:rsidRPr="00835ED3">
        <w:rPr>
          <w:rFonts w:asciiTheme="majorHAnsi" w:hAnsiTheme="majorHAnsi"/>
          <w:sz w:val="20"/>
          <w:szCs w:val="20"/>
        </w:rPr>
        <w:t>.</w:t>
      </w:r>
    </w:p>
    <w:p w14:paraId="3B722313" w14:textId="77777777" w:rsidR="003B3C70" w:rsidRDefault="003B3C70" w:rsidP="003B3C70">
      <w:pPr>
        <w:pStyle w:val="ListParagraph"/>
        <w:rPr>
          <w:rFonts w:asciiTheme="majorHAnsi" w:hAnsiTheme="majorHAnsi"/>
          <w:sz w:val="20"/>
          <w:szCs w:val="20"/>
        </w:rPr>
      </w:pPr>
    </w:p>
    <w:p w14:paraId="0427484A" w14:textId="77777777" w:rsidR="003B3C70" w:rsidRDefault="00E7757D"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eastAsia="Cambria" w:hAnsiTheme="majorHAnsi" w:cs="Cambria"/>
          <w:color w:val="000000"/>
          <w:sz w:val="20"/>
          <w:szCs w:val="20"/>
          <w:u w:color="000000"/>
          <w:lang w:eastAsia="es-ES"/>
        </w:rPr>
        <w:t xml:space="preserve">Likewise, </w:t>
      </w:r>
      <w:r w:rsidRPr="003B3C70">
        <w:rPr>
          <w:rFonts w:asciiTheme="majorHAnsi" w:hAnsiTheme="majorHAnsi"/>
          <w:sz w:val="20"/>
          <w:szCs w:val="20"/>
        </w:rPr>
        <w:t>the Court has understood that, for an effective recourse to exist, it is not enough for it to be established by the Constitution or law, or be formally admissible; rather it needs to be truly appropriate for establishing whether there has been a human rights violation and for providing whatever is necessary to repair this</w:t>
      </w:r>
      <w:r w:rsidRPr="00326F31">
        <w:rPr>
          <w:rFonts w:asciiTheme="majorHAnsi" w:hAnsiTheme="majorHAnsi"/>
          <w:sz w:val="20"/>
          <w:szCs w:val="20"/>
          <w:vertAlign w:val="superscript"/>
        </w:rPr>
        <w:footnoteReference w:id="176"/>
      </w:r>
      <w:r w:rsidRPr="003B3C70">
        <w:rPr>
          <w:rFonts w:asciiTheme="majorHAnsi" w:hAnsiTheme="majorHAnsi"/>
          <w:sz w:val="20"/>
          <w:szCs w:val="20"/>
        </w:rPr>
        <w:t>. The same court also noted that these domestic recourses must be available to the interested parties and result in an effective and justified decision on the matter raised, as well as potentially providing adequate reparation</w:t>
      </w:r>
      <w:r w:rsidRPr="00326F31">
        <w:rPr>
          <w:rStyle w:val="FootnoteReference"/>
          <w:rFonts w:asciiTheme="majorHAnsi" w:hAnsiTheme="majorHAnsi"/>
          <w:sz w:val="20"/>
          <w:szCs w:val="20"/>
          <w:lang w:val="es-CO"/>
        </w:rPr>
        <w:footnoteReference w:id="177"/>
      </w:r>
      <w:r w:rsidRPr="003B3C70">
        <w:rPr>
          <w:rFonts w:asciiTheme="majorHAnsi" w:hAnsiTheme="majorHAnsi"/>
          <w:sz w:val="20"/>
          <w:szCs w:val="20"/>
        </w:rPr>
        <w:t>.</w:t>
      </w:r>
    </w:p>
    <w:p w14:paraId="762D7FEB" w14:textId="77777777" w:rsidR="003B3C70" w:rsidRDefault="003B3C70" w:rsidP="003B3C70">
      <w:pPr>
        <w:pStyle w:val="ListParagraph"/>
        <w:rPr>
          <w:rFonts w:asciiTheme="majorHAnsi" w:hAnsiTheme="majorHAnsi"/>
          <w:sz w:val="20"/>
          <w:szCs w:val="20"/>
        </w:rPr>
      </w:pPr>
    </w:p>
    <w:p w14:paraId="7602E54D" w14:textId="4E9E16D1" w:rsidR="003B3C70" w:rsidRDefault="00E7757D"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hAnsiTheme="majorHAnsi"/>
          <w:sz w:val="20"/>
          <w:szCs w:val="20"/>
        </w:rPr>
        <w:t xml:space="preserve">In turn, the </w:t>
      </w:r>
      <w:r w:rsidR="003B3C70" w:rsidRPr="003B3C70">
        <w:rPr>
          <w:rFonts w:asciiTheme="majorHAnsi" w:hAnsiTheme="majorHAnsi"/>
          <w:sz w:val="20"/>
          <w:szCs w:val="20"/>
        </w:rPr>
        <w:t xml:space="preserve">Inter-American </w:t>
      </w:r>
      <w:r w:rsidRPr="003B3C70">
        <w:rPr>
          <w:rFonts w:asciiTheme="majorHAnsi" w:hAnsiTheme="majorHAnsi"/>
          <w:sz w:val="20"/>
          <w:szCs w:val="20"/>
        </w:rPr>
        <w:t>Court has noted that the duty to investigate must be done with "due diligence" implying that investigation should be undertaken utilizing all the legal means available and should be oriented toward the determination of the truth</w:t>
      </w:r>
      <w:r w:rsidRPr="00326F31">
        <w:rPr>
          <w:rFonts w:asciiTheme="majorHAnsi" w:hAnsiTheme="majorHAnsi"/>
          <w:sz w:val="20"/>
          <w:szCs w:val="20"/>
          <w:vertAlign w:val="superscript"/>
        </w:rPr>
        <w:footnoteReference w:id="178"/>
      </w:r>
      <w:r w:rsidRPr="003B3C70">
        <w:rPr>
          <w:rFonts w:asciiTheme="majorHAnsi" w:hAnsiTheme="majorHAnsi"/>
          <w:sz w:val="20"/>
          <w:szCs w:val="20"/>
        </w:rPr>
        <w:t xml:space="preserve">. In the same vein, the Court has indicated that the State has a duty to ensure that everything you need to know the truth about what happened, and that the possible responsible parties </w:t>
      </w:r>
      <w:r w:rsidR="004F5827" w:rsidRPr="003B3C70">
        <w:rPr>
          <w:rFonts w:asciiTheme="majorHAnsi" w:hAnsiTheme="majorHAnsi"/>
          <w:sz w:val="20"/>
          <w:szCs w:val="20"/>
        </w:rPr>
        <w:t>are</w:t>
      </w:r>
      <w:r w:rsidRPr="003B3C70">
        <w:rPr>
          <w:rFonts w:asciiTheme="majorHAnsi" w:hAnsiTheme="majorHAnsi"/>
          <w:sz w:val="20"/>
          <w:szCs w:val="20"/>
        </w:rPr>
        <w:t xml:space="preserve"> punished</w:t>
      </w:r>
      <w:r w:rsidRPr="00326F31">
        <w:rPr>
          <w:rStyle w:val="FootnoteReference"/>
          <w:rFonts w:asciiTheme="majorHAnsi" w:hAnsiTheme="majorHAnsi"/>
          <w:sz w:val="20"/>
          <w:szCs w:val="20"/>
        </w:rPr>
        <w:footnoteReference w:id="179"/>
      </w:r>
      <w:r w:rsidRPr="003B3C70">
        <w:rPr>
          <w:rFonts w:asciiTheme="majorHAnsi" w:hAnsiTheme="majorHAnsi"/>
          <w:sz w:val="20"/>
          <w:szCs w:val="20"/>
        </w:rPr>
        <w:t>, involving every State institution</w:t>
      </w:r>
      <w:r w:rsidRPr="00326F31">
        <w:rPr>
          <w:rStyle w:val="FootnoteReference"/>
          <w:rFonts w:asciiTheme="majorHAnsi" w:hAnsiTheme="majorHAnsi"/>
          <w:sz w:val="20"/>
          <w:szCs w:val="20"/>
        </w:rPr>
        <w:footnoteReference w:id="180"/>
      </w:r>
      <w:r w:rsidRPr="003B3C70">
        <w:rPr>
          <w:rFonts w:asciiTheme="majorHAnsi" w:hAnsiTheme="majorHAnsi"/>
          <w:sz w:val="20"/>
          <w:szCs w:val="20"/>
        </w:rPr>
        <w:t>. The Court has also said that it is particularly important that the competent authorities adopt all reasonable measures to guarantee the necessary probative material in order to carry out the investigation</w:t>
      </w:r>
      <w:r w:rsidRPr="00326F31">
        <w:rPr>
          <w:rStyle w:val="FootnoteReference"/>
          <w:rFonts w:asciiTheme="majorHAnsi" w:hAnsiTheme="majorHAnsi" w:cs="Arial"/>
          <w:sz w:val="20"/>
          <w:szCs w:val="20"/>
        </w:rPr>
        <w:footnoteReference w:id="181"/>
      </w:r>
      <w:r w:rsidRPr="003B3C70">
        <w:rPr>
          <w:rFonts w:asciiTheme="majorHAnsi" w:hAnsiTheme="majorHAnsi" w:cs="Arial"/>
          <w:sz w:val="20"/>
          <w:szCs w:val="20"/>
        </w:rPr>
        <w:t>.</w:t>
      </w:r>
    </w:p>
    <w:p w14:paraId="3B131EA7" w14:textId="77777777" w:rsidR="003B3C70" w:rsidRDefault="003B3C70" w:rsidP="003B3C70">
      <w:pPr>
        <w:pStyle w:val="ListParagraph"/>
        <w:rPr>
          <w:rFonts w:asciiTheme="majorHAnsi" w:hAnsiTheme="majorHAnsi"/>
          <w:sz w:val="20"/>
          <w:szCs w:val="20"/>
        </w:rPr>
      </w:pPr>
    </w:p>
    <w:p w14:paraId="18E18405" w14:textId="77777777" w:rsidR="003B3C70" w:rsidRDefault="00E7757D"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hAnsiTheme="majorHAnsi"/>
          <w:sz w:val="20"/>
          <w:szCs w:val="20"/>
        </w:rPr>
        <w:t>Taking into account the parameters indicated, the Commission will examine whether, in this case the State of Venezuela offered to the victims an effective remedy to protect them of violations of their human rights through a serious and diligent investigation within a reasonable time.</w:t>
      </w:r>
    </w:p>
    <w:p w14:paraId="75C7696B" w14:textId="77777777" w:rsidR="003B3C70" w:rsidRDefault="003B3C70" w:rsidP="003B3C70">
      <w:pPr>
        <w:pStyle w:val="ListParagraph"/>
        <w:rPr>
          <w:rFonts w:asciiTheme="majorHAnsi" w:eastAsia="Times New Roman" w:hAnsiTheme="majorHAnsi"/>
          <w:sz w:val="20"/>
          <w:szCs w:val="20"/>
        </w:rPr>
      </w:pPr>
    </w:p>
    <w:p w14:paraId="64105804" w14:textId="21DE3D19" w:rsidR="003B3C70" w:rsidRDefault="00E7757D"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eastAsia="Times New Roman" w:hAnsiTheme="majorHAnsi"/>
          <w:sz w:val="20"/>
          <w:szCs w:val="20"/>
        </w:rPr>
        <w:t xml:space="preserve">The Commission notes that the victims presented both an </w:t>
      </w:r>
      <w:r w:rsidRPr="003B3C70">
        <w:rPr>
          <w:rFonts w:asciiTheme="majorHAnsi" w:eastAsia="Times New Roman" w:hAnsiTheme="majorHAnsi"/>
          <w:i/>
          <w:sz w:val="20"/>
          <w:szCs w:val="20"/>
        </w:rPr>
        <w:t>amparo</w:t>
      </w:r>
      <w:r w:rsidRPr="003B3C70">
        <w:rPr>
          <w:rFonts w:asciiTheme="majorHAnsi" w:eastAsia="Times New Roman" w:hAnsiTheme="majorHAnsi"/>
          <w:sz w:val="20"/>
          <w:szCs w:val="20"/>
        </w:rPr>
        <w:t xml:space="preserve"> remedy and a criminal complaint. The </w:t>
      </w:r>
      <w:r w:rsidRPr="003B3C70">
        <w:rPr>
          <w:rFonts w:asciiTheme="majorHAnsi" w:eastAsia="Times New Roman" w:hAnsiTheme="majorHAnsi"/>
          <w:i/>
          <w:sz w:val="20"/>
          <w:szCs w:val="20"/>
        </w:rPr>
        <w:t>amparo</w:t>
      </w:r>
      <w:r w:rsidRPr="003B3C70">
        <w:rPr>
          <w:rFonts w:asciiTheme="majorHAnsi" w:eastAsia="Times New Roman" w:hAnsiTheme="majorHAnsi"/>
          <w:sz w:val="20"/>
          <w:szCs w:val="20"/>
        </w:rPr>
        <w:t xml:space="preserve"> was filed on July 22, 2004 while the criminal complaint was filed on May 27, 2004. The </w:t>
      </w:r>
      <w:r w:rsidRPr="003B3C70">
        <w:rPr>
          <w:rFonts w:asciiTheme="majorHAnsi" w:eastAsia="Times New Roman" w:hAnsiTheme="majorHAnsi"/>
          <w:i/>
          <w:sz w:val="20"/>
          <w:szCs w:val="20"/>
        </w:rPr>
        <w:t>amparo</w:t>
      </w:r>
      <w:r w:rsidRPr="003B3C70">
        <w:rPr>
          <w:rFonts w:asciiTheme="majorHAnsi" w:eastAsia="Times New Roman" w:hAnsiTheme="majorHAnsi"/>
          <w:sz w:val="20"/>
          <w:szCs w:val="20"/>
        </w:rPr>
        <w:t xml:space="preserve"> was finally resolved unfavorably on September 9, 2005; while the criminal investigation was dismissed, a decision that became final after the rejection of the appeal</w:t>
      </w:r>
      <w:r w:rsidR="004F5827">
        <w:rPr>
          <w:rFonts w:asciiTheme="majorHAnsi" w:eastAsia="Times New Roman" w:hAnsiTheme="majorHAnsi"/>
          <w:sz w:val="20"/>
          <w:szCs w:val="20"/>
        </w:rPr>
        <w:t xml:space="preserve"> remedy</w:t>
      </w:r>
      <w:r w:rsidRPr="003B3C70">
        <w:rPr>
          <w:rFonts w:asciiTheme="majorHAnsi" w:eastAsia="Times New Roman" w:hAnsiTheme="majorHAnsi"/>
          <w:sz w:val="20"/>
          <w:szCs w:val="20"/>
        </w:rPr>
        <w:t xml:space="preserve"> (</w:t>
      </w:r>
      <w:proofErr w:type="spellStart"/>
      <w:r w:rsidRPr="003B3C70">
        <w:rPr>
          <w:rFonts w:asciiTheme="majorHAnsi" w:eastAsia="Times New Roman" w:hAnsiTheme="majorHAnsi"/>
          <w:i/>
          <w:sz w:val="20"/>
          <w:szCs w:val="20"/>
        </w:rPr>
        <w:t>casación</w:t>
      </w:r>
      <w:proofErr w:type="spellEnd"/>
      <w:r w:rsidRPr="003B3C70">
        <w:rPr>
          <w:rFonts w:asciiTheme="majorHAnsi" w:eastAsia="Times New Roman" w:hAnsiTheme="majorHAnsi"/>
          <w:sz w:val="20"/>
          <w:szCs w:val="20"/>
        </w:rPr>
        <w:t>) on September 27, 2005</w:t>
      </w:r>
      <w:r w:rsidRPr="003B3C70">
        <w:rPr>
          <w:rFonts w:asciiTheme="majorHAnsi" w:eastAsia="Times New Roman" w:hAnsiTheme="majorHAnsi"/>
          <w:b/>
          <w:sz w:val="20"/>
          <w:szCs w:val="20"/>
        </w:rPr>
        <w:t>.</w:t>
      </w:r>
    </w:p>
    <w:p w14:paraId="3ADC4B42" w14:textId="77777777" w:rsidR="003B3C70" w:rsidRDefault="003B3C70" w:rsidP="003B3C70">
      <w:pPr>
        <w:pStyle w:val="ListParagraph"/>
        <w:rPr>
          <w:rFonts w:asciiTheme="majorHAnsi" w:eastAsia="Times New Roman" w:hAnsiTheme="majorHAnsi"/>
          <w:sz w:val="20"/>
          <w:szCs w:val="20"/>
        </w:rPr>
      </w:pPr>
    </w:p>
    <w:p w14:paraId="57F366B5" w14:textId="77777777" w:rsidR="003B3C70" w:rsidRDefault="007C5F30"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eastAsia="Times New Roman" w:hAnsiTheme="majorHAnsi"/>
          <w:sz w:val="20"/>
          <w:szCs w:val="20"/>
        </w:rPr>
        <w:t xml:space="preserve">The motivations of the judicial authorities in both processes are similar in that both remedies concluded that the victims did not prove the political discrimination claimed, and assumed as valid the consistent explanation on the implementation of the seventh clause of the contract that granted discretional </w:t>
      </w:r>
      <w:r w:rsidRPr="003B3C70">
        <w:rPr>
          <w:rFonts w:asciiTheme="majorHAnsi" w:eastAsia="Times New Roman" w:hAnsiTheme="majorHAnsi"/>
          <w:sz w:val="20"/>
          <w:szCs w:val="20"/>
        </w:rPr>
        <w:lastRenderedPageBreak/>
        <w:t xml:space="preserve">powers to the employer. For example, the decision of First Instance of the </w:t>
      </w:r>
      <w:r w:rsidRPr="003B3C70">
        <w:rPr>
          <w:rFonts w:asciiTheme="majorHAnsi" w:eastAsia="Times New Roman" w:hAnsiTheme="majorHAnsi"/>
          <w:i/>
          <w:sz w:val="20"/>
          <w:szCs w:val="20"/>
        </w:rPr>
        <w:t>amparo</w:t>
      </w:r>
      <w:r w:rsidRPr="003B3C70">
        <w:rPr>
          <w:rFonts w:asciiTheme="majorHAnsi" w:eastAsia="Times New Roman" w:hAnsiTheme="majorHAnsi"/>
          <w:sz w:val="20"/>
          <w:szCs w:val="20"/>
        </w:rPr>
        <w:t xml:space="preserve"> proceeding of July 27, 2005, subsequently confirmed, indicated there was a failure to "clearly establish the causal link between the alleged discriminatory treatment for signing and the decision ending the working relationship". In the criminal proceedings, when delivering the dismissal, it was noted that although the CNF ended the employment relationship "which would be allowed by the contract (...) none of the items presented lead to corroborate the complainants’ statement that the reason (...) was voting in the recall referendum".</w:t>
      </w:r>
    </w:p>
    <w:p w14:paraId="463853A7" w14:textId="77777777" w:rsidR="003B3C70" w:rsidRDefault="003B3C70" w:rsidP="003B3C70">
      <w:pPr>
        <w:pStyle w:val="ListParagraph"/>
        <w:rPr>
          <w:rFonts w:asciiTheme="majorHAnsi" w:hAnsiTheme="majorHAnsi"/>
          <w:bCs/>
          <w:sz w:val="20"/>
          <w:szCs w:val="20"/>
        </w:rPr>
      </w:pPr>
    </w:p>
    <w:p w14:paraId="490654D9" w14:textId="2FA95BDE" w:rsidR="003B3C70" w:rsidRPr="004F5827" w:rsidRDefault="00383C51" w:rsidP="004F5827">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bCs/>
          <w:sz w:val="20"/>
          <w:szCs w:val="20"/>
        </w:rPr>
      </w:pPr>
      <w:r w:rsidRPr="003B3C70">
        <w:rPr>
          <w:rFonts w:asciiTheme="majorHAnsi" w:hAnsiTheme="majorHAnsi"/>
          <w:bCs/>
          <w:sz w:val="20"/>
          <w:szCs w:val="20"/>
        </w:rPr>
        <w:t xml:space="preserve">The Commission notes that the judicial officers who examined both remedies limited to determining whether </w:t>
      </w:r>
      <w:r w:rsidR="004F5827">
        <w:rPr>
          <w:rFonts w:asciiTheme="majorHAnsi" w:hAnsiTheme="majorHAnsi"/>
          <w:bCs/>
          <w:sz w:val="20"/>
          <w:szCs w:val="20"/>
        </w:rPr>
        <w:t xml:space="preserve">National Border Council had the right to unilaterally terminate the contracts with the victims. </w:t>
      </w:r>
      <w:r w:rsidRPr="004F5827">
        <w:rPr>
          <w:rFonts w:asciiTheme="majorHAnsi" w:hAnsiTheme="majorHAnsi"/>
          <w:bCs/>
          <w:sz w:val="20"/>
          <w:szCs w:val="20"/>
        </w:rPr>
        <w:t>This corroboration is not suitable to determine whether there was discrimination in a case of alleged discrimination precisely that operated covertly behind the veil of legality of the discretion established in the contract. When a judicial authority finds an allegation of disguised discrimination, the obl</w:t>
      </w:r>
      <w:r w:rsidR="004F5827">
        <w:rPr>
          <w:rFonts w:asciiTheme="majorHAnsi" w:hAnsiTheme="majorHAnsi"/>
          <w:bCs/>
          <w:sz w:val="20"/>
          <w:szCs w:val="20"/>
        </w:rPr>
        <w:t>igation of due diligence implies an</w:t>
      </w:r>
      <w:r w:rsidRPr="004F5827">
        <w:rPr>
          <w:rFonts w:asciiTheme="majorHAnsi" w:hAnsiTheme="majorHAnsi"/>
          <w:bCs/>
          <w:sz w:val="20"/>
          <w:szCs w:val="20"/>
        </w:rPr>
        <w:t xml:space="preserve"> investigat</w:t>
      </w:r>
      <w:r w:rsidR="004F5827">
        <w:rPr>
          <w:rFonts w:asciiTheme="majorHAnsi" w:hAnsiTheme="majorHAnsi"/>
          <w:bCs/>
          <w:sz w:val="20"/>
          <w:szCs w:val="20"/>
        </w:rPr>
        <w:t>ion</w:t>
      </w:r>
      <w:r w:rsidRPr="004F5827">
        <w:rPr>
          <w:rFonts w:asciiTheme="majorHAnsi" w:hAnsiTheme="majorHAnsi"/>
          <w:bCs/>
          <w:sz w:val="20"/>
          <w:szCs w:val="20"/>
        </w:rPr>
        <w:t xml:space="preserve"> beyond the formally declared</w:t>
      </w:r>
      <w:r w:rsidR="004F5827">
        <w:rPr>
          <w:rFonts w:asciiTheme="majorHAnsi" w:hAnsiTheme="majorHAnsi"/>
          <w:bCs/>
          <w:sz w:val="20"/>
          <w:szCs w:val="20"/>
        </w:rPr>
        <w:t xml:space="preserve"> motivation of the act</w:t>
      </w:r>
      <w:r w:rsidRPr="004F5827">
        <w:rPr>
          <w:rFonts w:asciiTheme="majorHAnsi" w:hAnsiTheme="majorHAnsi"/>
          <w:bCs/>
          <w:sz w:val="20"/>
          <w:szCs w:val="20"/>
        </w:rPr>
        <w:t xml:space="preserve"> and take into consideration all the </w:t>
      </w:r>
      <w:r w:rsidR="004F5827">
        <w:rPr>
          <w:rFonts w:asciiTheme="majorHAnsi" w:hAnsiTheme="majorHAnsi"/>
          <w:bCs/>
          <w:sz w:val="20"/>
          <w:szCs w:val="20"/>
        </w:rPr>
        <w:t xml:space="preserve">indicia, circumstantial evidence and </w:t>
      </w:r>
      <w:r w:rsidRPr="004F5827">
        <w:rPr>
          <w:rFonts w:asciiTheme="majorHAnsi" w:hAnsiTheme="majorHAnsi"/>
          <w:bCs/>
          <w:sz w:val="20"/>
          <w:szCs w:val="20"/>
        </w:rPr>
        <w:t>other</w:t>
      </w:r>
      <w:r w:rsidR="004F5827">
        <w:rPr>
          <w:rFonts w:asciiTheme="majorHAnsi" w:hAnsiTheme="majorHAnsi"/>
          <w:bCs/>
          <w:sz w:val="20"/>
          <w:szCs w:val="20"/>
        </w:rPr>
        <w:t>s</w:t>
      </w:r>
      <w:r w:rsidRPr="004F5827">
        <w:rPr>
          <w:rFonts w:asciiTheme="majorHAnsi" w:hAnsiTheme="majorHAnsi"/>
          <w:bCs/>
          <w:sz w:val="20"/>
          <w:szCs w:val="20"/>
        </w:rPr>
        <w:t>.</w:t>
      </w:r>
    </w:p>
    <w:p w14:paraId="64C56FD4" w14:textId="77777777" w:rsidR="003B3C70" w:rsidRDefault="003B3C70" w:rsidP="003B3C70">
      <w:pPr>
        <w:pStyle w:val="ListParagraph"/>
        <w:rPr>
          <w:rFonts w:asciiTheme="majorHAnsi" w:hAnsiTheme="majorHAnsi"/>
          <w:bCs/>
          <w:sz w:val="20"/>
          <w:szCs w:val="20"/>
        </w:rPr>
      </w:pPr>
    </w:p>
    <w:p w14:paraId="25C7B0F0" w14:textId="199562D3" w:rsidR="003B3C70" w:rsidRDefault="00383C51"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hAnsiTheme="majorHAnsi"/>
          <w:bCs/>
          <w:sz w:val="20"/>
          <w:szCs w:val="20"/>
        </w:rPr>
        <w:t>Moreover, the reasons for rejection</w:t>
      </w:r>
      <w:r w:rsidR="00B972EF">
        <w:rPr>
          <w:rFonts w:asciiTheme="majorHAnsi" w:hAnsiTheme="majorHAnsi"/>
          <w:bCs/>
          <w:sz w:val="20"/>
          <w:szCs w:val="20"/>
        </w:rPr>
        <w:t xml:space="preserve"> of the remedies</w:t>
      </w:r>
      <w:r w:rsidRPr="003B3C70">
        <w:rPr>
          <w:rFonts w:asciiTheme="majorHAnsi" w:hAnsiTheme="majorHAnsi"/>
          <w:bCs/>
          <w:sz w:val="20"/>
          <w:szCs w:val="20"/>
        </w:rPr>
        <w:t xml:space="preserve"> also refer to the fact that the victims did not prove discrimination. In this regard, the Commission notes that the judicial authorities in charge of resolving such cases should be aware that covert forms of discrimination often do not have direct proof and, therefore, the burden of proof cannot rest absolutely in the person alleging discrimination as occurred in the context of these remedies.</w:t>
      </w:r>
    </w:p>
    <w:p w14:paraId="1EA63C74" w14:textId="77777777" w:rsidR="003B3C70" w:rsidRDefault="003B3C70" w:rsidP="003B3C70">
      <w:pPr>
        <w:pStyle w:val="ListParagraph"/>
        <w:rPr>
          <w:rFonts w:asciiTheme="majorHAnsi" w:hAnsiTheme="majorHAnsi"/>
          <w:bCs/>
          <w:sz w:val="20"/>
          <w:szCs w:val="20"/>
        </w:rPr>
      </w:pPr>
    </w:p>
    <w:p w14:paraId="4336E5D2" w14:textId="787C7158" w:rsidR="004B1C89" w:rsidRPr="00677C7A" w:rsidRDefault="004B1C89" w:rsidP="00677C7A">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Pr>
          <w:rFonts w:asciiTheme="majorHAnsi" w:eastAsia="Times New Roman" w:hAnsiTheme="majorHAnsi"/>
          <w:sz w:val="20"/>
          <w:szCs w:val="20"/>
        </w:rPr>
        <w:t xml:space="preserve">Consequently, the Commission considers that although </w:t>
      </w:r>
      <w:r w:rsidR="009E3833">
        <w:rPr>
          <w:rFonts w:asciiTheme="majorHAnsi" w:eastAsia="Times New Roman" w:hAnsiTheme="majorHAnsi"/>
          <w:sz w:val="20"/>
          <w:szCs w:val="20"/>
        </w:rPr>
        <w:t xml:space="preserve">the </w:t>
      </w:r>
      <w:proofErr w:type="spellStart"/>
      <w:r w:rsidR="00DC7C71" w:rsidRPr="00677C7A">
        <w:rPr>
          <w:rFonts w:asciiTheme="majorHAnsi" w:eastAsia="Times New Roman" w:hAnsiTheme="majorHAnsi"/>
          <w:i/>
          <w:sz w:val="20"/>
          <w:szCs w:val="20"/>
        </w:rPr>
        <w:t>amparo</w:t>
      </w:r>
      <w:proofErr w:type="spellEnd"/>
      <w:r w:rsidR="00DC7C71" w:rsidRPr="00677C7A">
        <w:rPr>
          <w:rFonts w:asciiTheme="majorHAnsi" w:eastAsia="Times New Roman" w:hAnsiTheme="majorHAnsi"/>
          <w:i/>
          <w:sz w:val="20"/>
          <w:szCs w:val="20"/>
        </w:rPr>
        <w:t xml:space="preserve"> </w:t>
      </w:r>
      <w:r w:rsidR="00DC7C71">
        <w:rPr>
          <w:rFonts w:asciiTheme="majorHAnsi" w:eastAsia="Times New Roman" w:hAnsiTheme="majorHAnsi"/>
          <w:sz w:val="20"/>
          <w:szCs w:val="20"/>
        </w:rPr>
        <w:t xml:space="preserve">judicial </w:t>
      </w:r>
      <w:r w:rsidR="009E3833">
        <w:rPr>
          <w:rFonts w:asciiTheme="majorHAnsi" w:eastAsia="Times New Roman" w:hAnsiTheme="majorHAnsi"/>
          <w:sz w:val="20"/>
          <w:szCs w:val="20"/>
        </w:rPr>
        <w:t xml:space="preserve">authority </w:t>
      </w:r>
      <w:r w:rsidR="00DC7C71">
        <w:rPr>
          <w:rFonts w:asciiTheme="majorHAnsi" w:eastAsia="Times New Roman" w:hAnsiTheme="majorHAnsi"/>
          <w:sz w:val="20"/>
          <w:szCs w:val="20"/>
        </w:rPr>
        <w:t xml:space="preserve">referred to the allegation of discrimination, it was examined only formally and without due diligence.  Also, the </w:t>
      </w:r>
      <w:r w:rsidR="00677C7A">
        <w:rPr>
          <w:rFonts w:asciiTheme="majorHAnsi" w:eastAsia="Times New Roman" w:hAnsiTheme="majorHAnsi"/>
          <w:sz w:val="20"/>
          <w:szCs w:val="20"/>
        </w:rPr>
        <w:t xml:space="preserve">judicial authority imposed a very high standard when requiring the victim to prove “clearly” the causal link between the discriminatory treatment and the decision to end the working relationship. This also involves placing all the burden of proof on the person alleging discrimination. </w:t>
      </w:r>
    </w:p>
    <w:p w14:paraId="2C1B8C7F" w14:textId="77777777" w:rsidR="004B1C89" w:rsidRDefault="004B1C89" w:rsidP="004B1C89">
      <w:pPr>
        <w:pStyle w:val="ListParagraph"/>
        <w:rPr>
          <w:rFonts w:asciiTheme="majorHAnsi" w:hAnsiTheme="majorHAnsi"/>
          <w:bCs/>
          <w:sz w:val="20"/>
          <w:szCs w:val="20"/>
        </w:rPr>
      </w:pPr>
    </w:p>
    <w:p w14:paraId="58B02FE2" w14:textId="0FBB9478" w:rsidR="003B3C70" w:rsidRDefault="008C5D43"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hAnsiTheme="majorHAnsi"/>
          <w:bCs/>
          <w:sz w:val="20"/>
          <w:szCs w:val="20"/>
        </w:rPr>
        <w:t>The Commission considers that the authorities must use all legal means at its disposal to obtain the truth of what happened to victims of human rights violations</w:t>
      </w:r>
      <w:r w:rsidRPr="00326F31">
        <w:rPr>
          <w:rStyle w:val="FootnoteReference"/>
          <w:rFonts w:asciiTheme="majorHAnsi" w:hAnsiTheme="majorHAnsi"/>
          <w:bCs/>
          <w:sz w:val="20"/>
          <w:szCs w:val="20"/>
          <w:lang w:val="es-EC"/>
        </w:rPr>
        <w:footnoteReference w:id="182"/>
      </w:r>
      <w:r w:rsidRPr="003B3C70">
        <w:rPr>
          <w:rFonts w:asciiTheme="majorHAnsi" w:hAnsiTheme="majorHAnsi"/>
          <w:bCs/>
          <w:sz w:val="20"/>
          <w:szCs w:val="20"/>
        </w:rPr>
        <w:t>. A due diligence in the investigation process requires the authorities to take into account the complexity of the facts, the context and the circumstances in which they occurred and patterns that explain their commission, avoiding omissions in the collection of evidence and track all logical lines of investigatio</w:t>
      </w:r>
      <w:r w:rsidR="00E64205" w:rsidRPr="003B3C70">
        <w:rPr>
          <w:rFonts w:asciiTheme="majorHAnsi" w:hAnsiTheme="majorHAnsi"/>
          <w:bCs/>
          <w:sz w:val="20"/>
          <w:szCs w:val="20"/>
        </w:rPr>
        <w:t>n</w:t>
      </w:r>
      <w:r w:rsidRPr="00326F31">
        <w:rPr>
          <w:rStyle w:val="FootnoteReference"/>
          <w:rFonts w:asciiTheme="majorHAnsi" w:hAnsiTheme="majorHAnsi"/>
          <w:sz w:val="20"/>
          <w:szCs w:val="20"/>
          <w:lang w:val="es-VE"/>
        </w:rPr>
        <w:footnoteReference w:id="183"/>
      </w:r>
      <w:r w:rsidRPr="003B3C70">
        <w:rPr>
          <w:rFonts w:asciiTheme="majorHAnsi" w:hAnsiTheme="majorHAnsi"/>
          <w:sz w:val="20"/>
          <w:szCs w:val="20"/>
        </w:rPr>
        <w:t>.</w:t>
      </w:r>
      <w:r w:rsidRPr="003B3C70">
        <w:rPr>
          <w:rFonts w:asciiTheme="majorHAnsi" w:hAnsiTheme="majorHAnsi"/>
          <w:bCs/>
          <w:sz w:val="20"/>
          <w:szCs w:val="20"/>
        </w:rPr>
        <w:t xml:space="preserve"> Both the IACHR and the Inter-American Court have established that prosecutors, when drawing logical lines of investigation must take into account all the evidentiary material </w:t>
      </w:r>
      <w:r w:rsidR="00B972EF">
        <w:rPr>
          <w:rFonts w:asciiTheme="majorHAnsi" w:hAnsiTheme="majorHAnsi"/>
          <w:bCs/>
          <w:sz w:val="20"/>
          <w:szCs w:val="20"/>
        </w:rPr>
        <w:t>in its possession</w:t>
      </w:r>
      <w:r w:rsidRPr="003B3C70">
        <w:rPr>
          <w:rFonts w:asciiTheme="majorHAnsi" w:hAnsiTheme="majorHAnsi"/>
          <w:bCs/>
          <w:sz w:val="20"/>
          <w:szCs w:val="20"/>
        </w:rPr>
        <w:t>. In that sense, when victims bring to the investigative bodies evidentiary material, they should be valued by State bodies to develop the research hypotheses on the obligation of the judicial guarantees</w:t>
      </w:r>
      <w:r w:rsidRPr="00326F31">
        <w:rPr>
          <w:rStyle w:val="FootnoteReference"/>
          <w:rFonts w:asciiTheme="majorHAnsi" w:hAnsiTheme="majorHAnsi"/>
          <w:sz w:val="20"/>
          <w:szCs w:val="20"/>
          <w:lang w:val="es-VE"/>
        </w:rPr>
        <w:footnoteReference w:id="184"/>
      </w:r>
      <w:r w:rsidRPr="003B3C70">
        <w:rPr>
          <w:rFonts w:asciiTheme="majorHAnsi" w:hAnsiTheme="majorHAnsi"/>
          <w:sz w:val="20"/>
          <w:szCs w:val="20"/>
        </w:rPr>
        <w:t>.</w:t>
      </w:r>
    </w:p>
    <w:p w14:paraId="30F68A3E" w14:textId="77777777" w:rsidR="003B3C70" w:rsidRDefault="003B3C70" w:rsidP="003B3C70">
      <w:pPr>
        <w:pStyle w:val="ListParagraph"/>
        <w:rPr>
          <w:rFonts w:asciiTheme="majorHAnsi" w:hAnsiTheme="majorHAnsi"/>
          <w:bCs/>
          <w:sz w:val="20"/>
          <w:szCs w:val="20"/>
        </w:rPr>
      </w:pPr>
    </w:p>
    <w:p w14:paraId="2B21D726" w14:textId="2A19976D" w:rsidR="003B3C70" w:rsidRPr="003B3C70" w:rsidRDefault="002E607F"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hAnsiTheme="majorHAnsi"/>
          <w:bCs/>
          <w:sz w:val="20"/>
          <w:szCs w:val="20"/>
        </w:rPr>
        <w:t xml:space="preserve">The Commission notes that the judicial authorities who examined the claims did not consider the hypothesis concerning the use of the power to terminate the employment under the contract clause as a mean of retaliation against the victims for their participation in the recall referendum petition. The proceedings were limited to collecting the testimony of the three victims and </w:t>
      </w:r>
      <w:r w:rsidR="00B972EF">
        <w:rPr>
          <w:rFonts w:asciiTheme="majorHAnsi" w:hAnsiTheme="majorHAnsi"/>
          <w:bCs/>
          <w:sz w:val="20"/>
          <w:szCs w:val="20"/>
        </w:rPr>
        <w:t xml:space="preserve">the </w:t>
      </w:r>
      <w:r w:rsidRPr="003B3C70">
        <w:rPr>
          <w:rFonts w:asciiTheme="majorHAnsi" w:hAnsiTheme="majorHAnsi"/>
          <w:bCs/>
          <w:sz w:val="20"/>
          <w:szCs w:val="20"/>
        </w:rPr>
        <w:t xml:space="preserve">then Executive Secretary of the National Border Council, omitting the realization of other fundamental steps to check the allegation of discrimination. In such proceedings the Commission would consider: i) To receive the statement of the then President of the National Border Council José Vicente Rangel Vale who terminated the contracts of the alleged </w:t>
      </w:r>
      <w:r w:rsidRPr="003B3C70">
        <w:rPr>
          <w:rFonts w:asciiTheme="majorHAnsi" w:hAnsiTheme="majorHAnsi"/>
          <w:bCs/>
          <w:sz w:val="20"/>
          <w:szCs w:val="20"/>
        </w:rPr>
        <w:lastRenderedPageBreak/>
        <w:t>victims with the National Border Council and who was accused of having exercised such power arbitrarily, ii) Conducting an interview with Jorge Guerra Navarro, employee of the National Border Council, whose contract would have been terminated</w:t>
      </w:r>
      <w:r w:rsidR="005E6C10" w:rsidRPr="003B3C70">
        <w:rPr>
          <w:rFonts w:asciiTheme="majorHAnsi" w:hAnsiTheme="majorHAnsi"/>
          <w:bCs/>
          <w:sz w:val="20"/>
          <w:szCs w:val="20"/>
        </w:rPr>
        <w:t xml:space="preserve"> </w:t>
      </w:r>
      <w:r w:rsidRPr="003B3C70">
        <w:rPr>
          <w:rFonts w:asciiTheme="majorHAnsi" w:hAnsiTheme="majorHAnsi"/>
          <w:bCs/>
          <w:sz w:val="20"/>
          <w:szCs w:val="20"/>
        </w:rPr>
        <w:t xml:space="preserve">but was kept in his post for allegedly committing to withdraw his signature in the process of challenge; iii) call to testify people of the staff to the National Border Council, who could have testified about the facts of the case and the context in the National Border Council; and iv) requesting the payroll of the National Border Council for 2003 and the list of signatories of the petition for a </w:t>
      </w:r>
      <w:r w:rsidR="003B3C70">
        <w:rPr>
          <w:rFonts w:asciiTheme="majorHAnsi" w:hAnsiTheme="majorHAnsi"/>
          <w:bCs/>
          <w:sz w:val="20"/>
          <w:szCs w:val="20"/>
        </w:rPr>
        <w:t xml:space="preserve">presidential </w:t>
      </w:r>
      <w:r w:rsidRPr="003B3C70">
        <w:rPr>
          <w:rFonts w:asciiTheme="majorHAnsi" w:hAnsiTheme="majorHAnsi"/>
          <w:bCs/>
          <w:sz w:val="20"/>
          <w:szCs w:val="20"/>
        </w:rPr>
        <w:t>recall referendum.</w:t>
      </w:r>
    </w:p>
    <w:p w14:paraId="70E85B1B" w14:textId="77777777" w:rsidR="003B3C70" w:rsidRDefault="003B3C70" w:rsidP="003B3C70">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rPr>
      </w:pPr>
    </w:p>
    <w:p w14:paraId="30E2D25F" w14:textId="75EC9A34" w:rsidR="003B3C70" w:rsidRDefault="002E607F"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hAnsiTheme="majorHAnsi"/>
          <w:bCs/>
          <w:sz w:val="20"/>
          <w:szCs w:val="20"/>
        </w:rPr>
        <w:t xml:space="preserve">In this regard, the Commission considers that neither under the </w:t>
      </w:r>
      <w:r w:rsidRPr="003B3C70">
        <w:rPr>
          <w:rFonts w:asciiTheme="majorHAnsi" w:hAnsiTheme="majorHAnsi"/>
          <w:bCs/>
          <w:i/>
          <w:sz w:val="20"/>
          <w:szCs w:val="20"/>
        </w:rPr>
        <w:t>amparo</w:t>
      </w:r>
      <w:r w:rsidR="00B972EF">
        <w:rPr>
          <w:rFonts w:asciiTheme="majorHAnsi" w:hAnsiTheme="majorHAnsi"/>
          <w:bCs/>
          <w:sz w:val="20"/>
          <w:szCs w:val="20"/>
        </w:rPr>
        <w:t xml:space="preserve"> remedy, nor</w:t>
      </w:r>
      <w:r w:rsidRPr="003B3C70">
        <w:rPr>
          <w:rFonts w:asciiTheme="majorHAnsi" w:hAnsiTheme="majorHAnsi"/>
          <w:bCs/>
          <w:sz w:val="20"/>
          <w:szCs w:val="20"/>
        </w:rPr>
        <w:t xml:space="preserve"> under </w:t>
      </w:r>
      <w:r w:rsidR="00B972EF">
        <w:rPr>
          <w:rFonts w:asciiTheme="majorHAnsi" w:hAnsiTheme="majorHAnsi"/>
          <w:bCs/>
          <w:sz w:val="20"/>
          <w:szCs w:val="20"/>
        </w:rPr>
        <w:t xml:space="preserve">the </w:t>
      </w:r>
      <w:r w:rsidRPr="003B3C70">
        <w:rPr>
          <w:rFonts w:asciiTheme="majorHAnsi" w:hAnsiTheme="majorHAnsi"/>
          <w:bCs/>
          <w:sz w:val="20"/>
          <w:szCs w:val="20"/>
        </w:rPr>
        <w:t>criminal investigation, the judicial authorities examined properly the allegation of disguised discrimination, limiting</w:t>
      </w:r>
      <w:r w:rsidR="00B972EF">
        <w:rPr>
          <w:rFonts w:asciiTheme="majorHAnsi" w:hAnsiTheme="majorHAnsi"/>
          <w:bCs/>
          <w:sz w:val="20"/>
          <w:szCs w:val="20"/>
        </w:rPr>
        <w:t xml:space="preserve"> themselves</w:t>
      </w:r>
      <w:r w:rsidRPr="003B3C70">
        <w:rPr>
          <w:rFonts w:asciiTheme="majorHAnsi" w:hAnsiTheme="majorHAnsi"/>
          <w:bCs/>
          <w:sz w:val="20"/>
          <w:szCs w:val="20"/>
        </w:rPr>
        <w:t xml:space="preserve"> to verify the formal justification given by the authorities, placing all the burden of proof on the victims, for a fact that, by its very nature, can hardly have direct or "reliable" evidence, as indicated by the authority who heard the </w:t>
      </w:r>
      <w:r w:rsidRPr="003B3C70">
        <w:rPr>
          <w:rFonts w:asciiTheme="majorHAnsi" w:hAnsiTheme="majorHAnsi"/>
          <w:bCs/>
          <w:i/>
          <w:sz w:val="20"/>
          <w:szCs w:val="20"/>
        </w:rPr>
        <w:t xml:space="preserve">amparo </w:t>
      </w:r>
      <w:r w:rsidRPr="003B3C70">
        <w:rPr>
          <w:rFonts w:asciiTheme="majorHAnsi" w:hAnsiTheme="majorHAnsi"/>
          <w:bCs/>
          <w:sz w:val="20"/>
          <w:szCs w:val="20"/>
        </w:rPr>
        <w:t>claim.</w:t>
      </w:r>
      <w:r w:rsidR="00D6022F" w:rsidRPr="003B3C70">
        <w:rPr>
          <w:rFonts w:asciiTheme="majorHAnsi" w:hAnsiTheme="majorHAnsi"/>
          <w:bCs/>
          <w:sz w:val="20"/>
          <w:szCs w:val="20"/>
        </w:rPr>
        <w:t xml:space="preserve"> </w:t>
      </w:r>
    </w:p>
    <w:p w14:paraId="7B5990C4" w14:textId="77777777" w:rsidR="003B3C70" w:rsidRDefault="003B3C70" w:rsidP="003B3C70">
      <w:pPr>
        <w:pStyle w:val="ListParagraph"/>
        <w:rPr>
          <w:rFonts w:asciiTheme="majorHAnsi" w:hAnsiTheme="majorHAnsi"/>
          <w:sz w:val="20"/>
          <w:szCs w:val="20"/>
        </w:rPr>
      </w:pPr>
    </w:p>
    <w:p w14:paraId="45713CFC" w14:textId="3E282430" w:rsidR="003B3C70" w:rsidRDefault="002E607F"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hAnsiTheme="majorHAnsi"/>
          <w:sz w:val="20"/>
          <w:szCs w:val="20"/>
        </w:rPr>
        <w:t>The Commission further notes that in the context of the criminal investigation, the victims filed an appeal against the decision of dismissal. By raising the appeal, they argued that the decision to dismiss erred in law in concluding ""even if it had been that way (if it had been confirmed that the reason for the termination of the contract was voting in the recall referendum) neither such allegations constitute offenses”</w:t>
      </w:r>
      <w:r w:rsidRPr="003B3C70">
        <w:rPr>
          <w:rFonts w:asciiTheme="majorHAnsi" w:hAnsiTheme="majorHAnsi"/>
          <w:sz w:val="20"/>
          <w:szCs w:val="20"/>
          <w:vertAlign w:val="superscript"/>
        </w:rPr>
        <w:t xml:space="preserve"> </w:t>
      </w:r>
      <w:r w:rsidRPr="003B3C70">
        <w:rPr>
          <w:rFonts w:asciiTheme="majorHAnsi" w:hAnsiTheme="majorHAnsi"/>
          <w:sz w:val="20"/>
          <w:szCs w:val="20"/>
        </w:rPr>
        <w:t xml:space="preserve">indicating that the facts do constitute offenses under articles 203, 166, 175, 254, 286 of the Criminal Code, 256 of the Law of Suffrage and Political Participation and 68 of the Anti-Corruption Act, also arguing that if wasn’t </w:t>
      </w:r>
      <w:r w:rsidR="00D13CA7">
        <w:rPr>
          <w:rFonts w:asciiTheme="majorHAnsi" w:hAnsiTheme="majorHAnsi"/>
          <w:sz w:val="20"/>
          <w:szCs w:val="20"/>
        </w:rPr>
        <w:t>proved</w:t>
      </w:r>
      <w:r w:rsidRPr="003B3C70">
        <w:rPr>
          <w:rFonts w:asciiTheme="majorHAnsi" w:hAnsiTheme="majorHAnsi"/>
          <w:sz w:val="20"/>
          <w:szCs w:val="20"/>
        </w:rPr>
        <w:t xml:space="preserve"> that the reason for the termination of </w:t>
      </w:r>
      <w:r w:rsidR="00D13CA7">
        <w:rPr>
          <w:rFonts w:asciiTheme="majorHAnsi" w:hAnsiTheme="majorHAnsi"/>
          <w:sz w:val="20"/>
          <w:szCs w:val="20"/>
        </w:rPr>
        <w:t xml:space="preserve">the </w:t>
      </w:r>
      <w:r w:rsidRPr="003B3C70">
        <w:rPr>
          <w:rFonts w:asciiTheme="majorHAnsi" w:hAnsiTheme="majorHAnsi"/>
          <w:sz w:val="20"/>
          <w:szCs w:val="20"/>
        </w:rPr>
        <w:t>contracts was the participation in the recall referendum, it was precisely because the prosecution did not develop a proper investigation.</w:t>
      </w:r>
    </w:p>
    <w:p w14:paraId="635428E2" w14:textId="77777777" w:rsidR="003B3C70" w:rsidRDefault="003B3C70" w:rsidP="003B3C70">
      <w:pPr>
        <w:pStyle w:val="ListParagraph"/>
        <w:rPr>
          <w:rFonts w:asciiTheme="majorHAnsi" w:hAnsiTheme="majorHAnsi"/>
          <w:sz w:val="20"/>
          <w:szCs w:val="20"/>
        </w:rPr>
      </w:pPr>
    </w:p>
    <w:p w14:paraId="2B966279" w14:textId="77777777" w:rsidR="003B3C70" w:rsidRDefault="00FD0371"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hAnsiTheme="majorHAnsi"/>
          <w:sz w:val="20"/>
          <w:szCs w:val="20"/>
        </w:rPr>
        <w:t>The Commission emphasizes that in the decision to deny the appeal, the Court of Appeals did not address the allegations of the alleged victims and merely stated that "it is impossible to demand of the Public Ministry (owner criminal action by excellence), to present a different final action other than the one already exercised (dismissal of this case) (...)“</w:t>
      </w:r>
      <w:r w:rsidRPr="00326F31">
        <w:rPr>
          <w:rStyle w:val="FootnoteReference"/>
          <w:rFonts w:asciiTheme="majorHAnsi" w:hAnsiTheme="majorHAnsi"/>
          <w:sz w:val="20"/>
          <w:szCs w:val="20"/>
          <w:lang w:val="es-ES"/>
        </w:rPr>
        <w:footnoteReference w:id="185"/>
      </w:r>
      <w:r w:rsidRPr="003B3C70">
        <w:rPr>
          <w:rFonts w:asciiTheme="majorHAnsi" w:hAnsiTheme="majorHAnsi"/>
          <w:sz w:val="20"/>
          <w:szCs w:val="20"/>
        </w:rPr>
        <w:t>.The Commission notes that Article 447 of the Criminal Procedure Code provides the possibility of challenging decisions that "end the process or make it impossible to continue"</w:t>
      </w:r>
      <w:r w:rsidRPr="00326F31">
        <w:rPr>
          <w:rStyle w:val="FootnoteReference"/>
          <w:rFonts w:asciiTheme="majorHAnsi" w:hAnsiTheme="majorHAnsi"/>
          <w:sz w:val="20"/>
          <w:szCs w:val="20"/>
          <w:lang w:val="es-VE"/>
        </w:rPr>
        <w:footnoteReference w:id="186"/>
      </w:r>
      <w:r w:rsidRPr="003B3C70">
        <w:rPr>
          <w:rFonts w:asciiTheme="majorHAnsi" w:hAnsiTheme="majorHAnsi"/>
          <w:sz w:val="20"/>
          <w:szCs w:val="20"/>
        </w:rPr>
        <w:t>.</w:t>
      </w:r>
    </w:p>
    <w:p w14:paraId="68BD2B94" w14:textId="77777777" w:rsidR="003B3C70" w:rsidRDefault="003B3C70" w:rsidP="003B3C70">
      <w:pPr>
        <w:pStyle w:val="ListParagraph"/>
        <w:rPr>
          <w:rFonts w:asciiTheme="majorHAnsi" w:hAnsiTheme="majorHAnsi"/>
          <w:sz w:val="20"/>
          <w:szCs w:val="20"/>
        </w:rPr>
      </w:pPr>
    </w:p>
    <w:p w14:paraId="1AA7CE60" w14:textId="77777777" w:rsidR="003B3C70" w:rsidRDefault="00215CB1"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hAnsiTheme="majorHAnsi"/>
          <w:sz w:val="20"/>
          <w:szCs w:val="20"/>
        </w:rPr>
        <w:t xml:space="preserve">In this respect, the Commission recalls that Article 25.1 of the American Convention establishes </w:t>
      </w:r>
      <w:r w:rsidR="00B000E6" w:rsidRPr="003B3C70">
        <w:rPr>
          <w:rFonts w:asciiTheme="majorHAnsi" w:hAnsiTheme="majorHAnsi"/>
          <w:sz w:val="20"/>
          <w:szCs w:val="20"/>
        </w:rPr>
        <w:t>the obligation of the States Parties to ensure to all persons subject to their jurisdiction an effective judicial remedy</w:t>
      </w:r>
      <w:r w:rsidR="00B000E6" w:rsidRPr="00326F31">
        <w:rPr>
          <w:rStyle w:val="FootnoteReference"/>
          <w:rFonts w:asciiTheme="majorHAnsi" w:hAnsiTheme="majorHAnsi"/>
          <w:sz w:val="20"/>
          <w:szCs w:val="20"/>
          <w:lang w:val="es-VE"/>
        </w:rPr>
        <w:footnoteReference w:id="187"/>
      </w:r>
      <w:r w:rsidR="00B000E6" w:rsidRPr="003B3C70">
        <w:rPr>
          <w:rFonts w:asciiTheme="majorHAnsi" w:hAnsiTheme="majorHAnsi"/>
          <w:sz w:val="20"/>
          <w:szCs w:val="20"/>
        </w:rPr>
        <w:t xml:space="preserve"> which supposes that, in addition to the formal existence of remedies, these obtain results or responses to the violations of the rights established in the Convention, the Constitution, or by law</w:t>
      </w:r>
      <w:r w:rsidR="00B000E6" w:rsidRPr="00326F31">
        <w:rPr>
          <w:rStyle w:val="FootnoteReference"/>
          <w:rFonts w:asciiTheme="majorHAnsi" w:hAnsiTheme="majorHAnsi"/>
          <w:sz w:val="20"/>
          <w:szCs w:val="20"/>
          <w:lang w:val="es-VE"/>
        </w:rPr>
        <w:footnoteReference w:id="188"/>
      </w:r>
      <w:r w:rsidR="00B000E6" w:rsidRPr="003B3C70">
        <w:rPr>
          <w:rFonts w:asciiTheme="majorHAnsi" w:hAnsiTheme="majorHAnsi"/>
          <w:sz w:val="20"/>
          <w:szCs w:val="20"/>
        </w:rPr>
        <w:t>.</w:t>
      </w:r>
    </w:p>
    <w:p w14:paraId="7E3111AA" w14:textId="77777777" w:rsidR="003B3C70" w:rsidRDefault="003B3C70" w:rsidP="003B3C70">
      <w:pPr>
        <w:pStyle w:val="ListParagraph"/>
        <w:rPr>
          <w:rFonts w:asciiTheme="majorHAnsi" w:hAnsiTheme="majorHAnsi"/>
          <w:sz w:val="20"/>
          <w:szCs w:val="20"/>
        </w:rPr>
      </w:pPr>
    </w:p>
    <w:p w14:paraId="1C0F364E" w14:textId="77777777" w:rsidR="003B3C70" w:rsidRDefault="00B000E6"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hAnsiTheme="majorHAnsi"/>
          <w:sz w:val="20"/>
          <w:szCs w:val="20"/>
        </w:rPr>
        <w:t xml:space="preserve">The Commission considers </w:t>
      </w:r>
      <w:proofErr w:type="gramStart"/>
      <w:r w:rsidRPr="003B3C70">
        <w:rPr>
          <w:rFonts w:asciiTheme="majorHAnsi" w:hAnsiTheme="majorHAnsi"/>
          <w:sz w:val="20"/>
          <w:szCs w:val="20"/>
        </w:rPr>
        <w:t>that the appeal in this case, by not ruling nor containing adequate motivation for understanding that the arguments of the victims were duly considered, as well as the reasons of their irrelevance, did not constitute an</w:t>
      </w:r>
      <w:r w:rsidR="008E0794" w:rsidRPr="003B3C70">
        <w:rPr>
          <w:rFonts w:asciiTheme="majorHAnsi" w:hAnsiTheme="majorHAnsi"/>
          <w:sz w:val="20"/>
          <w:szCs w:val="20"/>
        </w:rPr>
        <w:t xml:space="preserve"> effective remedy to examine </w:t>
      </w:r>
      <w:r w:rsidRPr="003B3C70">
        <w:rPr>
          <w:rFonts w:asciiTheme="majorHAnsi" w:hAnsiTheme="majorHAnsi"/>
          <w:sz w:val="20"/>
          <w:szCs w:val="20"/>
        </w:rPr>
        <w:t>the decision to dismiss</w:t>
      </w:r>
      <w:proofErr w:type="gramEnd"/>
      <w:r w:rsidR="008E0794" w:rsidRPr="003B3C70">
        <w:rPr>
          <w:rFonts w:asciiTheme="majorHAnsi" w:hAnsiTheme="majorHAnsi"/>
          <w:sz w:val="20"/>
          <w:szCs w:val="20"/>
        </w:rPr>
        <w:t>.</w:t>
      </w:r>
    </w:p>
    <w:p w14:paraId="2004C92A" w14:textId="77777777" w:rsidR="003B3C70" w:rsidRDefault="003B3C70" w:rsidP="003B3C70">
      <w:pPr>
        <w:pStyle w:val="ListParagraph"/>
        <w:rPr>
          <w:rFonts w:asciiTheme="majorHAnsi" w:hAnsiTheme="majorHAnsi"/>
          <w:sz w:val="20"/>
          <w:szCs w:val="20"/>
        </w:rPr>
      </w:pPr>
    </w:p>
    <w:p w14:paraId="5490EEBD" w14:textId="00078B6F" w:rsidR="00D6022F" w:rsidRPr="00D87B8E" w:rsidRDefault="00B000E6" w:rsidP="003B3C70">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rPr>
      </w:pPr>
      <w:r w:rsidRPr="003B3C70">
        <w:rPr>
          <w:rFonts w:asciiTheme="majorHAnsi" w:hAnsiTheme="majorHAnsi"/>
          <w:sz w:val="20"/>
          <w:szCs w:val="20"/>
        </w:rPr>
        <w:t xml:space="preserve">In light of all the above considerations the Commission concludes that neither the </w:t>
      </w:r>
      <w:r w:rsidRPr="003B3C70">
        <w:rPr>
          <w:rFonts w:asciiTheme="majorHAnsi" w:hAnsiTheme="majorHAnsi"/>
          <w:i/>
          <w:sz w:val="20"/>
          <w:szCs w:val="20"/>
        </w:rPr>
        <w:t>amparo</w:t>
      </w:r>
      <w:r w:rsidRPr="003B3C70">
        <w:rPr>
          <w:rFonts w:asciiTheme="majorHAnsi" w:hAnsiTheme="majorHAnsi"/>
          <w:sz w:val="20"/>
          <w:szCs w:val="20"/>
        </w:rPr>
        <w:t xml:space="preserve"> remedy, nor the criminal investigation, including the appeal against the dismissal, constituted effective remedies to deal with </w:t>
      </w:r>
      <w:r w:rsidR="00D13CA7">
        <w:rPr>
          <w:rFonts w:asciiTheme="majorHAnsi" w:hAnsiTheme="majorHAnsi"/>
          <w:sz w:val="20"/>
          <w:szCs w:val="20"/>
        </w:rPr>
        <w:t xml:space="preserve">the </w:t>
      </w:r>
      <w:r w:rsidRPr="003B3C70">
        <w:rPr>
          <w:rFonts w:asciiTheme="majorHAnsi" w:hAnsiTheme="majorHAnsi"/>
          <w:sz w:val="20"/>
          <w:szCs w:val="20"/>
        </w:rPr>
        <w:t xml:space="preserve">alleged misuse of power materialized in covert discrimination. Consequently, the Commission concludes that the State of Venezuela is responsible for the violation of the rights to judicial guarantees and judicial protection established in Articles 8.1 and 25.1 of the American Convention in relation </w:t>
      </w:r>
      <w:r w:rsidRPr="003B3C70">
        <w:rPr>
          <w:rFonts w:asciiTheme="majorHAnsi" w:hAnsiTheme="majorHAnsi"/>
          <w:sz w:val="20"/>
          <w:szCs w:val="20"/>
        </w:rPr>
        <w:lastRenderedPageBreak/>
        <w:t>to the obligations under Article 1.1 thereof to the detriment of Rocío San Miguel Sosa, Magally Chang Girón, and Thais Peña Coromoto.</w:t>
      </w:r>
      <w:r w:rsidR="00D6022F" w:rsidRPr="003B3C70">
        <w:rPr>
          <w:rFonts w:asciiTheme="majorHAnsi" w:hAnsiTheme="majorHAnsi"/>
          <w:sz w:val="20"/>
          <w:szCs w:val="20"/>
        </w:rPr>
        <w:t xml:space="preserve"> </w:t>
      </w:r>
    </w:p>
    <w:p w14:paraId="57C458D1" w14:textId="77777777" w:rsidR="00D87B8E" w:rsidRDefault="00D87B8E" w:rsidP="00D87B8E">
      <w:pPr>
        <w:pStyle w:val="ListParagraph"/>
        <w:rPr>
          <w:rFonts w:asciiTheme="majorHAnsi" w:eastAsia="Times New Roman" w:hAnsiTheme="majorHAnsi"/>
          <w:sz w:val="20"/>
          <w:szCs w:val="20"/>
        </w:rPr>
      </w:pPr>
    </w:p>
    <w:p w14:paraId="6F6383CE" w14:textId="77777777" w:rsidR="00D87B8E" w:rsidRDefault="00D87B8E" w:rsidP="00D87B8E">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rPr>
      </w:pPr>
    </w:p>
    <w:p w14:paraId="229021D2" w14:textId="77777777" w:rsidR="00D87B8E" w:rsidRPr="003B3C70" w:rsidRDefault="00D87B8E" w:rsidP="00D87B8E">
      <w:pPr>
        <w:pBdr>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rPr>
      </w:pPr>
    </w:p>
    <w:p w14:paraId="5723A798" w14:textId="77777777" w:rsidR="00D6022F" w:rsidRPr="00326F31" w:rsidRDefault="00D6022F" w:rsidP="00326F31">
      <w:pPr>
        <w:jc w:val="both"/>
        <w:rPr>
          <w:rFonts w:asciiTheme="majorHAnsi" w:eastAsia="Times New Roman" w:hAnsiTheme="majorHAnsi"/>
          <w:b/>
          <w:sz w:val="20"/>
          <w:szCs w:val="20"/>
        </w:rPr>
      </w:pPr>
    </w:p>
    <w:p w14:paraId="0DE15162" w14:textId="1F325C92" w:rsidR="00D6022F" w:rsidRPr="00326F31" w:rsidRDefault="0075543C" w:rsidP="00D61FF7">
      <w:pPr>
        <w:pStyle w:val="ListParagraph"/>
        <w:numPr>
          <w:ilvl w:val="0"/>
          <w:numId w:val="65"/>
        </w:numPr>
        <w:ind w:left="1440" w:hanging="720"/>
        <w:jc w:val="both"/>
        <w:rPr>
          <w:rFonts w:asciiTheme="majorHAnsi" w:eastAsia="Times New Roman" w:hAnsiTheme="majorHAnsi"/>
          <w:b/>
          <w:sz w:val="20"/>
          <w:szCs w:val="20"/>
        </w:rPr>
      </w:pPr>
      <w:r w:rsidRPr="00326F31">
        <w:rPr>
          <w:rFonts w:asciiTheme="majorHAnsi" w:eastAsia="Times New Roman" w:hAnsiTheme="majorHAnsi"/>
          <w:b/>
          <w:sz w:val="20"/>
          <w:szCs w:val="20"/>
        </w:rPr>
        <w:t xml:space="preserve">Reasonable time analysis of the </w:t>
      </w:r>
      <w:r w:rsidRPr="00326F31">
        <w:rPr>
          <w:rFonts w:asciiTheme="majorHAnsi" w:eastAsia="Times New Roman" w:hAnsiTheme="majorHAnsi"/>
          <w:b/>
          <w:i/>
          <w:sz w:val="20"/>
          <w:szCs w:val="20"/>
        </w:rPr>
        <w:t>amparo</w:t>
      </w:r>
      <w:r w:rsidRPr="00326F31">
        <w:rPr>
          <w:rFonts w:asciiTheme="majorHAnsi" w:eastAsia="Times New Roman" w:hAnsiTheme="majorHAnsi"/>
          <w:b/>
          <w:sz w:val="20"/>
          <w:szCs w:val="20"/>
        </w:rPr>
        <w:t xml:space="preserve"> remedy</w:t>
      </w:r>
    </w:p>
    <w:p w14:paraId="7838882C" w14:textId="77777777" w:rsidR="000603D5" w:rsidRPr="00C9052E" w:rsidRDefault="000603D5" w:rsidP="00326F31">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bCs/>
          <w:sz w:val="20"/>
          <w:szCs w:val="20"/>
        </w:rPr>
      </w:pPr>
    </w:p>
    <w:p w14:paraId="33D53709" w14:textId="1DF39784" w:rsidR="00005228" w:rsidRDefault="000603D5" w:rsidP="00005228">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005228">
        <w:rPr>
          <w:rFonts w:asciiTheme="majorHAnsi" w:hAnsiTheme="majorHAnsi"/>
          <w:sz w:val="20"/>
          <w:szCs w:val="20"/>
        </w:rPr>
        <w:t>T</w:t>
      </w:r>
      <w:r w:rsidR="00D13CA7">
        <w:rPr>
          <w:rFonts w:asciiTheme="majorHAnsi" w:hAnsiTheme="majorHAnsi"/>
          <w:sz w:val="20"/>
          <w:szCs w:val="20"/>
        </w:rPr>
        <w:t>he Commission will now consider</w:t>
      </w:r>
      <w:r w:rsidRPr="00005228">
        <w:rPr>
          <w:rFonts w:asciiTheme="majorHAnsi" w:hAnsiTheme="majorHAnsi"/>
          <w:sz w:val="20"/>
          <w:szCs w:val="20"/>
        </w:rPr>
        <w:t xml:space="preserve"> whether in the processing of the amparo remedy the State respected the guarantee of reasonable time. The amparo was filed on July 22, 2004 and finally solved on September 9, 2005, that is, 14 months later.</w:t>
      </w:r>
    </w:p>
    <w:p w14:paraId="2BD8077F" w14:textId="77777777" w:rsidR="00005228" w:rsidRDefault="00005228" w:rsidP="00005228">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027F8567" w14:textId="77777777" w:rsidR="00005228" w:rsidRDefault="000603D5" w:rsidP="00005228">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005228">
        <w:rPr>
          <w:rFonts w:asciiTheme="majorHAnsi" w:hAnsiTheme="majorHAnsi"/>
          <w:sz w:val="20"/>
          <w:szCs w:val="20"/>
        </w:rPr>
        <w:t>The Inter-American Court jurisprudence has found that it is necessary to take into account four elements to determine the fairness of such term: a) the complexity of the matter, b) the procedural activity of the interested party, c) the conduct of judicial authorities, and d) the impairment to the legal situation of the person involved in the proceedings</w:t>
      </w:r>
      <w:r w:rsidRPr="00326F31">
        <w:rPr>
          <w:rStyle w:val="FootnoteReference"/>
          <w:rFonts w:asciiTheme="majorHAnsi" w:hAnsiTheme="majorHAnsi"/>
          <w:bCs/>
          <w:sz w:val="20"/>
          <w:szCs w:val="20"/>
          <w:lang w:val="es-EC"/>
        </w:rPr>
        <w:footnoteReference w:id="189"/>
      </w:r>
      <w:r w:rsidRPr="00005228">
        <w:rPr>
          <w:rFonts w:asciiTheme="majorHAnsi" w:hAnsiTheme="majorHAnsi"/>
          <w:bCs/>
          <w:sz w:val="20"/>
          <w:szCs w:val="20"/>
        </w:rPr>
        <w:t>.</w:t>
      </w:r>
    </w:p>
    <w:p w14:paraId="7A420D27" w14:textId="77777777" w:rsidR="00005228" w:rsidRDefault="00005228" w:rsidP="00005228">
      <w:pPr>
        <w:pStyle w:val="ListParagraph"/>
        <w:rPr>
          <w:rFonts w:asciiTheme="majorHAnsi" w:hAnsiTheme="majorHAnsi"/>
          <w:sz w:val="20"/>
          <w:szCs w:val="20"/>
        </w:rPr>
      </w:pPr>
    </w:p>
    <w:p w14:paraId="587AEF76" w14:textId="4F0A878D" w:rsidR="00005228" w:rsidRDefault="000603D5" w:rsidP="00005228">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005228">
        <w:rPr>
          <w:rFonts w:asciiTheme="majorHAnsi" w:hAnsiTheme="majorHAnsi"/>
          <w:sz w:val="20"/>
          <w:szCs w:val="20"/>
        </w:rPr>
        <w:t xml:space="preserve">With regard to the complexity of the matter, the Commission notes that the </w:t>
      </w:r>
      <w:r w:rsidRPr="00005228">
        <w:rPr>
          <w:rFonts w:asciiTheme="majorHAnsi" w:hAnsiTheme="majorHAnsi"/>
          <w:i/>
          <w:sz w:val="20"/>
          <w:szCs w:val="20"/>
        </w:rPr>
        <w:t xml:space="preserve">amparo </w:t>
      </w:r>
      <w:r w:rsidRPr="00005228">
        <w:rPr>
          <w:rFonts w:asciiTheme="majorHAnsi" w:hAnsiTheme="majorHAnsi"/>
          <w:sz w:val="20"/>
          <w:szCs w:val="20"/>
        </w:rPr>
        <w:t xml:space="preserve">remedy filed against the National Border Council seek for the Court to declare that the administrative act of dismissal was a violation of the right to equality before the law, to the guarantee of non-discrimination, and of labor rights and job </w:t>
      </w:r>
      <w:r w:rsidR="00D13CA7">
        <w:rPr>
          <w:rFonts w:asciiTheme="majorHAnsi" w:hAnsiTheme="majorHAnsi"/>
          <w:sz w:val="20"/>
          <w:szCs w:val="20"/>
        </w:rPr>
        <w:t>stability</w:t>
      </w:r>
      <w:r w:rsidRPr="00005228">
        <w:rPr>
          <w:rFonts w:asciiTheme="majorHAnsi" w:hAnsiTheme="majorHAnsi"/>
          <w:sz w:val="20"/>
          <w:szCs w:val="20"/>
        </w:rPr>
        <w:t xml:space="preserve">, as well as the restitution of the alleged victims to their jobs. Although, as noted above, cases of misuse of power or covert discrimination may take some complexity, especially in terms of evidence, the Commission notes that the judicial proceedings of </w:t>
      </w:r>
      <w:r w:rsidRPr="00005228">
        <w:rPr>
          <w:rFonts w:asciiTheme="majorHAnsi" w:hAnsiTheme="majorHAnsi"/>
          <w:i/>
          <w:sz w:val="20"/>
          <w:szCs w:val="20"/>
        </w:rPr>
        <w:t>amparo</w:t>
      </w:r>
      <w:r w:rsidRPr="00005228">
        <w:rPr>
          <w:rFonts w:asciiTheme="majorHAnsi" w:hAnsiTheme="majorHAnsi"/>
          <w:sz w:val="20"/>
          <w:szCs w:val="20"/>
        </w:rPr>
        <w:t xml:space="preserve"> filed by the victims was very specific, since it consisted of the </w:t>
      </w:r>
      <w:r w:rsidRPr="00005228">
        <w:rPr>
          <w:rFonts w:asciiTheme="majorHAnsi" w:hAnsiTheme="majorHAnsi"/>
          <w:i/>
          <w:sz w:val="20"/>
          <w:szCs w:val="20"/>
        </w:rPr>
        <w:t>amparo</w:t>
      </w:r>
      <w:r w:rsidRPr="00005228">
        <w:rPr>
          <w:rFonts w:asciiTheme="majorHAnsi" w:hAnsiTheme="majorHAnsi"/>
          <w:sz w:val="20"/>
          <w:szCs w:val="20"/>
        </w:rPr>
        <w:t xml:space="preserve"> presentation accompanied by the supporting documents. The Commission has no information on </w:t>
      </w:r>
      <w:r w:rsidR="00005228">
        <w:rPr>
          <w:rFonts w:asciiTheme="majorHAnsi" w:hAnsiTheme="majorHAnsi"/>
          <w:sz w:val="20"/>
          <w:szCs w:val="20"/>
        </w:rPr>
        <w:t xml:space="preserve">a relevant evidentiary </w:t>
      </w:r>
      <w:r w:rsidR="00005228" w:rsidRPr="00005228">
        <w:rPr>
          <w:rFonts w:asciiTheme="majorHAnsi" w:hAnsiTheme="majorHAnsi"/>
          <w:sz w:val="20"/>
          <w:szCs w:val="20"/>
        </w:rPr>
        <w:t>display</w:t>
      </w:r>
      <w:r w:rsidRPr="00005228">
        <w:rPr>
          <w:rFonts w:asciiTheme="majorHAnsi" w:hAnsiTheme="majorHAnsi"/>
          <w:sz w:val="20"/>
          <w:szCs w:val="20"/>
        </w:rPr>
        <w:t xml:space="preserve"> that could justify the delay of 14 months to rule on an appeal. Consequently, the Commission considers that the State did not prove that the delay was attributable to the complexity of the case.</w:t>
      </w:r>
    </w:p>
    <w:p w14:paraId="0B05EDCE" w14:textId="77777777" w:rsidR="00005228" w:rsidRDefault="00005228" w:rsidP="00005228">
      <w:pPr>
        <w:pStyle w:val="ListParagraph"/>
        <w:rPr>
          <w:rFonts w:asciiTheme="majorHAnsi" w:hAnsiTheme="majorHAnsi"/>
          <w:sz w:val="20"/>
          <w:szCs w:val="20"/>
        </w:rPr>
      </w:pPr>
    </w:p>
    <w:p w14:paraId="7384E9A2" w14:textId="77777777" w:rsidR="00005228" w:rsidRDefault="005C4F98" w:rsidP="00005228">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005228">
        <w:rPr>
          <w:rFonts w:asciiTheme="majorHAnsi" w:hAnsiTheme="majorHAnsi"/>
          <w:sz w:val="20"/>
          <w:szCs w:val="20"/>
        </w:rPr>
        <w:t xml:space="preserve">Regarding the procedural activity of the interested party, the petitioners filed the </w:t>
      </w:r>
      <w:r w:rsidRPr="00005228">
        <w:rPr>
          <w:rFonts w:asciiTheme="majorHAnsi" w:hAnsiTheme="majorHAnsi"/>
          <w:i/>
          <w:sz w:val="20"/>
          <w:szCs w:val="20"/>
        </w:rPr>
        <w:t>amparo</w:t>
      </w:r>
      <w:r w:rsidRPr="00005228">
        <w:rPr>
          <w:rFonts w:asciiTheme="majorHAnsi" w:hAnsiTheme="majorHAnsi"/>
          <w:sz w:val="20"/>
          <w:szCs w:val="20"/>
        </w:rPr>
        <w:t xml:space="preserve"> on 22 July 2004. On August 4, 2004 the Fourth Court of First Instance declared itself incompetent to hear the action and referred the </w:t>
      </w:r>
      <w:r w:rsidRPr="00005228">
        <w:rPr>
          <w:rFonts w:asciiTheme="majorHAnsi" w:hAnsiTheme="majorHAnsi"/>
          <w:i/>
          <w:sz w:val="20"/>
          <w:szCs w:val="20"/>
        </w:rPr>
        <w:t xml:space="preserve">amparo </w:t>
      </w:r>
      <w:r w:rsidRPr="00005228">
        <w:rPr>
          <w:rFonts w:asciiTheme="majorHAnsi" w:hAnsiTheme="majorHAnsi"/>
          <w:sz w:val="20"/>
          <w:szCs w:val="20"/>
        </w:rPr>
        <w:t xml:space="preserve">case to the Constitutional Chamber of the Supreme Court. In at least three occasions the victims petitioned the Constitutional Court a ruling on the challenges to the jurisdiction matter. On May 26, 2005 the Constitutional Chamber of the Supreme Court issued a ruling stating that it does not accept the challenges to the jurisdiction. Under this, on June 17, 2005 the Fourth Court of First Instance admitted the </w:t>
      </w:r>
      <w:r w:rsidRPr="00005228">
        <w:rPr>
          <w:rFonts w:asciiTheme="majorHAnsi" w:hAnsiTheme="majorHAnsi"/>
          <w:i/>
          <w:sz w:val="20"/>
          <w:szCs w:val="20"/>
        </w:rPr>
        <w:t>amparo</w:t>
      </w:r>
      <w:r w:rsidRPr="00005228">
        <w:rPr>
          <w:rFonts w:asciiTheme="majorHAnsi" w:hAnsiTheme="majorHAnsi"/>
          <w:sz w:val="20"/>
          <w:szCs w:val="20"/>
        </w:rPr>
        <w:t xml:space="preserve">. On July 20, 2005 the alleged victims appeared to a constitutional hearing before the Fourth Court of First Instance of Labor Matters, and the end of the hearing the Fourth Court of First Instance dismissed the </w:t>
      </w:r>
      <w:r w:rsidRPr="00005228">
        <w:rPr>
          <w:rFonts w:asciiTheme="majorHAnsi" w:hAnsiTheme="majorHAnsi"/>
          <w:i/>
          <w:sz w:val="20"/>
          <w:szCs w:val="20"/>
        </w:rPr>
        <w:t>amparo</w:t>
      </w:r>
      <w:r w:rsidRPr="00005228">
        <w:rPr>
          <w:rFonts w:asciiTheme="majorHAnsi" w:hAnsiTheme="majorHAnsi"/>
          <w:sz w:val="20"/>
          <w:szCs w:val="20"/>
        </w:rPr>
        <w:t xml:space="preserve">, and indicated that it would issue a decision stating the matters of fact and law of the decision, within five working days of the hearing. On July 27, 2005 the Fourth Court issued the judgment on the merits, dismissing the </w:t>
      </w:r>
      <w:r w:rsidRPr="00005228">
        <w:rPr>
          <w:rFonts w:asciiTheme="majorHAnsi" w:hAnsiTheme="majorHAnsi"/>
          <w:i/>
          <w:sz w:val="20"/>
          <w:szCs w:val="20"/>
        </w:rPr>
        <w:t>amparo</w:t>
      </w:r>
      <w:r w:rsidRPr="00005228">
        <w:rPr>
          <w:rFonts w:asciiTheme="majorHAnsi" w:hAnsiTheme="majorHAnsi"/>
          <w:sz w:val="20"/>
          <w:szCs w:val="20"/>
        </w:rPr>
        <w:t xml:space="preserve"> claim. Under this, on July 29, 2005 the alleged victims appealed. On September 9, 2005 the Third Superior Court for Labor of the Labor Judicial Circuit dismissed the appeal. In this regard, the Commission notes that the alleged victims were actively involved in the process without any elements that might attribute the delay in the decision of </w:t>
      </w:r>
      <w:proofErr w:type="spellStart"/>
      <w:r w:rsidRPr="00005228">
        <w:rPr>
          <w:rFonts w:asciiTheme="majorHAnsi" w:hAnsiTheme="majorHAnsi"/>
          <w:i/>
          <w:sz w:val="20"/>
          <w:szCs w:val="20"/>
        </w:rPr>
        <w:t>amparo</w:t>
      </w:r>
      <w:proofErr w:type="spellEnd"/>
      <w:r w:rsidRPr="00005228">
        <w:rPr>
          <w:rFonts w:asciiTheme="majorHAnsi" w:hAnsiTheme="majorHAnsi"/>
          <w:sz w:val="20"/>
          <w:szCs w:val="20"/>
        </w:rPr>
        <w:t>.</w:t>
      </w:r>
    </w:p>
    <w:p w14:paraId="27FCE402" w14:textId="77777777" w:rsidR="00005228" w:rsidRDefault="00005228" w:rsidP="00005228">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7362CFEB" w14:textId="77777777" w:rsidR="00005228" w:rsidRDefault="005C4F98" w:rsidP="00005228">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005228">
        <w:rPr>
          <w:rFonts w:asciiTheme="majorHAnsi" w:hAnsiTheme="majorHAnsi"/>
          <w:sz w:val="20"/>
          <w:szCs w:val="20"/>
        </w:rPr>
        <w:t>As for the conduct of the judicial authorities, the Commission notes that Article 26 of the Constitution provides the right to obtain a corresponding prompt decision from the organs of justice</w:t>
      </w:r>
      <w:r w:rsidRPr="00326F31">
        <w:rPr>
          <w:rStyle w:val="FootnoteReference"/>
          <w:rFonts w:asciiTheme="majorHAnsi" w:hAnsiTheme="majorHAnsi"/>
          <w:sz w:val="20"/>
          <w:szCs w:val="20"/>
          <w:lang w:val="es-VE"/>
        </w:rPr>
        <w:footnoteReference w:id="190"/>
      </w:r>
      <w:r w:rsidRPr="00005228">
        <w:rPr>
          <w:rFonts w:asciiTheme="majorHAnsi" w:hAnsiTheme="majorHAnsi"/>
          <w:sz w:val="20"/>
          <w:szCs w:val="20"/>
        </w:rPr>
        <w:t xml:space="preserve">. Venezuelan law, specifically the Organic Law on Protection of Rights and Constitutional Guarantees of 1988, in force at the time, provided for the </w:t>
      </w:r>
      <w:r w:rsidRPr="00005228">
        <w:rPr>
          <w:rFonts w:asciiTheme="majorHAnsi" w:hAnsiTheme="majorHAnsi"/>
          <w:i/>
          <w:sz w:val="20"/>
          <w:szCs w:val="20"/>
        </w:rPr>
        <w:t>amparo</w:t>
      </w:r>
      <w:r w:rsidRPr="00005228">
        <w:rPr>
          <w:rFonts w:asciiTheme="majorHAnsi" w:hAnsiTheme="majorHAnsi"/>
          <w:sz w:val="20"/>
          <w:szCs w:val="20"/>
        </w:rPr>
        <w:t xml:space="preserve"> as a quick remedy to respond to all</w:t>
      </w:r>
      <w:r w:rsidR="006A416F" w:rsidRPr="00005228">
        <w:rPr>
          <w:rFonts w:asciiTheme="majorHAnsi" w:hAnsiTheme="majorHAnsi"/>
          <w:sz w:val="20"/>
          <w:szCs w:val="20"/>
        </w:rPr>
        <w:t>eged violations of human rights.</w:t>
      </w:r>
      <w:r w:rsidR="006A416F" w:rsidRPr="00005228">
        <w:rPr>
          <w:rStyle w:val="FootnoteReference"/>
          <w:rFonts w:ascii="Cambria" w:hAnsi="Cambria"/>
          <w:sz w:val="20"/>
          <w:szCs w:val="20"/>
        </w:rPr>
        <w:t xml:space="preserve"> </w:t>
      </w:r>
      <w:r w:rsidR="006A416F" w:rsidRPr="009B7A5D">
        <w:rPr>
          <w:rStyle w:val="FootnoteReference"/>
          <w:rFonts w:ascii="Cambria" w:hAnsi="Cambria"/>
          <w:sz w:val="20"/>
          <w:szCs w:val="20"/>
          <w:lang w:val="es-ES"/>
        </w:rPr>
        <w:lastRenderedPageBreak/>
        <w:footnoteReference w:id="191"/>
      </w:r>
      <w:r w:rsidR="006A416F" w:rsidRPr="00005228">
        <w:rPr>
          <w:rFonts w:ascii="Cambria" w:hAnsi="Cambria"/>
          <w:sz w:val="20"/>
          <w:szCs w:val="20"/>
        </w:rPr>
        <w:t>.</w:t>
      </w:r>
      <w:r w:rsidRPr="00005228">
        <w:rPr>
          <w:rFonts w:asciiTheme="majorHAnsi" w:hAnsiTheme="majorHAnsi"/>
          <w:sz w:val="20"/>
          <w:szCs w:val="20"/>
        </w:rPr>
        <w:t xml:space="preserve"> This law referred to the "brief, summary and effective" nature of the remedy and established that courts must give "preference to the processing of </w:t>
      </w:r>
      <w:r w:rsidRPr="00005228">
        <w:rPr>
          <w:rFonts w:asciiTheme="majorHAnsi" w:hAnsiTheme="majorHAnsi"/>
          <w:i/>
          <w:sz w:val="20"/>
          <w:szCs w:val="20"/>
        </w:rPr>
        <w:t>amparo</w:t>
      </w:r>
      <w:r w:rsidRPr="00005228">
        <w:rPr>
          <w:rFonts w:asciiTheme="majorHAnsi" w:hAnsiTheme="majorHAnsi"/>
          <w:sz w:val="20"/>
          <w:szCs w:val="20"/>
        </w:rPr>
        <w:t xml:space="preserve"> to any other matter"</w:t>
      </w:r>
      <w:r w:rsidRPr="00326F31">
        <w:rPr>
          <w:rStyle w:val="FootnoteReference"/>
          <w:rFonts w:asciiTheme="majorHAnsi" w:hAnsiTheme="majorHAnsi"/>
          <w:sz w:val="20"/>
          <w:szCs w:val="20"/>
          <w:lang w:val="es-ES"/>
        </w:rPr>
        <w:footnoteReference w:id="192"/>
      </w:r>
      <w:r w:rsidR="00005228">
        <w:rPr>
          <w:rFonts w:asciiTheme="majorHAnsi" w:hAnsiTheme="majorHAnsi"/>
          <w:sz w:val="20"/>
          <w:szCs w:val="20"/>
        </w:rPr>
        <w:t>.</w:t>
      </w:r>
    </w:p>
    <w:p w14:paraId="1F77C3BE" w14:textId="77777777" w:rsidR="00005228" w:rsidRDefault="00005228" w:rsidP="00005228">
      <w:pPr>
        <w:pStyle w:val="ListParagraph"/>
        <w:rPr>
          <w:rFonts w:asciiTheme="majorHAnsi" w:hAnsiTheme="majorHAnsi"/>
          <w:sz w:val="20"/>
          <w:szCs w:val="20"/>
        </w:rPr>
      </w:pPr>
    </w:p>
    <w:p w14:paraId="1C33AE6C" w14:textId="6360AF52" w:rsidR="00005228" w:rsidRDefault="0023177F" w:rsidP="00005228">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005228">
        <w:rPr>
          <w:rFonts w:asciiTheme="majorHAnsi" w:hAnsiTheme="majorHAnsi"/>
          <w:sz w:val="20"/>
          <w:szCs w:val="20"/>
        </w:rPr>
        <w:t xml:space="preserve">Despite these provisions, the Commission notes that for most of the duration of the process under the judicial authorities, they were discussing jurisdiction issues. Indeed, after the Fourth Court declined jurisdiction and referred the case to the Constitutional Court, and despite repeated requests of the victims, the plea was not resolved until ten months later, on May 26, 2005, when the Constitutional Chamber of the Supreme Court issued a ruling stating that it did not accept the challenges to the jurisdiction. In turn, the judgment on the merits of the </w:t>
      </w:r>
      <w:r w:rsidRPr="00005228">
        <w:rPr>
          <w:rFonts w:asciiTheme="majorHAnsi" w:hAnsiTheme="majorHAnsi"/>
          <w:i/>
          <w:sz w:val="20"/>
          <w:szCs w:val="20"/>
        </w:rPr>
        <w:t>amparo</w:t>
      </w:r>
      <w:r w:rsidRPr="00005228">
        <w:rPr>
          <w:rFonts w:asciiTheme="majorHAnsi" w:hAnsiTheme="majorHAnsi"/>
          <w:sz w:val="20"/>
          <w:szCs w:val="20"/>
        </w:rPr>
        <w:t xml:space="preserve"> was issued on July 27, 2005, over a year after its </w:t>
      </w:r>
      <w:r w:rsidR="00F21548" w:rsidRPr="00005228">
        <w:rPr>
          <w:rFonts w:asciiTheme="majorHAnsi" w:hAnsiTheme="majorHAnsi"/>
          <w:sz w:val="20"/>
          <w:szCs w:val="20"/>
        </w:rPr>
        <w:t>introduction;</w:t>
      </w:r>
      <w:r w:rsidRPr="00005228">
        <w:rPr>
          <w:rFonts w:asciiTheme="majorHAnsi" w:hAnsiTheme="majorHAnsi"/>
          <w:sz w:val="20"/>
          <w:szCs w:val="20"/>
        </w:rPr>
        <w:t xml:space="preserve"> the State has not presented any justification for the delay of a remedy that for its own nature should be resolved with the greater immediacy possible.</w:t>
      </w:r>
    </w:p>
    <w:p w14:paraId="5DB73EB7" w14:textId="77777777" w:rsidR="00005228" w:rsidRDefault="00005228" w:rsidP="00005228">
      <w:pPr>
        <w:pStyle w:val="ListParagraph"/>
        <w:rPr>
          <w:rFonts w:asciiTheme="majorHAnsi" w:hAnsiTheme="majorHAnsi"/>
          <w:sz w:val="20"/>
          <w:szCs w:val="20"/>
        </w:rPr>
      </w:pPr>
    </w:p>
    <w:p w14:paraId="1F58153F" w14:textId="312CCE61" w:rsidR="0023177F" w:rsidRPr="00005228" w:rsidRDefault="0023177F" w:rsidP="00005228">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005228">
        <w:rPr>
          <w:rFonts w:asciiTheme="majorHAnsi" w:hAnsiTheme="majorHAnsi"/>
          <w:sz w:val="20"/>
          <w:szCs w:val="20"/>
        </w:rPr>
        <w:t xml:space="preserve">In view of the above, the Commission considers that the </w:t>
      </w:r>
      <w:r w:rsidRPr="00005228">
        <w:rPr>
          <w:rFonts w:asciiTheme="majorHAnsi" w:hAnsiTheme="majorHAnsi"/>
          <w:i/>
          <w:sz w:val="20"/>
          <w:szCs w:val="20"/>
        </w:rPr>
        <w:t>amparo</w:t>
      </w:r>
      <w:r w:rsidRPr="00005228">
        <w:rPr>
          <w:rFonts w:asciiTheme="majorHAnsi" w:hAnsiTheme="majorHAnsi"/>
          <w:sz w:val="20"/>
          <w:szCs w:val="20"/>
        </w:rPr>
        <w:t xml:space="preserve"> remedy did not </w:t>
      </w:r>
      <w:r w:rsidR="00F21548">
        <w:rPr>
          <w:rFonts w:asciiTheme="majorHAnsi" w:hAnsiTheme="majorHAnsi"/>
          <w:sz w:val="20"/>
          <w:szCs w:val="20"/>
        </w:rPr>
        <w:t>comply wi</w:t>
      </w:r>
      <w:r w:rsidRPr="00005228">
        <w:rPr>
          <w:rFonts w:asciiTheme="majorHAnsi" w:hAnsiTheme="majorHAnsi"/>
          <w:sz w:val="20"/>
          <w:szCs w:val="20"/>
        </w:rPr>
        <w:t>t</w:t>
      </w:r>
      <w:r w:rsidR="00F21548">
        <w:rPr>
          <w:rFonts w:asciiTheme="majorHAnsi" w:hAnsiTheme="majorHAnsi"/>
          <w:sz w:val="20"/>
          <w:szCs w:val="20"/>
        </w:rPr>
        <w:t>h</w:t>
      </w:r>
      <w:r w:rsidRPr="00005228">
        <w:rPr>
          <w:rFonts w:asciiTheme="majorHAnsi" w:hAnsiTheme="majorHAnsi"/>
          <w:sz w:val="20"/>
          <w:szCs w:val="20"/>
        </w:rPr>
        <w:t xml:space="preserve"> the guarantee of reasonable time, which was an additional factor of the denial of justice suffered by the victims in the terms stated in this report. Consequently, the Commission concludes that in the present case the breach of the reasonable time guarantee under the </w:t>
      </w:r>
      <w:r w:rsidRPr="00005228">
        <w:rPr>
          <w:rFonts w:asciiTheme="majorHAnsi" w:hAnsiTheme="majorHAnsi"/>
          <w:i/>
          <w:sz w:val="20"/>
          <w:szCs w:val="20"/>
        </w:rPr>
        <w:t>amparo</w:t>
      </w:r>
      <w:r w:rsidRPr="00005228">
        <w:rPr>
          <w:rFonts w:asciiTheme="majorHAnsi" w:hAnsiTheme="majorHAnsi"/>
          <w:sz w:val="20"/>
          <w:szCs w:val="20"/>
        </w:rPr>
        <w:t xml:space="preserve"> proceeding was an additional violation of the right to a fair trial and judicial protection established in Articles 8.1 and 25.1 of the Convention American in conjunction with Article 1.1 of the same instrument to the detriment of Rocío San Miguel Sosa, Magally Chang Girón, and Thais Coromoto Peña.</w:t>
      </w:r>
    </w:p>
    <w:p w14:paraId="5D9F1B2B" w14:textId="77777777" w:rsidR="00D6022F" w:rsidRPr="00326F31" w:rsidRDefault="00D6022F" w:rsidP="00326F31">
      <w:pPr>
        <w:jc w:val="both"/>
        <w:rPr>
          <w:rFonts w:asciiTheme="majorHAnsi" w:hAnsiTheme="majorHAnsi"/>
          <w:bCs/>
          <w:sz w:val="20"/>
          <w:szCs w:val="20"/>
        </w:rPr>
      </w:pPr>
    </w:p>
    <w:p w14:paraId="3BE235E2" w14:textId="55988D85" w:rsidR="00D6022F" w:rsidRPr="00326F31" w:rsidRDefault="0075543C" w:rsidP="00326F31">
      <w:pPr>
        <w:keepN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outlineLvl w:val="0"/>
        <w:rPr>
          <w:rFonts w:asciiTheme="majorHAnsi" w:eastAsia="Times New Roman" w:hAnsiTheme="majorHAnsi" w:cs="Arial"/>
          <w:bCs/>
          <w:sz w:val="20"/>
          <w:szCs w:val="20"/>
          <w:bdr w:val="none" w:sz="0" w:space="0" w:color="auto"/>
          <w:lang w:val="es-AR"/>
        </w:rPr>
      </w:pPr>
      <w:bookmarkStart w:id="21" w:name="_Toc370830584"/>
      <w:bookmarkStart w:id="22" w:name="_Toc374694266"/>
      <w:bookmarkStart w:id="23" w:name="_Toc423514429"/>
      <w:bookmarkStart w:id="24" w:name="_Toc431474327"/>
      <w:bookmarkStart w:id="25" w:name="_Toc431566933"/>
      <w:bookmarkStart w:id="26" w:name="_Toc433311137"/>
      <w:r w:rsidRPr="00326F31">
        <w:rPr>
          <w:rFonts w:asciiTheme="majorHAnsi" w:eastAsia="Times New Roman" w:hAnsiTheme="majorHAnsi"/>
          <w:b/>
          <w:sz w:val="20"/>
          <w:szCs w:val="20"/>
          <w:bdr w:val="none" w:sz="0" w:space="0" w:color="auto"/>
          <w:lang w:val="es-ES_tradnl"/>
        </w:rPr>
        <w:t>CONCLUSION</w:t>
      </w:r>
      <w:r w:rsidR="00D6022F" w:rsidRPr="00326F31">
        <w:rPr>
          <w:rFonts w:asciiTheme="majorHAnsi" w:eastAsia="Times New Roman" w:hAnsiTheme="majorHAnsi"/>
          <w:b/>
          <w:sz w:val="20"/>
          <w:szCs w:val="20"/>
          <w:bdr w:val="none" w:sz="0" w:space="0" w:color="auto"/>
          <w:lang w:val="es-ES_tradnl"/>
        </w:rPr>
        <w:t>S</w:t>
      </w:r>
      <w:bookmarkEnd w:id="21"/>
      <w:bookmarkEnd w:id="22"/>
      <w:bookmarkEnd w:id="23"/>
      <w:bookmarkEnd w:id="24"/>
      <w:bookmarkEnd w:id="25"/>
      <w:bookmarkEnd w:id="26"/>
    </w:p>
    <w:p w14:paraId="703A0334" w14:textId="77777777" w:rsidR="00D6022F" w:rsidRPr="00326F31" w:rsidRDefault="00D6022F" w:rsidP="00326F31">
      <w:pPr>
        <w:ind w:left="720"/>
        <w:jc w:val="both"/>
        <w:rPr>
          <w:rFonts w:asciiTheme="majorHAnsi" w:eastAsia="Times New Roman" w:hAnsiTheme="majorHAnsi"/>
          <w:sz w:val="20"/>
          <w:szCs w:val="20"/>
          <w:lang w:val="es-AR"/>
        </w:rPr>
      </w:pPr>
    </w:p>
    <w:p w14:paraId="01076481" w14:textId="77777777" w:rsidR="00005228" w:rsidRDefault="0023177F" w:rsidP="00005228">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326F31">
        <w:rPr>
          <w:rFonts w:asciiTheme="majorHAnsi" w:hAnsiTheme="majorHAnsi"/>
          <w:sz w:val="20"/>
          <w:szCs w:val="20"/>
        </w:rPr>
        <w:t>In accordance with the considerations of facts and law expressed in this report on merits, the Commission concludes that the Venezuelan State is responsible for the violation of political rights, the right to freedom of expression, the right to equality before the law and non-discrimination, fair trial and judicial protection embodied in Articles 23, 13, 24, 8 and 25 of the American Convention, in conjunction with Article 1.1 of the same instrument to the detriment of Rocío San Miguel Sosa, Magally Chang Girón, and Thais Coromoto Peña.</w:t>
      </w:r>
    </w:p>
    <w:p w14:paraId="143E21EC" w14:textId="77777777" w:rsidR="00005228" w:rsidRDefault="00005228" w:rsidP="00005228">
      <w:pPr>
        <w:pBdr>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14:paraId="648F7E1E" w14:textId="27898FD1" w:rsidR="00D87B8E" w:rsidRPr="00353767" w:rsidRDefault="009141AB" w:rsidP="00353767">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sz w:val="20"/>
          <w:szCs w:val="20"/>
        </w:rPr>
      </w:pPr>
      <w:r w:rsidRPr="00005228">
        <w:rPr>
          <w:rFonts w:asciiTheme="majorHAnsi" w:hAnsiTheme="majorHAnsi" w:cs="Verdana"/>
          <w:sz w:val="20"/>
          <w:szCs w:val="20"/>
        </w:rPr>
        <w:t>The Commission considers that, based on the available information, the possible violation of the right to personal integrity is subsumed in the violations found throughout this report. The Commission has no information enabling it to determine the need for a separate determination on Article 5 of the American Convention.</w:t>
      </w:r>
    </w:p>
    <w:p w14:paraId="6FE635F6" w14:textId="77777777" w:rsidR="00D87B8E" w:rsidRPr="00326F31" w:rsidRDefault="00D87B8E" w:rsidP="00326F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rPr>
      </w:pPr>
    </w:p>
    <w:p w14:paraId="6AF2F064" w14:textId="558D5993" w:rsidR="00D6022F" w:rsidRPr="00326F31" w:rsidRDefault="00D6022F" w:rsidP="00326F31">
      <w:pPr>
        <w:keepN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outlineLvl w:val="0"/>
        <w:rPr>
          <w:rFonts w:asciiTheme="majorHAnsi" w:eastAsia="Times New Roman" w:hAnsiTheme="majorHAnsi"/>
          <w:b/>
          <w:sz w:val="20"/>
          <w:szCs w:val="20"/>
          <w:bdr w:val="none" w:sz="0" w:space="0" w:color="auto"/>
          <w:lang w:val="es-ES_tradnl"/>
        </w:rPr>
      </w:pPr>
      <w:bookmarkStart w:id="27" w:name="_Toc395298796"/>
      <w:bookmarkStart w:id="28" w:name="_Toc418254642"/>
      <w:bookmarkStart w:id="29" w:name="_Toc423514430"/>
      <w:bookmarkStart w:id="30" w:name="_Toc431474328"/>
      <w:bookmarkStart w:id="31" w:name="_Toc431566934"/>
      <w:bookmarkStart w:id="32" w:name="_Toc433311138"/>
      <w:r w:rsidRPr="00326F31">
        <w:rPr>
          <w:rFonts w:asciiTheme="majorHAnsi" w:eastAsia="Times New Roman" w:hAnsiTheme="majorHAnsi"/>
          <w:b/>
          <w:sz w:val="20"/>
          <w:szCs w:val="20"/>
          <w:bdr w:val="none" w:sz="0" w:space="0" w:color="auto"/>
          <w:lang w:val="es-ES_tradnl"/>
        </w:rPr>
        <w:t>RECOM</w:t>
      </w:r>
      <w:bookmarkEnd w:id="27"/>
      <w:bookmarkEnd w:id="28"/>
      <w:bookmarkEnd w:id="29"/>
      <w:bookmarkEnd w:id="30"/>
      <w:bookmarkEnd w:id="31"/>
      <w:r w:rsidR="003D6EAA" w:rsidRPr="00326F31">
        <w:rPr>
          <w:rFonts w:asciiTheme="majorHAnsi" w:eastAsia="Times New Roman" w:hAnsiTheme="majorHAnsi"/>
          <w:b/>
          <w:sz w:val="20"/>
          <w:szCs w:val="20"/>
          <w:bdr w:val="none" w:sz="0" w:space="0" w:color="auto"/>
          <w:lang w:val="es-ES_tradnl"/>
        </w:rPr>
        <w:t>MENDATIONS</w:t>
      </w:r>
      <w:bookmarkEnd w:id="32"/>
    </w:p>
    <w:p w14:paraId="04FD2484" w14:textId="77777777" w:rsidR="00D6022F" w:rsidRPr="00326F31" w:rsidRDefault="00D6022F" w:rsidP="00326F31">
      <w:pPr>
        <w:jc w:val="both"/>
        <w:rPr>
          <w:rFonts w:asciiTheme="majorHAnsi" w:eastAsia="Times New Roman" w:hAnsiTheme="majorHAnsi"/>
          <w:sz w:val="20"/>
          <w:szCs w:val="20"/>
          <w:lang w:val="es-AR"/>
        </w:rPr>
      </w:pPr>
    </w:p>
    <w:p w14:paraId="7E6E9CEA" w14:textId="0AA9A648" w:rsidR="00D6022F" w:rsidRPr="00326F31" w:rsidRDefault="009F0F24" w:rsidP="00005228">
      <w:pPr>
        <w:numPr>
          <w:ilvl w:val="0"/>
          <w:numId w:val="58"/>
        </w:numPr>
        <w:pBdr>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cs="Verdana"/>
          <w:sz w:val="20"/>
          <w:szCs w:val="20"/>
        </w:rPr>
      </w:pPr>
      <w:r w:rsidRPr="00005228">
        <w:rPr>
          <w:rFonts w:asciiTheme="majorHAnsi" w:hAnsiTheme="majorHAnsi" w:cs="Verdana"/>
          <w:sz w:val="20"/>
          <w:szCs w:val="20"/>
        </w:rPr>
        <w:t>Base</w:t>
      </w:r>
      <w:r w:rsidR="003D6EAA" w:rsidRPr="00005228">
        <w:rPr>
          <w:rFonts w:asciiTheme="majorHAnsi" w:hAnsiTheme="majorHAnsi" w:cs="Verdana"/>
          <w:sz w:val="20"/>
          <w:szCs w:val="20"/>
        </w:rPr>
        <w:t>d</w:t>
      </w:r>
      <w:r w:rsidRPr="00005228">
        <w:rPr>
          <w:rFonts w:asciiTheme="majorHAnsi" w:hAnsiTheme="majorHAnsi" w:cs="Verdana"/>
          <w:sz w:val="20"/>
          <w:szCs w:val="20"/>
        </w:rPr>
        <w:t xml:space="preserve"> </w:t>
      </w:r>
      <w:r w:rsidR="003D6EAA" w:rsidRPr="00005228">
        <w:rPr>
          <w:rFonts w:asciiTheme="majorHAnsi" w:hAnsiTheme="majorHAnsi" w:cs="Verdana"/>
          <w:sz w:val="20"/>
          <w:szCs w:val="20"/>
        </w:rPr>
        <w:t>on the foregoing conclusions,</w:t>
      </w:r>
    </w:p>
    <w:p w14:paraId="7486A95A" w14:textId="77777777" w:rsidR="00D6022F" w:rsidRPr="00326F31" w:rsidRDefault="00D6022F" w:rsidP="00326F31">
      <w:pPr>
        <w:jc w:val="both"/>
        <w:rPr>
          <w:rFonts w:asciiTheme="majorHAnsi" w:hAnsiTheme="majorHAnsi"/>
          <w:sz w:val="20"/>
          <w:szCs w:val="20"/>
        </w:rPr>
      </w:pPr>
    </w:p>
    <w:p w14:paraId="21EC73D4" w14:textId="5C6129CF" w:rsidR="003D6EAA" w:rsidRPr="00326F31" w:rsidRDefault="00D6022F" w:rsidP="00326F31">
      <w:pPr>
        <w:jc w:val="both"/>
        <w:rPr>
          <w:rFonts w:asciiTheme="majorHAnsi" w:hAnsiTheme="majorHAnsi"/>
          <w:b/>
          <w:sz w:val="20"/>
          <w:szCs w:val="20"/>
        </w:rPr>
      </w:pPr>
      <w:r w:rsidRPr="00326F31">
        <w:rPr>
          <w:rFonts w:asciiTheme="majorHAnsi" w:hAnsiTheme="majorHAnsi"/>
          <w:b/>
          <w:sz w:val="20"/>
          <w:szCs w:val="20"/>
        </w:rPr>
        <w:tab/>
      </w:r>
      <w:r w:rsidR="003D6EAA" w:rsidRPr="00326F31">
        <w:rPr>
          <w:rFonts w:asciiTheme="majorHAnsi" w:hAnsiTheme="majorHAnsi"/>
          <w:b/>
          <w:sz w:val="20"/>
          <w:szCs w:val="20"/>
        </w:rPr>
        <w:t>THE INTER-AMERICAN COMMISSION ON HUMAN RIGHTS RECOMMENDS TO THE STATE OF</w:t>
      </w:r>
    </w:p>
    <w:p w14:paraId="6D1BD48F" w14:textId="2C3A03A0" w:rsidR="00D6022F" w:rsidRPr="00326F31" w:rsidRDefault="003D6EAA" w:rsidP="00326F31">
      <w:pPr>
        <w:jc w:val="both"/>
        <w:rPr>
          <w:rFonts w:asciiTheme="majorHAnsi" w:hAnsiTheme="majorHAnsi"/>
          <w:b/>
          <w:sz w:val="20"/>
          <w:szCs w:val="20"/>
        </w:rPr>
      </w:pPr>
      <w:r w:rsidRPr="00326F31">
        <w:rPr>
          <w:rFonts w:asciiTheme="majorHAnsi" w:hAnsiTheme="majorHAnsi"/>
          <w:b/>
          <w:sz w:val="20"/>
          <w:szCs w:val="20"/>
          <w:lang w:val="es-ES"/>
        </w:rPr>
        <w:t>VENEZUELA,</w:t>
      </w:r>
    </w:p>
    <w:p w14:paraId="04AC4D13" w14:textId="5A581251" w:rsidR="00861B6C" w:rsidRPr="00326F31" w:rsidRDefault="00D6022F" w:rsidP="00326F3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26F31">
        <w:rPr>
          <w:rFonts w:asciiTheme="majorHAnsi" w:hAnsiTheme="majorHAnsi"/>
          <w:sz w:val="20"/>
          <w:szCs w:val="20"/>
          <w:lang w:val="es-ES"/>
        </w:rPr>
        <w:t xml:space="preserve"> </w:t>
      </w:r>
    </w:p>
    <w:p w14:paraId="40D7F7DD" w14:textId="05AF4513" w:rsidR="00861B6C" w:rsidRPr="00C9052E" w:rsidRDefault="00861B6C" w:rsidP="00D61FF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26F31">
        <w:rPr>
          <w:rFonts w:asciiTheme="majorHAnsi" w:hAnsiTheme="majorHAnsi"/>
          <w:sz w:val="20"/>
          <w:szCs w:val="20"/>
        </w:rPr>
        <w:t>To reinstate victims to the civil service on a job similar to the one they would currently hold, had they not been separated from their posts. Should this not be the will of the victims or that there are objective reasons which prevent the reincorporation, the State must pay compensation for this, which is independent of the repairs relating to the material and moral damage in the recommendation number two</w:t>
      </w:r>
      <w:r w:rsidR="00A66089">
        <w:rPr>
          <w:rFonts w:asciiTheme="majorHAnsi" w:hAnsiTheme="majorHAnsi"/>
          <w:sz w:val="20"/>
          <w:szCs w:val="20"/>
        </w:rPr>
        <w:t>.</w:t>
      </w:r>
    </w:p>
    <w:p w14:paraId="6545E1B3" w14:textId="77777777" w:rsidR="00BA7A49" w:rsidRPr="00C9052E" w:rsidRDefault="00BA7A49" w:rsidP="00326F31">
      <w:pPr>
        <w:pStyle w:val="ListParagraph"/>
        <w:jc w:val="both"/>
        <w:rPr>
          <w:rFonts w:asciiTheme="majorHAnsi" w:hAnsiTheme="majorHAnsi"/>
          <w:sz w:val="20"/>
          <w:szCs w:val="20"/>
        </w:rPr>
      </w:pPr>
    </w:p>
    <w:p w14:paraId="7D37A128" w14:textId="08F2CA41" w:rsidR="00D6022F" w:rsidRPr="00326F31" w:rsidRDefault="00BA7A49" w:rsidP="00D61FF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26F31">
        <w:rPr>
          <w:rFonts w:asciiTheme="majorHAnsi" w:hAnsiTheme="majorHAnsi"/>
          <w:sz w:val="20"/>
          <w:szCs w:val="20"/>
        </w:rPr>
        <w:t>To provide adequate compensation for the human rights violations declared in this report both material and morally.</w:t>
      </w:r>
    </w:p>
    <w:p w14:paraId="71B41A4C" w14:textId="77777777" w:rsidR="00BA7A49" w:rsidRPr="00C9052E" w:rsidRDefault="00BA7A49" w:rsidP="00326F31">
      <w:pPr>
        <w:pStyle w:val="ListParagraph"/>
        <w:jc w:val="both"/>
        <w:rPr>
          <w:rFonts w:asciiTheme="majorHAnsi" w:hAnsiTheme="majorHAnsi"/>
          <w:sz w:val="20"/>
          <w:szCs w:val="20"/>
        </w:rPr>
      </w:pPr>
    </w:p>
    <w:p w14:paraId="447A99D6" w14:textId="4CB27045" w:rsidR="00BA7A49" w:rsidRPr="00326F31" w:rsidRDefault="00BA7A49" w:rsidP="00D61FF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326F31">
        <w:rPr>
          <w:rFonts w:asciiTheme="majorHAnsi" w:hAnsiTheme="majorHAnsi"/>
          <w:sz w:val="20"/>
          <w:szCs w:val="20"/>
        </w:rPr>
        <w:t>To carry out the corresponding</w:t>
      </w:r>
      <w:r w:rsidR="007567C8">
        <w:rPr>
          <w:rFonts w:asciiTheme="majorHAnsi" w:hAnsiTheme="majorHAnsi"/>
          <w:sz w:val="20"/>
          <w:szCs w:val="20"/>
        </w:rPr>
        <w:t xml:space="preserve"> criminal, administrative or other</w:t>
      </w:r>
      <w:r w:rsidR="00803A41">
        <w:rPr>
          <w:rFonts w:asciiTheme="majorHAnsi" w:hAnsiTheme="majorHAnsi"/>
          <w:sz w:val="20"/>
          <w:szCs w:val="20"/>
        </w:rPr>
        <w:t xml:space="preserve"> </w:t>
      </w:r>
      <w:r w:rsidRPr="00326F31">
        <w:rPr>
          <w:rFonts w:asciiTheme="majorHAnsi" w:hAnsiTheme="majorHAnsi"/>
          <w:sz w:val="20"/>
          <w:szCs w:val="20"/>
        </w:rPr>
        <w:t>proce</w:t>
      </w:r>
      <w:r w:rsidR="007567C8">
        <w:rPr>
          <w:rFonts w:asciiTheme="majorHAnsi" w:hAnsiTheme="majorHAnsi"/>
          <w:sz w:val="20"/>
          <w:szCs w:val="20"/>
        </w:rPr>
        <w:t xml:space="preserve">edings </w:t>
      </w:r>
      <w:r w:rsidRPr="00326F31">
        <w:rPr>
          <w:rFonts w:asciiTheme="majorHAnsi" w:hAnsiTheme="majorHAnsi"/>
          <w:sz w:val="20"/>
          <w:szCs w:val="20"/>
        </w:rPr>
        <w:t>related to the human rights violations declared in this report, in an impartial, effective and within a reasonable time manner, in order to fully clarify the facts and to establish the respective responsibilities.</w:t>
      </w:r>
    </w:p>
    <w:p w14:paraId="1FF16C32" w14:textId="77777777" w:rsidR="00BA7A49" w:rsidRPr="00C9052E" w:rsidRDefault="00BA7A49" w:rsidP="00326F31">
      <w:pPr>
        <w:jc w:val="both"/>
        <w:rPr>
          <w:rFonts w:asciiTheme="majorHAnsi" w:hAnsiTheme="majorHAnsi"/>
          <w:color w:val="080808"/>
          <w:sz w:val="20"/>
          <w:szCs w:val="20"/>
          <w:shd w:val="clear" w:color="auto" w:fill="FFFFFF"/>
        </w:rPr>
      </w:pPr>
    </w:p>
    <w:p w14:paraId="3FFDA53D" w14:textId="0D06F228" w:rsidR="00BA7A49" w:rsidRPr="00803A41" w:rsidRDefault="00BA7A49" w:rsidP="00D61FF7">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80808"/>
          <w:sz w:val="20"/>
          <w:szCs w:val="20"/>
          <w:shd w:val="clear" w:color="auto" w:fill="FFFFFF"/>
        </w:rPr>
      </w:pPr>
      <w:r w:rsidRPr="00326F31">
        <w:rPr>
          <w:rFonts w:asciiTheme="majorHAnsi" w:hAnsiTheme="majorHAnsi"/>
          <w:color w:val="080808"/>
          <w:sz w:val="20"/>
          <w:szCs w:val="20"/>
          <w:shd w:val="clear" w:color="auto" w:fill="FFFFFF"/>
        </w:rPr>
        <w:t xml:space="preserve">To adopt the necessary measures of non-repetition to prevent future occurrence of similar events. In particular, adopt legislative, administrative or other measures to prevent discrimination for political reasons. </w:t>
      </w:r>
      <w:r w:rsidR="00803A41">
        <w:rPr>
          <w:rFonts w:asciiTheme="majorHAnsi" w:hAnsiTheme="majorHAnsi"/>
          <w:color w:val="080808"/>
          <w:sz w:val="20"/>
          <w:szCs w:val="20"/>
          <w:shd w:val="clear" w:color="auto" w:fill="FFFFFF"/>
        </w:rPr>
        <w:t xml:space="preserve"> In this context, to ensure the existence of clear rules on access and use of data collected in electoral processes, with the necessary safeguards to ensure the free expression of political opinions without fear of reprisals. In addition, to carry out training programs:</w:t>
      </w:r>
      <w:r w:rsidRPr="00803A41">
        <w:rPr>
          <w:rFonts w:asciiTheme="majorHAnsi" w:hAnsiTheme="majorHAnsi"/>
          <w:color w:val="080808"/>
          <w:sz w:val="20"/>
          <w:szCs w:val="20"/>
          <w:shd w:val="clear" w:color="auto" w:fill="FFFFFF"/>
        </w:rPr>
        <w:t xml:space="preserve"> i) to public officials at all levels on the prohibition of discrimination based on political opinion; and ii) to legal practitioners called upon to hear any allegations of covert discrimination or misuse of power</w:t>
      </w:r>
      <w:r w:rsidR="00803A41">
        <w:rPr>
          <w:rFonts w:asciiTheme="majorHAnsi" w:hAnsiTheme="majorHAnsi"/>
          <w:color w:val="080808"/>
          <w:sz w:val="20"/>
          <w:szCs w:val="20"/>
          <w:shd w:val="clear" w:color="auto" w:fill="FFFFFF"/>
        </w:rPr>
        <w:t xml:space="preserve">. </w:t>
      </w:r>
    </w:p>
    <w:sectPr w:rsidR="00BA7A49" w:rsidRPr="00803A41" w:rsidSect="00905478">
      <w:type w:val="oddPage"/>
      <w:pgSz w:w="12240" w:h="15840"/>
      <w:pgMar w:top="1440" w:right="135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0B64E" w14:textId="77777777" w:rsidR="00C45C34" w:rsidRDefault="00C45C34">
      <w:r>
        <w:separator/>
      </w:r>
    </w:p>
  </w:endnote>
  <w:endnote w:type="continuationSeparator" w:id="0">
    <w:p w14:paraId="510BE188" w14:textId="77777777" w:rsidR="00C45C34" w:rsidRDefault="00C4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16E3980E" w14:textId="77777777" w:rsidR="00C45C34" w:rsidRPr="00934A2C" w:rsidRDefault="00C45C3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30897">
          <w:rPr>
            <w:noProof/>
            <w:sz w:val="16"/>
            <w:szCs w:val="22"/>
          </w:rPr>
          <w:t>1</w:t>
        </w:r>
        <w:r w:rsidRPr="00934A2C">
          <w:rPr>
            <w:noProof/>
            <w:sz w:val="16"/>
            <w:szCs w:val="22"/>
          </w:rPr>
          <w:fldChar w:fldCharType="end"/>
        </w:r>
      </w:p>
    </w:sdtContent>
  </w:sdt>
  <w:p w14:paraId="344D13B3" w14:textId="77777777" w:rsidR="00C45C34" w:rsidRDefault="00C45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FFD9" w14:textId="77777777" w:rsidR="00C45C34" w:rsidRPr="00934A2C" w:rsidRDefault="00C45C34">
    <w:pPr>
      <w:pStyle w:val="Footer"/>
      <w:jc w:val="center"/>
      <w:rPr>
        <w:sz w:val="16"/>
        <w:szCs w:val="22"/>
      </w:rPr>
    </w:pPr>
  </w:p>
  <w:p w14:paraId="24261B60" w14:textId="77777777" w:rsidR="00C45C34" w:rsidRDefault="00C45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51A18" w14:textId="77777777" w:rsidR="00C45C34" w:rsidRDefault="00C45C34">
      <w:r>
        <w:separator/>
      </w:r>
    </w:p>
  </w:footnote>
  <w:footnote w:type="continuationSeparator" w:id="0">
    <w:p w14:paraId="6093FE19" w14:textId="77777777" w:rsidR="00C45C34" w:rsidRDefault="00C45C34">
      <w:r>
        <w:continuationSeparator/>
      </w:r>
    </w:p>
  </w:footnote>
  <w:footnote w:type="continuationNotice" w:id="1">
    <w:p w14:paraId="03EF4254" w14:textId="77777777" w:rsidR="00C45C34" w:rsidRDefault="00C45C34"/>
  </w:footnote>
  <w:footnote w:id="2">
    <w:p w14:paraId="7CDAECD5" w14:textId="0722DACC"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IACHR, Report No. 59/13 (Admissibility), Petition 212-06,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San Miguel Sosa et al, Venezuela, July 16, 2013, paras 5-7.</w:t>
      </w:r>
    </w:p>
  </w:footnote>
  <w:footnote w:id="3">
    <w:p w14:paraId="1979DC81" w14:textId="77777777" w:rsidR="00C45C34" w:rsidRPr="00A70AD1" w:rsidRDefault="00C45C34" w:rsidP="00131FA4">
      <w:pPr>
        <w:pStyle w:val="FootnoteText"/>
        <w:spacing w:after="120"/>
        <w:ind w:firstLine="720"/>
        <w:rPr>
          <w:rFonts w:asciiTheme="majorHAnsi" w:hAnsiTheme="majorHAnsi"/>
          <w:sz w:val="16"/>
          <w:szCs w:val="16"/>
        </w:rPr>
      </w:pPr>
      <w:r w:rsidRPr="00A70AD1">
        <w:rPr>
          <w:rStyle w:val="FootnoteReference"/>
          <w:rFonts w:asciiTheme="majorHAnsi" w:hAnsiTheme="majorHAnsi"/>
          <w:sz w:val="16"/>
          <w:szCs w:val="16"/>
        </w:rPr>
        <w:footnoteRef/>
      </w:r>
      <w:r w:rsidRPr="00A70AD1">
        <w:rPr>
          <w:rFonts w:asciiTheme="majorHAnsi" w:hAnsiTheme="majorHAnsi"/>
          <w:sz w:val="16"/>
          <w:szCs w:val="16"/>
        </w:rPr>
        <w:t xml:space="preserve"> I/a Court H.R., Case of Velasquez Rodriguez. </w:t>
      </w:r>
      <w:proofErr w:type="gramStart"/>
      <w:r w:rsidRPr="00A70AD1">
        <w:rPr>
          <w:rFonts w:asciiTheme="majorHAnsi" w:hAnsiTheme="majorHAnsi"/>
          <w:sz w:val="16"/>
          <w:szCs w:val="16"/>
        </w:rPr>
        <w:t>Merits.</w:t>
      </w:r>
      <w:proofErr w:type="gramEnd"/>
      <w:r w:rsidRPr="00A70AD1">
        <w:rPr>
          <w:rFonts w:asciiTheme="majorHAnsi" w:hAnsiTheme="majorHAnsi"/>
          <w:sz w:val="16"/>
          <w:szCs w:val="16"/>
        </w:rPr>
        <w:t xml:space="preserve"> Judgment of July 29, 1988. Series C No. 4, para. </w:t>
      </w:r>
      <w:proofErr w:type="gramStart"/>
      <w:r w:rsidRPr="00A70AD1">
        <w:rPr>
          <w:rFonts w:asciiTheme="majorHAnsi" w:hAnsiTheme="majorHAnsi"/>
          <w:sz w:val="16"/>
          <w:szCs w:val="16"/>
        </w:rPr>
        <w:t>127 and 128.</w:t>
      </w:r>
      <w:proofErr w:type="gramEnd"/>
    </w:p>
  </w:footnote>
  <w:footnote w:id="4">
    <w:p w14:paraId="730D123C" w14:textId="77777777" w:rsidR="00C45C34" w:rsidRPr="00A70AD1" w:rsidRDefault="00C45C34" w:rsidP="00131FA4">
      <w:pPr>
        <w:pStyle w:val="FootnoteText"/>
        <w:spacing w:after="120"/>
        <w:ind w:firstLine="720"/>
        <w:rPr>
          <w:rFonts w:asciiTheme="majorHAnsi" w:hAnsiTheme="majorHAnsi"/>
          <w:sz w:val="16"/>
          <w:szCs w:val="16"/>
        </w:rPr>
      </w:pPr>
      <w:r w:rsidRPr="00A70AD1">
        <w:rPr>
          <w:rStyle w:val="FootnoteReference"/>
          <w:rFonts w:asciiTheme="majorHAnsi" w:hAnsiTheme="majorHAnsi"/>
          <w:sz w:val="16"/>
          <w:szCs w:val="16"/>
        </w:rPr>
        <w:footnoteRef/>
      </w:r>
      <w:r w:rsidRPr="00A70AD1">
        <w:rPr>
          <w:rFonts w:asciiTheme="majorHAnsi" w:hAnsiTheme="majorHAnsi"/>
          <w:sz w:val="16"/>
          <w:szCs w:val="16"/>
        </w:rPr>
        <w:t xml:space="preserve"> </w:t>
      </w:r>
      <w:proofErr w:type="gramStart"/>
      <w:r w:rsidRPr="00A70AD1">
        <w:rPr>
          <w:rFonts w:asciiTheme="majorHAnsi" w:hAnsiTheme="majorHAnsi"/>
          <w:sz w:val="16"/>
          <w:szCs w:val="16"/>
        </w:rPr>
        <w:t>I/a Court H.R., Case of Gonzalez Medina and family v. Dominican Republic.</w:t>
      </w:r>
      <w:proofErr w:type="gramEnd"/>
      <w:r w:rsidRPr="00A70AD1">
        <w:rPr>
          <w:rFonts w:asciiTheme="majorHAnsi" w:hAnsiTheme="majorHAnsi"/>
          <w:sz w:val="16"/>
          <w:szCs w:val="16"/>
        </w:rPr>
        <w:t xml:space="preserve"> </w:t>
      </w:r>
      <w:proofErr w:type="gramStart"/>
      <w:r w:rsidRPr="00A70AD1">
        <w:rPr>
          <w:rFonts w:asciiTheme="majorHAnsi" w:hAnsiTheme="majorHAnsi"/>
          <w:sz w:val="16"/>
          <w:szCs w:val="16"/>
        </w:rPr>
        <w:t>Preliminary Objections, Merits, Reparations, and Costs.</w:t>
      </w:r>
      <w:proofErr w:type="gramEnd"/>
      <w:r w:rsidRPr="00A70AD1">
        <w:rPr>
          <w:rFonts w:asciiTheme="majorHAnsi" w:hAnsiTheme="majorHAnsi"/>
          <w:sz w:val="16"/>
          <w:szCs w:val="16"/>
        </w:rPr>
        <w:t xml:space="preserve"> Judgment of February 27, 2012. Series C No. 240, para. 132</w:t>
      </w:r>
    </w:p>
  </w:footnote>
  <w:footnote w:id="5">
    <w:p w14:paraId="578182AE" w14:textId="77777777" w:rsidR="00C45C34" w:rsidRPr="00FF330E" w:rsidRDefault="00C45C34" w:rsidP="00131FA4">
      <w:pPr>
        <w:pStyle w:val="FootnoteText"/>
        <w:spacing w:after="120"/>
        <w:ind w:firstLine="720"/>
      </w:pPr>
      <w:r w:rsidRPr="00A70AD1">
        <w:rPr>
          <w:rStyle w:val="FootnoteReference"/>
          <w:rFonts w:asciiTheme="majorHAnsi" w:hAnsiTheme="majorHAnsi"/>
          <w:sz w:val="16"/>
          <w:szCs w:val="16"/>
        </w:rPr>
        <w:footnoteRef/>
      </w:r>
      <w:r w:rsidRPr="00A70AD1">
        <w:rPr>
          <w:rFonts w:asciiTheme="majorHAnsi" w:hAnsiTheme="majorHAnsi"/>
          <w:sz w:val="16"/>
          <w:szCs w:val="16"/>
        </w:rPr>
        <w:t xml:space="preserve"> </w:t>
      </w:r>
      <w:proofErr w:type="gramStart"/>
      <w:r w:rsidRPr="00A70AD1">
        <w:rPr>
          <w:rFonts w:asciiTheme="majorHAnsi" w:hAnsiTheme="majorHAnsi"/>
          <w:sz w:val="16"/>
          <w:szCs w:val="16"/>
        </w:rPr>
        <w:t>I/a Court H.R., Case of Gonzalez Medina and family v. Dominican Republic.</w:t>
      </w:r>
      <w:proofErr w:type="gramEnd"/>
      <w:r w:rsidRPr="00A70AD1">
        <w:rPr>
          <w:rFonts w:asciiTheme="majorHAnsi" w:hAnsiTheme="majorHAnsi"/>
          <w:sz w:val="16"/>
          <w:szCs w:val="16"/>
        </w:rPr>
        <w:t xml:space="preserve"> </w:t>
      </w:r>
      <w:proofErr w:type="gramStart"/>
      <w:r w:rsidRPr="00A70AD1">
        <w:rPr>
          <w:rFonts w:asciiTheme="majorHAnsi" w:hAnsiTheme="majorHAnsi"/>
          <w:sz w:val="16"/>
          <w:szCs w:val="16"/>
        </w:rPr>
        <w:t>Preliminary Objections, Merits, Reparations, and Costs.</w:t>
      </w:r>
      <w:proofErr w:type="gramEnd"/>
      <w:r w:rsidRPr="00A70AD1">
        <w:rPr>
          <w:rFonts w:asciiTheme="majorHAnsi" w:hAnsiTheme="majorHAnsi"/>
          <w:sz w:val="16"/>
          <w:szCs w:val="16"/>
        </w:rPr>
        <w:t xml:space="preserve"> Judgment of February 27, 2012. Series C No. 240, para. 134.</w:t>
      </w:r>
      <w:r>
        <w:t xml:space="preserve">  </w:t>
      </w:r>
    </w:p>
  </w:footnote>
  <w:footnote w:id="6">
    <w:p w14:paraId="1E7F22DB" w14:textId="77777777" w:rsidR="00C45C34" w:rsidRPr="00FF330E" w:rsidRDefault="00C45C34" w:rsidP="00131FA4">
      <w:pPr>
        <w:pStyle w:val="FootnoteText"/>
        <w:spacing w:after="120"/>
        <w:ind w:firstLine="720"/>
        <w:jc w:val="both"/>
        <w:rPr>
          <w:rFonts w:ascii="Cambria" w:hAnsi="Cambria"/>
          <w:sz w:val="16"/>
          <w:szCs w:val="16"/>
        </w:rPr>
      </w:pPr>
      <w:r w:rsidRPr="00FF330E">
        <w:rPr>
          <w:rStyle w:val="FootnoteReference"/>
          <w:rFonts w:ascii="Cambria" w:hAnsi="Cambria"/>
          <w:sz w:val="16"/>
          <w:szCs w:val="16"/>
        </w:rPr>
        <w:footnoteRef/>
      </w:r>
      <w:r w:rsidRPr="00FF330E">
        <w:rPr>
          <w:rFonts w:ascii="Cambria" w:hAnsi="Cambria"/>
          <w:sz w:val="16"/>
          <w:szCs w:val="16"/>
        </w:rPr>
        <w:t xml:space="preserve"> I/A Court H.R., Case of Escher et al. v. Brazil. </w:t>
      </w:r>
      <w:proofErr w:type="gramStart"/>
      <w:r w:rsidRPr="00FF330E">
        <w:rPr>
          <w:rFonts w:ascii="Cambria" w:hAnsi="Cambria"/>
          <w:sz w:val="16"/>
          <w:szCs w:val="16"/>
        </w:rPr>
        <w:t>Preliminary Objections, Merits, Reparations, and Costs.</w:t>
      </w:r>
      <w:proofErr w:type="gramEnd"/>
      <w:r w:rsidRPr="00FF330E">
        <w:rPr>
          <w:rFonts w:ascii="Cambria" w:hAnsi="Cambria"/>
          <w:sz w:val="16"/>
          <w:szCs w:val="16"/>
        </w:rPr>
        <w:t xml:space="preserve"> Judgment of July 6, 2009. Series C No</w:t>
      </w:r>
      <w:r>
        <w:rPr>
          <w:rFonts w:ascii="Cambria" w:hAnsi="Cambria"/>
          <w:sz w:val="16"/>
          <w:szCs w:val="16"/>
        </w:rPr>
        <w:t>. 200, para. 114</w:t>
      </w:r>
      <w:r w:rsidRPr="00FF330E">
        <w:rPr>
          <w:rFonts w:ascii="Cambria" w:hAnsi="Cambria"/>
          <w:sz w:val="16"/>
          <w:szCs w:val="16"/>
        </w:rPr>
        <w:t>.</w:t>
      </w:r>
    </w:p>
  </w:footnote>
  <w:footnote w:id="7">
    <w:p w14:paraId="0E68F6A4" w14:textId="77777777" w:rsidR="00C45C34" w:rsidRPr="00FF330E" w:rsidRDefault="00C45C34" w:rsidP="00131FA4">
      <w:pPr>
        <w:pStyle w:val="FootnoteText"/>
        <w:spacing w:after="120"/>
        <w:ind w:firstLine="720"/>
        <w:jc w:val="both"/>
        <w:rPr>
          <w:rFonts w:ascii="Cambria" w:hAnsi="Cambria"/>
          <w:sz w:val="16"/>
          <w:szCs w:val="16"/>
        </w:rPr>
      </w:pPr>
      <w:r w:rsidRPr="00FF330E">
        <w:rPr>
          <w:rStyle w:val="FootnoteReference"/>
          <w:rFonts w:ascii="Cambria" w:hAnsi="Cambria"/>
          <w:sz w:val="16"/>
          <w:szCs w:val="16"/>
        </w:rPr>
        <w:footnoteRef/>
      </w:r>
      <w:r w:rsidRPr="00FF330E">
        <w:rPr>
          <w:rFonts w:ascii="Cambria" w:hAnsi="Cambria"/>
          <w:sz w:val="16"/>
          <w:szCs w:val="16"/>
        </w:rPr>
        <w:t xml:space="preserve"> I/A Court H.R., Case of Escher et al. v. Brazil. </w:t>
      </w:r>
      <w:proofErr w:type="gramStart"/>
      <w:r w:rsidRPr="00FF330E">
        <w:rPr>
          <w:rFonts w:ascii="Cambria" w:hAnsi="Cambria"/>
          <w:sz w:val="16"/>
          <w:szCs w:val="16"/>
        </w:rPr>
        <w:t>Preliminary Objections, Merits, Reparations, and Costs.</w:t>
      </w:r>
      <w:proofErr w:type="gramEnd"/>
      <w:r w:rsidRPr="00FF330E">
        <w:rPr>
          <w:rFonts w:ascii="Cambria" w:hAnsi="Cambria"/>
          <w:sz w:val="16"/>
          <w:szCs w:val="16"/>
        </w:rPr>
        <w:t xml:space="preserve"> Judgment of July 6, 2009. Series C No. 200, para. 116.</w:t>
      </w:r>
    </w:p>
  </w:footnote>
  <w:footnote w:id="8">
    <w:p w14:paraId="6BCAA534" w14:textId="77777777" w:rsidR="00C45C34" w:rsidRPr="00FF330E" w:rsidRDefault="00C45C34" w:rsidP="00131FA4">
      <w:pPr>
        <w:pStyle w:val="FootnoteText"/>
        <w:spacing w:after="120"/>
        <w:ind w:firstLine="720"/>
        <w:jc w:val="both"/>
        <w:rPr>
          <w:rFonts w:ascii="Cambria" w:hAnsi="Cambria"/>
          <w:sz w:val="16"/>
          <w:szCs w:val="16"/>
        </w:rPr>
      </w:pPr>
      <w:r w:rsidRPr="00FF330E">
        <w:rPr>
          <w:rStyle w:val="FootnoteReference"/>
          <w:rFonts w:ascii="Cambria" w:hAnsi="Cambria"/>
          <w:sz w:val="16"/>
          <w:szCs w:val="16"/>
        </w:rPr>
        <w:footnoteRef/>
      </w:r>
      <w:r w:rsidRPr="00FF330E">
        <w:rPr>
          <w:rFonts w:ascii="Cambria" w:hAnsi="Cambria"/>
          <w:sz w:val="16"/>
          <w:szCs w:val="16"/>
        </w:rPr>
        <w:t xml:space="preserve"> </w:t>
      </w:r>
      <w:proofErr w:type="gramStart"/>
      <w:r w:rsidRPr="00FF330E">
        <w:rPr>
          <w:rFonts w:ascii="Cambria" w:hAnsi="Cambria"/>
          <w:sz w:val="16"/>
          <w:szCs w:val="16"/>
        </w:rPr>
        <w:t>Radio Twist v. Slovakia.</w:t>
      </w:r>
      <w:proofErr w:type="gramEnd"/>
      <w:r w:rsidRPr="00FF330E">
        <w:rPr>
          <w:rFonts w:ascii="Cambria" w:hAnsi="Cambria"/>
          <w:sz w:val="16"/>
          <w:szCs w:val="16"/>
        </w:rPr>
        <w:t xml:space="preserve"> </w:t>
      </w:r>
      <w:proofErr w:type="gramStart"/>
      <w:r w:rsidRPr="00FF330E">
        <w:rPr>
          <w:rFonts w:ascii="Cambria" w:hAnsi="Cambria"/>
          <w:sz w:val="16"/>
          <w:szCs w:val="16"/>
        </w:rPr>
        <w:t>Paras.</w:t>
      </w:r>
      <w:proofErr w:type="gramEnd"/>
      <w:r w:rsidRPr="00FF330E">
        <w:rPr>
          <w:rFonts w:ascii="Cambria" w:hAnsi="Cambria"/>
          <w:sz w:val="16"/>
          <w:szCs w:val="16"/>
        </w:rPr>
        <w:t xml:space="preserve"> 56 – 65.</w:t>
      </w:r>
    </w:p>
  </w:footnote>
  <w:footnote w:id="9">
    <w:p w14:paraId="52A41781" w14:textId="77A7F0C1" w:rsidR="00C45C34" w:rsidRPr="00326F31" w:rsidRDefault="00C45C34" w:rsidP="00131FA4">
      <w:pPr>
        <w:spacing w:after="120"/>
        <w:ind w:firstLine="720"/>
        <w:jc w:val="both"/>
        <w:rPr>
          <w:rFonts w:asciiTheme="majorHAnsi" w:eastAsia="Calibri" w:hAnsiTheme="majorHAnsi" w:cs="Calibri"/>
          <w:color w:val="000000"/>
          <w:sz w:val="16"/>
          <w:szCs w:val="16"/>
          <w:u w:color="000000"/>
          <w:lang w:eastAsia="es-ES"/>
        </w:rPr>
      </w:pPr>
      <w:r w:rsidRPr="00326F31">
        <w:rPr>
          <w:rFonts w:asciiTheme="majorHAnsi" w:eastAsia="Calibri" w:hAnsiTheme="majorHAnsi" w:cs="Calibri"/>
          <w:color w:val="000000"/>
          <w:sz w:val="16"/>
          <w:szCs w:val="16"/>
          <w:u w:color="000000"/>
          <w:vertAlign w:val="superscript"/>
          <w:lang w:val="es-VE" w:eastAsia="es-ES"/>
        </w:rPr>
        <w:footnoteRef/>
      </w:r>
      <w:r w:rsidRPr="00326F31">
        <w:rPr>
          <w:rFonts w:asciiTheme="majorHAnsi" w:eastAsia="Calibri" w:hAnsiTheme="majorHAnsi" w:cs="Calibri"/>
          <w:color w:val="000000"/>
          <w:sz w:val="16"/>
          <w:szCs w:val="16"/>
          <w:u w:color="000000"/>
          <w:lang w:eastAsia="es-ES"/>
        </w:rPr>
        <w:t xml:space="preserve"> Article 71 of the Constitution establishes that: Matters of special national transcendence may be referred to a consultative referendum, on the initiative of the President of the Republic, taken at a meeting of the Cabinet; by resolution of the National Assembly, passed by a majority vote; or at the request of a number of voters constituting at least 10% of all voters registered on the national, civil and electoral registry. Matters of special state, municipal and parish transcendence may also be referred to a consultative referendum. The initiative shall be taken by the Parish Board, the Municipal Council and to the Legislative Council, by the vote of two third of its members; by the Mayor and the Governor or by a number of voters constituting at least 10% of the total number of voters registered in the pertinent circumscription.</w:t>
      </w:r>
      <w:r>
        <w:rPr>
          <w:rFonts w:asciiTheme="majorHAnsi" w:eastAsia="Calibri" w:hAnsiTheme="majorHAnsi" w:cs="Calibri"/>
          <w:color w:val="000000"/>
          <w:sz w:val="16"/>
          <w:szCs w:val="16"/>
          <w:u w:color="000000"/>
          <w:lang w:eastAsia="es-ES"/>
        </w:rPr>
        <w:t xml:space="preserve"> </w:t>
      </w:r>
      <w:r w:rsidRPr="00326F31">
        <w:rPr>
          <w:rFonts w:asciiTheme="majorHAnsi" w:eastAsia="Calibri" w:hAnsiTheme="majorHAnsi" w:cs="Calibri"/>
          <w:color w:val="000000"/>
          <w:sz w:val="16"/>
          <w:szCs w:val="16"/>
          <w:u w:color="000000"/>
          <w:lang w:eastAsia="es-ES"/>
        </w:rPr>
        <w:t>In turn, Article 72 stipulates that: All magistrates and other offices filled by popular vote are subject to revocation. Once half of the term of office to which an official has been elected has elapsed, a number of voters constituting at least 20% of the voters registered in the pertinent circumscription may extend a petition for the calling of a referendum to revoke such official's mandate. When a number of voters equal to or greater than the number of those who elected the official vote in favor of revocation, provided that a number of voters equal to or greater than 25% of the total number of registered voters have voted in the revocation election, the official's mandate shall be deemed revoked, and immediate action shall be taken to fill the permanent vacancy in accordance with the provided for in this Constitution and by law. The revocation of the mandate for the collegiate bodies shall be performed in accordance with the law. During the term to which the official was elected, only one petition to recall may be filed</w:t>
      </w:r>
      <w:r w:rsidRPr="00326F31">
        <w:rPr>
          <w:rFonts w:asciiTheme="majorHAnsi" w:eastAsia="Calibri" w:hAnsiTheme="majorHAnsi" w:cs="Calibri"/>
          <w:color w:val="000000"/>
          <w:sz w:val="16"/>
          <w:szCs w:val="16"/>
        </w:rPr>
        <w:t>. See Constitution of the Bolivarian Republic of Venezuela</w:t>
      </w:r>
      <w:r w:rsidRPr="00326F31">
        <w:rPr>
          <w:rFonts w:asciiTheme="majorHAnsi" w:hAnsiTheme="majorHAnsi"/>
          <w:sz w:val="16"/>
          <w:szCs w:val="16"/>
        </w:rPr>
        <w:t xml:space="preserve">, Extraordinary Official Gazette no. 36,380 of December 30, 1999, available at: </w:t>
      </w:r>
      <w:hyperlink r:id="rId1" w:anchor="cap4" w:history="1">
        <w:r w:rsidRPr="00326F31">
          <w:rPr>
            <w:rStyle w:val="Hyperlink"/>
            <w:rFonts w:asciiTheme="majorHAnsi" w:hAnsiTheme="majorHAnsi"/>
            <w:sz w:val="16"/>
            <w:szCs w:val="16"/>
          </w:rPr>
          <w:t>http://www.cne.gob.ve/web/normativa_electoral/constitucion/titulo3.php#cap4</w:t>
        </w:r>
      </w:hyperlink>
      <w:r w:rsidRPr="00326F31">
        <w:rPr>
          <w:rFonts w:asciiTheme="majorHAnsi" w:hAnsiTheme="majorHAnsi"/>
          <w:sz w:val="16"/>
          <w:szCs w:val="16"/>
        </w:rPr>
        <w:t>.</w:t>
      </w:r>
      <w:r>
        <w:rPr>
          <w:rFonts w:asciiTheme="majorHAnsi" w:hAnsiTheme="majorHAnsi"/>
          <w:sz w:val="16"/>
          <w:szCs w:val="16"/>
        </w:rPr>
        <w:t xml:space="preserve"> </w:t>
      </w:r>
    </w:p>
  </w:footnote>
  <w:footnote w:id="10">
    <w:p w14:paraId="4E0A50B0" w14:textId="23278C99"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Project </w:t>
      </w:r>
      <w:proofErr w:type="spellStart"/>
      <w:r w:rsidRPr="00326F31">
        <w:rPr>
          <w:rFonts w:asciiTheme="majorHAnsi" w:hAnsiTheme="majorHAnsi"/>
          <w:i/>
          <w:sz w:val="16"/>
          <w:szCs w:val="16"/>
        </w:rPr>
        <w:t>Súmate</w:t>
      </w:r>
      <w:proofErr w:type="spellEnd"/>
      <w:r w:rsidRPr="00326F31">
        <w:rPr>
          <w:rFonts w:asciiTheme="majorHAnsi" w:hAnsiTheme="majorHAnsi"/>
          <w:sz w:val="16"/>
          <w:szCs w:val="16"/>
        </w:rPr>
        <w:t xml:space="preserve">, available at: </w:t>
      </w:r>
      <w:hyperlink r:id="rId2" w:history="1">
        <w:r w:rsidRPr="00326F31">
          <w:rPr>
            <w:rStyle w:val="Hyperlink"/>
            <w:rFonts w:asciiTheme="majorHAnsi" w:hAnsiTheme="majorHAnsi"/>
            <w:sz w:val="16"/>
            <w:szCs w:val="16"/>
          </w:rPr>
          <w:t>http://www.sumate.org/proyectos.html</w:t>
        </w:r>
      </w:hyperlink>
      <w:r w:rsidRPr="00326F31">
        <w:rPr>
          <w:rFonts w:asciiTheme="majorHAnsi" w:hAnsiTheme="majorHAnsi"/>
          <w:sz w:val="16"/>
          <w:szCs w:val="16"/>
        </w:rPr>
        <w:t>.</w:t>
      </w:r>
      <w:proofErr w:type="gramEnd"/>
      <w:r w:rsidRPr="00326F31">
        <w:rPr>
          <w:rFonts w:asciiTheme="majorHAnsi" w:hAnsiTheme="majorHAnsi"/>
          <w:sz w:val="16"/>
          <w:szCs w:val="16"/>
        </w:rPr>
        <w:t xml:space="preserve"> </w:t>
      </w:r>
    </w:p>
  </w:footnote>
  <w:footnote w:id="11">
    <w:p w14:paraId="648E4421" w14:textId="667F7E80"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Analytics, Chavez: I will not resign even if they get 90% of the votes in the referendum, November 25, 2002, available at: </w:t>
      </w:r>
      <w:hyperlink r:id="rId3" w:history="1">
        <w:r w:rsidRPr="00326F31">
          <w:rPr>
            <w:rStyle w:val="Hyperlink"/>
            <w:rFonts w:asciiTheme="majorHAnsi" w:hAnsiTheme="majorHAnsi"/>
            <w:sz w:val="16"/>
            <w:szCs w:val="16"/>
          </w:rPr>
          <w:t>http://analitica.com/actualidad/actualidad-nacional/chavez-no-renunciare-aunque-logren-90-de-votos-en-el-referendum/</w:t>
        </w:r>
      </w:hyperlink>
      <w:r w:rsidRPr="00326F31">
        <w:rPr>
          <w:rFonts w:asciiTheme="majorHAnsi" w:hAnsiTheme="majorHAnsi"/>
          <w:sz w:val="16"/>
          <w:szCs w:val="16"/>
        </w:rPr>
        <w:t>.</w:t>
      </w:r>
      <w:r>
        <w:rPr>
          <w:rFonts w:asciiTheme="majorHAnsi" w:hAnsiTheme="majorHAnsi"/>
          <w:sz w:val="16"/>
          <w:szCs w:val="16"/>
        </w:rPr>
        <w:t xml:space="preserve"> </w:t>
      </w:r>
      <w:r w:rsidRPr="00326F31">
        <w:rPr>
          <w:rFonts w:asciiTheme="majorHAnsi" w:hAnsiTheme="majorHAnsi"/>
          <w:i/>
          <w:sz w:val="16"/>
          <w:szCs w:val="16"/>
        </w:rPr>
        <w:t xml:space="preserve">El </w:t>
      </w:r>
      <w:proofErr w:type="spellStart"/>
      <w:r w:rsidRPr="00326F31">
        <w:rPr>
          <w:rFonts w:asciiTheme="majorHAnsi" w:hAnsiTheme="majorHAnsi"/>
          <w:i/>
          <w:sz w:val="16"/>
          <w:szCs w:val="16"/>
        </w:rPr>
        <w:t>Día</w:t>
      </w:r>
      <w:proofErr w:type="spellEnd"/>
      <w:r w:rsidRPr="00326F31">
        <w:rPr>
          <w:rFonts w:asciiTheme="majorHAnsi" w:hAnsiTheme="majorHAnsi"/>
          <w:sz w:val="16"/>
          <w:szCs w:val="16"/>
        </w:rPr>
        <w:t xml:space="preserve"> [‘The Day’], The Supreme Court annuls the February 2 referendum, November 29, 2002, available at:</w:t>
      </w:r>
      <w:r>
        <w:rPr>
          <w:rFonts w:asciiTheme="majorHAnsi" w:hAnsiTheme="majorHAnsi"/>
          <w:sz w:val="16"/>
          <w:szCs w:val="16"/>
        </w:rPr>
        <w:t xml:space="preserve"> </w:t>
      </w:r>
      <w:hyperlink r:id="rId4" w:history="1">
        <w:r w:rsidRPr="00326F31">
          <w:rPr>
            <w:rStyle w:val="Hyperlink"/>
            <w:rFonts w:asciiTheme="majorHAnsi" w:hAnsiTheme="majorHAnsi"/>
            <w:sz w:val="16"/>
            <w:szCs w:val="16"/>
          </w:rPr>
          <w:t>http://eldia.es/venezuela/2002-11-29/2-Tribunal-Supremo-Justicia-anula-referendum-febrero.htm</w:t>
        </w:r>
      </w:hyperlink>
      <w:r w:rsidRPr="00326F31">
        <w:rPr>
          <w:rFonts w:asciiTheme="majorHAnsi" w:hAnsiTheme="majorHAnsi"/>
          <w:sz w:val="16"/>
          <w:szCs w:val="16"/>
        </w:rPr>
        <w:t xml:space="preserve">. </w:t>
      </w:r>
    </w:p>
  </w:footnote>
  <w:footnote w:id="12">
    <w:p w14:paraId="134F2F93" w14:textId="31AE2941"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National Electoral Council Resolution No. 021203-457, Electoral Gazette No. 168, available at: </w:t>
      </w:r>
      <w:hyperlink r:id="rId5" w:history="1">
        <w:r w:rsidRPr="00326F31">
          <w:rPr>
            <w:rStyle w:val="Hyperlink"/>
            <w:rFonts w:asciiTheme="majorHAnsi" w:hAnsiTheme="majorHAnsi"/>
            <w:sz w:val="16"/>
            <w:szCs w:val="16"/>
          </w:rPr>
          <w:t>http://www.cne.gob.ve/web/gaceta_electoral/gaceta_electoral_detallado.php?tg=1&amp;num_gac=168</w:t>
        </w:r>
      </w:hyperlink>
      <w:r w:rsidRPr="00326F31">
        <w:rPr>
          <w:rFonts w:asciiTheme="majorHAnsi" w:hAnsiTheme="majorHAnsi"/>
          <w:sz w:val="16"/>
          <w:szCs w:val="16"/>
        </w:rPr>
        <w:t xml:space="preserve">. </w:t>
      </w:r>
    </w:p>
  </w:footnote>
  <w:footnote w:id="13">
    <w:p w14:paraId="1F214563" w14:textId="3032AD1A"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Acting Chamber for Electoral Matters of the Supreme Court of Justice, Decision that grants the constitutional precautionary </w:t>
      </w:r>
      <w:proofErr w:type="spellStart"/>
      <w:r w:rsidRPr="00326F31">
        <w:rPr>
          <w:rFonts w:asciiTheme="majorHAnsi" w:hAnsiTheme="majorHAnsi"/>
          <w:i/>
          <w:sz w:val="16"/>
          <w:szCs w:val="16"/>
        </w:rPr>
        <w:t>amparo</w:t>
      </w:r>
      <w:proofErr w:type="spellEnd"/>
      <w:r w:rsidRPr="00326F31">
        <w:rPr>
          <w:rFonts w:asciiTheme="majorHAnsi" w:hAnsiTheme="majorHAnsi"/>
          <w:i/>
          <w:sz w:val="16"/>
          <w:szCs w:val="16"/>
        </w:rPr>
        <w:t>,</w:t>
      </w:r>
      <w:r w:rsidRPr="00326F31">
        <w:rPr>
          <w:rFonts w:asciiTheme="majorHAnsi" w:hAnsiTheme="majorHAnsi"/>
          <w:sz w:val="16"/>
          <w:szCs w:val="16"/>
        </w:rPr>
        <w:t xml:space="preserve"> January 22, 2003, available at: </w:t>
      </w:r>
      <w:hyperlink r:id="rId6" w:history="1">
        <w:r w:rsidRPr="00326F31">
          <w:rPr>
            <w:rStyle w:val="Hyperlink"/>
            <w:rFonts w:asciiTheme="majorHAnsi" w:hAnsiTheme="majorHAnsi"/>
            <w:sz w:val="16"/>
            <w:szCs w:val="16"/>
          </w:rPr>
          <w:t>http://historico.tsj.gob.ve/decisiones/selec/enero/3-220103-X-0002.HTM</w:t>
        </w:r>
      </w:hyperlink>
      <w:r w:rsidRPr="00326F31">
        <w:rPr>
          <w:rFonts w:asciiTheme="majorHAnsi" w:hAnsiTheme="majorHAnsi"/>
          <w:sz w:val="16"/>
          <w:szCs w:val="16"/>
        </w:rPr>
        <w:t xml:space="preserve">, </w:t>
      </w:r>
      <w:proofErr w:type="spellStart"/>
      <w:r w:rsidRPr="00326F31">
        <w:rPr>
          <w:rFonts w:asciiTheme="majorHAnsi" w:hAnsiTheme="majorHAnsi"/>
          <w:i/>
          <w:sz w:val="16"/>
          <w:szCs w:val="16"/>
        </w:rPr>
        <w:t>Súmate</w:t>
      </w:r>
      <w:proofErr w:type="spellEnd"/>
      <w:r w:rsidRPr="00326F31">
        <w:rPr>
          <w:rFonts w:asciiTheme="majorHAnsi" w:hAnsiTheme="majorHAnsi"/>
          <w:sz w:val="16"/>
          <w:szCs w:val="16"/>
        </w:rPr>
        <w:t xml:space="preserve"> Progress Report "The Presidential Recall Referendum", September 7, 2004, page 14, available at: </w:t>
      </w:r>
      <w:hyperlink r:id="rId7" w:history="1">
        <w:r w:rsidRPr="00326F31">
          <w:rPr>
            <w:rStyle w:val="Hyperlink"/>
            <w:rFonts w:asciiTheme="majorHAnsi" w:hAnsiTheme="majorHAnsi"/>
            <w:sz w:val="16"/>
            <w:szCs w:val="16"/>
          </w:rPr>
          <w:t>http://infovenezuela.org/democracy/attachments-spanish/T3%20ST03%20N8%20Avance%20Sumate%20RRP1-1.pdf</w:t>
        </w:r>
      </w:hyperlink>
      <w:r w:rsidRPr="00326F31">
        <w:rPr>
          <w:rFonts w:asciiTheme="majorHAnsi" w:hAnsiTheme="majorHAnsi"/>
          <w:sz w:val="16"/>
          <w:szCs w:val="16"/>
        </w:rPr>
        <w:t xml:space="preserve">. </w:t>
      </w:r>
    </w:p>
  </w:footnote>
  <w:footnote w:id="14">
    <w:p w14:paraId="4610447D" w14:textId="04351B94"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Acting Chamber for Electoral Matters of the Supreme Court of Justice, Decision that grants the constitutional precautionary </w:t>
      </w:r>
      <w:proofErr w:type="spellStart"/>
      <w:r w:rsidRPr="00326F31">
        <w:rPr>
          <w:rFonts w:asciiTheme="majorHAnsi" w:hAnsiTheme="majorHAnsi"/>
          <w:i/>
          <w:sz w:val="16"/>
          <w:szCs w:val="16"/>
        </w:rPr>
        <w:t>amparo</w:t>
      </w:r>
      <w:proofErr w:type="spellEnd"/>
      <w:r w:rsidRPr="00326F31">
        <w:rPr>
          <w:rFonts w:asciiTheme="majorHAnsi" w:hAnsiTheme="majorHAnsi"/>
          <w:i/>
          <w:sz w:val="16"/>
          <w:szCs w:val="16"/>
        </w:rPr>
        <w:t>,</w:t>
      </w:r>
      <w:r w:rsidRPr="00326F31">
        <w:rPr>
          <w:rFonts w:asciiTheme="majorHAnsi" w:hAnsiTheme="majorHAnsi"/>
          <w:sz w:val="16"/>
          <w:szCs w:val="16"/>
        </w:rPr>
        <w:t xml:space="preserve"> January 22, 2003, available at: </w:t>
      </w:r>
      <w:hyperlink r:id="rId8" w:history="1">
        <w:r w:rsidRPr="00326F31">
          <w:rPr>
            <w:rStyle w:val="Hyperlink"/>
            <w:rFonts w:asciiTheme="majorHAnsi" w:hAnsiTheme="majorHAnsi"/>
            <w:sz w:val="16"/>
            <w:szCs w:val="16"/>
          </w:rPr>
          <w:t>http://historico.tsj.gob.ve/decisiones/selec/enero/3-220103-X-0002.HTM</w:t>
        </w:r>
      </w:hyperlink>
      <w:r w:rsidRPr="00326F31">
        <w:rPr>
          <w:rFonts w:asciiTheme="majorHAnsi" w:hAnsiTheme="majorHAnsi"/>
          <w:sz w:val="16"/>
          <w:szCs w:val="16"/>
        </w:rPr>
        <w:t>.</w:t>
      </w:r>
      <w:proofErr w:type="gramEnd"/>
      <w:r w:rsidRPr="00326F31">
        <w:rPr>
          <w:rFonts w:asciiTheme="majorHAnsi" w:hAnsiTheme="majorHAnsi"/>
          <w:sz w:val="16"/>
          <w:szCs w:val="16"/>
        </w:rPr>
        <w:t xml:space="preserve"> </w:t>
      </w:r>
    </w:p>
  </w:footnote>
  <w:footnote w:id="15">
    <w:p w14:paraId="68FFBEB5" w14:textId="4E866CA4"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Acting Chamber for Electoral Matters of the Supreme Court of Justice, Decision that grants the constitutional precautionary </w:t>
      </w:r>
      <w:proofErr w:type="spellStart"/>
      <w:r w:rsidRPr="00326F31">
        <w:rPr>
          <w:rFonts w:asciiTheme="majorHAnsi" w:hAnsiTheme="majorHAnsi"/>
          <w:i/>
          <w:sz w:val="16"/>
          <w:szCs w:val="16"/>
        </w:rPr>
        <w:t>amparo</w:t>
      </w:r>
      <w:proofErr w:type="spellEnd"/>
      <w:r w:rsidRPr="00326F31">
        <w:rPr>
          <w:rFonts w:asciiTheme="majorHAnsi" w:hAnsiTheme="majorHAnsi"/>
          <w:i/>
          <w:sz w:val="16"/>
          <w:szCs w:val="16"/>
        </w:rPr>
        <w:t>,</w:t>
      </w:r>
      <w:r w:rsidRPr="00326F31">
        <w:rPr>
          <w:rFonts w:asciiTheme="majorHAnsi" w:hAnsiTheme="majorHAnsi"/>
          <w:sz w:val="16"/>
          <w:szCs w:val="16"/>
        </w:rPr>
        <w:t xml:space="preserve"> January 22, 2003, available at: </w:t>
      </w:r>
      <w:hyperlink r:id="rId9" w:history="1">
        <w:r w:rsidRPr="00326F31">
          <w:rPr>
            <w:rStyle w:val="Hyperlink"/>
            <w:rFonts w:asciiTheme="majorHAnsi" w:hAnsiTheme="majorHAnsi"/>
            <w:sz w:val="16"/>
            <w:szCs w:val="16"/>
          </w:rPr>
          <w:t>http://historico.tsj.gob.ve/decisiones/selec/enero/3-220103-X-0002.HTM</w:t>
        </w:r>
      </w:hyperlink>
      <w:r w:rsidRPr="00326F31">
        <w:rPr>
          <w:rFonts w:asciiTheme="majorHAnsi" w:hAnsiTheme="majorHAnsi"/>
          <w:sz w:val="16"/>
          <w:szCs w:val="16"/>
        </w:rPr>
        <w:t>.</w:t>
      </w:r>
      <w:proofErr w:type="gramEnd"/>
      <w:r w:rsidRPr="00326F31">
        <w:rPr>
          <w:rFonts w:asciiTheme="majorHAnsi" w:hAnsiTheme="majorHAnsi"/>
          <w:sz w:val="16"/>
          <w:szCs w:val="16"/>
        </w:rPr>
        <w:t xml:space="preserve"> </w:t>
      </w:r>
    </w:p>
  </w:footnote>
  <w:footnote w:id="16">
    <w:p w14:paraId="41BFECF7" w14:textId="5085FFCC"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spellStart"/>
      <w:r w:rsidRPr="00326F31">
        <w:rPr>
          <w:rFonts w:asciiTheme="majorHAnsi" w:hAnsiTheme="majorHAnsi"/>
          <w:i/>
          <w:sz w:val="16"/>
          <w:szCs w:val="16"/>
        </w:rPr>
        <w:t>Súmate</w:t>
      </w:r>
      <w:proofErr w:type="spellEnd"/>
      <w:r w:rsidRPr="00326F31">
        <w:rPr>
          <w:rFonts w:asciiTheme="majorHAnsi" w:hAnsiTheme="majorHAnsi"/>
          <w:sz w:val="16"/>
          <w:szCs w:val="16"/>
        </w:rPr>
        <w:t xml:space="preserve"> Progress Report "The Presidential Recall Referendum", September 7, 2004, page 14, available at: </w:t>
      </w:r>
      <w:hyperlink r:id="rId10" w:history="1">
        <w:r w:rsidRPr="00326F31">
          <w:rPr>
            <w:rStyle w:val="Hyperlink"/>
            <w:rFonts w:asciiTheme="majorHAnsi" w:hAnsiTheme="majorHAnsi"/>
            <w:sz w:val="16"/>
            <w:szCs w:val="16"/>
          </w:rPr>
          <w:t>http://infovenezuela.org/democracy/attachments-spanish/T3%20ST03%20N8%20Avance%20Sumate%20RRP1-1.pdf</w:t>
        </w:r>
      </w:hyperlink>
      <w:r w:rsidRPr="00326F31">
        <w:rPr>
          <w:rFonts w:asciiTheme="majorHAnsi" w:hAnsiTheme="majorHAnsi"/>
          <w:sz w:val="16"/>
          <w:szCs w:val="16"/>
        </w:rPr>
        <w:t>.</w:t>
      </w:r>
    </w:p>
  </w:footnote>
  <w:footnote w:id="17">
    <w:p w14:paraId="38CE1727" w14:textId="323258D0"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spellStart"/>
      <w:r w:rsidRPr="00326F31">
        <w:rPr>
          <w:rFonts w:asciiTheme="majorHAnsi" w:hAnsiTheme="majorHAnsi"/>
          <w:i/>
          <w:sz w:val="16"/>
          <w:szCs w:val="16"/>
        </w:rPr>
        <w:t>Súmate</w:t>
      </w:r>
      <w:proofErr w:type="spellEnd"/>
      <w:r w:rsidRPr="00326F31">
        <w:rPr>
          <w:rFonts w:asciiTheme="majorHAnsi" w:hAnsiTheme="majorHAnsi"/>
          <w:sz w:val="16"/>
          <w:szCs w:val="16"/>
        </w:rPr>
        <w:t xml:space="preserve"> Progress Report "The Presidential Recall Referendum", September 7, 2004, page 15, available at: </w:t>
      </w:r>
      <w:hyperlink r:id="rId11" w:history="1">
        <w:r w:rsidRPr="00326F31">
          <w:rPr>
            <w:rStyle w:val="Hyperlink"/>
            <w:rFonts w:asciiTheme="majorHAnsi" w:hAnsiTheme="majorHAnsi"/>
            <w:sz w:val="16"/>
            <w:szCs w:val="16"/>
          </w:rPr>
          <w:t>http://infovenezuela.org/democracy/attachments-spanish/T3%20ST03%20N8%20Avance%20Sumate%20RRP1-1.pdf</w:t>
        </w:r>
      </w:hyperlink>
    </w:p>
  </w:footnote>
  <w:footnote w:id="18">
    <w:p w14:paraId="5C0CB30E" w14:textId="4C7C7155"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r w:rsidRPr="00326F31">
        <w:rPr>
          <w:rFonts w:asciiTheme="majorHAnsi" w:hAnsiTheme="majorHAnsi"/>
          <w:i/>
          <w:sz w:val="16"/>
          <w:szCs w:val="16"/>
        </w:rPr>
        <w:t>El País</w:t>
      </w:r>
      <w:r w:rsidRPr="00326F31">
        <w:rPr>
          <w:rFonts w:asciiTheme="majorHAnsi" w:hAnsiTheme="majorHAnsi"/>
          <w:sz w:val="16"/>
          <w:szCs w:val="16"/>
        </w:rPr>
        <w:t xml:space="preserve">, opposition claims victory in the </w:t>
      </w:r>
      <w:proofErr w:type="spellStart"/>
      <w:r w:rsidRPr="00326F31">
        <w:rPr>
          <w:rFonts w:asciiTheme="majorHAnsi" w:hAnsiTheme="majorHAnsi"/>
          <w:i/>
          <w:sz w:val="16"/>
          <w:szCs w:val="16"/>
        </w:rPr>
        <w:t>firmazo</w:t>
      </w:r>
      <w:proofErr w:type="spellEnd"/>
      <w:r w:rsidRPr="00326F31">
        <w:rPr>
          <w:rFonts w:asciiTheme="majorHAnsi" w:hAnsiTheme="majorHAnsi"/>
          <w:sz w:val="16"/>
          <w:szCs w:val="16"/>
        </w:rPr>
        <w:t xml:space="preserve"> against Chavez, December 3, 2003, available at: </w:t>
      </w:r>
      <w:hyperlink r:id="rId12" w:history="1">
        <w:r w:rsidRPr="00326F31">
          <w:rPr>
            <w:rStyle w:val="Hyperlink"/>
            <w:rFonts w:asciiTheme="majorHAnsi" w:hAnsiTheme="majorHAnsi"/>
            <w:sz w:val="16"/>
            <w:szCs w:val="16"/>
          </w:rPr>
          <w:t>http://elpais.com/diario/2003/12/03/internacional/1070406013_850215.html</w:t>
        </w:r>
      </w:hyperlink>
      <w:r w:rsidRPr="00326F31">
        <w:rPr>
          <w:rFonts w:asciiTheme="majorHAnsi" w:hAnsiTheme="majorHAnsi"/>
          <w:sz w:val="16"/>
          <w:szCs w:val="16"/>
        </w:rPr>
        <w:t xml:space="preserve">. </w:t>
      </w:r>
    </w:p>
  </w:footnote>
  <w:footnote w:id="19">
    <w:p w14:paraId="1BE99AE5" w14:textId="0F4F3875"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r w:rsidRPr="00326F31">
        <w:rPr>
          <w:rFonts w:asciiTheme="majorHAnsi" w:hAnsiTheme="majorHAnsi"/>
          <w:i/>
          <w:sz w:val="16"/>
          <w:szCs w:val="16"/>
        </w:rPr>
        <w:t>El Universal</w:t>
      </w:r>
      <w:r w:rsidRPr="00326F31">
        <w:rPr>
          <w:rFonts w:asciiTheme="majorHAnsi" w:hAnsiTheme="majorHAnsi"/>
          <w:sz w:val="16"/>
          <w:szCs w:val="16"/>
        </w:rPr>
        <w:t xml:space="preserve">, Order to deliver signatures after 19A, August 14, 2003, available at: </w:t>
      </w:r>
      <w:hyperlink r:id="rId13" w:history="1">
        <w:r w:rsidRPr="00326F31">
          <w:rPr>
            <w:rStyle w:val="Hyperlink"/>
            <w:rFonts w:asciiTheme="majorHAnsi" w:hAnsiTheme="majorHAnsi"/>
            <w:sz w:val="16"/>
            <w:szCs w:val="16"/>
          </w:rPr>
          <w:t>http://www.eluniversal.com/2003/08/14/pol_art_14104AA</w:t>
        </w:r>
      </w:hyperlink>
      <w:r w:rsidRPr="00326F31">
        <w:rPr>
          <w:rFonts w:asciiTheme="majorHAnsi" w:hAnsiTheme="majorHAnsi"/>
          <w:sz w:val="16"/>
          <w:szCs w:val="16"/>
        </w:rPr>
        <w:t xml:space="preserve">. </w:t>
      </w:r>
    </w:p>
  </w:footnote>
  <w:footnote w:id="20">
    <w:p w14:paraId="011AFBE9" w14:textId="37722CED"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proofErr w:type="spellStart"/>
      <w:r w:rsidRPr="00326F31">
        <w:rPr>
          <w:rFonts w:asciiTheme="majorHAnsi" w:hAnsiTheme="majorHAnsi"/>
          <w:i/>
          <w:sz w:val="16"/>
          <w:szCs w:val="16"/>
        </w:rPr>
        <w:t>Súmate</w:t>
      </w:r>
      <w:proofErr w:type="spellEnd"/>
      <w:r w:rsidRPr="00326F31">
        <w:rPr>
          <w:rFonts w:asciiTheme="majorHAnsi" w:hAnsiTheme="majorHAnsi"/>
          <w:sz w:val="16"/>
          <w:szCs w:val="16"/>
        </w:rPr>
        <w:t xml:space="preserve"> Progress Report "The Presidential Recall Referendum", September 7, 2004, page 14, available at: </w:t>
      </w:r>
      <w:hyperlink r:id="rId14" w:history="1">
        <w:r w:rsidRPr="00326F31">
          <w:rPr>
            <w:rStyle w:val="Hyperlink"/>
            <w:rFonts w:asciiTheme="majorHAnsi" w:hAnsiTheme="majorHAnsi"/>
            <w:sz w:val="16"/>
            <w:szCs w:val="16"/>
          </w:rPr>
          <w:t>http://infovenezuela.org/democracy/attachments-spanish/T3%20ST03%20N8%20Avance%20Sumate%20RRP1-1.pdf</w:t>
        </w:r>
      </w:hyperlink>
      <w:r w:rsidRPr="00326F31">
        <w:rPr>
          <w:rFonts w:asciiTheme="majorHAnsi" w:hAnsiTheme="majorHAnsi"/>
          <w:sz w:val="16"/>
          <w:szCs w:val="16"/>
        </w:rPr>
        <w:t>.</w:t>
      </w:r>
    </w:p>
  </w:footnote>
  <w:footnote w:id="21">
    <w:p w14:paraId="61825B08" w14:textId="5D5CC10F"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National Electoral Council Resolution No. 030912-461, September 12, 2003, available at</w:t>
      </w:r>
      <w:proofErr w:type="gramStart"/>
      <w:r w:rsidRPr="00326F31">
        <w:rPr>
          <w:rFonts w:asciiTheme="majorHAnsi" w:hAnsiTheme="majorHAnsi"/>
          <w:sz w:val="16"/>
          <w:szCs w:val="16"/>
        </w:rPr>
        <w:t>:</w:t>
      </w:r>
      <w:proofErr w:type="gramEnd"/>
      <w:r>
        <w:fldChar w:fldCharType="begin"/>
      </w:r>
      <w:r>
        <w:instrText xml:space="preserve"> HYPERLINK "http://www.cne.gob.ve/web/sala_prensa/noticia_detallada.php?id=1629" </w:instrText>
      </w:r>
      <w:r>
        <w:fldChar w:fldCharType="separate"/>
      </w:r>
      <w:r w:rsidRPr="00326F31">
        <w:rPr>
          <w:rStyle w:val="Hyperlink"/>
          <w:rFonts w:asciiTheme="majorHAnsi" w:hAnsiTheme="majorHAnsi"/>
          <w:sz w:val="16"/>
          <w:szCs w:val="16"/>
        </w:rPr>
        <w:t>http://www.cne.gob.ve/web/sala_prensa/noticia_detallada.php?id=1629</w:t>
      </w:r>
      <w:r>
        <w:rPr>
          <w:rStyle w:val="Hyperlink"/>
          <w:rFonts w:asciiTheme="majorHAnsi" w:hAnsiTheme="majorHAnsi"/>
          <w:sz w:val="16"/>
          <w:szCs w:val="16"/>
        </w:rPr>
        <w:fldChar w:fldCharType="end"/>
      </w:r>
      <w:r w:rsidRPr="00326F31">
        <w:rPr>
          <w:rFonts w:asciiTheme="majorHAnsi" w:hAnsiTheme="majorHAnsi"/>
          <w:sz w:val="16"/>
          <w:szCs w:val="16"/>
        </w:rPr>
        <w:t xml:space="preserve">. </w:t>
      </w:r>
    </w:p>
  </w:footnote>
  <w:footnote w:id="22">
    <w:p w14:paraId="67CF62B7" w14:textId="2A375534"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National Electoral Council Resolution No. 030912-461, September 12, 2003, available at: </w:t>
      </w:r>
      <w:hyperlink r:id="rId15" w:history="1">
        <w:r w:rsidRPr="00326F31">
          <w:rPr>
            <w:rStyle w:val="Hyperlink"/>
            <w:rFonts w:asciiTheme="majorHAnsi" w:hAnsiTheme="majorHAnsi"/>
            <w:sz w:val="16"/>
            <w:szCs w:val="16"/>
          </w:rPr>
          <w:t>http://www.cne.gob.ve/web/sala_prensa/noticia_detallada.php?id=1629</w:t>
        </w:r>
      </w:hyperlink>
      <w:r w:rsidRPr="00326F31">
        <w:rPr>
          <w:rFonts w:asciiTheme="majorHAnsi" w:hAnsiTheme="majorHAnsi"/>
          <w:sz w:val="16"/>
          <w:szCs w:val="16"/>
        </w:rPr>
        <w:t xml:space="preserve">. </w:t>
      </w:r>
    </w:p>
  </w:footnote>
  <w:footnote w:id="23">
    <w:p w14:paraId="7F69F5BD" w14:textId="524AE04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National Electoral Council, Resolution 030925-465, September 25, 2003.</w:t>
      </w:r>
    </w:p>
  </w:footnote>
  <w:footnote w:id="24">
    <w:p w14:paraId="1400329A" w14:textId="1B8673B1"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National Electoral Council, Resolution 031015-539, October 15, 2003.</w:t>
      </w:r>
    </w:p>
  </w:footnote>
  <w:footnote w:id="25">
    <w:p w14:paraId="18B9AA02" w14:textId="05063A9F"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1</w:t>
      </w:r>
      <w:r w:rsidRPr="00326F31">
        <w:rPr>
          <w:rFonts w:asciiTheme="majorHAnsi" w:hAnsiTheme="majorHAnsi"/>
          <w:sz w:val="16"/>
          <w:szCs w:val="16"/>
        </w:rPr>
        <w:t xml:space="preserve">. </w:t>
      </w:r>
      <w:proofErr w:type="gramStart"/>
      <w:r w:rsidRPr="00326F31">
        <w:rPr>
          <w:rFonts w:asciiTheme="majorHAnsi" w:hAnsiTheme="majorHAnsi"/>
          <w:sz w:val="16"/>
          <w:szCs w:val="16"/>
        </w:rPr>
        <w:t>National Electoral Council Resolution No. 031027-710 of 27 October 2003 (Annex A to the State’s submission within the admissibility process before Commission of January 16, 2008).</w:t>
      </w:r>
      <w:proofErr w:type="gramEnd"/>
    </w:p>
  </w:footnote>
  <w:footnote w:id="26">
    <w:p w14:paraId="55696DEF" w14:textId="0299987C"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Ann</w:t>
      </w:r>
      <w:r>
        <w:rPr>
          <w:rFonts w:asciiTheme="majorHAnsi" w:hAnsiTheme="majorHAnsi"/>
          <w:sz w:val="16"/>
          <w:szCs w:val="16"/>
        </w:rPr>
        <w:t>ex 2</w:t>
      </w:r>
      <w:r w:rsidRPr="00326F31">
        <w:rPr>
          <w:rFonts w:asciiTheme="majorHAnsi" w:hAnsiTheme="majorHAnsi"/>
          <w:sz w:val="16"/>
          <w:szCs w:val="16"/>
        </w:rPr>
        <w:t xml:space="preserve">. </w:t>
      </w:r>
      <w:proofErr w:type="gramStart"/>
      <w:r w:rsidRPr="00326F31">
        <w:rPr>
          <w:rFonts w:asciiTheme="majorHAnsi" w:hAnsiTheme="majorHAnsi"/>
          <w:sz w:val="16"/>
          <w:szCs w:val="16"/>
        </w:rPr>
        <w:t>National Electoral Council Resolution No. 031027-710 of 27 October 2003 (Annex A to the State’s submission within the admissibility process before Commission of January 16, 2008).</w:t>
      </w:r>
      <w:proofErr w:type="gramEnd"/>
    </w:p>
  </w:footnote>
  <w:footnote w:id="27">
    <w:p w14:paraId="23F21A1F" w14:textId="35EE7568" w:rsidR="00C45C34" w:rsidRPr="00326F31" w:rsidRDefault="00C45C34" w:rsidP="00131FA4">
      <w:pPr>
        <w:pBdr>
          <w:left w:val="none" w:sz="0" w:space="0" w:color="auto"/>
          <w:bottom w:val="none" w:sz="0" w:space="0" w:color="auto"/>
          <w:right w:val="none" w:sz="0" w:space="0" w:color="auto"/>
          <w:between w:val="none" w:sz="0" w:space="0" w:color="auto"/>
          <w:bar w:val="none" w:sz="0" w:color="auto"/>
        </w:pBdr>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In its Annual Report 2004, the Commission indicated that it was informed “</w:t>
      </w:r>
      <w:r w:rsidRPr="00326F31">
        <w:rPr>
          <w:rFonts w:asciiTheme="majorHAnsi" w:hAnsiTheme="majorHAnsi"/>
          <w:color w:val="000000"/>
          <w:sz w:val="16"/>
          <w:szCs w:val="16"/>
        </w:rPr>
        <w:t>of growing tensions and polarization between opposition sectors and the government. This was evident in the events surrounding the process of verifying and validating signatures collected by the National Electoral Council (CNE), as well as in the charges voiced by senior government officials and the President himself about instances of "mega-fraud", and in the wave of peaceful street protests in some of which there were acts of violence involving the disproportionate use of force by the security apparatus responsible for public safety</w:t>
      </w:r>
      <w:r w:rsidRPr="00326F31">
        <w:rPr>
          <w:rFonts w:asciiTheme="majorHAnsi" w:hAnsiTheme="majorHAnsi"/>
          <w:sz w:val="16"/>
          <w:szCs w:val="16"/>
        </w:rPr>
        <w:t xml:space="preserve">. </w:t>
      </w:r>
      <w:r w:rsidRPr="00326F31">
        <w:rPr>
          <w:rFonts w:asciiTheme="majorHAnsi" w:hAnsiTheme="majorHAnsi"/>
          <w:sz w:val="16"/>
          <w:szCs w:val="16"/>
          <w:shd w:val="clear" w:color="auto" w:fill="FFFFFF"/>
        </w:rPr>
        <w:t xml:space="preserve">See IACHR, </w:t>
      </w:r>
      <w:r w:rsidRPr="00326F31">
        <w:rPr>
          <w:rFonts w:asciiTheme="majorHAnsi" w:hAnsiTheme="majorHAnsi"/>
          <w:sz w:val="16"/>
          <w:szCs w:val="16"/>
        </w:rPr>
        <w:t>Follow-up report on compliance by the State of Venezuela with the recommendations made by the IACHR in its report on the situation of human rights in Venezuela</w:t>
      </w:r>
      <w:r w:rsidRPr="00326F31">
        <w:rPr>
          <w:rFonts w:asciiTheme="majorHAnsi" w:hAnsiTheme="majorHAnsi"/>
          <w:sz w:val="16"/>
          <w:szCs w:val="16"/>
          <w:shd w:val="clear" w:color="auto" w:fill="FFFFFF"/>
        </w:rPr>
        <w:t xml:space="preserve">, February 23, 2005, available at: </w:t>
      </w:r>
      <w:hyperlink r:id="rId16" w:history="1">
        <w:r w:rsidRPr="00326F31">
          <w:rPr>
            <w:rStyle w:val="Hyperlink"/>
            <w:rFonts w:asciiTheme="majorHAnsi" w:hAnsiTheme="majorHAnsi"/>
            <w:sz w:val="16"/>
            <w:szCs w:val="16"/>
          </w:rPr>
          <w:t>http://www.cidh.org/annualrep/2004eng/chap.5b.htm</w:t>
        </w:r>
      </w:hyperlink>
      <w:r w:rsidRPr="00326F31">
        <w:rPr>
          <w:rFonts w:asciiTheme="majorHAnsi" w:hAnsiTheme="majorHAnsi"/>
          <w:sz w:val="16"/>
          <w:szCs w:val="16"/>
        </w:rPr>
        <w:t>.</w:t>
      </w:r>
      <w:r w:rsidRPr="00326F31">
        <w:rPr>
          <w:rFonts w:asciiTheme="majorHAnsi" w:hAnsiTheme="majorHAnsi"/>
          <w:sz w:val="16"/>
          <w:szCs w:val="16"/>
          <w:shd w:val="clear" w:color="auto" w:fill="FFFFFF"/>
        </w:rPr>
        <w:t xml:space="preserve"> </w:t>
      </w:r>
    </w:p>
  </w:footnote>
  <w:footnote w:id="28">
    <w:p w14:paraId="45B24018" w14:textId="226991BC"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Documentary "The List, a people under suspicion, available at: </w:t>
      </w:r>
      <w:hyperlink r:id="rId17" w:history="1">
        <w:r w:rsidRPr="00326F31">
          <w:rPr>
            <w:rStyle w:val="Hyperlink"/>
            <w:rFonts w:asciiTheme="majorHAnsi" w:hAnsiTheme="majorHAnsi"/>
            <w:sz w:val="16"/>
            <w:szCs w:val="16"/>
          </w:rPr>
          <w:t>https://www.youtube.com/watch?v=2LuOQjhg8BU</w:t>
        </w:r>
      </w:hyperlink>
      <w:r w:rsidRPr="00326F31">
        <w:rPr>
          <w:rFonts w:asciiTheme="majorHAnsi" w:hAnsiTheme="majorHAnsi"/>
          <w:sz w:val="16"/>
          <w:szCs w:val="16"/>
        </w:rPr>
        <w:t>;</w:t>
      </w:r>
      <w:r>
        <w:rPr>
          <w:rFonts w:asciiTheme="majorHAnsi" w:hAnsiTheme="majorHAnsi"/>
          <w:sz w:val="16"/>
          <w:szCs w:val="16"/>
        </w:rPr>
        <w:t xml:space="preserve"> </w:t>
      </w:r>
      <w:r w:rsidRPr="00326F31">
        <w:rPr>
          <w:rFonts w:asciiTheme="majorHAnsi" w:hAnsiTheme="majorHAnsi"/>
          <w:sz w:val="16"/>
          <w:szCs w:val="16"/>
        </w:rPr>
        <w:t xml:space="preserve">The Universal, The infamous list, what’s upsetting is how millions of people came out of the slums to vote without fear, February 25, 2012, available at: </w:t>
      </w:r>
      <w:hyperlink r:id="rId18" w:history="1">
        <w:r w:rsidRPr="00326F31">
          <w:rPr>
            <w:rStyle w:val="Hyperlink"/>
            <w:rFonts w:asciiTheme="majorHAnsi" w:hAnsiTheme="majorHAnsi"/>
            <w:sz w:val="16"/>
            <w:szCs w:val="16"/>
          </w:rPr>
          <w:t>http://www.eluniversal.com/opinion/120225/la-lista-infame-imp</w:t>
        </w:r>
      </w:hyperlink>
      <w:r w:rsidRPr="00326F31">
        <w:rPr>
          <w:rFonts w:asciiTheme="majorHAnsi" w:hAnsiTheme="majorHAnsi"/>
          <w:sz w:val="16"/>
          <w:szCs w:val="16"/>
        </w:rPr>
        <w:t xml:space="preserve">. </w:t>
      </w:r>
    </w:p>
  </w:footnote>
  <w:footnote w:id="29">
    <w:p w14:paraId="7679B185" w14:textId="428B8754"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Active Citizenship, Documentary "The List, a people under suspicion" available at: </w:t>
      </w:r>
      <w:hyperlink r:id="rId19" w:history="1">
        <w:r w:rsidRPr="00326F31">
          <w:rPr>
            <w:rStyle w:val="Hyperlink"/>
            <w:rFonts w:asciiTheme="majorHAnsi" w:hAnsiTheme="majorHAnsi"/>
            <w:sz w:val="16"/>
            <w:szCs w:val="16"/>
          </w:rPr>
          <w:t>https://ciudadaniaactivavzla.wordpress.com/2015/03/26/documental-la-lista-tascon/</w:t>
        </w:r>
      </w:hyperlink>
      <w:r w:rsidRPr="00326F31">
        <w:rPr>
          <w:rFonts w:asciiTheme="majorHAnsi" w:hAnsiTheme="majorHAnsi"/>
          <w:sz w:val="16"/>
          <w:szCs w:val="16"/>
        </w:rPr>
        <w:t xml:space="preserve">. </w:t>
      </w:r>
    </w:p>
  </w:footnote>
  <w:footnote w:id="30">
    <w:p w14:paraId="3504BEDF" w14:textId="56CAF0FA"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Active Citizenship, Documentary "The List, a people under suspicion" available at: </w:t>
      </w:r>
      <w:hyperlink r:id="rId20" w:history="1">
        <w:r w:rsidRPr="00326F31">
          <w:rPr>
            <w:rStyle w:val="Hyperlink"/>
            <w:rFonts w:asciiTheme="majorHAnsi" w:hAnsiTheme="majorHAnsi"/>
            <w:sz w:val="16"/>
            <w:szCs w:val="16"/>
          </w:rPr>
          <w:t>https://ciudadaniaactivavzla.wordpress.com/2015/03/26/documental-la-lista-tascon/</w:t>
        </w:r>
      </w:hyperlink>
      <w:r w:rsidRPr="00326F31">
        <w:rPr>
          <w:rFonts w:asciiTheme="majorHAnsi" w:hAnsiTheme="majorHAnsi"/>
          <w:sz w:val="16"/>
          <w:szCs w:val="16"/>
        </w:rPr>
        <w:t xml:space="preserve">. </w:t>
      </w:r>
    </w:p>
  </w:footnote>
  <w:footnote w:id="31">
    <w:p w14:paraId="2FFAFFFC" w14:textId="17513FB5"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The Carter Center, Observation of the presidential recall referendum in Venezuela, February 2005, page 28, available at: </w:t>
      </w:r>
      <w:hyperlink r:id="rId21" w:history="1">
        <w:r w:rsidRPr="00326F31">
          <w:rPr>
            <w:rStyle w:val="Hyperlink"/>
            <w:rFonts w:asciiTheme="majorHAnsi" w:hAnsiTheme="majorHAnsi"/>
            <w:sz w:val="16"/>
            <w:szCs w:val="16"/>
          </w:rPr>
          <w:t>https://www.cartercenter.org/documents/2021.pdf</w:t>
        </w:r>
      </w:hyperlink>
      <w:r w:rsidRPr="00326F31">
        <w:rPr>
          <w:rFonts w:asciiTheme="majorHAnsi" w:hAnsiTheme="majorHAnsi"/>
          <w:sz w:val="16"/>
          <w:szCs w:val="16"/>
        </w:rPr>
        <w:t xml:space="preserve">. </w:t>
      </w:r>
    </w:p>
  </w:footnote>
  <w:footnote w:id="32">
    <w:p w14:paraId="6CC750C4" w14:textId="2D796213"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ABC, Chavez placed on a blacklist all who participated in the primaries of the opposition, April 10, 2012, available at:: </w:t>
      </w:r>
      <w:hyperlink r:id="rId22" w:history="1">
        <w:r w:rsidRPr="00326F31">
          <w:rPr>
            <w:rStyle w:val="Hyperlink"/>
            <w:rFonts w:asciiTheme="majorHAnsi" w:hAnsiTheme="majorHAnsi"/>
            <w:sz w:val="16"/>
            <w:szCs w:val="16"/>
          </w:rPr>
          <w:t>http://www.abc.es/20120410/internacional/abci-chavez-coloca-lista-negra-201204092159.html</w:t>
        </w:r>
      </w:hyperlink>
      <w:r w:rsidRPr="00326F31">
        <w:rPr>
          <w:rFonts w:asciiTheme="majorHAnsi" w:hAnsiTheme="majorHAnsi"/>
          <w:sz w:val="16"/>
          <w:szCs w:val="16"/>
        </w:rPr>
        <w:t xml:space="preserve">, </w:t>
      </w:r>
      <w:r w:rsidRPr="00326F31">
        <w:rPr>
          <w:rFonts w:asciiTheme="majorHAnsi" w:hAnsiTheme="majorHAnsi"/>
          <w:i/>
          <w:sz w:val="16"/>
          <w:szCs w:val="16"/>
        </w:rPr>
        <w:t>El Universal</w:t>
      </w:r>
      <w:r w:rsidRPr="00326F31">
        <w:rPr>
          <w:rFonts w:asciiTheme="majorHAnsi" w:hAnsiTheme="majorHAnsi"/>
          <w:sz w:val="16"/>
          <w:szCs w:val="16"/>
        </w:rPr>
        <w:t xml:space="preserve">, 42 public bodies engaged in discrimination, November 11, 2006, available at: </w:t>
      </w:r>
      <w:hyperlink r:id="rId23" w:history="1">
        <w:r w:rsidRPr="00326F31">
          <w:rPr>
            <w:rStyle w:val="Hyperlink"/>
            <w:rFonts w:asciiTheme="majorHAnsi" w:hAnsiTheme="majorHAnsi"/>
            <w:sz w:val="16"/>
            <w:szCs w:val="16"/>
          </w:rPr>
          <w:t>http://www.eluniversal.com/2006/11/11/imp_pol_art_65474</w:t>
        </w:r>
      </w:hyperlink>
      <w:r w:rsidRPr="00326F31">
        <w:rPr>
          <w:rFonts w:asciiTheme="majorHAnsi" w:hAnsiTheme="majorHAnsi"/>
          <w:sz w:val="16"/>
          <w:szCs w:val="16"/>
        </w:rPr>
        <w:t xml:space="preserve">. </w:t>
      </w:r>
    </w:p>
  </w:footnote>
  <w:footnote w:id="33">
    <w:p w14:paraId="29BFEAEC" w14:textId="7D4CC68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Active Citizenship, Documentary "The List, a people under suspicion" available at: </w:t>
      </w:r>
      <w:hyperlink r:id="rId24" w:history="1">
        <w:r w:rsidRPr="00326F31">
          <w:rPr>
            <w:rStyle w:val="Hyperlink"/>
            <w:rFonts w:asciiTheme="majorHAnsi" w:hAnsiTheme="majorHAnsi"/>
            <w:sz w:val="16"/>
            <w:szCs w:val="16"/>
          </w:rPr>
          <w:t>https://ciudadaniaactivavzla.wordpress.com/2015/03/26/documental-la-lista-tascon/</w:t>
        </w:r>
      </w:hyperlink>
      <w:r w:rsidRPr="00326F31">
        <w:rPr>
          <w:rFonts w:asciiTheme="majorHAnsi" w:hAnsiTheme="majorHAnsi"/>
          <w:sz w:val="16"/>
          <w:szCs w:val="16"/>
        </w:rPr>
        <w:t>.</w:t>
      </w:r>
    </w:p>
  </w:footnote>
  <w:footnote w:id="34">
    <w:p w14:paraId="34F2DA20" w14:textId="43B5B1EA"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Active Citizenship, Documentary "The List, a people under suspicion" available at: </w:t>
      </w:r>
      <w:hyperlink r:id="rId25" w:history="1">
        <w:r w:rsidRPr="00326F31">
          <w:rPr>
            <w:rStyle w:val="Hyperlink"/>
            <w:rFonts w:asciiTheme="majorHAnsi" w:hAnsiTheme="majorHAnsi"/>
            <w:sz w:val="16"/>
            <w:szCs w:val="16"/>
          </w:rPr>
          <w:t>https://ciudadaniaactivavzla.wordpress.com/2015/03/26/documental-la-lista-tascon/</w:t>
        </w:r>
      </w:hyperlink>
      <w:r w:rsidRPr="00326F31">
        <w:rPr>
          <w:rFonts w:asciiTheme="majorHAnsi" w:hAnsiTheme="majorHAnsi"/>
          <w:sz w:val="16"/>
          <w:szCs w:val="16"/>
        </w:rPr>
        <w:t>.</w:t>
      </w:r>
    </w:p>
  </w:footnote>
  <w:footnote w:id="35">
    <w:p w14:paraId="50A17C1F" w14:textId="7F2C101F"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Active Citizenship, Documentary "The List, a people under suspicion" available at: </w:t>
      </w:r>
      <w:hyperlink r:id="rId26" w:history="1">
        <w:r w:rsidRPr="00326F31">
          <w:rPr>
            <w:rStyle w:val="Hyperlink"/>
            <w:rFonts w:asciiTheme="majorHAnsi" w:hAnsiTheme="majorHAnsi"/>
            <w:sz w:val="16"/>
            <w:szCs w:val="16"/>
          </w:rPr>
          <w:t>https://ciudadaniaactivavzla.wordpress.com/2015/03/26/documental-la-lista-tascon/</w:t>
        </w:r>
      </w:hyperlink>
      <w:r w:rsidRPr="00326F31">
        <w:rPr>
          <w:rFonts w:asciiTheme="majorHAnsi" w:hAnsiTheme="majorHAnsi"/>
          <w:sz w:val="16"/>
          <w:szCs w:val="16"/>
        </w:rPr>
        <w:t>.</w:t>
      </w:r>
    </w:p>
  </w:footnote>
  <w:footnote w:id="36">
    <w:p w14:paraId="3A8DF425" w14:textId="1205CD97"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See Annex 3</w:t>
      </w:r>
      <w:r w:rsidRPr="00326F31">
        <w:rPr>
          <w:rFonts w:asciiTheme="majorHAnsi" w:hAnsiTheme="majorHAnsi"/>
          <w:sz w:val="16"/>
          <w:szCs w:val="16"/>
        </w:rPr>
        <w:t>. Compiling press articles on allegations of retaliation for the signing of the petition for a presidential recall referendum, Annex M of Annex IV of the complaint filed before the IACHR on March 7, 2006.</w:t>
      </w:r>
    </w:p>
  </w:footnote>
  <w:footnote w:id="37">
    <w:p w14:paraId="3E1AF6F2" w14:textId="77777777"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r w:rsidRPr="00326F31">
        <w:rPr>
          <w:rFonts w:asciiTheme="majorHAnsi" w:hAnsiTheme="majorHAnsi"/>
          <w:i/>
          <w:sz w:val="16"/>
          <w:szCs w:val="16"/>
        </w:rPr>
        <w:t>El Universal</w:t>
      </w:r>
      <w:r w:rsidRPr="00326F31">
        <w:rPr>
          <w:rFonts w:asciiTheme="majorHAnsi" w:hAnsiTheme="majorHAnsi"/>
          <w:sz w:val="16"/>
          <w:szCs w:val="16"/>
        </w:rPr>
        <w:t xml:space="preserve">, </w:t>
      </w:r>
      <w:proofErr w:type="gramStart"/>
      <w:r w:rsidRPr="00326F31">
        <w:rPr>
          <w:rFonts w:asciiTheme="majorHAnsi" w:hAnsiTheme="majorHAnsi"/>
          <w:sz w:val="16"/>
          <w:szCs w:val="16"/>
        </w:rPr>
        <w:t>To</w:t>
      </w:r>
      <w:proofErr w:type="gramEnd"/>
      <w:r w:rsidRPr="00326F31">
        <w:rPr>
          <w:rFonts w:asciiTheme="majorHAnsi" w:hAnsiTheme="majorHAnsi"/>
          <w:sz w:val="16"/>
          <w:szCs w:val="16"/>
        </w:rPr>
        <w:t xml:space="preserve"> sign against Chávez is an act of terrorism, March 21, 2004, available at: </w:t>
      </w:r>
      <w:hyperlink r:id="rId27" w:history="1">
        <w:r w:rsidRPr="00326F31">
          <w:rPr>
            <w:rStyle w:val="Hyperlink"/>
            <w:rFonts w:asciiTheme="majorHAnsi" w:hAnsiTheme="majorHAnsi"/>
            <w:sz w:val="16"/>
            <w:szCs w:val="16"/>
          </w:rPr>
          <w:t>http://www.eluniversal.com/2004/03/21/pol_art_21108A</w:t>
        </w:r>
      </w:hyperlink>
      <w:r w:rsidRPr="00326F31">
        <w:rPr>
          <w:rFonts w:asciiTheme="majorHAnsi" w:hAnsiTheme="majorHAnsi"/>
          <w:sz w:val="16"/>
          <w:szCs w:val="16"/>
        </w:rPr>
        <w:t xml:space="preserve">. </w:t>
      </w:r>
    </w:p>
  </w:footnote>
  <w:footnote w:id="38">
    <w:p w14:paraId="31885472" w14:textId="4F5F4523"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r w:rsidRPr="00326F31">
        <w:rPr>
          <w:rFonts w:asciiTheme="majorHAnsi" w:hAnsiTheme="majorHAnsi"/>
          <w:i/>
          <w:sz w:val="16"/>
          <w:szCs w:val="16"/>
        </w:rPr>
        <w:t>El Universal</w:t>
      </w:r>
      <w:r w:rsidRPr="00326F31">
        <w:rPr>
          <w:rFonts w:asciiTheme="majorHAnsi" w:hAnsiTheme="majorHAnsi"/>
          <w:sz w:val="16"/>
          <w:szCs w:val="16"/>
        </w:rPr>
        <w:t xml:space="preserve">, </w:t>
      </w:r>
      <w:proofErr w:type="gramStart"/>
      <w:r w:rsidRPr="00326F31">
        <w:rPr>
          <w:rFonts w:asciiTheme="majorHAnsi" w:hAnsiTheme="majorHAnsi"/>
          <w:sz w:val="16"/>
          <w:szCs w:val="16"/>
        </w:rPr>
        <w:t>To</w:t>
      </w:r>
      <w:proofErr w:type="gramEnd"/>
      <w:r w:rsidRPr="00326F31">
        <w:rPr>
          <w:rFonts w:asciiTheme="majorHAnsi" w:hAnsiTheme="majorHAnsi"/>
          <w:sz w:val="16"/>
          <w:szCs w:val="16"/>
        </w:rPr>
        <w:t xml:space="preserve"> sign against Chávez is an act of terrorism, March 21, 2004, available at: </w:t>
      </w:r>
      <w:hyperlink r:id="rId28" w:history="1">
        <w:r w:rsidRPr="00326F31">
          <w:rPr>
            <w:rStyle w:val="Hyperlink"/>
            <w:rFonts w:asciiTheme="majorHAnsi" w:hAnsiTheme="majorHAnsi"/>
            <w:sz w:val="16"/>
            <w:szCs w:val="16"/>
          </w:rPr>
          <w:t>http://www.eluniversal.com/2004/03/21/pol_art_21108A</w:t>
        </w:r>
      </w:hyperlink>
      <w:r w:rsidRPr="00326F31">
        <w:rPr>
          <w:rFonts w:asciiTheme="majorHAnsi" w:hAnsiTheme="majorHAnsi"/>
          <w:sz w:val="16"/>
          <w:szCs w:val="16"/>
        </w:rPr>
        <w:t xml:space="preserve">. </w:t>
      </w:r>
    </w:p>
  </w:footnote>
  <w:footnote w:id="39">
    <w:p w14:paraId="39041E43" w14:textId="32E441DD" w:rsidR="00C45C34" w:rsidRPr="00C9052E"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IACHR, Report No. 59/13, Petition 212-06. </w:t>
      </w:r>
      <w:proofErr w:type="gramStart"/>
      <w:r w:rsidRPr="00326F31">
        <w:rPr>
          <w:rFonts w:asciiTheme="majorHAnsi" w:hAnsiTheme="majorHAnsi"/>
          <w:sz w:val="16"/>
          <w:szCs w:val="16"/>
        </w:rPr>
        <w:t>Admissibility.</w:t>
      </w:r>
      <w:proofErr w:type="gramEnd"/>
      <w:r w:rsidRPr="00326F31">
        <w:rPr>
          <w:rFonts w:asciiTheme="majorHAnsi" w:hAnsiTheme="majorHAnsi"/>
          <w:sz w:val="16"/>
          <w:szCs w:val="16"/>
        </w:rPr>
        <w:t xml:space="preserve"> </w:t>
      </w:r>
      <w:r w:rsidRPr="00326F31">
        <w:rPr>
          <w:rFonts w:asciiTheme="majorHAnsi" w:hAnsiTheme="majorHAnsi"/>
          <w:sz w:val="16"/>
          <w:szCs w:val="16"/>
          <w:lang w:val="es-ES"/>
        </w:rPr>
        <w:t>Rocío San Miguel</w:t>
      </w:r>
      <w:r>
        <w:rPr>
          <w:rFonts w:asciiTheme="majorHAnsi" w:hAnsiTheme="majorHAnsi"/>
          <w:sz w:val="16"/>
          <w:szCs w:val="16"/>
          <w:lang w:val="es-ES"/>
        </w:rPr>
        <w:t xml:space="preserve"> </w:t>
      </w:r>
      <w:r w:rsidRPr="00326F31">
        <w:rPr>
          <w:rFonts w:asciiTheme="majorHAnsi" w:hAnsiTheme="majorHAnsi"/>
          <w:sz w:val="16"/>
          <w:szCs w:val="16"/>
          <w:lang w:val="es-ES"/>
        </w:rPr>
        <w:t xml:space="preserve">Sosa et al. </w:t>
      </w:r>
      <w:r w:rsidRPr="00C9052E">
        <w:rPr>
          <w:rFonts w:asciiTheme="majorHAnsi" w:hAnsiTheme="majorHAnsi"/>
          <w:sz w:val="16"/>
          <w:szCs w:val="16"/>
        </w:rPr>
        <w:t xml:space="preserve">Venezuela. </w:t>
      </w:r>
      <w:proofErr w:type="gramStart"/>
      <w:r w:rsidRPr="00C9052E">
        <w:rPr>
          <w:rFonts w:asciiTheme="majorHAnsi" w:hAnsiTheme="majorHAnsi"/>
          <w:sz w:val="16"/>
          <w:szCs w:val="16"/>
        </w:rPr>
        <w:t>July 16, 2013, para 16.</w:t>
      </w:r>
      <w:proofErr w:type="gramEnd"/>
    </w:p>
  </w:footnote>
  <w:footnote w:id="40">
    <w:p w14:paraId="67B03DFC" w14:textId="43FFB2DC"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Human rights watch, </w:t>
      </w:r>
      <w:proofErr w:type="gramStart"/>
      <w:r w:rsidRPr="00326F31">
        <w:rPr>
          <w:rFonts w:asciiTheme="majorHAnsi" w:hAnsiTheme="majorHAnsi"/>
          <w:sz w:val="16"/>
          <w:szCs w:val="16"/>
        </w:rPr>
        <w:t>A</w:t>
      </w:r>
      <w:proofErr w:type="gramEnd"/>
      <w:r w:rsidRPr="00326F31">
        <w:rPr>
          <w:rFonts w:asciiTheme="majorHAnsi" w:hAnsiTheme="majorHAnsi"/>
          <w:sz w:val="16"/>
          <w:szCs w:val="16"/>
        </w:rPr>
        <w:t xml:space="preserve"> decade of Chávez Political Intolerance and Lost Opportunities for Advancing Human Rights in Venezuela, p.20. Available at: </w:t>
      </w:r>
      <w:hyperlink r:id="rId29" w:history="1">
        <w:r w:rsidRPr="00326F31">
          <w:rPr>
            <w:rStyle w:val="Hyperlink"/>
            <w:rFonts w:asciiTheme="majorHAnsi" w:hAnsiTheme="majorHAnsi"/>
            <w:sz w:val="16"/>
            <w:szCs w:val="16"/>
          </w:rPr>
          <w:t>https://www.hrw.org/sites/default/files/reports/venezuela0908spweb_0.pdf</w:t>
        </w:r>
      </w:hyperlink>
      <w:r w:rsidRPr="00326F31">
        <w:rPr>
          <w:rFonts w:asciiTheme="majorHAnsi" w:hAnsiTheme="majorHAnsi"/>
          <w:sz w:val="16"/>
          <w:szCs w:val="16"/>
        </w:rPr>
        <w:t>.</w:t>
      </w:r>
      <w:r>
        <w:rPr>
          <w:rFonts w:asciiTheme="majorHAnsi" w:hAnsiTheme="majorHAnsi"/>
          <w:sz w:val="16"/>
          <w:szCs w:val="16"/>
        </w:rPr>
        <w:t xml:space="preserve"> </w:t>
      </w:r>
    </w:p>
  </w:footnote>
  <w:footnote w:id="41">
    <w:p w14:paraId="04BBE308" w14:textId="406934D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Human rights watch, </w:t>
      </w:r>
      <w:proofErr w:type="gramStart"/>
      <w:r w:rsidRPr="00326F31">
        <w:rPr>
          <w:rFonts w:asciiTheme="majorHAnsi" w:hAnsiTheme="majorHAnsi"/>
          <w:sz w:val="16"/>
          <w:szCs w:val="16"/>
        </w:rPr>
        <w:t>A</w:t>
      </w:r>
      <w:proofErr w:type="gramEnd"/>
      <w:r w:rsidRPr="00326F31">
        <w:rPr>
          <w:rFonts w:asciiTheme="majorHAnsi" w:hAnsiTheme="majorHAnsi"/>
          <w:sz w:val="16"/>
          <w:szCs w:val="16"/>
        </w:rPr>
        <w:t xml:space="preserve"> decade of Chávez Political Intolerance and Lost Opportunities for Advancing Human Rights in Venezuela, p.20. Available at: </w:t>
      </w:r>
      <w:hyperlink r:id="rId30" w:history="1">
        <w:r w:rsidRPr="00326F31">
          <w:rPr>
            <w:rStyle w:val="Hyperlink"/>
            <w:rFonts w:asciiTheme="majorHAnsi" w:hAnsiTheme="majorHAnsi"/>
            <w:sz w:val="16"/>
            <w:szCs w:val="16"/>
          </w:rPr>
          <w:t>https://www.hrw.org/sites/default/files/reports/venezuela0908spweb_0.pdf</w:t>
        </w:r>
      </w:hyperlink>
      <w:r w:rsidRPr="00326F31">
        <w:rPr>
          <w:rFonts w:asciiTheme="majorHAnsi" w:hAnsiTheme="majorHAnsi"/>
          <w:sz w:val="16"/>
          <w:szCs w:val="16"/>
        </w:rPr>
        <w:t>.</w:t>
      </w:r>
      <w:r>
        <w:rPr>
          <w:rFonts w:asciiTheme="majorHAnsi" w:hAnsiTheme="majorHAnsi"/>
          <w:sz w:val="16"/>
          <w:szCs w:val="16"/>
        </w:rPr>
        <w:t xml:space="preserve"> </w:t>
      </w:r>
    </w:p>
  </w:footnote>
  <w:footnote w:id="42">
    <w:p w14:paraId="40DC3D04" w14:textId="77777777" w:rsidR="00C45C34" w:rsidRPr="00C449B8" w:rsidRDefault="00C45C34" w:rsidP="00131FA4">
      <w:pPr>
        <w:pStyle w:val="FootnoteText"/>
        <w:spacing w:after="120"/>
        <w:ind w:firstLine="720"/>
        <w:jc w:val="both"/>
        <w:rPr>
          <w:rFonts w:ascii="Cambria" w:hAnsi="Cambria"/>
          <w:sz w:val="16"/>
          <w:szCs w:val="16"/>
        </w:rPr>
      </w:pPr>
      <w:r w:rsidRPr="00A2556A">
        <w:rPr>
          <w:rStyle w:val="FootnoteReference"/>
          <w:rFonts w:ascii="Cambria" w:hAnsi="Cambria"/>
          <w:sz w:val="16"/>
          <w:szCs w:val="16"/>
        </w:rPr>
        <w:footnoteRef/>
      </w:r>
      <w:r w:rsidRPr="00A2556A">
        <w:rPr>
          <w:rFonts w:ascii="Cambria" w:hAnsi="Cambria"/>
          <w:sz w:val="16"/>
          <w:szCs w:val="16"/>
          <w:lang w:val="es-VE"/>
        </w:rPr>
        <w:t xml:space="preserve"> Human </w:t>
      </w:r>
      <w:proofErr w:type="spellStart"/>
      <w:r w:rsidRPr="00A2556A">
        <w:rPr>
          <w:rFonts w:ascii="Cambria" w:hAnsi="Cambria"/>
          <w:sz w:val="16"/>
          <w:szCs w:val="16"/>
          <w:lang w:val="es-VE"/>
        </w:rPr>
        <w:t>rights</w:t>
      </w:r>
      <w:proofErr w:type="spellEnd"/>
      <w:r w:rsidRPr="00A2556A">
        <w:rPr>
          <w:rFonts w:ascii="Cambria" w:hAnsi="Cambria"/>
          <w:sz w:val="16"/>
          <w:szCs w:val="16"/>
          <w:lang w:val="es-VE"/>
        </w:rPr>
        <w:t xml:space="preserve"> </w:t>
      </w:r>
      <w:proofErr w:type="spellStart"/>
      <w:r w:rsidRPr="00A2556A">
        <w:rPr>
          <w:rFonts w:ascii="Cambria" w:hAnsi="Cambria"/>
          <w:sz w:val="16"/>
          <w:szCs w:val="16"/>
          <w:lang w:val="es-VE"/>
        </w:rPr>
        <w:t>watch</w:t>
      </w:r>
      <w:proofErr w:type="spellEnd"/>
      <w:r w:rsidRPr="00A2556A">
        <w:rPr>
          <w:rFonts w:ascii="Cambria" w:hAnsi="Cambria"/>
          <w:sz w:val="16"/>
          <w:szCs w:val="16"/>
          <w:lang w:val="es-VE"/>
        </w:rPr>
        <w:t xml:space="preserve">, Una década de Chávez, Intolerancia política y oportunidades perdidas para el progreso de los derechos humanos en Venezuela,  Pág.20. Disponible en: </w:t>
      </w:r>
      <w:hyperlink r:id="rId31" w:history="1">
        <w:r w:rsidRPr="00A2556A">
          <w:rPr>
            <w:rStyle w:val="Hyperlink"/>
            <w:rFonts w:ascii="Cambria" w:hAnsi="Cambria"/>
            <w:sz w:val="16"/>
            <w:szCs w:val="16"/>
            <w:lang w:val="es-VE"/>
          </w:rPr>
          <w:t>https://www.hrw.org/sites/default/files/reports/venezuela0908spweb_0.pdf</w:t>
        </w:r>
      </w:hyperlink>
      <w:r>
        <w:rPr>
          <w:rFonts w:ascii="Cambria" w:hAnsi="Cambria"/>
          <w:sz w:val="16"/>
          <w:szCs w:val="16"/>
          <w:lang w:val="es-VE"/>
        </w:rPr>
        <w:t xml:space="preserve">; Asociación Civil Súmate, Apartheid del Siglo XXI. La informática al servicio de la discriminación política en Venezuela, capítulo 3. </w:t>
      </w:r>
      <w:proofErr w:type="spellStart"/>
      <w:r w:rsidRPr="00C449B8">
        <w:rPr>
          <w:rFonts w:ascii="Cambria" w:hAnsi="Cambria"/>
          <w:sz w:val="16"/>
          <w:szCs w:val="16"/>
        </w:rPr>
        <w:t>Disponible</w:t>
      </w:r>
      <w:proofErr w:type="spellEnd"/>
      <w:r w:rsidRPr="00C449B8">
        <w:rPr>
          <w:rFonts w:ascii="Cambria" w:hAnsi="Cambria"/>
          <w:sz w:val="16"/>
          <w:szCs w:val="16"/>
        </w:rPr>
        <w:t xml:space="preserve"> </w:t>
      </w:r>
      <w:proofErr w:type="spellStart"/>
      <w:r w:rsidRPr="00C449B8">
        <w:rPr>
          <w:rFonts w:ascii="Cambria" w:hAnsi="Cambria"/>
          <w:sz w:val="16"/>
          <w:szCs w:val="16"/>
        </w:rPr>
        <w:t>en</w:t>
      </w:r>
      <w:proofErr w:type="spellEnd"/>
      <w:r w:rsidRPr="00C449B8">
        <w:rPr>
          <w:rFonts w:ascii="Cambria" w:hAnsi="Cambria"/>
          <w:sz w:val="16"/>
          <w:szCs w:val="16"/>
        </w:rPr>
        <w:t xml:space="preserve">: </w:t>
      </w:r>
      <w:hyperlink r:id="rId32" w:history="1">
        <w:r w:rsidRPr="00C449B8">
          <w:rPr>
            <w:rStyle w:val="Hyperlink"/>
            <w:rFonts w:ascii="Cambria" w:hAnsi="Cambria"/>
            <w:sz w:val="16"/>
            <w:szCs w:val="16"/>
          </w:rPr>
          <w:t>http://sumate.org/documentos/ApartheidSigloXXI/Apartheid%20del%20Siglo%20XXI%20Capitulo3.pdf</w:t>
        </w:r>
      </w:hyperlink>
      <w:r w:rsidRPr="00C449B8">
        <w:rPr>
          <w:rFonts w:ascii="Cambria" w:hAnsi="Cambria"/>
          <w:sz w:val="16"/>
          <w:szCs w:val="16"/>
        </w:rPr>
        <w:t xml:space="preserve">. </w:t>
      </w:r>
    </w:p>
  </w:footnote>
  <w:footnote w:id="43">
    <w:p w14:paraId="15A177D8" w14:textId="4CC545B5"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Human rights watch, </w:t>
      </w:r>
      <w:proofErr w:type="gramStart"/>
      <w:r w:rsidRPr="00326F31">
        <w:rPr>
          <w:rFonts w:asciiTheme="majorHAnsi" w:hAnsiTheme="majorHAnsi"/>
          <w:sz w:val="16"/>
          <w:szCs w:val="16"/>
        </w:rPr>
        <w:t>A</w:t>
      </w:r>
      <w:proofErr w:type="gramEnd"/>
      <w:r w:rsidRPr="00326F31">
        <w:rPr>
          <w:rFonts w:asciiTheme="majorHAnsi" w:hAnsiTheme="majorHAnsi"/>
          <w:sz w:val="16"/>
          <w:szCs w:val="16"/>
        </w:rPr>
        <w:t xml:space="preserve"> decade of Chávez Political Intolerance and Lost Opportunities for Advancing Human Rights in Venezuela, p.24. Available at: </w:t>
      </w:r>
      <w:hyperlink r:id="rId33" w:history="1">
        <w:r w:rsidRPr="00326F31">
          <w:rPr>
            <w:rStyle w:val="Hyperlink"/>
            <w:rFonts w:asciiTheme="majorHAnsi" w:hAnsiTheme="majorHAnsi"/>
            <w:sz w:val="16"/>
            <w:szCs w:val="16"/>
          </w:rPr>
          <w:t>https://www.hrw.org/sites/default/files/reports/venezuela0908spweb_0.pdf</w:t>
        </w:r>
      </w:hyperlink>
      <w:r w:rsidRPr="00326F31">
        <w:rPr>
          <w:rFonts w:asciiTheme="majorHAnsi" w:hAnsiTheme="majorHAnsi"/>
          <w:sz w:val="16"/>
          <w:szCs w:val="16"/>
        </w:rPr>
        <w:t>.</w:t>
      </w:r>
      <w:r>
        <w:rPr>
          <w:rFonts w:asciiTheme="majorHAnsi" w:hAnsiTheme="majorHAnsi"/>
          <w:sz w:val="16"/>
          <w:szCs w:val="16"/>
        </w:rPr>
        <w:t xml:space="preserve"> </w:t>
      </w:r>
    </w:p>
  </w:footnote>
  <w:footnote w:id="44">
    <w:p w14:paraId="53380971" w14:textId="4F56252A"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Human rights watch, </w:t>
      </w:r>
      <w:proofErr w:type="gramStart"/>
      <w:r w:rsidRPr="00326F31">
        <w:rPr>
          <w:rFonts w:asciiTheme="majorHAnsi" w:hAnsiTheme="majorHAnsi"/>
          <w:sz w:val="16"/>
          <w:szCs w:val="16"/>
        </w:rPr>
        <w:t>A</w:t>
      </w:r>
      <w:proofErr w:type="gramEnd"/>
      <w:r w:rsidRPr="00326F31">
        <w:rPr>
          <w:rFonts w:asciiTheme="majorHAnsi" w:hAnsiTheme="majorHAnsi"/>
          <w:sz w:val="16"/>
          <w:szCs w:val="16"/>
        </w:rPr>
        <w:t xml:space="preserve"> decade of Chávez Political Intolerance and Lost Opportunities for Advancing Human Rights in Venezuela, p.24. Available at: </w:t>
      </w:r>
      <w:hyperlink r:id="rId34" w:history="1">
        <w:r w:rsidRPr="00326F31">
          <w:rPr>
            <w:rStyle w:val="Hyperlink"/>
            <w:rFonts w:asciiTheme="majorHAnsi" w:hAnsiTheme="majorHAnsi"/>
            <w:sz w:val="16"/>
            <w:szCs w:val="16"/>
          </w:rPr>
          <w:t>https://www.hrw.org/sites/default/files/reports/venezuela0908spweb_0.pdf</w:t>
        </w:r>
      </w:hyperlink>
      <w:r w:rsidRPr="00326F31">
        <w:rPr>
          <w:rFonts w:asciiTheme="majorHAnsi" w:hAnsiTheme="majorHAnsi"/>
          <w:sz w:val="16"/>
          <w:szCs w:val="16"/>
        </w:rPr>
        <w:t>.</w:t>
      </w:r>
      <w:r>
        <w:rPr>
          <w:rFonts w:asciiTheme="majorHAnsi" w:hAnsiTheme="majorHAnsi"/>
          <w:sz w:val="16"/>
          <w:szCs w:val="16"/>
        </w:rPr>
        <w:t xml:space="preserve"> </w:t>
      </w:r>
    </w:p>
  </w:footnote>
  <w:footnote w:id="45">
    <w:p w14:paraId="1CA1AE6D" w14:textId="4720D2A2"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Human rights watch, </w:t>
      </w:r>
      <w:proofErr w:type="gramStart"/>
      <w:r w:rsidRPr="00326F31">
        <w:rPr>
          <w:rFonts w:asciiTheme="majorHAnsi" w:hAnsiTheme="majorHAnsi"/>
          <w:sz w:val="16"/>
          <w:szCs w:val="16"/>
        </w:rPr>
        <w:t>A</w:t>
      </w:r>
      <w:proofErr w:type="gramEnd"/>
      <w:r w:rsidRPr="00326F31">
        <w:rPr>
          <w:rFonts w:asciiTheme="majorHAnsi" w:hAnsiTheme="majorHAnsi"/>
          <w:sz w:val="16"/>
          <w:szCs w:val="16"/>
        </w:rPr>
        <w:t xml:space="preserve"> decade of Chávez Political Intolerance and Lost Opportunities for Advancing Human Rights in Venezuela, p.24. Available at: </w:t>
      </w:r>
      <w:hyperlink r:id="rId35" w:history="1">
        <w:r w:rsidRPr="00326F31">
          <w:rPr>
            <w:rStyle w:val="Hyperlink"/>
            <w:rFonts w:asciiTheme="majorHAnsi" w:hAnsiTheme="majorHAnsi"/>
            <w:sz w:val="16"/>
            <w:szCs w:val="16"/>
          </w:rPr>
          <w:t>https://www.hrw.org/sites/default/files/reports/venezuela0908spweb_0.pdf</w:t>
        </w:r>
      </w:hyperlink>
      <w:r w:rsidRPr="00326F31">
        <w:rPr>
          <w:rFonts w:asciiTheme="majorHAnsi" w:hAnsiTheme="majorHAnsi"/>
          <w:sz w:val="16"/>
          <w:szCs w:val="16"/>
        </w:rPr>
        <w:t>.</w:t>
      </w:r>
      <w:r>
        <w:rPr>
          <w:rFonts w:asciiTheme="majorHAnsi" w:hAnsiTheme="majorHAnsi"/>
          <w:sz w:val="16"/>
          <w:szCs w:val="16"/>
        </w:rPr>
        <w:t xml:space="preserve"> </w:t>
      </w:r>
    </w:p>
  </w:footnote>
  <w:footnote w:id="46">
    <w:p w14:paraId="1A5707F6" w14:textId="3D694C02" w:rsidR="00C45C34" w:rsidRPr="00326F31" w:rsidRDefault="00C45C34" w:rsidP="00131FA4">
      <w:pPr>
        <w:pStyle w:val="FootnoteText"/>
        <w:tabs>
          <w:tab w:val="left" w:pos="3780"/>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r w:rsidRPr="00326F31">
        <w:rPr>
          <w:rFonts w:asciiTheme="majorHAnsi" w:hAnsiTheme="majorHAnsi"/>
          <w:i/>
          <w:sz w:val="16"/>
          <w:szCs w:val="16"/>
        </w:rPr>
        <w:t>El Universal</w:t>
      </w:r>
      <w:r w:rsidRPr="00326F31">
        <w:rPr>
          <w:rFonts w:asciiTheme="majorHAnsi" w:hAnsiTheme="majorHAnsi"/>
          <w:sz w:val="16"/>
          <w:szCs w:val="16"/>
        </w:rPr>
        <w:t xml:space="preserve">, Illegal dismissals impact </w:t>
      </w:r>
      <w:proofErr w:type="spellStart"/>
      <w:r w:rsidRPr="00326F31">
        <w:rPr>
          <w:rFonts w:asciiTheme="majorHAnsi" w:hAnsiTheme="majorHAnsi"/>
          <w:sz w:val="16"/>
          <w:szCs w:val="16"/>
        </w:rPr>
        <w:t>Fogade</w:t>
      </w:r>
      <w:proofErr w:type="spellEnd"/>
      <w:r w:rsidRPr="00326F31">
        <w:rPr>
          <w:rFonts w:asciiTheme="majorHAnsi" w:hAnsiTheme="majorHAnsi"/>
          <w:sz w:val="16"/>
          <w:szCs w:val="16"/>
        </w:rPr>
        <w:t xml:space="preserve"> accounts, February 23, 2008. Available at: </w:t>
      </w:r>
      <w:hyperlink r:id="rId36" w:history="1">
        <w:r w:rsidRPr="00326F31">
          <w:rPr>
            <w:rStyle w:val="Hyperlink"/>
            <w:rFonts w:asciiTheme="majorHAnsi" w:hAnsiTheme="majorHAnsi"/>
            <w:sz w:val="16"/>
            <w:szCs w:val="16"/>
          </w:rPr>
          <w:t>http://www.eluniversal.com/2008/02/23/eco_art_despidos-ilegales-im_726634</w:t>
        </w:r>
      </w:hyperlink>
      <w:r w:rsidRPr="00326F31">
        <w:rPr>
          <w:rFonts w:asciiTheme="majorHAnsi" w:hAnsiTheme="majorHAnsi"/>
          <w:sz w:val="16"/>
          <w:szCs w:val="16"/>
        </w:rPr>
        <w:t>.</w:t>
      </w:r>
      <w:r>
        <w:rPr>
          <w:rFonts w:asciiTheme="majorHAnsi" w:hAnsiTheme="majorHAnsi"/>
          <w:sz w:val="16"/>
          <w:szCs w:val="16"/>
        </w:rPr>
        <w:t xml:space="preserve"> </w:t>
      </w:r>
      <w:r w:rsidRPr="00326F31">
        <w:rPr>
          <w:rFonts w:asciiTheme="majorHAnsi" w:hAnsiTheme="majorHAnsi"/>
          <w:sz w:val="16"/>
          <w:szCs w:val="16"/>
        </w:rPr>
        <w:t xml:space="preserve">According to another report, the following gradation of 1 to 6 was stated: "hard </w:t>
      </w:r>
      <w:proofErr w:type="spellStart"/>
      <w:r w:rsidRPr="00326F31">
        <w:rPr>
          <w:rFonts w:asciiTheme="majorHAnsi" w:hAnsiTheme="majorHAnsi"/>
          <w:i/>
          <w:sz w:val="16"/>
          <w:szCs w:val="16"/>
        </w:rPr>
        <w:t>chavista</w:t>
      </w:r>
      <w:proofErr w:type="spellEnd"/>
      <w:r w:rsidRPr="00326F31">
        <w:rPr>
          <w:rFonts w:asciiTheme="majorHAnsi" w:hAnsiTheme="majorHAnsi"/>
          <w:sz w:val="16"/>
          <w:szCs w:val="16"/>
        </w:rPr>
        <w:t xml:space="preserve">", "light </w:t>
      </w:r>
      <w:proofErr w:type="spellStart"/>
      <w:r w:rsidRPr="00326F31">
        <w:rPr>
          <w:rFonts w:asciiTheme="majorHAnsi" w:hAnsiTheme="majorHAnsi"/>
          <w:i/>
          <w:sz w:val="16"/>
          <w:szCs w:val="16"/>
        </w:rPr>
        <w:t>chavista</w:t>
      </w:r>
      <w:proofErr w:type="spellEnd"/>
      <w:r w:rsidRPr="00326F31">
        <w:rPr>
          <w:rFonts w:asciiTheme="majorHAnsi" w:hAnsiTheme="majorHAnsi"/>
          <w:sz w:val="16"/>
          <w:szCs w:val="16"/>
        </w:rPr>
        <w:t>", "</w:t>
      </w:r>
      <w:proofErr w:type="spellStart"/>
      <w:r w:rsidRPr="00326F31">
        <w:rPr>
          <w:rFonts w:asciiTheme="majorHAnsi" w:hAnsiTheme="majorHAnsi"/>
          <w:sz w:val="16"/>
          <w:szCs w:val="16"/>
        </w:rPr>
        <w:t>nini</w:t>
      </w:r>
      <w:proofErr w:type="spellEnd"/>
      <w:r w:rsidRPr="00326F31">
        <w:rPr>
          <w:rFonts w:asciiTheme="majorHAnsi" w:hAnsiTheme="majorHAnsi"/>
          <w:sz w:val="16"/>
          <w:szCs w:val="16"/>
        </w:rPr>
        <w:t xml:space="preserve">" (nor opposition nor </w:t>
      </w:r>
      <w:proofErr w:type="spellStart"/>
      <w:r w:rsidRPr="00326F31">
        <w:rPr>
          <w:rFonts w:asciiTheme="majorHAnsi" w:hAnsiTheme="majorHAnsi"/>
          <w:i/>
          <w:sz w:val="16"/>
          <w:szCs w:val="16"/>
        </w:rPr>
        <w:t>chavista</w:t>
      </w:r>
      <w:proofErr w:type="spellEnd"/>
      <w:r w:rsidRPr="00326F31">
        <w:rPr>
          <w:rFonts w:asciiTheme="majorHAnsi" w:hAnsiTheme="majorHAnsi"/>
          <w:sz w:val="16"/>
          <w:szCs w:val="16"/>
        </w:rPr>
        <w:t xml:space="preserve">), "radical political opposition", "radical opposition" and "light opposition". See </w:t>
      </w:r>
      <w:proofErr w:type="spellStart"/>
      <w:r w:rsidRPr="00326F31">
        <w:rPr>
          <w:rFonts w:asciiTheme="majorHAnsi" w:hAnsiTheme="majorHAnsi"/>
          <w:i/>
          <w:sz w:val="16"/>
          <w:szCs w:val="16"/>
        </w:rPr>
        <w:t>Súmate</w:t>
      </w:r>
      <w:proofErr w:type="spellEnd"/>
      <w:r w:rsidRPr="00326F31">
        <w:rPr>
          <w:rFonts w:asciiTheme="majorHAnsi" w:hAnsiTheme="majorHAnsi"/>
          <w:sz w:val="16"/>
          <w:szCs w:val="16"/>
        </w:rPr>
        <w:t xml:space="preserve">, and more lists: from hard </w:t>
      </w:r>
      <w:proofErr w:type="spellStart"/>
      <w:r w:rsidRPr="00326F31">
        <w:rPr>
          <w:rFonts w:asciiTheme="majorHAnsi" w:hAnsiTheme="majorHAnsi"/>
          <w:i/>
          <w:sz w:val="16"/>
          <w:szCs w:val="16"/>
        </w:rPr>
        <w:t>Chavismo</w:t>
      </w:r>
      <w:proofErr w:type="spellEnd"/>
      <w:r w:rsidRPr="00326F31">
        <w:rPr>
          <w:rFonts w:asciiTheme="majorHAnsi" w:hAnsiTheme="majorHAnsi"/>
          <w:sz w:val="16"/>
          <w:szCs w:val="16"/>
        </w:rPr>
        <w:t xml:space="preserve"> to light "opposition", p. 120. Available at: </w:t>
      </w:r>
      <w:hyperlink r:id="rId37" w:history="1">
        <w:r w:rsidRPr="00326F31">
          <w:rPr>
            <w:rStyle w:val="Hyperlink"/>
            <w:rFonts w:asciiTheme="majorHAnsi" w:hAnsiTheme="majorHAnsi"/>
            <w:sz w:val="16"/>
            <w:szCs w:val="16"/>
          </w:rPr>
          <w:t>http://www.sumate.org/documentos/ApartheidSigloXXI/Apartheid%20del%20Siglo%20XXI%20Capitulo7.pdf</w:t>
        </w:r>
      </w:hyperlink>
      <w:r w:rsidRPr="00326F31">
        <w:rPr>
          <w:rFonts w:asciiTheme="majorHAnsi" w:hAnsiTheme="majorHAnsi"/>
          <w:sz w:val="16"/>
          <w:szCs w:val="16"/>
        </w:rPr>
        <w:t xml:space="preserve">. </w:t>
      </w:r>
    </w:p>
  </w:footnote>
  <w:footnote w:id="47">
    <w:p w14:paraId="300169FB" w14:textId="57AC6392"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r w:rsidRPr="00326F31">
        <w:rPr>
          <w:rFonts w:asciiTheme="majorHAnsi" w:hAnsiTheme="majorHAnsi"/>
          <w:i/>
          <w:sz w:val="16"/>
          <w:szCs w:val="16"/>
        </w:rPr>
        <w:t>El Universal</w:t>
      </w:r>
      <w:r w:rsidRPr="00326F31">
        <w:rPr>
          <w:rFonts w:asciiTheme="majorHAnsi" w:hAnsiTheme="majorHAnsi"/>
          <w:sz w:val="16"/>
          <w:szCs w:val="16"/>
        </w:rPr>
        <w:t xml:space="preserve">, </w:t>
      </w:r>
      <w:proofErr w:type="spellStart"/>
      <w:r w:rsidRPr="00326F31">
        <w:rPr>
          <w:rFonts w:asciiTheme="majorHAnsi" w:hAnsiTheme="majorHAnsi"/>
          <w:i/>
          <w:sz w:val="16"/>
          <w:szCs w:val="16"/>
        </w:rPr>
        <w:t>Reafirmazo</w:t>
      </w:r>
      <w:proofErr w:type="spellEnd"/>
      <w:r w:rsidRPr="00326F31">
        <w:rPr>
          <w:rFonts w:asciiTheme="majorHAnsi" w:hAnsiTheme="majorHAnsi"/>
          <w:sz w:val="16"/>
          <w:szCs w:val="16"/>
        </w:rPr>
        <w:t xml:space="preserve"> throes, 1909 oil workers under pressure, March 18, 2004, available at: </w:t>
      </w:r>
      <w:hyperlink r:id="rId38" w:history="1">
        <w:r w:rsidRPr="00326F31">
          <w:rPr>
            <w:rStyle w:val="Hyperlink"/>
            <w:rFonts w:asciiTheme="majorHAnsi" w:hAnsiTheme="majorHAnsi"/>
            <w:sz w:val="16"/>
            <w:szCs w:val="16"/>
          </w:rPr>
          <w:t>http://www.eluniversal.com/2004/03/18/imp_eco_art_18166A</w:t>
        </w:r>
      </w:hyperlink>
      <w:r w:rsidRPr="00326F31">
        <w:rPr>
          <w:rFonts w:asciiTheme="majorHAnsi" w:hAnsiTheme="majorHAnsi"/>
          <w:sz w:val="16"/>
          <w:szCs w:val="16"/>
        </w:rPr>
        <w:t xml:space="preserve">. </w:t>
      </w:r>
    </w:p>
  </w:footnote>
  <w:footnote w:id="48">
    <w:p w14:paraId="63F1EE9C" w14:textId="77777777"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r w:rsidRPr="00326F31">
        <w:rPr>
          <w:rFonts w:asciiTheme="majorHAnsi" w:hAnsiTheme="majorHAnsi"/>
          <w:i/>
          <w:sz w:val="16"/>
          <w:szCs w:val="16"/>
        </w:rPr>
        <w:t>El Nacional</w:t>
      </w:r>
      <w:r w:rsidRPr="00326F31">
        <w:rPr>
          <w:rFonts w:asciiTheme="majorHAnsi" w:hAnsiTheme="majorHAnsi"/>
          <w:sz w:val="16"/>
          <w:szCs w:val="16"/>
        </w:rPr>
        <w:t xml:space="preserve">, Summary of cases collected by </w:t>
      </w:r>
      <w:r w:rsidRPr="00326F31">
        <w:rPr>
          <w:rFonts w:asciiTheme="majorHAnsi" w:hAnsiTheme="majorHAnsi"/>
          <w:i/>
          <w:sz w:val="16"/>
          <w:szCs w:val="16"/>
        </w:rPr>
        <w:t>El Nacional</w:t>
      </w:r>
      <w:r w:rsidRPr="00326F31">
        <w:rPr>
          <w:rFonts w:asciiTheme="majorHAnsi" w:hAnsiTheme="majorHAnsi"/>
          <w:sz w:val="16"/>
          <w:szCs w:val="16"/>
        </w:rPr>
        <w:t xml:space="preserve">, April 24, 2005, available at: </w:t>
      </w:r>
      <w:hyperlink r:id="rId39" w:history="1">
        <w:r w:rsidRPr="00326F31">
          <w:rPr>
            <w:rStyle w:val="Hyperlink"/>
            <w:rFonts w:asciiTheme="majorHAnsi" w:hAnsiTheme="majorHAnsi"/>
            <w:sz w:val="16"/>
            <w:szCs w:val="16"/>
          </w:rPr>
          <w:t>http://infovenezuela.org/democracy/attachments-spanish/T5%20ST02%20N2%20Y%20T5ST02N3.pdf</w:t>
        </w:r>
      </w:hyperlink>
      <w:r w:rsidRPr="00326F31">
        <w:rPr>
          <w:rFonts w:asciiTheme="majorHAnsi" w:hAnsiTheme="majorHAnsi"/>
          <w:sz w:val="16"/>
          <w:szCs w:val="16"/>
        </w:rPr>
        <w:t xml:space="preserve">. </w:t>
      </w:r>
    </w:p>
  </w:footnote>
  <w:footnote w:id="49">
    <w:p w14:paraId="501C856B" w14:textId="4500242F"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w:t>
      </w:r>
      <w:r w:rsidRPr="00326F31">
        <w:rPr>
          <w:rFonts w:asciiTheme="majorHAnsi" w:hAnsiTheme="majorHAnsi"/>
          <w:sz w:val="16"/>
          <w:szCs w:val="16"/>
        </w:rPr>
        <w:t xml:space="preserve">. </w:t>
      </w:r>
      <w:proofErr w:type="gramStart"/>
      <w:r w:rsidRPr="00326F31">
        <w:rPr>
          <w:rFonts w:asciiTheme="majorHAnsi" w:hAnsiTheme="majorHAnsi"/>
          <w:sz w:val="16"/>
          <w:szCs w:val="16"/>
        </w:rPr>
        <w:t>National Electoral Council resolution No. 040302-131 of March 2, 2004 (Annex C to the State submission within the admissibility process before the IACHR on January 16, 2008).</w:t>
      </w:r>
      <w:proofErr w:type="gramEnd"/>
      <w:r w:rsidRPr="00326F31">
        <w:rPr>
          <w:rFonts w:asciiTheme="majorHAnsi" w:hAnsiTheme="majorHAnsi"/>
          <w:sz w:val="16"/>
          <w:szCs w:val="16"/>
        </w:rPr>
        <w:t xml:space="preserve"> In the resolution the following results were reported: a) Total forms processed subjected to physical verification by the agency: three hundred eighty-eight thousand one hundred and eight (388 108), b) empty and / or unused forms on the day of signature collection: seven thousand two hundred ninety-seven (7297) forms, c) Returned forms invalidated for breach of the " Guidelines on criteria for the validation of signatures and of the forms to collect signatures for the recall referendum process for terms of office of popularly elected positions", in particular paragraphs 2, 3, 4 and 5: thirty-nine thousand and sixty (39060) forms, d) Total number of requests processed of the universe of validated forms according to the records: three million eighty-six thousand and thirteen (3086013) applications.</w:t>
      </w:r>
    </w:p>
  </w:footnote>
  <w:footnote w:id="50">
    <w:p w14:paraId="29AA3D18" w14:textId="1AEBE90E"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w:t>
      </w:r>
      <w:r w:rsidRPr="00326F31">
        <w:rPr>
          <w:rFonts w:asciiTheme="majorHAnsi" w:hAnsiTheme="majorHAnsi"/>
          <w:sz w:val="16"/>
          <w:szCs w:val="16"/>
        </w:rPr>
        <w:t xml:space="preserve">. </w:t>
      </w:r>
      <w:proofErr w:type="gramStart"/>
      <w:r w:rsidRPr="00326F31">
        <w:rPr>
          <w:rFonts w:asciiTheme="majorHAnsi" w:hAnsiTheme="majorHAnsi"/>
          <w:sz w:val="16"/>
          <w:szCs w:val="16"/>
        </w:rPr>
        <w:t>National Electoral Council resolution No. 040420-563 of 27 October 2003, Annex D to the State submission within the admissibility process before the IACHR on January 16, 2008.</w:t>
      </w:r>
      <w:proofErr w:type="gramEnd"/>
    </w:p>
  </w:footnote>
  <w:footnote w:id="51">
    <w:p w14:paraId="6CA4383C" w14:textId="7009441E"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National Radio of </w:t>
      </w:r>
      <w:proofErr w:type="gramStart"/>
      <w:r w:rsidRPr="00326F31">
        <w:rPr>
          <w:rFonts w:asciiTheme="majorHAnsi" w:hAnsiTheme="majorHAnsi"/>
          <w:sz w:val="16"/>
          <w:szCs w:val="16"/>
        </w:rPr>
        <w:t>Venezuela,</w:t>
      </w:r>
      <w:proofErr w:type="gramEnd"/>
      <w:r w:rsidRPr="00326F31">
        <w:rPr>
          <w:rFonts w:asciiTheme="majorHAnsi" w:hAnsiTheme="majorHAnsi"/>
          <w:sz w:val="16"/>
          <w:szCs w:val="16"/>
        </w:rPr>
        <w:t xml:space="preserve"> ruled out possibility of including invalid signatures for challenge, May 4, 2004, available at: </w:t>
      </w:r>
      <w:hyperlink r:id="rId40" w:history="1">
        <w:r w:rsidRPr="00326F31">
          <w:rPr>
            <w:rStyle w:val="Hyperlink"/>
            <w:rFonts w:asciiTheme="majorHAnsi" w:hAnsiTheme="majorHAnsi"/>
            <w:sz w:val="16"/>
            <w:szCs w:val="16"/>
          </w:rPr>
          <w:t>http://www.rnv.gob.ve/descartada-posibilidad-de-incluir-firmas-invlidas-para-reparos/</w:t>
        </w:r>
      </w:hyperlink>
      <w:r w:rsidRPr="00326F31">
        <w:rPr>
          <w:rFonts w:asciiTheme="majorHAnsi" w:hAnsiTheme="majorHAnsi"/>
          <w:sz w:val="16"/>
          <w:szCs w:val="16"/>
        </w:rPr>
        <w:t xml:space="preserve">. </w:t>
      </w:r>
    </w:p>
  </w:footnote>
  <w:footnote w:id="52">
    <w:p w14:paraId="226F4D61" w14:textId="1FF95E6C"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CNE, Resolution No. 040615-852 of June 25, 2004, available at: </w:t>
      </w:r>
      <w:hyperlink r:id="rId41" w:history="1">
        <w:r w:rsidRPr="00326F31">
          <w:rPr>
            <w:rStyle w:val="Hyperlink"/>
            <w:rFonts w:asciiTheme="majorHAnsi" w:hAnsiTheme="majorHAnsi"/>
            <w:sz w:val="16"/>
            <w:szCs w:val="16"/>
          </w:rPr>
          <w:t>http://www.cne.gob.ve/web/gaceta_electoral/gaceta_electoral_detallado.php?tg=1&amp;num_gac=202</w:t>
        </w:r>
      </w:hyperlink>
      <w:r w:rsidRPr="00326F31">
        <w:rPr>
          <w:rFonts w:asciiTheme="majorHAnsi" w:hAnsiTheme="majorHAnsi"/>
          <w:sz w:val="16"/>
          <w:szCs w:val="16"/>
        </w:rPr>
        <w:t xml:space="preserve">. See also, </w:t>
      </w:r>
      <w:proofErr w:type="spellStart"/>
      <w:r w:rsidRPr="00326F31">
        <w:rPr>
          <w:rFonts w:asciiTheme="majorHAnsi" w:hAnsiTheme="majorHAnsi"/>
          <w:i/>
          <w:sz w:val="16"/>
          <w:szCs w:val="16"/>
        </w:rPr>
        <w:t>Súmate</w:t>
      </w:r>
      <w:proofErr w:type="spellEnd"/>
      <w:r w:rsidRPr="00326F31">
        <w:rPr>
          <w:rFonts w:asciiTheme="majorHAnsi" w:hAnsiTheme="majorHAnsi"/>
          <w:sz w:val="16"/>
          <w:szCs w:val="16"/>
        </w:rPr>
        <w:t xml:space="preserve">, Progress Report "Presidential Recall Referendum", </w:t>
      </w:r>
      <w:proofErr w:type="gramStart"/>
      <w:r w:rsidRPr="00326F31">
        <w:rPr>
          <w:rFonts w:asciiTheme="majorHAnsi" w:hAnsiTheme="majorHAnsi"/>
          <w:sz w:val="16"/>
          <w:szCs w:val="16"/>
        </w:rPr>
        <w:t>Annexes</w:t>
      </w:r>
      <w:proofErr w:type="gramEnd"/>
      <w:r w:rsidRPr="00326F31">
        <w:rPr>
          <w:rFonts w:asciiTheme="majorHAnsi" w:hAnsiTheme="majorHAnsi"/>
          <w:sz w:val="16"/>
          <w:szCs w:val="16"/>
        </w:rPr>
        <w:t xml:space="preserve">, available at: </w:t>
      </w:r>
      <w:hyperlink r:id="rId42" w:history="1">
        <w:r w:rsidRPr="00326F31">
          <w:rPr>
            <w:rStyle w:val="Hyperlink"/>
            <w:rFonts w:asciiTheme="majorHAnsi" w:hAnsiTheme="majorHAnsi"/>
            <w:sz w:val="16"/>
            <w:szCs w:val="16"/>
          </w:rPr>
          <w:t>http://sumate.org/Elecciones/2004Revocatorio/200409_informe_avance_anexos_referendo_revocatorio_presidencial.pdf</w:t>
        </w:r>
      </w:hyperlink>
      <w:r w:rsidRPr="00326F31">
        <w:rPr>
          <w:rFonts w:asciiTheme="majorHAnsi" w:hAnsiTheme="majorHAnsi"/>
          <w:sz w:val="16"/>
          <w:szCs w:val="16"/>
        </w:rPr>
        <w:t xml:space="preserve">. </w:t>
      </w:r>
    </w:p>
  </w:footnote>
  <w:footnote w:id="53">
    <w:p w14:paraId="4F7FCB55" w14:textId="7A51676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CNE Resolution No. 040826-1118, August 30, 2004, available at: </w:t>
      </w:r>
      <w:hyperlink r:id="rId43" w:history="1">
        <w:r w:rsidRPr="00326F31">
          <w:rPr>
            <w:rStyle w:val="Hyperlink"/>
            <w:rFonts w:asciiTheme="majorHAnsi" w:hAnsiTheme="majorHAnsi"/>
            <w:sz w:val="16"/>
            <w:szCs w:val="16"/>
          </w:rPr>
          <w:t>http://www.cne.gob.ve/web/gaceta_electoral/gaceta_electoral_detallado.php?tg=1&amp;num_gac=210</w:t>
        </w:r>
      </w:hyperlink>
      <w:r w:rsidRPr="00326F31">
        <w:rPr>
          <w:rFonts w:asciiTheme="majorHAnsi" w:hAnsiTheme="majorHAnsi"/>
          <w:sz w:val="16"/>
          <w:szCs w:val="16"/>
        </w:rPr>
        <w:t xml:space="preserve">. </w:t>
      </w:r>
    </w:p>
  </w:footnote>
  <w:footnote w:id="54">
    <w:p w14:paraId="466B74B8" w14:textId="3E4D2A77"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OAS, Statement of OAS Electoral Observation Mission on Venezuelan Presidential Referendum, August 18, 2004, available at: </w:t>
      </w:r>
      <w:hyperlink r:id="rId44" w:history="1">
        <w:r w:rsidRPr="00326F31">
          <w:rPr>
            <w:rStyle w:val="Hyperlink"/>
            <w:rFonts w:asciiTheme="majorHAnsi" w:hAnsiTheme="majorHAnsi"/>
            <w:sz w:val="16"/>
            <w:szCs w:val="16"/>
          </w:rPr>
          <w:t>http://www.oas.org/en/media_center/press_release.asp?sCodigo=E-130/04</w:t>
        </w:r>
      </w:hyperlink>
      <w:r w:rsidRPr="00326F31">
        <w:rPr>
          <w:rFonts w:asciiTheme="majorHAnsi" w:hAnsiTheme="majorHAnsi"/>
          <w:sz w:val="16"/>
          <w:szCs w:val="16"/>
        </w:rPr>
        <w:t xml:space="preserve">; OAS, OAS adopts resolution on the results of the Venezuelan referendum, August 26, 2004, available at: </w:t>
      </w:r>
      <w:hyperlink r:id="rId45" w:history="1">
        <w:r w:rsidRPr="00326F31">
          <w:rPr>
            <w:rStyle w:val="Hyperlink"/>
            <w:rFonts w:asciiTheme="majorHAnsi" w:hAnsiTheme="majorHAnsi"/>
            <w:sz w:val="16"/>
            <w:szCs w:val="16"/>
          </w:rPr>
          <w:t>http://www.oas.org/en/media_center/press_release.asp?sCodigo=E-138/04</w:t>
        </w:r>
      </w:hyperlink>
      <w:r w:rsidRPr="00326F31">
        <w:rPr>
          <w:rFonts w:asciiTheme="majorHAnsi" w:hAnsiTheme="majorHAnsi"/>
          <w:sz w:val="16"/>
          <w:szCs w:val="16"/>
        </w:rPr>
        <w:t xml:space="preserve"> </w:t>
      </w:r>
    </w:p>
  </w:footnote>
  <w:footnote w:id="55">
    <w:p w14:paraId="169217A7" w14:textId="2CCAB327"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6</w:t>
      </w:r>
      <w:r w:rsidRPr="00326F31">
        <w:rPr>
          <w:rFonts w:asciiTheme="majorHAnsi" w:hAnsiTheme="majorHAnsi"/>
          <w:sz w:val="16"/>
          <w:szCs w:val="16"/>
        </w:rPr>
        <w:t xml:space="preserve">. </w:t>
      </w:r>
      <w:r w:rsidRPr="00326F31">
        <w:rPr>
          <w:rFonts w:asciiTheme="majorHAnsi" w:hAnsiTheme="majorHAnsi"/>
          <w:i/>
          <w:sz w:val="16"/>
          <w:szCs w:val="16"/>
        </w:rPr>
        <w:t>El Universal</w:t>
      </w:r>
      <w:r w:rsidRPr="00326F31">
        <w:rPr>
          <w:rFonts w:asciiTheme="majorHAnsi" w:hAnsiTheme="majorHAnsi"/>
          <w:sz w:val="16"/>
          <w:szCs w:val="16"/>
        </w:rPr>
        <w:t>, Prosecutor opens investigation for discrimination of signatories of the RR, April 28, Annex M of Annex IV of the complaint filed before the IACHR on March 7, 2006.</w:t>
      </w:r>
    </w:p>
  </w:footnote>
  <w:footnote w:id="56">
    <w:p w14:paraId="3F9B6003" w14:textId="7369438E"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7</w:t>
      </w:r>
      <w:r w:rsidRPr="00326F31">
        <w:rPr>
          <w:rFonts w:asciiTheme="majorHAnsi" w:hAnsiTheme="majorHAnsi"/>
          <w:sz w:val="16"/>
          <w:szCs w:val="16"/>
        </w:rPr>
        <w:t>. Public Ministry statement: Public Prosecution starts investigation regarding the use of lists to petition for referendums in 2004. Annex III to the complaint filed before the IACHR on March 7, 2006.</w:t>
      </w:r>
    </w:p>
  </w:footnote>
  <w:footnote w:id="57">
    <w:p w14:paraId="6E5D6713" w14:textId="6A6A82D8" w:rsidR="00C45C34" w:rsidRPr="00326F31" w:rsidRDefault="00C45C34" w:rsidP="00131FA4">
      <w:pPr>
        <w:pStyle w:val="FootnoteText"/>
        <w:spacing w:after="120"/>
        <w:ind w:firstLine="720"/>
        <w:jc w:val="both"/>
        <w:rPr>
          <w:rFonts w:asciiTheme="majorHAnsi" w:eastAsia="Arial Unicode MS" w:hAnsiTheme="majorHAnsi" w:cs="Times New Roman"/>
          <w:sz w:val="16"/>
          <w:szCs w:val="16"/>
          <w:lang w:eastAsia="en-US"/>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Statement by Venezuelan President Hugo Chávez at the V Mobile Cabinet Meeting, April 15, 2005, in the city of Puerto </w:t>
      </w:r>
      <w:proofErr w:type="spellStart"/>
      <w:r w:rsidRPr="00326F31">
        <w:rPr>
          <w:rFonts w:asciiTheme="majorHAnsi" w:hAnsiTheme="majorHAnsi"/>
          <w:sz w:val="16"/>
          <w:szCs w:val="16"/>
        </w:rPr>
        <w:t>Ordaz</w:t>
      </w:r>
      <w:proofErr w:type="spellEnd"/>
      <w:r w:rsidRPr="00326F31">
        <w:rPr>
          <w:rFonts w:asciiTheme="majorHAnsi" w:hAnsiTheme="majorHAnsi"/>
          <w:sz w:val="16"/>
          <w:szCs w:val="16"/>
        </w:rPr>
        <w:t xml:space="preserve">, quoted in IACHR, Democracy and Human Rights in Venezuela, </w:t>
      </w:r>
      <w:r w:rsidRPr="00326F31">
        <w:rPr>
          <w:rFonts w:asciiTheme="majorHAnsi" w:eastAsia="Arial Unicode MS" w:hAnsiTheme="majorHAnsi" w:cs="Times New Roman"/>
          <w:sz w:val="16"/>
          <w:szCs w:val="16"/>
          <w:lang w:eastAsia="en-US"/>
        </w:rPr>
        <w:t>OEA/</w:t>
      </w:r>
      <w:proofErr w:type="spellStart"/>
      <w:r w:rsidRPr="00326F31">
        <w:rPr>
          <w:rFonts w:asciiTheme="majorHAnsi" w:eastAsia="Arial Unicode MS" w:hAnsiTheme="majorHAnsi" w:cs="Times New Roman"/>
          <w:sz w:val="16"/>
          <w:szCs w:val="16"/>
          <w:lang w:eastAsia="en-US"/>
        </w:rPr>
        <w:t>Ser.L</w:t>
      </w:r>
      <w:proofErr w:type="spellEnd"/>
      <w:r w:rsidRPr="00326F31">
        <w:rPr>
          <w:rFonts w:asciiTheme="majorHAnsi" w:eastAsia="Arial Unicode MS" w:hAnsiTheme="majorHAnsi" w:cs="Times New Roman"/>
          <w:sz w:val="16"/>
          <w:szCs w:val="16"/>
          <w:lang w:eastAsia="en-US"/>
        </w:rPr>
        <w:t xml:space="preserve">/V/II. </w:t>
      </w:r>
      <w:proofErr w:type="gramStart"/>
      <w:r w:rsidRPr="00326F31">
        <w:rPr>
          <w:rFonts w:asciiTheme="majorHAnsi" w:eastAsia="Arial Unicode MS" w:hAnsiTheme="majorHAnsi" w:cs="Times New Roman"/>
          <w:sz w:val="16"/>
          <w:szCs w:val="16"/>
          <w:lang w:eastAsia="en-US"/>
        </w:rPr>
        <w:t>Doc. 54.</w:t>
      </w:r>
      <w:proofErr w:type="gramEnd"/>
      <w:r w:rsidRPr="00326F31">
        <w:rPr>
          <w:rFonts w:asciiTheme="majorHAnsi" w:eastAsia="Arial Unicode MS" w:hAnsiTheme="majorHAnsi" w:cs="Times New Roman"/>
          <w:sz w:val="16"/>
          <w:szCs w:val="16"/>
          <w:lang w:eastAsia="en-US"/>
        </w:rPr>
        <w:t xml:space="preserve"> </w:t>
      </w:r>
      <w:proofErr w:type="gramStart"/>
      <w:r w:rsidRPr="00326F31">
        <w:rPr>
          <w:rFonts w:asciiTheme="majorHAnsi" w:eastAsia="Arial Unicode MS" w:hAnsiTheme="majorHAnsi" w:cs="Times New Roman"/>
          <w:sz w:val="16"/>
          <w:szCs w:val="16"/>
          <w:lang w:eastAsia="en-US"/>
        </w:rPr>
        <w:t>December 30, 2009</w:t>
      </w:r>
      <w:r w:rsidRPr="00326F31">
        <w:rPr>
          <w:rFonts w:asciiTheme="majorHAnsi" w:hAnsiTheme="majorHAnsi"/>
          <w:sz w:val="16"/>
          <w:szCs w:val="16"/>
        </w:rPr>
        <w:t xml:space="preserve">, chapter </w:t>
      </w:r>
      <w:proofErr w:type="spellStart"/>
      <w:r w:rsidRPr="00326F31">
        <w:rPr>
          <w:rFonts w:asciiTheme="majorHAnsi" w:hAnsiTheme="majorHAnsi"/>
          <w:sz w:val="16"/>
          <w:szCs w:val="16"/>
        </w:rPr>
        <w:t>II.a</w:t>
      </w:r>
      <w:proofErr w:type="spellEnd"/>
      <w:r w:rsidRPr="00326F31">
        <w:rPr>
          <w:rFonts w:asciiTheme="majorHAnsi" w:hAnsiTheme="majorHAnsi"/>
          <w:sz w:val="16"/>
          <w:szCs w:val="16"/>
        </w:rPr>
        <w:t>, para.</w:t>
      </w:r>
      <w:proofErr w:type="gramEnd"/>
      <w:r w:rsidRPr="00326F31">
        <w:rPr>
          <w:rFonts w:asciiTheme="majorHAnsi" w:hAnsiTheme="majorHAnsi"/>
          <w:sz w:val="16"/>
          <w:szCs w:val="16"/>
        </w:rPr>
        <w:t xml:space="preserve"> 99.</w:t>
      </w:r>
    </w:p>
  </w:footnote>
  <w:footnote w:id="58">
    <w:p w14:paraId="1DEC1491" w14:textId="70764153"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IACHR, Democracy and Human Rights in Venezuela, </w:t>
      </w:r>
      <w:r w:rsidRPr="00326F31">
        <w:rPr>
          <w:rFonts w:asciiTheme="majorHAnsi" w:eastAsia="Arial Unicode MS" w:hAnsiTheme="majorHAnsi" w:cs="Times New Roman"/>
          <w:sz w:val="16"/>
          <w:szCs w:val="16"/>
          <w:lang w:eastAsia="en-US"/>
        </w:rPr>
        <w:t>OEA/</w:t>
      </w:r>
      <w:proofErr w:type="spellStart"/>
      <w:r w:rsidRPr="00326F31">
        <w:rPr>
          <w:rFonts w:asciiTheme="majorHAnsi" w:eastAsia="Arial Unicode MS" w:hAnsiTheme="majorHAnsi" w:cs="Times New Roman"/>
          <w:sz w:val="16"/>
          <w:szCs w:val="16"/>
          <w:lang w:eastAsia="en-US"/>
        </w:rPr>
        <w:t>Ser.L</w:t>
      </w:r>
      <w:proofErr w:type="spellEnd"/>
      <w:r w:rsidRPr="00326F31">
        <w:rPr>
          <w:rFonts w:asciiTheme="majorHAnsi" w:eastAsia="Arial Unicode MS" w:hAnsiTheme="majorHAnsi" w:cs="Times New Roman"/>
          <w:sz w:val="16"/>
          <w:szCs w:val="16"/>
          <w:lang w:eastAsia="en-US"/>
        </w:rPr>
        <w:t>/V/II.</w:t>
      </w:r>
      <w:proofErr w:type="gramEnd"/>
      <w:r w:rsidRPr="00326F31">
        <w:rPr>
          <w:rFonts w:asciiTheme="majorHAnsi" w:eastAsia="Arial Unicode MS" w:hAnsiTheme="majorHAnsi" w:cs="Times New Roman"/>
          <w:sz w:val="16"/>
          <w:szCs w:val="16"/>
          <w:lang w:eastAsia="en-US"/>
        </w:rPr>
        <w:t xml:space="preserve"> </w:t>
      </w:r>
      <w:proofErr w:type="gramStart"/>
      <w:r w:rsidRPr="00326F31">
        <w:rPr>
          <w:rFonts w:asciiTheme="majorHAnsi" w:eastAsia="Arial Unicode MS" w:hAnsiTheme="majorHAnsi" w:cs="Times New Roman"/>
          <w:sz w:val="16"/>
          <w:szCs w:val="16"/>
          <w:lang w:eastAsia="en-US"/>
        </w:rPr>
        <w:t>Doc. 54.</w:t>
      </w:r>
      <w:proofErr w:type="gramEnd"/>
      <w:r w:rsidRPr="00326F31">
        <w:rPr>
          <w:rFonts w:asciiTheme="majorHAnsi" w:eastAsia="Arial Unicode MS" w:hAnsiTheme="majorHAnsi" w:cs="Times New Roman"/>
          <w:sz w:val="16"/>
          <w:szCs w:val="16"/>
          <w:lang w:eastAsia="en-US"/>
        </w:rPr>
        <w:t xml:space="preserve"> </w:t>
      </w:r>
      <w:proofErr w:type="gramStart"/>
      <w:r w:rsidRPr="00326F31">
        <w:rPr>
          <w:rFonts w:asciiTheme="majorHAnsi" w:eastAsia="Arial Unicode MS" w:hAnsiTheme="majorHAnsi" w:cs="Times New Roman"/>
          <w:sz w:val="16"/>
          <w:szCs w:val="16"/>
          <w:lang w:eastAsia="en-US"/>
        </w:rPr>
        <w:t>December 30, 2009</w:t>
      </w:r>
      <w:r w:rsidRPr="00326F31">
        <w:rPr>
          <w:rFonts w:asciiTheme="majorHAnsi" w:hAnsiTheme="majorHAnsi"/>
          <w:sz w:val="16"/>
          <w:szCs w:val="16"/>
        </w:rPr>
        <w:t xml:space="preserve">, chapter </w:t>
      </w:r>
      <w:proofErr w:type="spellStart"/>
      <w:r w:rsidRPr="00326F31">
        <w:rPr>
          <w:rFonts w:asciiTheme="majorHAnsi" w:hAnsiTheme="majorHAnsi"/>
          <w:sz w:val="16"/>
          <w:szCs w:val="16"/>
        </w:rPr>
        <w:t>II.a</w:t>
      </w:r>
      <w:proofErr w:type="spellEnd"/>
      <w:r w:rsidRPr="00326F31">
        <w:rPr>
          <w:rFonts w:asciiTheme="majorHAnsi" w:hAnsiTheme="majorHAnsi"/>
          <w:sz w:val="16"/>
          <w:szCs w:val="16"/>
        </w:rPr>
        <w:t>, para.</w:t>
      </w:r>
      <w:proofErr w:type="gramEnd"/>
      <w:r w:rsidRPr="00326F31">
        <w:rPr>
          <w:rFonts w:asciiTheme="majorHAnsi" w:hAnsiTheme="majorHAnsi"/>
          <w:sz w:val="16"/>
          <w:szCs w:val="16"/>
        </w:rPr>
        <w:t xml:space="preserve"> 99.</w:t>
      </w:r>
    </w:p>
  </w:footnote>
  <w:footnote w:id="59">
    <w:p w14:paraId="2B98070F" w14:textId="48D54E00"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IACHR, Democracy and Human Rights in Venezuela, </w:t>
      </w:r>
      <w:r w:rsidRPr="00326F31">
        <w:rPr>
          <w:rFonts w:asciiTheme="majorHAnsi" w:eastAsia="Arial Unicode MS" w:hAnsiTheme="majorHAnsi" w:cs="Times New Roman"/>
          <w:sz w:val="16"/>
          <w:szCs w:val="16"/>
          <w:lang w:eastAsia="en-US"/>
        </w:rPr>
        <w:t>OEA/</w:t>
      </w:r>
      <w:proofErr w:type="spellStart"/>
      <w:r w:rsidRPr="00326F31">
        <w:rPr>
          <w:rFonts w:asciiTheme="majorHAnsi" w:eastAsia="Arial Unicode MS" w:hAnsiTheme="majorHAnsi" w:cs="Times New Roman"/>
          <w:sz w:val="16"/>
          <w:szCs w:val="16"/>
          <w:lang w:eastAsia="en-US"/>
        </w:rPr>
        <w:t>Ser.L</w:t>
      </w:r>
      <w:proofErr w:type="spellEnd"/>
      <w:r w:rsidRPr="00326F31">
        <w:rPr>
          <w:rFonts w:asciiTheme="majorHAnsi" w:eastAsia="Arial Unicode MS" w:hAnsiTheme="majorHAnsi" w:cs="Times New Roman"/>
          <w:sz w:val="16"/>
          <w:szCs w:val="16"/>
          <w:lang w:eastAsia="en-US"/>
        </w:rPr>
        <w:t>/V/II.</w:t>
      </w:r>
      <w:proofErr w:type="gramEnd"/>
      <w:r w:rsidRPr="00326F31">
        <w:rPr>
          <w:rFonts w:asciiTheme="majorHAnsi" w:eastAsia="Arial Unicode MS" w:hAnsiTheme="majorHAnsi" w:cs="Times New Roman"/>
          <w:sz w:val="16"/>
          <w:szCs w:val="16"/>
          <w:lang w:eastAsia="en-US"/>
        </w:rPr>
        <w:t xml:space="preserve"> </w:t>
      </w:r>
      <w:proofErr w:type="gramStart"/>
      <w:r w:rsidRPr="00326F31">
        <w:rPr>
          <w:rFonts w:asciiTheme="majorHAnsi" w:eastAsia="Arial Unicode MS" w:hAnsiTheme="majorHAnsi" w:cs="Times New Roman"/>
          <w:sz w:val="16"/>
          <w:szCs w:val="16"/>
          <w:lang w:eastAsia="en-US"/>
        </w:rPr>
        <w:t>Doc. 54.</w:t>
      </w:r>
      <w:proofErr w:type="gramEnd"/>
      <w:r w:rsidRPr="00326F31">
        <w:rPr>
          <w:rFonts w:asciiTheme="majorHAnsi" w:eastAsia="Arial Unicode MS" w:hAnsiTheme="majorHAnsi" w:cs="Times New Roman"/>
          <w:sz w:val="16"/>
          <w:szCs w:val="16"/>
          <w:lang w:eastAsia="en-US"/>
        </w:rPr>
        <w:t xml:space="preserve"> </w:t>
      </w:r>
      <w:proofErr w:type="gramStart"/>
      <w:r w:rsidRPr="00326F31">
        <w:rPr>
          <w:rFonts w:asciiTheme="majorHAnsi" w:eastAsia="Arial Unicode MS" w:hAnsiTheme="majorHAnsi" w:cs="Times New Roman"/>
          <w:sz w:val="16"/>
          <w:szCs w:val="16"/>
          <w:lang w:eastAsia="en-US"/>
        </w:rPr>
        <w:t>December 30, 2009</w:t>
      </w:r>
      <w:r w:rsidRPr="00326F31">
        <w:rPr>
          <w:rFonts w:asciiTheme="majorHAnsi" w:hAnsiTheme="majorHAnsi"/>
          <w:sz w:val="16"/>
          <w:szCs w:val="16"/>
        </w:rPr>
        <w:t xml:space="preserve">, chapter </w:t>
      </w:r>
      <w:proofErr w:type="spellStart"/>
      <w:r w:rsidRPr="00326F31">
        <w:rPr>
          <w:rFonts w:asciiTheme="majorHAnsi" w:hAnsiTheme="majorHAnsi"/>
          <w:sz w:val="16"/>
          <w:szCs w:val="16"/>
        </w:rPr>
        <w:t>II.a</w:t>
      </w:r>
      <w:proofErr w:type="spellEnd"/>
      <w:r w:rsidRPr="00326F31">
        <w:rPr>
          <w:rFonts w:asciiTheme="majorHAnsi" w:hAnsiTheme="majorHAnsi"/>
          <w:sz w:val="16"/>
          <w:szCs w:val="16"/>
        </w:rPr>
        <w:t>, para.</w:t>
      </w:r>
      <w:proofErr w:type="gramEnd"/>
      <w:r w:rsidRPr="00326F31">
        <w:rPr>
          <w:rFonts w:asciiTheme="majorHAnsi" w:hAnsiTheme="majorHAnsi"/>
          <w:sz w:val="16"/>
          <w:szCs w:val="16"/>
        </w:rPr>
        <w:t xml:space="preserve"> 101.</w:t>
      </w:r>
    </w:p>
  </w:footnote>
  <w:footnote w:id="60">
    <w:p w14:paraId="58493633" w14:textId="17F75B33"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8</w:t>
      </w:r>
      <w:r w:rsidRPr="00326F31">
        <w:rPr>
          <w:rFonts w:asciiTheme="majorHAnsi" w:hAnsiTheme="majorHAnsi"/>
          <w:sz w:val="16"/>
          <w:szCs w:val="16"/>
        </w:rPr>
        <w:t>. Report of the Coordinator of Analysis and Legal Assessment of the Vice President addressed to the Vice President of Venezuela, December 8, 2003, Annex H of Annex IV of the complaint filed before the IACHR on March 7, 2006.</w:t>
      </w:r>
    </w:p>
  </w:footnote>
  <w:footnote w:id="61">
    <w:p w14:paraId="5BE5F5B0" w14:textId="433E711E"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Within the file, records show the conclusion of various contracts of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San Miguel with the National Border Council: From July 1, 1996 until December 31, 1996, from 1 January 1997 to 31 December 1997, 1 January 1998 to December 31, 1998, from January 1, 2000 to March 31, 2000, from 1 January 2001 to 31 December 2001, from 1 January 2002 to 31 December 2002, the January 1, 2003 to December 31, 2003 and January 1, 2004 to</w:t>
      </w:r>
      <w:r>
        <w:rPr>
          <w:rFonts w:asciiTheme="majorHAnsi" w:hAnsiTheme="majorHAnsi"/>
          <w:sz w:val="16"/>
          <w:szCs w:val="16"/>
        </w:rPr>
        <w:t xml:space="preserve"> December 31, 2004. See Annex 9</w:t>
      </w:r>
      <w:r w:rsidRPr="00326F31">
        <w:rPr>
          <w:rFonts w:asciiTheme="majorHAnsi" w:hAnsiTheme="majorHAnsi"/>
          <w:sz w:val="16"/>
          <w:szCs w:val="16"/>
        </w:rPr>
        <w:t xml:space="preserve">.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San Miguel contracts with the National Border Council, Annex </w:t>
      </w:r>
      <w:proofErr w:type="gramStart"/>
      <w:r w:rsidRPr="00326F31">
        <w:rPr>
          <w:rFonts w:asciiTheme="majorHAnsi" w:hAnsiTheme="majorHAnsi"/>
          <w:sz w:val="16"/>
          <w:szCs w:val="16"/>
        </w:rPr>
        <w:t>A</w:t>
      </w:r>
      <w:proofErr w:type="gramEnd"/>
      <w:r w:rsidRPr="00326F31">
        <w:rPr>
          <w:rFonts w:asciiTheme="majorHAnsi" w:hAnsiTheme="majorHAnsi"/>
          <w:sz w:val="16"/>
          <w:szCs w:val="16"/>
        </w:rPr>
        <w:t xml:space="preserve"> of Annex IV of the complaint filed before the IACHR on March 7, 2006.</w:t>
      </w:r>
    </w:p>
  </w:footnote>
  <w:footnote w:id="62">
    <w:p w14:paraId="1EA174D8" w14:textId="1DF7AC9E"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10</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Labor contract between the head of the National Border Council with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San Miguel Sosa on December 31, 2003, Annex F of the State submissions within the admissibility process before IACHR on January 16, 2008.</w:t>
      </w:r>
      <w:proofErr w:type="gramEnd"/>
    </w:p>
  </w:footnote>
  <w:footnote w:id="63">
    <w:p w14:paraId="453484BD" w14:textId="39F69E71"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Within the file, records show the conclusion of various contracts of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Chang with the National Border Council: from May 1, 1997 to December 31, 1997, from 1 January 1998 to 31 December 1998, from 1 January 1999 to March 31, 1999, from April 1, 1999 to May 31, 1999, from June 1, 1999 to June 30, 1999, from July 1, 1999 to December 31, 1999, 1 January 2000 to March 31, 2000, from April 1, 2000 to December 31, 2000, from 1 January 2001 to 31 December 2001, from 1 January 2002 to 31 December 2002, 1 January 2003 to December 31, 2003 and January 1, 2004 to December 31, 2004. See Annex </w:t>
      </w:r>
      <w:r>
        <w:rPr>
          <w:rFonts w:asciiTheme="majorHAnsi" w:hAnsiTheme="majorHAnsi"/>
          <w:sz w:val="16"/>
          <w:szCs w:val="16"/>
        </w:rPr>
        <w:t>11</w:t>
      </w:r>
      <w:r w:rsidRPr="00326F31">
        <w:rPr>
          <w:rFonts w:asciiTheme="majorHAnsi" w:hAnsiTheme="majorHAnsi"/>
          <w:sz w:val="16"/>
          <w:szCs w:val="16"/>
        </w:rPr>
        <w:t xml:space="preserve">.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Chang contracts with the National Border Council, Annex </w:t>
      </w:r>
      <w:proofErr w:type="gramStart"/>
      <w:r w:rsidRPr="00326F31">
        <w:rPr>
          <w:rFonts w:asciiTheme="majorHAnsi" w:hAnsiTheme="majorHAnsi"/>
          <w:sz w:val="16"/>
          <w:szCs w:val="16"/>
        </w:rPr>
        <w:t>A</w:t>
      </w:r>
      <w:proofErr w:type="gramEnd"/>
      <w:r w:rsidRPr="00326F31">
        <w:rPr>
          <w:rFonts w:asciiTheme="majorHAnsi" w:hAnsiTheme="majorHAnsi"/>
          <w:sz w:val="16"/>
          <w:szCs w:val="16"/>
        </w:rPr>
        <w:t xml:space="preserve"> of Annex IV of the complaint filed before the IACHR on March 7, 2006.</w:t>
      </w:r>
    </w:p>
  </w:footnote>
  <w:footnote w:id="64">
    <w:p w14:paraId="6ECD1E70" w14:textId="231258A0"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12</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Labor contract between the head of the National Border Council with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M. Chang </w:t>
      </w:r>
      <w:proofErr w:type="spellStart"/>
      <w:r w:rsidRPr="00326F31">
        <w:rPr>
          <w:rFonts w:asciiTheme="majorHAnsi" w:hAnsiTheme="majorHAnsi"/>
          <w:sz w:val="16"/>
          <w:szCs w:val="16"/>
        </w:rPr>
        <w:t>Girón</w:t>
      </w:r>
      <w:proofErr w:type="spellEnd"/>
      <w:r w:rsidRPr="00326F31">
        <w:rPr>
          <w:rFonts w:asciiTheme="majorHAnsi" w:hAnsiTheme="majorHAnsi"/>
          <w:sz w:val="16"/>
          <w:szCs w:val="16"/>
        </w:rPr>
        <w:t xml:space="preserve"> on December 31, 2003, Annex F of the State submission within the admissibility process before IACHR on January 16, 2008.</w:t>
      </w:r>
      <w:proofErr w:type="gramEnd"/>
    </w:p>
  </w:footnote>
  <w:footnote w:id="65">
    <w:p w14:paraId="59121EF8" w14:textId="0126630C"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Within the file, records show the conclusion of contracts to provide services from April 1, 2000 to December 31, 2000, January 1, 2002 to December 31, 2002, January 1, 2003 to December 31, 2003, 1 January 2004 t</w:t>
      </w:r>
      <w:r>
        <w:rPr>
          <w:rFonts w:asciiTheme="majorHAnsi" w:hAnsiTheme="majorHAnsi"/>
          <w:sz w:val="16"/>
          <w:szCs w:val="16"/>
        </w:rPr>
        <w:t>o 31 December 2004. See Annex 13</w:t>
      </w:r>
      <w:r w:rsidRPr="00326F31">
        <w:rPr>
          <w:rFonts w:asciiTheme="majorHAnsi" w:hAnsiTheme="majorHAnsi"/>
          <w:sz w:val="16"/>
          <w:szCs w:val="16"/>
        </w:rPr>
        <w:t xml:space="preserve">. Thais </w:t>
      </w:r>
      <w:proofErr w:type="spellStart"/>
      <w:r w:rsidRPr="00326F31">
        <w:rPr>
          <w:rFonts w:asciiTheme="majorHAnsi" w:hAnsiTheme="majorHAnsi"/>
          <w:sz w:val="16"/>
          <w:szCs w:val="16"/>
        </w:rPr>
        <w:t>Coromoto</w:t>
      </w:r>
      <w:proofErr w:type="spellEnd"/>
      <w:r w:rsidRPr="00326F31">
        <w:rPr>
          <w:rFonts w:asciiTheme="majorHAnsi" w:hAnsiTheme="majorHAnsi"/>
          <w:sz w:val="16"/>
          <w:szCs w:val="16"/>
        </w:rPr>
        <w:t xml:space="preserve"> Peña contracts with the National Border Council, Annex A of Annex IV of the complaint filed before the IACHR on March 7, 2006</w:t>
      </w:r>
    </w:p>
  </w:footnote>
  <w:footnote w:id="66">
    <w:p w14:paraId="223D2C6B" w14:textId="1C8C5B1D"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14</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Labor contract between the head of the National Border Council with Thais </w:t>
      </w:r>
      <w:proofErr w:type="spellStart"/>
      <w:r w:rsidRPr="00326F31">
        <w:rPr>
          <w:rFonts w:asciiTheme="majorHAnsi" w:hAnsiTheme="majorHAnsi"/>
          <w:sz w:val="16"/>
          <w:szCs w:val="16"/>
        </w:rPr>
        <w:t>Coromoto</w:t>
      </w:r>
      <w:proofErr w:type="spellEnd"/>
      <w:r w:rsidRPr="00326F31">
        <w:rPr>
          <w:rFonts w:asciiTheme="majorHAnsi" w:hAnsiTheme="majorHAnsi"/>
          <w:sz w:val="16"/>
          <w:szCs w:val="16"/>
        </w:rPr>
        <w:t xml:space="preserve"> Peña on December 31, 2003, Annex F of the State submission within admissibility the process before IACHR on January 16, 2008.</w:t>
      </w:r>
      <w:proofErr w:type="gramEnd"/>
    </w:p>
  </w:footnote>
  <w:footnote w:id="67">
    <w:p w14:paraId="2C69D5B0" w14:textId="6FC98118"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15</w:t>
      </w:r>
      <w:r w:rsidRPr="00326F31">
        <w:rPr>
          <w:rFonts w:asciiTheme="majorHAnsi" w:hAnsiTheme="majorHAnsi"/>
          <w:sz w:val="16"/>
          <w:szCs w:val="16"/>
        </w:rPr>
        <w:t>. Form to collect signatures, August 19, 2000, Annex C of Annex IV of the complaint filed before the IACHR on March 7, 2006. Annex II of the complaint filed before the IACHR on March 7, 2006.</w:t>
      </w:r>
    </w:p>
  </w:footnote>
  <w:footnote w:id="68">
    <w:p w14:paraId="7C7471C4" w14:textId="6C392DC0" w:rsidR="00C45C34" w:rsidRPr="00326F31" w:rsidRDefault="00C45C34" w:rsidP="00131FA4">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16</w:t>
      </w:r>
      <w:r w:rsidRPr="00326F31">
        <w:rPr>
          <w:rFonts w:asciiTheme="majorHAnsi" w:hAnsiTheme="majorHAnsi"/>
          <w:sz w:val="16"/>
          <w:szCs w:val="16"/>
        </w:rPr>
        <w:t>.</w:t>
      </w:r>
      <w:r>
        <w:rPr>
          <w:rFonts w:asciiTheme="majorHAnsi" w:hAnsiTheme="majorHAnsi"/>
          <w:sz w:val="16"/>
          <w:szCs w:val="16"/>
        </w:rPr>
        <w:t xml:space="preserve"> </w:t>
      </w:r>
      <w:r w:rsidRPr="00326F31">
        <w:rPr>
          <w:rFonts w:asciiTheme="majorHAnsi" w:hAnsiTheme="majorHAnsi"/>
          <w:sz w:val="16"/>
          <w:szCs w:val="16"/>
        </w:rPr>
        <w:t>Appeal remedy (</w:t>
      </w:r>
      <w:proofErr w:type="spellStart"/>
      <w:r w:rsidRPr="00326F31">
        <w:rPr>
          <w:rFonts w:asciiTheme="majorHAnsi" w:hAnsiTheme="majorHAnsi"/>
          <w:i/>
          <w:sz w:val="16"/>
          <w:szCs w:val="16"/>
        </w:rPr>
        <w:t>casación</w:t>
      </w:r>
      <w:proofErr w:type="spellEnd"/>
      <w:r w:rsidRPr="00326F31">
        <w:rPr>
          <w:rFonts w:asciiTheme="majorHAnsi" w:hAnsiTheme="majorHAnsi"/>
          <w:sz w:val="16"/>
          <w:szCs w:val="16"/>
        </w:rPr>
        <w:t xml:space="preserve">), filed by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San Miguel,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Chang </w:t>
      </w:r>
      <w:proofErr w:type="spellStart"/>
      <w:r w:rsidRPr="00326F31">
        <w:rPr>
          <w:rFonts w:asciiTheme="majorHAnsi" w:hAnsiTheme="majorHAnsi"/>
          <w:sz w:val="16"/>
          <w:szCs w:val="16"/>
        </w:rPr>
        <w:t>Girón</w:t>
      </w:r>
      <w:proofErr w:type="spellEnd"/>
      <w:r w:rsidRPr="00326F31">
        <w:rPr>
          <w:rFonts w:asciiTheme="majorHAnsi" w:hAnsiTheme="majorHAnsi"/>
          <w:sz w:val="16"/>
          <w:szCs w:val="16"/>
        </w:rPr>
        <w:t xml:space="preserve"> and Thais </w:t>
      </w:r>
      <w:proofErr w:type="spellStart"/>
      <w:r w:rsidRPr="00326F31">
        <w:rPr>
          <w:rFonts w:asciiTheme="majorHAnsi" w:hAnsiTheme="majorHAnsi"/>
          <w:sz w:val="16"/>
          <w:szCs w:val="16"/>
        </w:rPr>
        <w:t>Coromoto</w:t>
      </w:r>
      <w:proofErr w:type="spellEnd"/>
      <w:r w:rsidRPr="00326F31">
        <w:rPr>
          <w:rFonts w:asciiTheme="majorHAnsi" w:hAnsiTheme="majorHAnsi"/>
          <w:sz w:val="16"/>
          <w:szCs w:val="16"/>
        </w:rPr>
        <w:t xml:space="preserve"> Peña against the</w:t>
      </w:r>
      <w:r>
        <w:rPr>
          <w:rFonts w:asciiTheme="majorHAnsi" w:hAnsiTheme="majorHAnsi"/>
          <w:sz w:val="16"/>
          <w:szCs w:val="16"/>
        </w:rPr>
        <w:t xml:space="preserve"> </w:t>
      </w:r>
      <w:r w:rsidRPr="00326F31">
        <w:rPr>
          <w:rFonts w:asciiTheme="majorHAnsi" w:hAnsiTheme="majorHAnsi"/>
          <w:sz w:val="16"/>
          <w:szCs w:val="16"/>
        </w:rPr>
        <w:t>decision of the Seventh Chamber of the Court of Appeals of the Criminal Judicial Circuit of the Metropolitan Area of Caracas, July 6, 2005. Annex II of the complaint filed before the IACHR on March 7, 2006.</w:t>
      </w:r>
    </w:p>
  </w:footnote>
  <w:footnote w:id="69">
    <w:p w14:paraId="586F4A06" w14:textId="2B60F071"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The notification of Rocio San Miguel contains a signature of receipt dated March 25, 2004. In turn, the notification of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Chang </w:t>
      </w:r>
      <w:proofErr w:type="spellStart"/>
      <w:r w:rsidRPr="00326F31">
        <w:rPr>
          <w:rFonts w:asciiTheme="majorHAnsi" w:hAnsiTheme="majorHAnsi"/>
          <w:sz w:val="16"/>
          <w:szCs w:val="16"/>
        </w:rPr>
        <w:t>Girón</w:t>
      </w:r>
      <w:proofErr w:type="spellEnd"/>
      <w:r w:rsidRPr="00326F31">
        <w:rPr>
          <w:rFonts w:asciiTheme="majorHAnsi" w:hAnsiTheme="majorHAnsi"/>
          <w:sz w:val="16"/>
          <w:szCs w:val="16"/>
        </w:rPr>
        <w:t xml:space="preserve"> contains a receipt of acknowledgment signed on 22 March 2004. For Thais </w:t>
      </w:r>
      <w:proofErr w:type="spellStart"/>
      <w:r w:rsidRPr="00326F31">
        <w:rPr>
          <w:rFonts w:asciiTheme="majorHAnsi" w:hAnsiTheme="majorHAnsi"/>
          <w:sz w:val="16"/>
          <w:szCs w:val="16"/>
        </w:rPr>
        <w:t>Coromoto</w:t>
      </w:r>
      <w:proofErr w:type="spellEnd"/>
      <w:r w:rsidRPr="00326F31">
        <w:rPr>
          <w:rFonts w:asciiTheme="majorHAnsi" w:hAnsiTheme="majorHAnsi"/>
          <w:sz w:val="16"/>
          <w:szCs w:val="16"/>
        </w:rPr>
        <w:t xml:space="preserve"> Peña said communication contains a signature of receipt dated March 31, 2004.</w:t>
      </w:r>
    </w:p>
  </w:footnote>
  <w:footnote w:id="70">
    <w:p w14:paraId="666A299E" w14:textId="33D48ED1"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17</w:t>
      </w:r>
      <w:r w:rsidRPr="00326F31">
        <w:rPr>
          <w:rFonts w:asciiTheme="majorHAnsi" w:hAnsiTheme="majorHAnsi"/>
          <w:sz w:val="16"/>
          <w:szCs w:val="16"/>
        </w:rPr>
        <w:t>. Letter from the Chairman of the National Border Council to Rocio San Miguel, communicating the termination of the employment relationship, March 12, 2004, Annex F to the State’s submission within the admissibility process before the IAC</w:t>
      </w:r>
      <w:r>
        <w:rPr>
          <w:rFonts w:asciiTheme="majorHAnsi" w:hAnsiTheme="majorHAnsi"/>
          <w:sz w:val="16"/>
          <w:szCs w:val="16"/>
        </w:rPr>
        <w:t>HR on January 16, 2008; Annex 18</w:t>
      </w:r>
      <w:r w:rsidRPr="00326F31">
        <w:rPr>
          <w:rFonts w:asciiTheme="majorHAnsi" w:hAnsiTheme="majorHAnsi"/>
          <w:sz w:val="16"/>
          <w:szCs w:val="16"/>
        </w:rPr>
        <w:t xml:space="preserve">. Letter from the Chairman of the National Border Council to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Chang </w:t>
      </w:r>
      <w:proofErr w:type="spellStart"/>
      <w:r w:rsidRPr="00326F31">
        <w:rPr>
          <w:rFonts w:asciiTheme="majorHAnsi" w:hAnsiTheme="majorHAnsi"/>
          <w:sz w:val="16"/>
          <w:szCs w:val="16"/>
        </w:rPr>
        <w:t>Girón</w:t>
      </w:r>
      <w:proofErr w:type="spellEnd"/>
      <w:r w:rsidRPr="00326F31">
        <w:rPr>
          <w:rFonts w:asciiTheme="majorHAnsi" w:hAnsiTheme="majorHAnsi"/>
          <w:sz w:val="16"/>
          <w:szCs w:val="16"/>
        </w:rPr>
        <w:t>, communicating the termination of the employment relationship, March 12, 2004, Annex F to the State State’s submission within the admissibility process before the IACHR on January</w:t>
      </w:r>
      <w:r>
        <w:rPr>
          <w:rFonts w:asciiTheme="majorHAnsi" w:hAnsiTheme="majorHAnsi"/>
          <w:sz w:val="16"/>
          <w:szCs w:val="16"/>
        </w:rPr>
        <w:t xml:space="preserve"> 16, 2008; Annex 19</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Letter from the Chairman of the National Border Council to Thais </w:t>
      </w:r>
      <w:proofErr w:type="spellStart"/>
      <w:r w:rsidRPr="00326F31">
        <w:rPr>
          <w:rFonts w:asciiTheme="majorHAnsi" w:hAnsiTheme="majorHAnsi"/>
          <w:sz w:val="16"/>
          <w:szCs w:val="16"/>
        </w:rPr>
        <w:t>Coromoto</w:t>
      </w:r>
      <w:proofErr w:type="spellEnd"/>
      <w:r w:rsidRPr="00326F31">
        <w:rPr>
          <w:rFonts w:asciiTheme="majorHAnsi" w:hAnsiTheme="majorHAnsi"/>
          <w:sz w:val="16"/>
          <w:szCs w:val="16"/>
        </w:rPr>
        <w:t xml:space="preserve"> Peña, communicating the termination of the employment relationship, March 12, 2004, Annex F to the State’s submission within the admissibility process before the IACHR on January 16, 2008.</w:t>
      </w:r>
      <w:proofErr w:type="gramEnd"/>
      <w:r w:rsidRPr="00326F31">
        <w:rPr>
          <w:rFonts w:asciiTheme="majorHAnsi" w:hAnsiTheme="majorHAnsi"/>
          <w:sz w:val="16"/>
          <w:szCs w:val="16"/>
        </w:rPr>
        <w:t xml:space="preserve"> In accordance with communication of the then Executive Secretary of the National Border Council, the alleged victims worked for the National Border Council un</w:t>
      </w:r>
      <w:r>
        <w:rPr>
          <w:rFonts w:asciiTheme="majorHAnsi" w:hAnsiTheme="majorHAnsi"/>
          <w:sz w:val="16"/>
          <w:szCs w:val="16"/>
        </w:rPr>
        <w:t>til April 30, 2004. See Annex 20</w:t>
      </w:r>
      <w:r w:rsidRPr="00326F31">
        <w:rPr>
          <w:rFonts w:asciiTheme="majorHAnsi" w:hAnsiTheme="majorHAnsi"/>
          <w:sz w:val="16"/>
          <w:szCs w:val="16"/>
        </w:rPr>
        <w:t xml:space="preserve">. </w:t>
      </w:r>
      <w:proofErr w:type="gramStart"/>
      <w:r w:rsidRPr="00326F31">
        <w:rPr>
          <w:rFonts w:asciiTheme="majorHAnsi" w:hAnsiTheme="majorHAnsi"/>
          <w:sz w:val="16"/>
          <w:szCs w:val="16"/>
        </w:rPr>
        <w:t>Letter from the Executive Secretary of the National Border Council to Prosecutor 37 of the Public Prosecutor’s Office, July 13, 2004, Annex II of the complaint filed before the IACHR on March 7, 2006.</w:t>
      </w:r>
      <w:proofErr w:type="gramEnd"/>
      <w:r w:rsidRPr="00326F31">
        <w:rPr>
          <w:rFonts w:asciiTheme="majorHAnsi" w:hAnsiTheme="majorHAnsi"/>
          <w:sz w:val="16"/>
          <w:szCs w:val="16"/>
        </w:rPr>
        <w:tab/>
      </w:r>
    </w:p>
  </w:footnote>
  <w:footnote w:id="71">
    <w:p w14:paraId="27D56E89" w14:textId="68EAD9BA"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21</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Telephone conversation between </w:t>
      </w:r>
      <w:proofErr w:type="spellStart"/>
      <w:r w:rsidRPr="00326F31">
        <w:rPr>
          <w:rFonts w:asciiTheme="majorHAnsi" w:hAnsiTheme="majorHAnsi"/>
          <w:sz w:val="16"/>
          <w:szCs w:val="16"/>
        </w:rPr>
        <w:t>Feijoo</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Colomine</w:t>
      </w:r>
      <w:proofErr w:type="spellEnd"/>
      <w:r w:rsidRPr="00326F31">
        <w:rPr>
          <w:rFonts w:asciiTheme="majorHAnsi" w:hAnsiTheme="majorHAnsi"/>
          <w:sz w:val="16"/>
          <w:szCs w:val="16"/>
        </w:rPr>
        <w:t xml:space="preserve"> and Rocio San Miguel, March 24, 2004, Annex B of Annex IV of the complaint filed before the IACHR on March 7, 2006.</w:t>
      </w:r>
      <w:proofErr w:type="gramEnd"/>
    </w:p>
  </w:footnote>
  <w:footnote w:id="72">
    <w:p w14:paraId="7B1A8D4A" w14:textId="6BD54055"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22</w:t>
      </w:r>
      <w:r w:rsidRPr="00326F31">
        <w:rPr>
          <w:rFonts w:asciiTheme="majorHAnsi" w:hAnsiTheme="majorHAnsi"/>
          <w:sz w:val="16"/>
          <w:szCs w:val="16"/>
        </w:rPr>
        <w:t xml:space="preserve">. Transcript of the interview with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del Carmen San Miguel Sosa, before the Office of the Thirty-Seventh Prosecuting Attorney on July 15, 2004, Annex II of the complaint filed before the IACHR on March 7, 2006</w:t>
      </w:r>
    </w:p>
  </w:footnote>
  <w:footnote w:id="73">
    <w:p w14:paraId="75A8BB8C" w14:textId="1DA90977"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23</w:t>
      </w:r>
      <w:r w:rsidRPr="00326F31">
        <w:rPr>
          <w:rFonts w:asciiTheme="majorHAnsi" w:hAnsiTheme="majorHAnsi"/>
          <w:sz w:val="16"/>
          <w:szCs w:val="16"/>
        </w:rPr>
        <w:t xml:space="preserve">.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San Miguel letter to the President of the National Border Council, March 29, 2004, Annex I of the complaint filed before the IACRH on March 7, 2006.</w:t>
      </w:r>
    </w:p>
  </w:footnote>
  <w:footnote w:id="74">
    <w:p w14:paraId="1225F16B" w14:textId="6BC92CF8"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24</w:t>
      </w:r>
      <w:r w:rsidRPr="00326F31">
        <w:rPr>
          <w:rFonts w:asciiTheme="majorHAnsi" w:hAnsiTheme="majorHAnsi"/>
          <w:sz w:val="16"/>
          <w:szCs w:val="16"/>
        </w:rPr>
        <w:t>. Letter from the Chairman of the National Border Council to Rocio San Miguel, communicating the termination of the employment relationship, March 12, 2004, Annex F to the State’s submission within the admissibility process before the IAC</w:t>
      </w:r>
      <w:r>
        <w:rPr>
          <w:rFonts w:asciiTheme="majorHAnsi" w:hAnsiTheme="majorHAnsi"/>
          <w:sz w:val="16"/>
          <w:szCs w:val="16"/>
        </w:rPr>
        <w:t>HR on January 16, 2008; Annex 25</w:t>
      </w:r>
      <w:r w:rsidRPr="00326F31">
        <w:rPr>
          <w:rFonts w:asciiTheme="majorHAnsi" w:hAnsiTheme="majorHAnsi"/>
          <w:sz w:val="16"/>
          <w:szCs w:val="16"/>
        </w:rPr>
        <w:t xml:space="preserve">. Letter from the Chairman of the National Border Council to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Chang </w:t>
      </w:r>
      <w:proofErr w:type="spellStart"/>
      <w:r w:rsidRPr="00326F31">
        <w:rPr>
          <w:rFonts w:asciiTheme="majorHAnsi" w:hAnsiTheme="majorHAnsi"/>
          <w:sz w:val="16"/>
          <w:szCs w:val="16"/>
        </w:rPr>
        <w:t>Girón</w:t>
      </w:r>
      <w:proofErr w:type="spellEnd"/>
      <w:r w:rsidRPr="00326F31">
        <w:rPr>
          <w:rFonts w:asciiTheme="majorHAnsi" w:hAnsiTheme="majorHAnsi"/>
          <w:sz w:val="16"/>
          <w:szCs w:val="16"/>
        </w:rPr>
        <w:t>, communicating the termination of the employment relationship, March 12, 2004, Annex F to the State’s submission within the admissibility process before the IAC</w:t>
      </w:r>
      <w:r>
        <w:rPr>
          <w:rFonts w:asciiTheme="majorHAnsi" w:hAnsiTheme="majorHAnsi"/>
          <w:sz w:val="16"/>
          <w:szCs w:val="16"/>
        </w:rPr>
        <w:t>HR on January 16, 2008; Annex 26</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Letter from the Chairman of the National Border Council to Thais </w:t>
      </w:r>
      <w:proofErr w:type="spellStart"/>
      <w:r w:rsidRPr="00326F31">
        <w:rPr>
          <w:rFonts w:asciiTheme="majorHAnsi" w:hAnsiTheme="majorHAnsi"/>
          <w:sz w:val="16"/>
          <w:szCs w:val="16"/>
        </w:rPr>
        <w:t>Coromoto</w:t>
      </w:r>
      <w:proofErr w:type="spellEnd"/>
      <w:r w:rsidRPr="00326F31">
        <w:rPr>
          <w:rFonts w:asciiTheme="majorHAnsi" w:hAnsiTheme="majorHAnsi"/>
          <w:sz w:val="16"/>
          <w:szCs w:val="16"/>
        </w:rPr>
        <w:t xml:space="preserve"> Peña, communicating the termination of the employment relationship, March 12, 2004, Annex F to the State’s submission within the admissibility process before the IACHR on January 16, 2008.</w:t>
      </w:r>
      <w:proofErr w:type="gramEnd"/>
      <w:r w:rsidRPr="00326F31">
        <w:rPr>
          <w:rFonts w:asciiTheme="majorHAnsi" w:hAnsiTheme="majorHAnsi"/>
          <w:sz w:val="16"/>
          <w:szCs w:val="16"/>
        </w:rPr>
        <w:t xml:space="preserve"> In accordance with communication of the then Executive Secretary of the National Border Council, the alleged victims worked for the National Border Council un</w:t>
      </w:r>
      <w:r>
        <w:rPr>
          <w:rFonts w:asciiTheme="majorHAnsi" w:hAnsiTheme="majorHAnsi"/>
          <w:sz w:val="16"/>
          <w:szCs w:val="16"/>
        </w:rPr>
        <w:t>til April 30, 2004. See Annex 20</w:t>
      </w:r>
      <w:r w:rsidRPr="00326F31">
        <w:rPr>
          <w:rFonts w:asciiTheme="majorHAnsi" w:hAnsiTheme="majorHAnsi"/>
          <w:sz w:val="16"/>
          <w:szCs w:val="16"/>
        </w:rPr>
        <w:t xml:space="preserve">. </w:t>
      </w:r>
      <w:proofErr w:type="gramStart"/>
      <w:r w:rsidRPr="00326F31">
        <w:rPr>
          <w:rFonts w:asciiTheme="majorHAnsi" w:hAnsiTheme="majorHAnsi"/>
          <w:sz w:val="16"/>
          <w:szCs w:val="16"/>
        </w:rPr>
        <w:t>Letter from the Executive Secretary of the National Border Council to Prosecutor 37 of the Public Prosecutor’s Office, July 13, 2004, Annex II of the complaint filed before the IACHR on March 7, 2006.</w:t>
      </w:r>
      <w:proofErr w:type="gramEnd"/>
    </w:p>
  </w:footnote>
  <w:footnote w:id="75">
    <w:p w14:paraId="298B2AC0" w14:textId="6B6B19A4"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27</w:t>
      </w:r>
      <w:r w:rsidRPr="00326F31">
        <w:rPr>
          <w:rFonts w:asciiTheme="majorHAnsi" w:hAnsiTheme="majorHAnsi"/>
          <w:sz w:val="16"/>
          <w:szCs w:val="16"/>
        </w:rPr>
        <w:t>. Communication of the Executive Secretary of the National Border Council addressed to the Office of the Ombudsman of the Metropolitan Area of Caracas in relation to the termination of the employment relationship with the victims in this case, page 1, Annex E to the State’s submission within the admissibility process before the IACHR on January 16, 2008.</w:t>
      </w:r>
    </w:p>
  </w:footnote>
  <w:footnote w:id="76">
    <w:p w14:paraId="456349D3" w14:textId="38E7A8D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27</w:t>
      </w:r>
      <w:r w:rsidRPr="00326F31">
        <w:rPr>
          <w:rFonts w:asciiTheme="majorHAnsi" w:hAnsiTheme="majorHAnsi"/>
          <w:sz w:val="16"/>
          <w:szCs w:val="16"/>
        </w:rPr>
        <w:t>. Communication of the Executive Secretary of the National Border Council addressed to the Office of the Ombudsman of the Metropolitan Area of Caracas in relation to the termination of the employment relationship with the victims in this case, page 2, Annex E to the State’s submission within the admissibility process before the IACHR on January 16, 2008.</w:t>
      </w:r>
    </w:p>
  </w:footnote>
  <w:footnote w:id="77">
    <w:p w14:paraId="5F7701CC" w14:textId="6EA9EEE2"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28. </w:t>
      </w:r>
      <w:proofErr w:type="gramStart"/>
      <w:r>
        <w:rPr>
          <w:rFonts w:asciiTheme="majorHAnsi" w:hAnsiTheme="majorHAnsi"/>
          <w:sz w:val="16"/>
          <w:szCs w:val="16"/>
        </w:rPr>
        <w:t xml:space="preserve">Interview by </w:t>
      </w:r>
      <w:proofErr w:type="spellStart"/>
      <w:r>
        <w:rPr>
          <w:rFonts w:asciiTheme="majorHAnsi" w:hAnsiTheme="majorHAnsi"/>
          <w:sz w:val="16"/>
          <w:szCs w:val="16"/>
        </w:rPr>
        <w:t>Ybelliz</w:t>
      </w:r>
      <w:r w:rsidRPr="00326F31">
        <w:rPr>
          <w:rFonts w:asciiTheme="majorHAnsi" w:hAnsiTheme="majorHAnsi"/>
          <w:sz w:val="16"/>
          <w:szCs w:val="16"/>
        </w:rPr>
        <w:t>e</w:t>
      </w:r>
      <w:proofErr w:type="spellEnd"/>
      <w:r w:rsidRPr="00326F31">
        <w:rPr>
          <w:rFonts w:asciiTheme="majorHAnsi" w:hAnsiTheme="majorHAnsi"/>
          <w:sz w:val="16"/>
          <w:szCs w:val="16"/>
        </w:rPr>
        <w:t xml:space="preserve"> Pacheco to </w:t>
      </w:r>
      <w:proofErr w:type="spellStart"/>
      <w:r w:rsidRPr="00326F31">
        <w:rPr>
          <w:rFonts w:asciiTheme="majorHAnsi" w:hAnsiTheme="majorHAnsi"/>
          <w:sz w:val="16"/>
          <w:szCs w:val="16"/>
        </w:rPr>
        <w:t>Feijoo</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Colomine</w:t>
      </w:r>
      <w:proofErr w:type="spellEnd"/>
      <w:r w:rsidRPr="00326F31">
        <w:rPr>
          <w:rFonts w:asciiTheme="majorHAnsi" w:hAnsiTheme="majorHAnsi"/>
          <w:sz w:val="16"/>
          <w:szCs w:val="16"/>
        </w:rPr>
        <w:t xml:space="preserve"> on August 3, 2004, Annex G of Annex IV of the complaint filed before the IACHR on March 7, 2006.</w:t>
      </w:r>
      <w:proofErr w:type="gramEnd"/>
    </w:p>
  </w:footnote>
  <w:footnote w:id="78">
    <w:p w14:paraId="48D2CA06" w14:textId="68A4B59F"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29</w:t>
      </w:r>
      <w:r w:rsidRPr="00326F31">
        <w:rPr>
          <w:rFonts w:asciiTheme="majorHAnsi" w:hAnsiTheme="majorHAnsi"/>
          <w:sz w:val="16"/>
          <w:szCs w:val="16"/>
        </w:rPr>
        <w:t xml:space="preserve">. Transcript of the interview with </w:t>
      </w:r>
      <w:proofErr w:type="spellStart"/>
      <w:r w:rsidRPr="00326F31">
        <w:rPr>
          <w:rFonts w:asciiTheme="majorHAnsi" w:hAnsiTheme="majorHAnsi"/>
          <w:sz w:val="16"/>
          <w:szCs w:val="16"/>
        </w:rPr>
        <w:t>Feijoo</w:t>
      </w:r>
      <w:proofErr w:type="spellEnd"/>
      <w:r>
        <w:rPr>
          <w:rFonts w:asciiTheme="majorHAnsi" w:hAnsiTheme="majorHAnsi"/>
          <w:sz w:val="16"/>
          <w:szCs w:val="16"/>
        </w:rPr>
        <w:t xml:space="preserve"> </w:t>
      </w:r>
      <w:proofErr w:type="spellStart"/>
      <w:r>
        <w:rPr>
          <w:rFonts w:asciiTheme="majorHAnsi" w:hAnsiTheme="majorHAnsi"/>
          <w:sz w:val="16"/>
          <w:szCs w:val="16"/>
        </w:rPr>
        <w:t>Colomine</w:t>
      </w:r>
      <w:proofErr w:type="spellEnd"/>
      <w:r>
        <w:rPr>
          <w:rFonts w:asciiTheme="majorHAnsi" w:hAnsiTheme="majorHAnsi"/>
          <w:sz w:val="16"/>
          <w:szCs w:val="16"/>
        </w:rPr>
        <w:t xml:space="preserve"> </w:t>
      </w:r>
      <w:proofErr w:type="spellStart"/>
      <w:r>
        <w:rPr>
          <w:rFonts w:asciiTheme="majorHAnsi" w:hAnsiTheme="majorHAnsi"/>
          <w:sz w:val="16"/>
          <w:szCs w:val="16"/>
        </w:rPr>
        <w:t>Rincones</w:t>
      </w:r>
      <w:proofErr w:type="spellEnd"/>
      <w:r w:rsidRPr="00326F31">
        <w:rPr>
          <w:rFonts w:asciiTheme="majorHAnsi" w:hAnsiTheme="majorHAnsi"/>
          <w:sz w:val="16"/>
          <w:szCs w:val="16"/>
        </w:rPr>
        <w:t>, before the Office of the Thirty-Seventh Prosecuting Attorney on July 14, 2004, Annex II of the complaint filed before the IACHR on March 7, 2006</w:t>
      </w:r>
    </w:p>
  </w:footnote>
  <w:footnote w:id="79">
    <w:p w14:paraId="306EBCB4" w14:textId="6F5DDEEE"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22</w:t>
      </w:r>
      <w:r w:rsidRPr="00326F31">
        <w:rPr>
          <w:rFonts w:asciiTheme="majorHAnsi" w:hAnsiTheme="majorHAnsi"/>
          <w:sz w:val="16"/>
          <w:szCs w:val="16"/>
        </w:rPr>
        <w:t xml:space="preserve">. Transcript of the interview with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del Carmen San Miguel Sosa, before the Office of the Thirty-Seventh Prosecuting Attorney on July 15, 2004, Annex II of the complaint filed before the IACHR on March 7, 2006</w:t>
      </w:r>
    </w:p>
  </w:footnote>
  <w:footnote w:id="80">
    <w:p w14:paraId="55900BB5" w14:textId="5DD6852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22</w:t>
      </w:r>
      <w:r w:rsidRPr="00326F31">
        <w:rPr>
          <w:rFonts w:asciiTheme="majorHAnsi" w:hAnsiTheme="majorHAnsi"/>
          <w:sz w:val="16"/>
          <w:szCs w:val="16"/>
        </w:rPr>
        <w:t xml:space="preserve">. Transcript of the interview with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del Carmen San Miguel Sosa, before the Office of the Thirty-Seventh Prosecuting Attorney on July 15, 2004, Annex II of the complaint filed before the IACHR on March 7, 2006</w:t>
      </w:r>
    </w:p>
  </w:footnote>
  <w:footnote w:id="81">
    <w:p w14:paraId="2D1F2D82" w14:textId="44E144F6"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22</w:t>
      </w:r>
      <w:r w:rsidRPr="00326F31">
        <w:rPr>
          <w:rFonts w:asciiTheme="majorHAnsi" w:hAnsiTheme="majorHAnsi"/>
          <w:sz w:val="16"/>
          <w:szCs w:val="16"/>
        </w:rPr>
        <w:t xml:space="preserve">. Transcript of the interview with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del Carmen San Miguel Sosa, before the Office of the Thirty-Seventh Prosecuting Attorney on July 15, 2004, Annex II of the complaint filed before the IACHR on March 7, 2006</w:t>
      </w:r>
    </w:p>
  </w:footnote>
  <w:footnote w:id="82">
    <w:p w14:paraId="1DF5F12B" w14:textId="4F1428BD"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22</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Telephone conversation between </w:t>
      </w:r>
      <w:proofErr w:type="spellStart"/>
      <w:r w:rsidRPr="00326F31">
        <w:rPr>
          <w:rFonts w:asciiTheme="majorHAnsi" w:hAnsiTheme="majorHAnsi"/>
          <w:sz w:val="16"/>
          <w:szCs w:val="16"/>
        </w:rPr>
        <w:t>Feijoo</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Colomine</w:t>
      </w:r>
      <w:proofErr w:type="spellEnd"/>
      <w:r w:rsidRPr="00326F31">
        <w:rPr>
          <w:rFonts w:asciiTheme="majorHAnsi" w:hAnsiTheme="majorHAnsi"/>
          <w:sz w:val="16"/>
          <w:szCs w:val="16"/>
        </w:rPr>
        <w:t xml:space="preserve"> and Rocio San Miguel, March 24, 2004, Annex B of Annex IV of the complaint filed before the IACHR on March 7, 2006.</w:t>
      </w:r>
      <w:proofErr w:type="gramEnd"/>
    </w:p>
  </w:footnote>
  <w:footnote w:id="83">
    <w:p w14:paraId="6AE0F3A5" w14:textId="7F14C53F"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An</w:t>
      </w:r>
      <w:r>
        <w:rPr>
          <w:rFonts w:asciiTheme="majorHAnsi" w:hAnsiTheme="majorHAnsi"/>
          <w:sz w:val="16"/>
          <w:szCs w:val="16"/>
        </w:rPr>
        <w:t>nex 30</w:t>
      </w:r>
      <w:r w:rsidRPr="00326F31">
        <w:rPr>
          <w:rFonts w:asciiTheme="majorHAnsi" w:hAnsiTheme="majorHAnsi"/>
          <w:sz w:val="16"/>
          <w:szCs w:val="16"/>
        </w:rPr>
        <w:t xml:space="preserve">. Transcript of the interview with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Margarita Chang </w:t>
      </w:r>
      <w:proofErr w:type="spellStart"/>
      <w:r w:rsidRPr="00326F31">
        <w:rPr>
          <w:rFonts w:asciiTheme="majorHAnsi" w:hAnsiTheme="majorHAnsi"/>
          <w:sz w:val="16"/>
          <w:szCs w:val="16"/>
        </w:rPr>
        <w:t>Girón</w:t>
      </w:r>
      <w:proofErr w:type="spellEnd"/>
      <w:r w:rsidRPr="00326F31">
        <w:rPr>
          <w:rFonts w:asciiTheme="majorHAnsi" w:hAnsiTheme="majorHAnsi"/>
          <w:sz w:val="16"/>
          <w:szCs w:val="16"/>
        </w:rPr>
        <w:t>, before the Office of the Thirty-Seventh Prosecuting Attorney on July 16, 2004, Annex II of the complaint filed before the IACHR on March 7, 2006</w:t>
      </w:r>
    </w:p>
  </w:footnote>
  <w:footnote w:id="84">
    <w:p w14:paraId="7EF03799" w14:textId="21FC9BD9"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30</w:t>
      </w:r>
      <w:r w:rsidRPr="00326F31">
        <w:rPr>
          <w:rFonts w:asciiTheme="majorHAnsi" w:hAnsiTheme="majorHAnsi"/>
          <w:sz w:val="16"/>
          <w:szCs w:val="16"/>
        </w:rPr>
        <w:t xml:space="preserve">. Transcript of the interview with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Margarita Chang </w:t>
      </w:r>
      <w:proofErr w:type="spellStart"/>
      <w:r w:rsidRPr="00326F31">
        <w:rPr>
          <w:rFonts w:asciiTheme="majorHAnsi" w:hAnsiTheme="majorHAnsi"/>
          <w:sz w:val="16"/>
          <w:szCs w:val="16"/>
        </w:rPr>
        <w:t>Girón</w:t>
      </w:r>
      <w:proofErr w:type="spellEnd"/>
      <w:r w:rsidRPr="00326F31">
        <w:rPr>
          <w:rFonts w:asciiTheme="majorHAnsi" w:hAnsiTheme="majorHAnsi"/>
          <w:sz w:val="16"/>
          <w:szCs w:val="16"/>
        </w:rPr>
        <w:t>, before the Office of the Thirty-Seventh Prosecuting Attorney on July 16, 2004, Annex II of the complaint filed before the IACHR on March 7, 2006</w:t>
      </w:r>
    </w:p>
  </w:footnote>
  <w:footnote w:id="85">
    <w:p w14:paraId="6D2C7334" w14:textId="2B6F321F"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31</w:t>
      </w:r>
      <w:r w:rsidRPr="00326F31">
        <w:rPr>
          <w:rFonts w:asciiTheme="majorHAnsi" w:hAnsiTheme="majorHAnsi"/>
          <w:sz w:val="16"/>
          <w:szCs w:val="16"/>
        </w:rPr>
        <w:t xml:space="preserve">. Transcript of the interview with Thais </w:t>
      </w:r>
      <w:proofErr w:type="spellStart"/>
      <w:r w:rsidRPr="00326F31">
        <w:rPr>
          <w:rFonts w:asciiTheme="majorHAnsi" w:hAnsiTheme="majorHAnsi"/>
          <w:sz w:val="16"/>
          <w:szCs w:val="16"/>
        </w:rPr>
        <w:t>Coromoto</w:t>
      </w:r>
      <w:proofErr w:type="spellEnd"/>
      <w:r w:rsidRPr="00326F31">
        <w:rPr>
          <w:rFonts w:asciiTheme="majorHAnsi" w:hAnsiTheme="majorHAnsi"/>
          <w:sz w:val="16"/>
          <w:szCs w:val="16"/>
        </w:rPr>
        <w:t xml:space="preserve"> Peña, before the Office of the Thirty-Seventh Prosecuting Attorney on July 15, 2004, Annex II of the complaint filed before the IACHR on March 7, 2006</w:t>
      </w:r>
    </w:p>
  </w:footnote>
  <w:footnote w:id="86">
    <w:p w14:paraId="65B95ADF" w14:textId="03877CB1"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31</w:t>
      </w:r>
      <w:r w:rsidRPr="00326F31">
        <w:rPr>
          <w:rFonts w:asciiTheme="majorHAnsi" w:hAnsiTheme="majorHAnsi"/>
          <w:sz w:val="16"/>
          <w:szCs w:val="16"/>
        </w:rPr>
        <w:t xml:space="preserve">. Transcript of the interview with Thais </w:t>
      </w:r>
      <w:proofErr w:type="spellStart"/>
      <w:r w:rsidRPr="00326F31">
        <w:rPr>
          <w:rFonts w:asciiTheme="majorHAnsi" w:hAnsiTheme="majorHAnsi"/>
          <w:sz w:val="16"/>
          <w:szCs w:val="16"/>
        </w:rPr>
        <w:t>Coromoto</w:t>
      </w:r>
      <w:proofErr w:type="spellEnd"/>
      <w:r w:rsidRPr="00326F31">
        <w:rPr>
          <w:rFonts w:asciiTheme="majorHAnsi" w:hAnsiTheme="majorHAnsi"/>
          <w:sz w:val="16"/>
          <w:szCs w:val="16"/>
        </w:rPr>
        <w:t xml:space="preserve"> Peña, before the Office of the Thirty-Seventh Prosecuting Attorney on July 15, 2004, Annex II of the complaint filed before the IACHR on March 7, 2006</w:t>
      </w:r>
    </w:p>
  </w:footnote>
  <w:footnote w:id="87">
    <w:p w14:paraId="7AA442F9" w14:textId="6B07A87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See Annex 21</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Telephone conversation between </w:t>
      </w:r>
      <w:proofErr w:type="spellStart"/>
      <w:r w:rsidRPr="00326F31">
        <w:rPr>
          <w:rFonts w:asciiTheme="majorHAnsi" w:hAnsiTheme="majorHAnsi"/>
          <w:sz w:val="16"/>
          <w:szCs w:val="16"/>
        </w:rPr>
        <w:t>Feijoo</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Colomine</w:t>
      </w:r>
      <w:proofErr w:type="spellEnd"/>
      <w:r w:rsidRPr="00326F31">
        <w:rPr>
          <w:rFonts w:asciiTheme="majorHAnsi" w:hAnsiTheme="majorHAnsi"/>
          <w:sz w:val="16"/>
          <w:szCs w:val="16"/>
        </w:rPr>
        <w:t xml:space="preserve"> and Rocio San Miguel, March 24, 2004, Annex B of Annex IV of the complaint filed before the IACHR on March 7, 2006.</w:t>
      </w:r>
      <w:proofErr w:type="gramEnd"/>
    </w:p>
  </w:footnote>
  <w:footnote w:id="88">
    <w:p w14:paraId="6BB6B9DE" w14:textId="7D6D5FB6"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See Annex 21</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Telephone conversation between </w:t>
      </w:r>
      <w:proofErr w:type="spellStart"/>
      <w:r w:rsidRPr="00326F31">
        <w:rPr>
          <w:rFonts w:asciiTheme="majorHAnsi" w:hAnsiTheme="majorHAnsi"/>
          <w:sz w:val="16"/>
          <w:szCs w:val="16"/>
        </w:rPr>
        <w:t>Feijoo</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Colomine</w:t>
      </w:r>
      <w:proofErr w:type="spellEnd"/>
      <w:r w:rsidRPr="00326F31">
        <w:rPr>
          <w:rFonts w:asciiTheme="majorHAnsi" w:hAnsiTheme="majorHAnsi"/>
          <w:sz w:val="16"/>
          <w:szCs w:val="16"/>
        </w:rPr>
        <w:t xml:space="preserve"> and Rocio San Miguel, March 24, 2004, Annex B of Annex IV of the complaint filed before the IACHR on March 7, 2006.</w:t>
      </w:r>
      <w:proofErr w:type="gramEnd"/>
    </w:p>
  </w:footnote>
  <w:footnote w:id="89">
    <w:p w14:paraId="6866E25B" w14:textId="58A6499D"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See Annex 21</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Telephone conversation between </w:t>
      </w:r>
      <w:proofErr w:type="spellStart"/>
      <w:r w:rsidRPr="00326F31">
        <w:rPr>
          <w:rFonts w:asciiTheme="majorHAnsi" w:hAnsiTheme="majorHAnsi"/>
          <w:sz w:val="16"/>
          <w:szCs w:val="16"/>
        </w:rPr>
        <w:t>Feijoo</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Colomine</w:t>
      </w:r>
      <w:proofErr w:type="spellEnd"/>
      <w:r w:rsidRPr="00326F31">
        <w:rPr>
          <w:rFonts w:asciiTheme="majorHAnsi" w:hAnsiTheme="majorHAnsi"/>
          <w:sz w:val="16"/>
          <w:szCs w:val="16"/>
        </w:rPr>
        <w:t xml:space="preserve"> and Rocio San Miguel, March 24, 2004, Annex B of Annex IV of the complaint filed before the IACHR on March 7, 2006.</w:t>
      </w:r>
      <w:proofErr w:type="gramEnd"/>
    </w:p>
  </w:footnote>
  <w:footnote w:id="90">
    <w:p w14:paraId="57679212" w14:textId="119BCE98"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32</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Telephone conversation between Rocio San Miguel and Ilia </w:t>
      </w:r>
      <w:proofErr w:type="spellStart"/>
      <w:r w:rsidRPr="00326F31">
        <w:rPr>
          <w:rFonts w:asciiTheme="majorHAnsi" w:hAnsiTheme="majorHAnsi"/>
          <w:sz w:val="16"/>
          <w:szCs w:val="16"/>
        </w:rPr>
        <w:t>Azpurua</w:t>
      </w:r>
      <w:proofErr w:type="spellEnd"/>
      <w:r w:rsidRPr="00326F31">
        <w:rPr>
          <w:rFonts w:asciiTheme="majorHAnsi" w:hAnsiTheme="majorHAnsi"/>
          <w:sz w:val="16"/>
          <w:szCs w:val="16"/>
        </w:rPr>
        <w:t>, March 31, 2004, Annex B of Annex IV of the complaint filed before the IACHR on March 7, 2006.</w:t>
      </w:r>
      <w:proofErr w:type="gramEnd"/>
    </w:p>
  </w:footnote>
  <w:footnote w:id="91">
    <w:p w14:paraId="0A685192" w14:textId="3D93B257"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Within the file, records show the conclusion of various contracts of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San Miguel with the National Border Council: From July 1, 1996 until December 31, 1996, from 1 January 1997 to 31 December 1997, 1 January 1998 to December 31, 1998, from January 1, 2000 to March 31, 2000, from 1 January 2001 to 31 December 2001, from 1 January 2002 to 31 December 2002, the January 1, 2003 to December 31, 2003 and January 1, 2004 to</w:t>
      </w:r>
      <w:r>
        <w:rPr>
          <w:rFonts w:asciiTheme="majorHAnsi" w:hAnsiTheme="majorHAnsi"/>
          <w:sz w:val="16"/>
          <w:szCs w:val="16"/>
        </w:rPr>
        <w:t xml:space="preserve"> December 31, 2004. See Annex 9</w:t>
      </w:r>
      <w:r w:rsidRPr="00326F31">
        <w:rPr>
          <w:rFonts w:asciiTheme="majorHAnsi" w:hAnsiTheme="majorHAnsi"/>
          <w:sz w:val="16"/>
          <w:szCs w:val="16"/>
        </w:rPr>
        <w:t xml:space="preserve">.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San Miguel contracts with the National Border Council, Annex </w:t>
      </w:r>
      <w:proofErr w:type="gramStart"/>
      <w:r w:rsidRPr="00326F31">
        <w:rPr>
          <w:rFonts w:asciiTheme="majorHAnsi" w:hAnsiTheme="majorHAnsi"/>
          <w:sz w:val="16"/>
          <w:szCs w:val="16"/>
        </w:rPr>
        <w:t>A</w:t>
      </w:r>
      <w:proofErr w:type="gramEnd"/>
      <w:r w:rsidRPr="00326F31">
        <w:rPr>
          <w:rFonts w:asciiTheme="majorHAnsi" w:hAnsiTheme="majorHAnsi"/>
          <w:sz w:val="16"/>
          <w:szCs w:val="16"/>
        </w:rPr>
        <w:t xml:space="preserve"> of Annex IV of the complaint filed before the IACHR on March 7, 2006.</w:t>
      </w:r>
    </w:p>
  </w:footnote>
  <w:footnote w:id="92">
    <w:p w14:paraId="19700305" w14:textId="0D09EFBA"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Within the file, records show the conclusion of various contracts of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Chang with the National Border Council: from May 1, 1997 to December 31, 1997, from 1 January 1998 to 31 December 1998, from 1 January 1999 to March 31, 1999, from April 1, 1999 to May 31, 1999, from June 1, 1999 to June 30, 1999, from July 1, 1999 to December 31, 1999, 1 January 2000 to March 31, 2000, from April 1, 2000 to December 31, 2000, from 1 January 2001 to 31 December 2001, from 1 January 2002 to 31 December 2002, 1 January 2003 to December 31, 2003 and January 1, 2004 to</w:t>
      </w:r>
      <w:r>
        <w:rPr>
          <w:rFonts w:asciiTheme="majorHAnsi" w:hAnsiTheme="majorHAnsi"/>
          <w:sz w:val="16"/>
          <w:szCs w:val="16"/>
        </w:rPr>
        <w:t xml:space="preserve"> December 31, 2004. See Annex 11</w:t>
      </w:r>
      <w:r w:rsidRPr="00326F31">
        <w:rPr>
          <w:rFonts w:asciiTheme="majorHAnsi" w:hAnsiTheme="majorHAnsi"/>
          <w:sz w:val="16"/>
          <w:szCs w:val="16"/>
        </w:rPr>
        <w:t xml:space="preserve">.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Chang contracts with the National Border Council, Annex </w:t>
      </w:r>
      <w:proofErr w:type="gramStart"/>
      <w:r w:rsidRPr="00326F31">
        <w:rPr>
          <w:rFonts w:asciiTheme="majorHAnsi" w:hAnsiTheme="majorHAnsi"/>
          <w:sz w:val="16"/>
          <w:szCs w:val="16"/>
        </w:rPr>
        <w:t>A</w:t>
      </w:r>
      <w:proofErr w:type="gramEnd"/>
      <w:r w:rsidRPr="00326F31">
        <w:rPr>
          <w:rFonts w:asciiTheme="majorHAnsi" w:hAnsiTheme="majorHAnsi"/>
          <w:sz w:val="16"/>
          <w:szCs w:val="16"/>
        </w:rPr>
        <w:t xml:space="preserve"> of Annex IV of the complaint filed before the IACHR on March 7, 2006.</w:t>
      </w:r>
    </w:p>
  </w:footnote>
  <w:footnote w:id="93">
    <w:p w14:paraId="602EF6DF" w14:textId="2D9E5B0E"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Within the file, records show the conclusion of contracts to provide services from April 1, 2000 to December 31, 2000, January 1, 2002 to December 31, 2002, January 1, 2003 to December 31, 2003, 1 January 2004 t</w:t>
      </w:r>
      <w:r>
        <w:rPr>
          <w:rFonts w:asciiTheme="majorHAnsi" w:hAnsiTheme="majorHAnsi"/>
          <w:sz w:val="16"/>
          <w:szCs w:val="16"/>
        </w:rPr>
        <w:t>o 31 December 2004. See Annex 13</w:t>
      </w:r>
      <w:r w:rsidRPr="00326F31">
        <w:rPr>
          <w:rFonts w:asciiTheme="majorHAnsi" w:hAnsiTheme="majorHAnsi"/>
          <w:sz w:val="16"/>
          <w:szCs w:val="16"/>
        </w:rPr>
        <w:t xml:space="preserve">. Thais </w:t>
      </w:r>
      <w:proofErr w:type="spellStart"/>
      <w:r w:rsidRPr="00326F31">
        <w:rPr>
          <w:rFonts w:asciiTheme="majorHAnsi" w:hAnsiTheme="majorHAnsi"/>
          <w:sz w:val="16"/>
          <w:szCs w:val="16"/>
        </w:rPr>
        <w:t>Coromoto</w:t>
      </w:r>
      <w:proofErr w:type="spellEnd"/>
      <w:r w:rsidRPr="00326F31">
        <w:rPr>
          <w:rFonts w:asciiTheme="majorHAnsi" w:hAnsiTheme="majorHAnsi"/>
          <w:sz w:val="16"/>
          <w:szCs w:val="16"/>
        </w:rPr>
        <w:t xml:space="preserve"> Peña contracts with the National Border Council, Annex </w:t>
      </w:r>
      <w:proofErr w:type="gramStart"/>
      <w:r w:rsidRPr="00326F31">
        <w:rPr>
          <w:rFonts w:asciiTheme="majorHAnsi" w:hAnsiTheme="majorHAnsi"/>
          <w:sz w:val="16"/>
          <w:szCs w:val="16"/>
        </w:rPr>
        <w:t>A</w:t>
      </w:r>
      <w:proofErr w:type="gramEnd"/>
      <w:r w:rsidRPr="00326F31">
        <w:rPr>
          <w:rFonts w:asciiTheme="majorHAnsi" w:hAnsiTheme="majorHAnsi"/>
          <w:sz w:val="16"/>
          <w:szCs w:val="16"/>
        </w:rPr>
        <w:t xml:space="preserve"> of Annex IV of the complaint filed before the IACHR on March 7, 2006.</w:t>
      </w:r>
    </w:p>
  </w:footnote>
  <w:footnote w:id="94">
    <w:p w14:paraId="57A13C4E" w14:textId="2261D201"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33</w:t>
      </w:r>
      <w:r w:rsidRPr="00326F31">
        <w:rPr>
          <w:rFonts w:asciiTheme="majorHAnsi" w:hAnsiTheme="majorHAnsi"/>
          <w:sz w:val="16"/>
          <w:szCs w:val="16"/>
        </w:rPr>
        <w:t xml:space="preserve">. </w:t>
      </w:r>
      <w:proofErr w:type="gramStart"/>
      <w:r w:rsidRPr="00326F31">
        <w:rPr>
          <w:rFonts w:asciiTheme="majorHAnsi" w:hAnsiTheme="majorHAnsi"/>
          <w:sz w:val="16"/>
          <w:szCs w:val="16"/>
        </w:rPr>
        <w:t>Copy of the payroll of the hired personnel in the National Border Council until December 2003, Annex 7 to the additional information submitted by the petitioners on May 30, 2007.</w:t>
      </w:r>
      <w:proofErr w:type="gramEnd"/>
    </w:p>
  </w:footnote>
  <w:footnote w:id="95">
    <w:p w14:paraId="78B7551B" w14:textId="33C7341D"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21</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Telephone conversation between </w:t>
      </w:r>
      <w:proofErr w:type="spellStart"/>
      <w:r w:rsidRPr="00326F31">
        <w:rPr>
          <w:rFonts w:asciiTheme="majorHAnsi" w:hAnsiTheme="majorHAnsi"/>
          <w:sz w:val="16"/>
          <w:szCs w:val="16"/>
        </w:rPr>
        <w:t>Feijoo</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Colomine</w:t>
      </w:r>
      <w:proofErr w:type="spellEnd"/>
      <w:r w:rsidRPr="00326F31">
        <w:rPr>
          <w:rFonts w:asciiTheme="majorHAnsi" w:hAnsiTheme="majorHAnsi"/>
          <w:sz w:val="16"/>
          <w:szCs w:val="16"/>
        </w:rPr>
        <w:t xml:space="preserve"> and Rocio San Miguel, March 24, 2004, Annex B of Annex IV of the complaint filed before the IACHR on March 7, 2006.</w:t>
      </w:r>
      <w:proofErr w:type="gramEnd"/>
    </w:p>
  </w:footnote>
  <w:footnote w:id="96">
    <w:p w14:paraId="7BD12CD3" w14:textId="022E1C48"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34</w:t>
      </w:r>
      <w:r w:rsidRPr="00326F31">
        <w:rPr>
          <w:rFonts w:asciiTheme="majorHAnsi" w:hAnsiTheme="majorHAnsi"/>
          <w:sz w:val="16"/>
          <w:szCs w:val="16"/>
        </w:rPr>
        <w:t xml:space="preserve">. </w:t>
      </w:r>
      <w:proofErr w:type="gramStart"/>
      <w:r w:rsidRPr="00326F31">
        <w:rPr>
          <w:rFonts w:asciiTheme="majorHAnsi" w:hAnsiTheme="majorHAnsi"/>
          <w:sz w:val="16"/>
          <w:szCs w:val="16"/>
        </w:rPr>
        <w:t>Complaint before the Ombudsman, Annex III of the complaint filed before the IACHR on March 7, 2006.</w:t>
      </w:r>
      <w:proofErr w:type="gramEnd"/>
    </w:p>
  </w:footnote>
  <w:footnote w:id="97">
    <w:p w14:paraId="4B729DD3" w14:textId="18209D27"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35</w:t>
      </w:r>
      <w:r w:rsidRPr="00326F31">
        <w:rPr>
          <w:rFonts w:asciiTheme="majorHAnsi" w:hAnsiTheme="majorHAnsi"/>
          <w:sz w:val="16"/>
          <w:szCs w:val="16"/>
        </w:rPr>
        <w:t xml:space="preserve">. </w:t>
      </w:r>
      <w:proofErr w:type="gramStart"/>
      <w:r w:rsidRPr="00326F31">
        <w:rPr>
          <w:rFonts w:asciiTheme="majorHAnsi" w:hAnsiTheme="majorHAnsi"/>
          <w:sz w:val="16"/>
          <w:szCs w:val="16"/>
        </w:rPr>
        <w:t>Order for admission of June 29, 2004.</w:t>
      </w:r>
      <w:proofErr w:type="gramEnd"/>
      <w:r w:rsidRPr="00326F31">
        <w:rPr>
          <w:rFonts w:asciiTheme="majorHAnsi" w:hAnsiTheme="majorHAnsi"/>
          <w:sz w:val="16"/>
          <w:szCs w:val="16"/>
        </w:rPr>
        <w:t xml:space="preserve"> Annex III of the complaint filed before the IACHR on March 7, 2006</w:t>
      </w:r>
    </w:p>
  </w:footnote>
  <w:footnote w:id="98">
    <w:p w14:paraId="6D9388DA" w14:textId="56222076"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36</w:t>
      </w:r>
      <w:r w:rsidRPr="00326F31">
        <w:rPr>
          <w:rFonts w:asciiTheme="majorHAnsi" w:hAnsiTheme="majorHAnsi"/>
          <w:sz w:val="16"/>
          <w:szCs w:val="16"/>
        </w:rPr>
        <w:t>. Information Point of the Coordinator of Legal Services of the Ombudsman Office, July 16, 2004. Annex III of the complaint filed before the IACHR on March 7, 2006.</w:t>
      </w:r>
    </w:p>
  </w:footnote>
  <w:footnote w:id="99">
    <w:p w14:paraId="7E74A314" w14:textId="4583D3C6"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36</w:t>
      </w:r>
      <w:r w:rsidRPr="00326F31">
        <w:rPr>
          <w:rFonts w:asciiTheme="majorHAnsi" w:hAnsiTheme="majorHAnsi"/>
          <w:sz w:val="16"/>
          <w:szCs w:val="16"/>
        </w:rPr>
        <w:t>. Information Point of the Coordinator of Legal Services of the Ombudsman Office, July 16, 2004. Annex III of the complaint filed before the IACHR on March 7, 2006.</w:t>
      </w:r>
    </w:p>
  </w:footnote>
  <w:footnote w:id="100">
    <w:p w14:paraId="5B8723F4" w14:textId="6F0F3EE3"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37</w:t>
      </w:r>
      <w:r w:rsidRPr="00506E20">
        <w:rPr>
          <w:rFonts w:asciiTheme="majorHAnsi" w:hAnsiTheme="majorHAnsi"/>
          <w:sz w:val="16"/>
          <w:szCs w:val="16"/>
        </w:rPr>
        <w:t xml:space="preserve">. </w:t>
      </w:r>
      <w:proofErr w:type="gramStart"/>
      <w:r w:rsidRPr="00506E20">
        <w:rPr>
          <w:rFonts w:asciiTheme="majorHAnsi" w:hAnsiTheme="majorHAnsi"/>
          <w:sz w:val="16"/>
          <w:szCs w:val="16"/>
        </w:rPr>
        <w:t>Closing Act, August17, 2004.</w:t>
      </w:r>
      <w:proofErr w:type="gramEnd"/>
      <w:r w:rsidRPr="00506E20">
        <w:rPr>
          <w:rFonts w:asciiTheme="majorHAnsi" w:hAnsiTheme="majorHAnsi"/>
          <w:sz w:val="16"/>
          <w:szCs w:val="16"/>
        </w:rPr>
        <w:t xml:space="preserve"> Annex III of the complaint filed before the IACHR on March 7, 2006.</w:t>
      </w:r>
    </w:p>
  </w:footnote>
  <w:footnote w:id="101">
    <w:p w14:paraId="66EC54D1" w14:textId="04DCEA4D"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w:t>
      </w:r>
      <w:r>
        <w:rPr>
          <w:rFonts w:asciiTheme="majorHAnsi" w:hAnsiTheme="majorHAnsi"/>
          <w:sz w:val="16"/>
          <w:szCs w:val="16"/>
        </w:rPr>
        <w:t>nnex 38</w:t>
      </w:r>
      <w:r w:rsidRPr="00326F31">
        <w:rPr>
          <w:rFonts w:asciiTheme="majorHAnsi" w:hAnsiTheme="majorHAnsi"/>
          <w:sz w:val="16"/>
          <w:szCs w:val="16"/>
        </w:rPr>
        <w:t>. Constitutional</w:t>
      </w:r>
      <w:r w:rsidRPr="00326F31">
        <w:rPr>
          <w:rFonts w:asciiTheme="majorHAnsi" w:hAnsiTheme="majorHAnsi"/>
          <w:i/>
          <w:sz w:val="16"/>
          <w:szCs w:val="16"/>
        </w:rPr>
        <w:t xml:space="preserve"> </w:t>
      </w:r>
      <w:proofErr w:type="spellStart"/>
      <w:r w:rsidRPr="00326F31">
        <w:rPr>
          <w:rFonts w:asciiTheme="majorHAnsi" w:hAnsiTheme="majorHAnsi"/>
          <w:i/>
          <w:sz w:val="16"/>
          <w:szCs w:val="16"/>
        </w:rPr>
        <w:t>amparo</w:t>
      </w:r>
      <w:proofErr w:type="spellEnd"/>
      <w:r w:rsidRPr="00326F31">
        <w:rPr>
          <w:rFonts w:asciiTheme="majorHAnsi" w:hAnsiTheme="majorHAnsi"/>
          <w:sz w:val="16"/>
          <w:szCs w:val="16"/>
        </w:rPr>
        <w:t xml:space="preserve"> claim, July 22, 2004, Annex I of the complaint filed before the IACHR on March 7, 2006.</w:t>
      </w:r>
    </w:p>
  </w:footnote>
  <w:footnote w:id="102">
    <w:p w14:paraId="61351AD5" w14:textId="77A3952E"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w:t>
      </w:r>
      <w:proofErr w:type="spellStart"/>
      <w:proofErr w:type="gramStart"/>
      <w:r>
        <w:rPr>
          <w:rFonts w:asciiTheme="majorHAnsi" w:hAnsiTheme="majorHAnsi"/>
          <w:sz w:val="16"/>
          <w:szCs w:val="16"/>
        </w:rPr>
        <w:t>Anexo</w:t>
      </w:r>
      <w:proofErr w:type="spellEnd"/>
      <w:r>
        <w:rPr>
          <w:rFonts w:asciiTheme="majorHAnsi" w:hAnsiTheme="majorHAnsi"/>
          <w:sz w:val="16"/>
          <w:szCs w:val="16"/>
        </w:rPr>
        <w:t xml:space="preserve"> 39</w:t>
      </w:r>
      <w:r w:rsidRPr="00326F31">
        <w:rPr>
          <w:rFonts w:asciiTheme="majorHAnsi" w:hAnsiTheme="majorHAnsi"/>
          <w:sz w:val="16"/>
          <w:szCs w:val="16"/>
        </w:rPr>
        <w:t>.</w:t>
      </w:r>
      <w:proofErr w:type="gramEnd"/>
      <w:r>
        <w:rPr>
          <w:rFonts w:asciiTheme="majorHAnsi" w:hAnsiTheme="majorHAnsi"/>
          <w:sz w:val="16"/>
          <w:szCs w:val="16"/>
        </w:rPr>
        <w:t xml:space="preserve"> </w:t>
      </w:r>
      <w:proofErr w:type="gramStart"/>
      <w:r w:rsidRPr="00326F31">
        <w:rPr>
          <w:rFonts w:asciiTheme="majorHAnsi" w:hAnsiTheme="majorHAnsi"/>
          <w:sz w:val="16"/>
          <w:szCs w:val="16"/>
        </w:rPr>
        <w:t>Resolution of the Fourth Court of First Instance Judicial Circuit for Labor Matters declaring itself incompetent to hear the constitutional</w:t>
      </w:r>
      <w:r w:rsidRPr="00326F31">
        <w:rPr>
          <w:rFonts w:asciiTheme="majorHAnsi" w:hAnsiTheme="majorHAnsi"/>
          <w:i/>
          <w:sz w:val="16"/>
          <w:szCs w:val="16"/>
        </w:rPr>
        <w:t xml:space="preserve"> </w:t>
      </w:r>
      <w:proofErr w:type="spellStart"/>
      <w:r w:rsidRPr="00326F31">
        <w:rPr>
          <w:rFonts w:asciiTheme="majorHAnsi" w:hAnsiTheme="majorHAnsi"/>
          <w:i/>
          <w:sz w:val="16"/>
          <w:szCs w:val="16"/>
        </w:rPr>
        <w:t>amparo</w:t>
      </w:r>
      <w:proofErr w:type="spellEnd"/>
      <w:r w:rsidRPr="00326F31">
        <w:rPr>
          <w:rFonts w:asciiTheme="majorHAnsi" w:hAnsiTheme="majorHAnsi"/>
          <w:sz w:val="16"/>
          <w:szCs w:val="16"/>
        </w:rPr>
        <w:t xml:space="preserve"> complaint, August 4, 2004.</w:t>
      </w:r>
      <w:proofErr w:type="gramEnd"/>
      <w:r w:rsidRPr="00326F31">
        <w:rPr>
          <w:rFonts w:asciiTheme="majorHAnsi" w:hAnsiTheme="majorHAnsi"/>
          <w:sz w:val="16"/>
          <w:szCs w:val="16"/>
        </w:rPr>
        <w:t xml:space="preserve"> Annex I of the complaint filed before the IACHR on March 7, 2006.</w:t>
      </w:r>
    </w:p>
  </w:footnote>
  <w:footnote w:id="103">
    <w:p w14:paraId="660BC466" w14:textId="238F4455"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40</w:t>
      </w:r>
      <w:r w:rsidRPr="00326F31">
        <w:rPr>
          <w:rFonts w:asciiTheme="majorHAnsi" w:hAnsiTheme="majorHAnsi"/>
          <w:sz w:val="16"/>
          <w:szCs w:val="16"/>
        </w:rPr>
        <w:t>. Request to the Constitutional Chamber of the Supreme Court, November 23, 2004, Annex I of the complaint filed before the IACHR on March 7, 2006.</w:t>
      </w:r>
    </w:p>
  </w:footnote>
  <w:footnote w:id="104">
    <w:p w14:paraId="43924059" w14:textId="725CF3F8"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41</w:t>
      </w:r>
      <w:r w:rsidRPr="00326F31">
        <w:rPr>
          <w:rFonts w:asciiTheme="majorHAnsi" w:hAnsiTheme="majorHAnsi"/>
          <w:sz w:val="16"/>
          <w:szCs w:val="16"/>
        </w:rPr>
        <w:t>. Request to the Constitutional Chamber of the Supreme Court, February 3, 2005, Annex I of the complaint filed before the IACHR on March 7, 2006.</w:t>
      </w:r>
    </w:p>
  </w:footnote>
  <w:footnote w:id="105">
    <w:p w14:paraId="42D1B780" w14:textId="2338DA0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42</w:t>
      </w:r>
      <w:r w:rsidRPr="00326F31">
        <w:rPr>
          <w:rFonts w:asciiTheme="majorHAnsi" w:hAnsiTheme="majorHAnsi"/>
          <w:sz w:val="16"/>
          <w:szCs w:val="16"/>
        </w:rPr>
        <w:t>. Request to the Constitutional Chamber of the Supreme Court, May 3, 2005, Annex I of the complaint filed before the IACHR on March 7, 2006.</w:t>
      </w:r>
    </w:p>
  </w:footnote>
  <w:footnote w:id="106">
    <w:p w14:paraId="3CE638FC" w14:textId="061C71CC"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43</w:t>
      </w:r>
      <w:r w:rsidRPr="00326F31">
        <w:rPr>
          <w:rFonts w:asciiTheme="majorHAnsi" w:hAnsiTheme="majorHAnsi"/>
          <w:sz w:val="16"/>
          <w:szCs w:val="16"/>
        </w:rPr>
        <w:t>. Request to the Constitutional Chamber of the Supreme Court, May 11, 2005, Annex I of the complaint filed before the IACHR on March 7, 2006.</w:t>
      </w:r>
    </w:p>
  </w:footnote>
  <w:footnote w:id="107">
    <w:p w14:paraId="7FA579A0" w14:textId="3FDC5581"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44</w:t>
      </w:r>
      <w:r w:rsidRPr="00326F31">
        <w:rPr>
          <w:rFonts w:asciiTheme="majorHAnsi" w:hAnsiTheme="majorHAnsi"/>
          <w:sz w:val="16"/>
          <w:szCs w:val="16"/>
        </w:rPr>
        <w:t>. Judgment of the Constitutional Chamber of the Supreme Court stating that it does not accept the declination of jurisdiction of the Fourth Court of First Instance Judicial Circuit for Labor Matters of the Metropolitan Area of Caracas, May 26, 2005, Annex I of the complaint filed before the IACHR on March 7, 2006.</w:t>
      </w:r>
    </w:p>
  </w:footnote>
  <w:footnote w:id="108">
    <w:p w14:paraId="0C71122A" w14:textId="322474D5"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45</w:t>
      </w:r>
      <w:r w:rsidRPr="00326F31">
        <w:rPr>
          <w:rFonts w:asciiTheme="majorHAnsi" w:hAnsiTheme="majorHAnsi"/>
          <w:sz w:val="16"/>
          <w:szCs w:val="16"/>
        </w:rPr>
        <w:t>, Decision of the Fourth Court of First Instance Judicial Circuit for Labor Matters of the Metropolitan Area of Caracas, June 17, 2005. Annex I of the complaint filed before the IACHR on March 7, 2006.</w:t>
      </w:r>
    </w:p>
  </w:footnote>
  <w:footnote w:id="109">
    <w:p w14:paraId="3E7CEDC8" w14:textId="60C967BD"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46</w:t>
      </w:r>
      <w:r w:rsidRPr="00326F31">
        <w:rPr>
          <w:rFonts w:asciiTheme="majorHAnsi" w:hAnsiTheme="majorHAnsi"/>
          <w:sz w:val="16"/>
          <w:szCs w:val="16"/>
        </w:rPr>
        <w:t xml:space="preserve">. Written opinion of the Prosecutor requesting the dismissal of the constitutional </w:t>
      </w:r>
      <w:proofErr w:type="spellStart"/>
      <w:r w:rsidRPr="00326F31">
        <w:rPr>
          <w:rFonts w:asciiTheme="majorHAnsi" w:hAnsiTheme="majorHAnsi"/>
          <w:i/>
          <w:sz w:val="16"/>
          <w:szCs w:val="16"/>
        </w:rPr>
        <w:t>amparo</w:t>
      </w:r>
      <w:proofErr w:type="spellEnd"/>
      <w:r w:rsidRPr="00326F31">
        <w:rPr>
          <w:rFonts w:asciiTheme="majorHAnsi" w:hAnsiTheme="majorHAnsi"/>
          <w:i/>
          <w:sz w:val="16"/>
          <w:szCs w:val="16"/>
        </w:rPr>
        <w:t xml:space="preserve"> </w:t>
      </w:r>
      <w:r w:rsidRPr="00326F31">
        <w:rPr>
          <w:rFonts w:asciiTheme="majorHAnsi" w:hAnsiTheme="majorHAnsi"/>
          <w:sz w:val="16"/>
          <w:szCs w:val="16"/>
        </w:rPr>
        <w:t>complaint, July 20, 2005, Annex I of the complaint filed before the IACHR on March 7, 2006.</w:t>
      </w:r>
    </w:p>
  </w:footnote>
  <w:footnote w:id="110">
    <w:p w14:paraId="315BA9A4" w14:textId="4224C7B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47</w:t>
      </w:r>
      <w:r w:rsidRPr="00326F31">
        <w:rPr>
          <w:rFonts w:asciiTheme="majorHAnsi" w:hAnsiTheme="majorHAnsi"/>
          <w:sz w:val="16"/>
          <w:szCs w:val="16"/>
        </w:rPr>
        <w:t>. Letter from the President of the National Border Council to the Judge of the Fourth Court of First Instance Judicial Circuit for Labor Matters of the Metropolitan Area of Caracas, July 20, 2005, Annex I of the complaint filed before the IACHR on March 7, 2006.</w:t>
      </w:r>
    </w:p>
  </w:footnote>
  <w:footnote w:id="111">
    <w:p w14:paraId="1AB5BB46" w14:textId="1285613F"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48</w:t>
      </w:r>
      <w:r w:rsidRPr="00326F31">
        <w:rPr>
          <w:rFonts w:asciiTheme="majorHAnsi" w:hAnsiTheme="majorHAnsi"/>
          <w:sz w:val="16"/>
          <w:szCs w:val="16"/>
        </w:rPr>
        <w:t>. Minute of the Constitutional Court hearing of July 20, 2005, Annex I of the complaint filed before the IACHR on March 7, 2006.</w:t>
      </w:r>
    </w:p>
  </w:footnote>
  <w:footnote w:id="112">
    <w:p w14:paraId="21319B9C" w14:textId="0EACED19"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49</w:t>
      </w:r>
      <w:r w:rsidRPr="00326F31">
        <w:rPr>
          <w:rFonts w:asciiTheme="majorHAnsi" w:hAnsiTheme="majorHAnsi"/>
          <w:sz w:val="16"/>
          <w:szCs w:val="16"/>
        </w:rPr>
        <w:t>, Judgement of the Fourth Court of First Instance Judicial Circuit for Labor Matters of the Metropolitan Area of Caracas, July 27, 2005. Annex I of the complaint filed before the IACHR on March 7, 2006.</w:t>
      </w:r>
    </w:p>
  </w:footnote>
  <w:footnote w:id="113">
    <w:p w14:paraId="3255D1E9" w14:textId="060C0406"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49</w:t>
      </w:r>
      <w:r w:rsidRPr="00326F31">
        <w:rPr>
          <w:rFonts w:asciiTheme="majorHAnsi" w:hAnsiTheme="majorHAnsi"/>
          <w:sz w:val="16"/>
          <w:szCs w:val="16"/>
        </w:rPr>
        <w:t>, Judgement of the Fourth Court of First Instance Judicial Circuit for Labor Matters of the Metropolitan Area of Caracas, July 27, 2005. Annex I of the complaint filed before the IACHR on March 7, 2006. The decision states that during the constitutional public hearing, the respondent provided a certified copy of the notice of termination of the employment contract of the citizen Leoni Lopez on March12, 2004 who did not sign against the President of the Republic.</w:t>
      </w:r>
    </w:p>
  </w:footnote>
  <w:footnote w:id="114">
    <w:p w14:paraId="69FA7A41" w14:textId="4707B3DC"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50</w:t>
      </w:r>
      <w:r w:rsidRPr="00326F31">
        <w:rPr>
          <w:rFonts w:asciiTheme="majorHAnsi" w:hAnsiTheme="majorHAnsi"/>
          <w:sz w:val="16"/>
          <w:szCs w:val="16"/>
        </w:rPr>
        <w:t>. Appeal filed by the alleged victims on July 29, 2005, Annex I of the complaint filed before the IACHR on March 7, 2006.</w:t>
      </w:r>
    </w:p>
  </w:footnote>
  <w:footnote w:id="115">
    <w:p w14:paraId="684EF058" w14:textId="675F04AC"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51</w:t>
      </w:r>
      <w:r w:rsidRPr="00326F31">
        <w:rPr>
          <w:rFonts w:asciiTheme="majorHAnsi" w:hAnsiTheme="majorHAnsi"/>
          <w:sz w:val="16"/>
          <w:szCs w:val="16"/>
        </w:rPr>
        <w:t>. Grounds of appeal, July 29, 2005, Annex I of the complaint filed before the IACHR on March 7, 2006.</w:t>
      </w:r>
    </w:p>
  </w:footnote>
  <w:footnote w:id="116">
    <w:p w14:paraId="18BD43E7" w14:textId="55770A50"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Annex </w:t>
      </w:r>
      <w:r>
        <w:rPr>
          <w:rFonts w:asciiTheme="majorHAnsi" w:hAnsiTheme="majorHAnsi"/>
          <w:sz w:val="16"/>
          <w:szCs w:val="16"/>
        </w:rPr>
        <w:t>52</w:t>
      </w:r>
      <w:r w:rsidRPr="00326F31">
        <w:rPr>
          <w:rFonts w:asciiTheme="majorHAnsi" w:hAnsiTheme="majorHAnsi"/>
          <w:sz w:val="16"/>
          <w:szCs w:val="16"/>
        </w:rPr>
        <w:t xml:space="preserve">. Judgment of the Third Superior Court for Labor Matters of the Labor Circuit Court of the Judicial District of the Metropolitan Area of Caracas, September 9, 2005, Annex I of the complaint filed before the IACHR on March 7, 2006. </w:t>
      </w:r>
    </w:p>
  </w:footnote>
  <w:footnote w:id="117">
    <w:p w14:paraId="23FD4375" w14:textId="719A0001"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53</w:t>
      </w:r>
      <w:r w:rsidRPr="00326F31">
        <w:rPr>
          <w:rFonts w:asciiTheme="majorHAnsi" w:hAnsiTheme="majorHAnsi"/>
          <w:sz w:val="16"/>
          <w:szCs w:val="16"/>
        </w:rPr>
        <w:t>. Criminal complaint filed before the Attorney General's Office, May 27, 2004, Annex II of the complaint filed before the IACHR on March 7, 2006.</w:t>
      </w:r>
    </w:p>
  </w:footnote>
  <w:footnote w:id="118">
    <w:p w14:paraId="21094F58" w14:textId="34E74CD3"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53</w:t>
      </w:r>
      <w:r w:rsidRPr="00326F31">
        <w:rPr>
          <w:rFonts w:asciiTheme="majorHAnsi" w:hAnsiTheme="majorHAnsi"/>
          <w:sz w:val="16"/>
          <w:szCs w:val="16"/>
        </w:rPr>
        <w:t>. Criminal complaint filed before the Attorney General's Office, May 27, 2004, Annex II of the complaint filed before the IACHR on March 7, 2006.</w:t>
      </w:r>
    </w:p>
  </w:footnote>
  <w:footnote w:id="119">
    <w:p w14:paraId="27E38FF5" w14:textId="1CA9976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53</w:t>
      </w:r>
      <w:r w:rsidRPr="00326F31">
        <w:rPr>
          <w:rFonts w:asciiTheme="majorHAnsi" w:hAnsiTheme="majorHAnsi"/>
          <w:sz w:val="16"/>
          <w:szCs w:val="16"/>
        </w:rPr>
        <w:t>. Criminal complaint filed before the Attorney General's Office, May 27, 2004, Annex II of the complaint filed before the IACHR on March 7, 2006.</w:t>
      </w:r>
    </w:p>
  </w:footnote>
  <w:footnote w:id="120">
    <w:p w14:paraId="3123308D" w14:textId="7BA740E9"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54</w:t>
      </w:r>
      <w:r w:rsidRPr="00326F31">
        <w:rPr>
          <w:rFonts w:asciiTheme="majorHAnsi" w:hAnsiTheme="majorHAnsi"/>
          <w:sz w:val="16"/>
          <w:szCs w:val="16"/>
        </w:rPr>
        <w:t>.</w:t>
      </w:r>
      <w:r>
        <w:rPr>
          <w:rFonts w:asciiTheme="majorHAnsi" w:hAnsiTheme="majorHAnsi"/>
          <w:sz w:val="16"/>
          <w:szCs w:val="16"/>
        </w:rPr>
        <w:t xml:space="preserve"> </w:t>
      </w:r>
      <w:r w:rsidRPr="00326F31">
        <w:rPr>
          <w:rFonts w:asciiTheme="majorHAnsi" w:hAnsiTheme="majorHAnsi"/>
          <w:sz w:val="16"/>
          <w:szCs w:val="16"/>
        </w:rPr>
        <w:t xml:space="preserve">Communication that orders the launch of the criminal investigation regarding the complaint filed by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San Miguel,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Chang </w:t>
      </w:r>
      <w:proofErr w:type="spellStart"/>
      <w:r w:rsidRPr="00326F31">
        <w:rPr>
          <w:rFonts w:asciiTheme="majorHAnsi" w:hAnsiTheme="majorHAnsi"/>
          <w:sz w:val="16"/>
          <w:szCs w:val="16"/>
        </w:rPr>
        <w:t>Girón</w:t>
      </w:r>
      <w:proofErr w:type="spellEnd"/>
      <w:r w:rsidRPr="00326F31">
        <w:rPr>
          <w:rFonts w:asciiTheme="majorHAnsi" w:hAnsiTheme="majorHAnsi"/>
          <w:sz w:val="16"/>
          <w:szCs w:val="16"/>
        </w:rPr>
        <w:t xml:space="preserve"> and Thais Peña, May 27. 2004, Annex II of the complaint filed before the IACHR on March 7, 2006.</w:t>
      </w:r>
    </w:p>
  </w:footnote>
  <w:footnote w:id="121">
    <w:p w14:paraId="6FC4B8BC" w14:textId="73397DA5"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29</w:t>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Transcript of the interview with </w:t>
      </w:r>
      <w:proofErr w:type="spellStart"/>
      <w:r w:rsidRPr="00326F31">
        <w:rPr>
          <w:rFonts w:asciiTheme="majorHAnsi" w:hAnsiTheme="majorHAnsi"/>
          <w:sz w:val="16"/>
          <w:szCs w:val="16"/>
        </w:rPr>
        <w:t>Feijoo</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Colomine</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Rincones</w:t>
      </w:r>
      <w:proofErr w:type="spellEnd"/>
      <w:r w:rsidRPr="00326F31">
        <w:rPr>
          <w:rFonts w:asciiTheme="majorHAnsi" w:hAnsiTheme="majorHAnsi"/>
          <w:sz w:val="16"/>
          <w:szCs w:val="16"/>
        </w:rPr>
        <w:t>, July 14, 2004, Annex II of the complaint filed before the IACHR on March 7, 2006.</w:t>
      </w:r>
      <w:proofErr w:type="gramEnd"/>
    </w:p>
  </w:footnote>
  <w:footnote w:id="122">
    <w:p w14:paraId="74061341" w14:textId="3BA3375F"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55</w:t>
      </w:r>
      <w:r w:rsidRPr="00326F31">
        <w:rPr>
          <w:rFonts w:asciiTheme="majorHAnsi" w:hAnsiTheme="majorHAnsi"/>
          <w:sz w:val="16"/>
          <w:szCs w:val="16"/>
        </w:rPr>
        <w:t xml:space="preserve">. </w:t>
      </w:r>
      <w:proofErr w:type="gramStart"/>
      <w:r w:rsidRPr="00326F31">
        <w:rPr>
          <w:rFonts w:asciiTheme="majorHAnsi" w:hAnsiTheme="majorHAnsi"/>
          <w:sz w:val="16"/>
          <w:szCs w:val="16"/>
        </w:rPr>
        <w:t>Report of the Executive Secretary of the National Border Council, July 14, 2004, Annex II of the complaint filed before the IACHR on March 7, 2006.</w:t>
      </w:r>
      <w:proofErr w:type="gramEnd"/>
    </w:p>
  </w:footnote>
  <w:footnote w:id="123">
    <w:p w14:paraId="5EEEE3CC" w14:textId="4FFD822A"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56</w:t>
      </w:r>
      <w:r w:rsidRPr="00326F31">
        <w:rPr>
          <w:rFonts w:asciiTheme="majorHAnsi" w:hAnsiTheme="majorHAnsi"/>
          <w:sz w:val="16"/>
          <w:szCs w:val="16"/>
        </w:rPr>
        <w:t>. Testimony of the alleged victims, July</w:t>
      </w:r>
      <w:r>
        <w:rPr>
          <w:rFonts w:asciiTheme="majorHAnsi" w:hAnsiTheme="majorHAnsi"/>
          <w:sz w:val="16"/>
          <w:szCs w:val="16"/>
        </w:rPr>
        <w:t xml:space="preserve"> </w:t>
      </w:r>
      <w:r w:rsidRPr="00326F31">
        <w:rPr>
          <w:rFonts w:asciiTheme="majorHAnsi" w:hAnsiTheme="majorHAnsi"/>
          <w:sz w:val="16"/>
          <w:szCs w:val="16"/>
        </w:rPr>
        <w:t>15 and 16, 2004, Annex II of the complaint filed before the IACHR on March 7, 2006.</w:t>
      </w:r>
    </w:p>
  </w:footnote>
  <w:footnote w:id="124">
    <w:p w14:paraId="2ABD93FA" w14:textId="174E7743"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57</w:t>
      </w:r>
      <w:r w:rsidRPr="00326F31">
        <w:rPr>
          <w:rFonts w:asciiTheme="majorHAnsi" w:hAnsiTheme="majorHAnsi"/>
          <w:sz w:val="16"/>
          <w:szCs w:val="16"/>
        </w:rPr>
        <w:t>, Request for dismissal of the case to the Judge of First Instance acting as Control Court of the Criminal Judicial Circuit of the Metropolitan Area of Caracas, Annex II of the complaint filed before the IACHR on March 7, 2006.</w:t>
      </w:r>
    </w:p>
  </w:footnote>
  <w:footnote w:id="125">
    <w:p w14:paraId="289EF032" w14:textId="7285B570"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58</w:t>
      </w:r>
      <w:r w:rsidRPr="00326F31">
        <w:rPr>
          <w:rFonts w:asciiTheme="majorHAnsi" w:hAnsiTheme="majorHAnsi"/>
          <w:sz w:val="16"/>
          <w:szCs w:val="16"/>
        </w:rPr>
        <w:t>, Resolution dismissal of the case of Control Court 21 of the Criminal Judicial Circuit of the Metropolitan Area of Caracas, April 4, 2004.</w:t>
      </w:r>
      <w:r>
        <w:rPr>
          <w:rFonts w:asciiTheme="majorHAnsi" w:hAnsiTheme="majorHAnsi"/>
          <w:sz w:val="16"/>
          <w:szCs w:val="16"/>
        </w:rPr>
        <w:t xml:space="preserve"> </w:t>
      </w:r>
      <w:r w:rsidRPr="00326F31">
        <w:rPr>
          <w:rFonts w:asciiTheme="majorHAnsi" w:hAnsiTheme="majorHAnsi"/>
          <w:sz w:val="16"/>
          <w:szCs w:val="16"/>
        </w:rPr>
        <w:t>Annex II of the complaint filed before the IACHR on March 7, 2006.</w:t>
      </w:r>
    </w:p>
  </w:footnote>
  <w:footnote w:id="126">
    <w:p w14:paraId="6BFC6379" w14:textId="01CE9520"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w:t>
      </w:r>
      <w:proofErr w:type="gramStart"/>
      <w:r>
        <w:rPr>
          <w:rFonts w:asciiTheme="majorHAnsi" w:hAnsiTheme="majorHAnsi"/>
          <w:sz w:val="16"/>
          <w:szCs w:val="16"/>
        </w:rPr>
        <w:t>Annex 59</w:t>
      </w:r>
      <w:r w:rsidRPr="00326F31">
        <w:rPr>
          <w:rFonts w:asciiTheme="majorHAnsi" w:hAnsiTheme="majorHAnsi"/>
          <w:sz w:val="16"/>
          <w:szCs w:val="16"/>
        </w:rPr>
        <w:t>, Appeal against the decision of dismissal, April 15, 2005, Annex II of the complaint filed before the IACHR on March 7, 2006.</w:t>
      </w:r>
      <w:proofErr w:type="gramEnd"/>
    </w:p>
  </w:footnote>
  <w:footnote w:id="127">
    <w:p w14:paraId="3EF63D84" w14:textId="0D74D38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w:t>
      </w:r>
      <w:proofErr w:type="spellStart"/>
      <w:proofErr w:type="gramStart"/>
      <w:r>
        <w:rPr>
          <w:rFonts w:asciiTheme="majorHAnsi" w:hAnsiTheme="majorHAnsi"/>
          <w:sz w:val="16"/>
          <w:szCs w:val="16"/>
        </w:rPr>
        <w:t>Anexo</w:t>
      </w:r>
      <w:proofErr w:type="spellEnd"/>
      <w:r>
        <w:rPr>
          <w:rFonts w:asciiTheme="majorHAnsi" w:hAnsiTheme="majorHAnsi"/>
          <w:sz w:val="16"/>
          <w:szCs w:val="16"/>
        </w:rPr>
        <w:t xml:space="preserve"> 59</w:t>
      </w:r>
      <w:r w:rsidRPr="00326F31">
        <w:rPr>
          <w:rFonts w:asciiTheme="majorHAnsi" w:hAnsiTheme="majorHAnsi"/>
          <w:sz w:val="16"/>
          <w:szCs w:val="16"/>
        </w:rPr>
        <w:t>.</w:t>
      </w:r>
      <w:proofErr w:type="gramEnd"/>
      <w:r w:rsidRPr="00326F31">
        <w:rPr>
          <w:rFonts w:asciiTheme="majorHAnsi" w:hAnsiTheme="majorHAnsi"/>
          <w:sz w:val="16"/>
          <w:szCs w:val="16"/>
        </w:rPr>
        <w:t xml:space="preserve"> Appeal against the decision of dismissal, April 15, 2005, Annex II of the complaint filed before the IACHR on March 7, 2006.</w:t>
      </w:r>
    </w:p>
  </w:footnote>
  <w:footnote w:id="128">
    <w:p w14:paraId="579FBF01" w14:textId="7B6F8EEE"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60</w:t>
      </w:r>
      <w:r w:rsidRPr="00326F31">
        <w:rPr>
          <w:rFonts w:asciiTheme="majorHAnsi" w:hAnsiTheme="majorHAnsi"/>
          <w:sz w:val="16"/>
          <w:szCs w:val="16"/>
        </w:rPr>
        <w:t>. Response of the Thirty-Seventh Prosecuting Attorney on the appeal against the decision of dismissal, April 28, 2005,Annex II of the complaint filed before the IACHR on March 7, 2006.</w:t>
      </w:r>
      <w:r w:rsidRPr="00326F31">
        <w:rPr>
          <w:rFonts w:asciiTheme="majorHAnsi" w:hAnsiTheme="majorHAnsi"/>
          <w:sz w:val="16"/>
          <w:szCs w:val="16"/>
        </w:rPr>
        <w:tab/>
      </w:r>
    </w:p>
  </w:footnote>
  <w:footnote w:id="129">
    <w:p w14:paraId="5B3AE753" w14:textId="662D9D57"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61</w:t>
      </w:r>
      <w:r w:rsidRPr="00326F31">
        <w:rPr>
          <w:rFonts w:asciiTheme="majorHAnsi" w:hAnsiTheme="majorHAnsi"/>
          <w:sz w:val="16"/>
          <w:szCs w:val="16"/>
        </w:rPr>
        <w:t>.</w:t>
      </w:r>
      <w:r>
        <w:rPr>
          <w:rFonts w:asciiTheme="majorHAnsi" w:hAnsiTheme="majorHAnsi"/>
          <w:sz w:val="16"/>
          <w:szCs w:val="16"/>
        </w:rPr>
        <w:t xml:space="preserve"> </w:t>
      </w:r>
      <w:r w:rsidRPr="00326F31">
        <w:rPr>
          <w:rFonts w:asciiTheme="majorHAnsi" w:hAnsiTheme="majorHAnsi"/>
          <w:sz w:val="16"/>
          <w:szCs w:val="16"/>
        </w:rPr>
        <w:t>Admissibility of the appeal by the Seventh Chamber of the Court of Appeals of the Criminal Judicial Circuit of the Metropolitan Area of Caracas, May 5, 2005,</w:t>
      </w:r>
      <w:r>
        <w:rPr>
          <w:rFonts w:asciiTheme="majorHAnsi" w:hAnsiTheme="majorHAnsi"/>
          <w:sz w:val="16"/>
          <w:szCs w:val="16"/>
        </w:rPr>
        <w:t xml:space="preserve"> </w:t>
      </w:r>
      <w:r w:rsidRPr="00326F31">
        <w:rPr>
          <w:rFonts w:asciiTheme="majorHAnsi" w:hAnsiTheme="majorHAnsi"/>
          <w:sz w:val="16"/>
          <w:szCs w:val="16"/>
        </w:rPr>
        <w:t>Annex II of the complaint filed before the IACHR on March 7, 2006.</w:t>
      </w:r>
    </w:p>
  </w:footnote>
  <w:footnote w:id="130">
    <w:p w14:paraId="3B223C18" w14:textId="4E05FEF7"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62</w:t>
      </w:r>
      <w:r w:rsidRPr="00326F31">
        <w:rPr>
          <w:rFonts w:asciiTheme="majorHAnsi" w:hAnsiTheme="majorHAnsi"/>
          <w:sz w:val="16"/>
          <w:szCs w:val="16"/>
        </w:rPr>
        <w:t>. Decision of the Seventh Chamber of the Court of Appeals of the Criminal Judicial Circuit of the Metropolitan Area of Caracas, which dismisses the appeal, May 12, 2005, Annex II of the complaint filed before the IACHR on March 7, 2006.</w:t>
      </w:r>
    </w:p>
  </w:footnote>
  <w:footnote w:id="131">
    <w:p w14:paraId="6E5B0E2A" w14:textId="44D38BFF"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63</w:t>
      </w:r>
      <w:r w:rsidRPr="00326F31">
        <w:rPr>
          <w:rFonts w:asciiTheme="majorHAnsi" w:hAnsiTheme="majorHAnsi"/>
          <w:sz w:val="16"/>
          <w:szCs w:val="16"/>
        </w:rPr>
        <w:t>. Appeal remedy (</w:t>
      </w:r>
      <w:proofErr w:type="spellStart"/>
      <w:r w:rsidRPr="00326F31">
        <w:rPr>
          <w:rFonts w:asciiTheme="majorHAnsi" w:hAnsiTheme="majorHAnsi"/>
          <w:i/>
          <w:sz w:val="16"/>
          <w:szCs w:val="16"/>
        </w:rPr>
        <w:t>casa</w:t>
      </w:r>
      <w:r>
        <w:rPr>
          <w:rFonts w:asciiTheme="majorHAnsi" w:hAnsiTheme="majorHAnsi"/>
          <w:i/>
          <w:sz w:val="16"/>
          <w:szCs w:val="16"/>
        </w:rPr>
        <w:t>c</w:t>
      </w:r>
      <w:r w:rsidRPr="00326F31">
        <w:rPr>
          <w:rFonts w:asciiTheme="majorHAnsi" w:hAnsiTheme="majorHAnsi"/>
          <w:i/>
          <w:sz w:val="16"/>
          <w:szCs w:val="16"/>
        </w:rPr>
        <w:t>ión</w:t>
      </w:r>
      <w:proofErr w:type="spellEnd"/>
      <w:r w:rsidRPr="00326F31">
        <w:rPr>
          <w:rFonts w:asciiTheme="majorHAnsi" w:hAnsiTheme="majorHAnsi"/>
          <w:sz w:val="16"/>
          <w:szCs w:val="16"/>
        </w:rPr>
        <w:t xml:space="preserve">) filed by </w:t>
      </w:r>
      <w:proofErr w:type="spellStart"/>
      <w:r w:rsidRPr="00326F31">
        <w:rPr>
          <w:rFonts w:asciiTheme="majorHAnsi" w:hAnsiTheme="majorHAnsi"/>
          <w:sz w:val="16"/>
          <w:szCs w:val="16"/>
        </w:rPr>
        <w:t>Rocío</w:t>
      </w:r>
      <w:proofErr w:type="spellEnd"/>
      <w:r w:rsidRPr="00326F31">
        <w:rPr>
          <w:rFonts w:asciiTheme="majorHAnsi" w:hAnsiTheme="majorHAnsi"/>
          <w:sz w:val="16"/>
          <w:szCs w:val="16"/>
        </w:rPr>
        <w:t xml:space="preserve"> San Miguel Sosa, </w:t>
      </w:r>
      <w:proofErr w:type="spellStart"/>
      <w:r w:rsidRPr="00326F31">
        <w:rPr>
          <w:rFonts w:asciiTheme="majorHAnsi" w:hAnsiTheme="majorHAnsi"/>
          <w:sz w:val="16"/>
          <w:szCs w:val="16"/>
        </w:rPr>
        <w:t>Magally</w:t>
      </w:r>
      <w:proofErr w:type="spellEnd"/>
      <w:r w:rsidRPr="00326F31">
        <w:rPr>
          <w:rFonts w:asciiTheme="majorHAnsi" w:hAnsiTheme="majorHAnsi"/>
          <w:sz w:val="16"/>
          <w:szCs w:val="16"/>
        </w:rPr>
        <w:t xml:space="preserve"> Chang </w:t>
      </w:r>
      <w:proofErr w:type="spellStart"/>
      <w:r w:rsidRPr="00326F31">
        <w:rPr>
          <w:rFonts w:asciiTheme="majorHAnsi" w:hAnsiTheme="majorHAnsi"/>
          <w:sz w:val="16"/>
          <w:szCs w:val="16"/>
        </w:rPr>
        <w:t>Girón</w:t>
      </w:r>
      <w:proofErr w:type="spellEnd"/>
      <w:r w:rsidRPr="00326F31">
        <w:rPr>
          <w:rFonts w:asciiTheme="majorHAnsi" w:hAnsiTheme="majorHAnsi"/>
          <w:sz w:val="16"/>
          <w:szCs w:val="16"/>
        </w:rPr>
        <w:t xml:space="preserve"> and Thais </w:t>
      </w:r>
      <w:proofErr w:type="spellStart"/>
      <w:r w:rsidRPr="00326F31">
        <w:rPr>
          <w:rFonts w:asciiTheme="majorHAnsi" w:hAnsiTheme="majorHAnsi"/>
          <w:sz w:val="16"/>
          <w:szCs w:val="16"/>
        </w:rPr>
        <w:t>Coromoto</w:t>
      </w:r>
      <w:proofErr w:type="spellEnd"/>
      <w:r w:rsidRPr="00326F31">
        <w:rPr>
          <w:rFonts w:asciiTheme="majorHAnsi" w:hAnsiTheme="majorHAnsi"/>
          <w:sz w:val="16"/>
          <w:szCs w:val="16"/>
        </w:rPr>
        <w:t xml:space="preserve"> Peña before the Chamber of Criminal Appeals of the Supreme Court, July 7, 2005, Annex II of the complaint filed before the IACHR on March 7, 2006.</w:t>
      </w:r>
    </w:p>
  </w:footnote>
  <w:footnote w:id="132">
    <w:p w14:paraId="22F99628" w14:textId="2BD33432"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64</w:t>
      </w:r>
      <w:r w:rsidRPr="00326F31">
        <w:rPr>
          <w:rFonts w:asciiTheme="majorHAnsi" w:hAnsiTheme="majorHAnsi"/>
          <w:sz w:val="16"/>
          <w:szCs w:val="16"/>
        </w:rPr>
        <w:t>. Judgment of the Chamber of Criminal Appeals of the Supreme Court that dismisses the Appeal remedy (</w:t>
      </w:r>
      <w:proofErr w:type="spellStart"/>
      <w:r w:rsidRPr="00326F31">
        <w:rPr>
          <w:rFonts w:asciiTheme="majorHAnsi" w:hAnsiTheme="majorHAnsi"/>
          <w:i/>
          <w:sz w:val="16"/>
          <w:szCs w:val="16"/>
        </w:rPr>
        <w:t>casasión</w:t>
      </w:r>
      <w:proofErr w:type="spellEnd"/>
      <w:r w:rsidRPr="00326F31">
        <w:rPr>
          <w:rFonts w:asciiTheme="majorHAnsi" w:hAnsiTheme="majorHAnsi"/>
          <w:sz w:val="16"/>
          <w:szCs w:val="16"/>
        </w:rPr>
        <w:t>), September 27, 2005, Annex II of the complaint filed before the IACHR on March 7, 2006.</w:t>
      </w:r>
    </w:p>
  </w:footnote>
  <w:footnote w:id="133">
    <w:p w14:paraId="2C99B495" w14:textId="77777777" w:rsidR="00C45C34" w:rsidRPr="00272781" w:rsidRDefault="00C45C34" w:rsidP="00131FA4">
      <w:pPr>
        <w:pStyle w:val="FootnoteText"/>
        <w:spacing w:after="120"/>
        <w:ind w:firstLine="720"/>
        <w:jc w:val="both"/>
        <w:rPr>
          <w:rFonts w:ascii="Cambria" w:hAnsi="Cambria"/>
          <w:sz w:val="16"/>
          <w:szCs w:val="16"/>
        </w:rPr>
      </w:pPr>
      <w:r w:rsidRPr="00272781">
        <w:rPr>
          <w:rStyle w:val="FootnoteReference"/>
          <w:rFonts w:ascii="Cambria" w:hAnsi="Cambria"/>
          <w:sz w:val="16"/>
          <w:szCs w:val="16"/>
        </w:rPr>
        <w:footnoteRef/>
      </w:r>
      <w:r w:rsidRPr="00272781">
        <w:rPr>
          <w:rFonts w:ascii="Cambria" w:hAnsi="Cambria"/>
          <w:sz w:val="16"/>
          <w:szCs w:val="16"/>
        </w:rPr>
        <w:t xml:space="preserve"> </w:t>
      </w:r>
      <w:proofErr w:type="gramStart"/>
      <w:r w:rsidRPr="00272781">
        <w:rPr>
          <w:rFonts w:ascii="Cambria" w:hAnsi="Cambria"/>
          <w:sz w:val="16"/>
          <w:szCs w:val="16"/>
        </w:rPr>
        <w:t xml:space="preserve">IACHR, Democracy and Human Rights in Venezuela, </w:t>
      </w:r>
      <w:r w:rsidRPr="00272781">
        <w:rPr>
          <w:rFonts w:ascii="Cambria" w:eastAsia="Arial Unicode MS" w:hAnsi="Cambria" w:cs="Times New Roman"/>
          <w:sz w:val="16"/>
          <w:szCs w:val="16"/>
          <w:lang w:eastAsia="en-US"/>
        </w:rPr>
        <w:t>OEA/</w:t>
      </w:r>
      <w:proofErr w:type="spellStart"/>
      <w:r w:rsidRPr="00272781">
        <w:rPr>
          <w:rFonts w:ascii="Cambria" w:eastAsia="Arial Unicode MS" w:hAnsi="Cambria" w:cs="Times New Roman"/>
          <w:sz w:val="16"/>
          <w:szCs w:val="16"/>
          <w:lang w:eastAsia="en-US"/>
        </w:rPr>
        <w:t>Ser.L</w:t>
      </w:r>
      <w:proofErr w:type="spellEnd"/>
      <w:r w:rsidRPr="00272781">
        <w:rPr>
          <w:rFonts w:ascii="Cambria" w:eastAsia="Arial Unicode MS" w:hAnsi="Cambria" w:cs="Times New Roman"/>
          <w:sz w:val="16"/>
          <w:szCs w:val="16"/>
          <w:lang w:eastAsia="en-US"/>
        </w:rPr>
        <w:t>/V/II.</w:t>
      </w:r>
      <w:proofErr w:type="gramEnd"/>
      <w:r w:rsidRPr="00272781">
        <w:rPr>
          <w:rFonts w:ascii="Cambria" w:eastAsia="Arial Unicode MS" w:hAnsi="Cambria" w:cs="Times New Roman"/>
          <w:sz w:val="16"/>
          <w:szCs w:val="16"/>
          <w:lang w:eastAsia="en-US"/>
        </w:rPr>
        <w:t xml:space="preserve"> </w:t>
      </w:r>
      <w:proofErr w:type="gramStart"/>
      <w:r w:rsidRPr="00272781">
        <w:rPr>
          <w:rFonts w:ascii="Cambria" w:eastAsia="Arial Unicode MS" w:hAnsi="Cambria" w:cs="Times New Roman"/>
          <w:sz w:val="16"/>
          <w:szCs w:val="16"/>
          <w:lang w:eastAsia="en-US"/>
        </w:rPr>
        <w:t>Doc. 54.</w:t>
      </w:r>
      <w:proofErr w:type="gramEnd"/>
      <w:r w:rsidRPr="00272781">
        <w:rPr>
          <w:rFonts w:ascii="Cambria" w:eastAsia="Arial Unicode MS" w:hAnsi="Cambria" w:cs="Times New Roman"/>
          <w:sz w:val="16"/>
          <w:szCs w:val="16"/>
          <w:lang w:eastAsia="en-US"/>
        </w:rPr>
        <w:t xml:space="preserve"> </w:t>
      </w:r>
      <w:proofErr w:type="gramStart"/>
      <w:r w:rsidRPr="00272781">
        <w:rPr>
          <w:rFonts w:ascii="Cambria" w:eastAsia="Arial Unicode MS" w:hAnsi="Cambria" w:cs="Times New Roman"/>
          <w:sz w:val="16"/>
          <w:szCs w:val="16"/>
          <w:lang w:eastAsia="en-US"/>
        </w:rPr>
        <w:t>December 30, 2009</w:t>
      </w:r>
      <w:r w:rsidRPr="00272781">
        <w:rPr>
          <w:rFonts w:ascii="Cambria" w:hAnsi="Cambria"/>
          <w:sz w:val="16"/>
          <w:szCs w:val="16"/>
        </w:rPr>
        <w:t>, chapter II, para.</w:t>
      </w:r>
      <w:proofErr w:type="gramEnd"/>
      <w:r w:rsidRPr="00272781">
        <w:rPr>
          <w:rFonts w:ascii="Cambria" w:hAnsi="Cambria"/>
          <w:sz w:val="16"/>
          <w:szCs w:val="16"/>
        </w:rPr>
        <w:t xml:space="preserve"> 18; I/A Court H.R., Case of </w:t>
      </w:r>
      <w:proofErr w:type="spellStart"/>
      <w:r w:rsidRPr="00272781">
        <w:rPr>
          <w:rFonts w:ascii="Cambria" w:hAnsi="Cambria"/>
          <w:sz w:val="16"/>
          <w:szCs w:val="16"/>
        </w:rPr>
        <w:t>Yatama</w:t>
      </w:r>
      <w:proofErr w:type="spellEnd"/>
      <w:r w:rsidRPr="00272781">
        <w:rPr>
          <w:rFonts w:ascii="Cambria" w:hAnsi="Cambria"/>
          <w:sz w:val="16"/>
          <w:szCs w:val="16"/>
        </w:rPr>
        <w:t xml:space="preserve"> v. Nicaragua. </w:t>
      </w:r>
      <w:proofErr w:type="gramStart"/>
      <w:r w:rsidRPr="00272781">
        <w:rPr>
          <w:rFonts w:ascii="Cambria" w:hAnsi="Cambria"/>
          <w:sz w:val="16"/>
          <w:szCs w:val="16"/>
        </w:rPr>
        <w:t>Preliminary Objections, Merits, Reparations and Costs.</w:t>
      </w:r>
      <w:proofErr w:type="gramEnd"/>
      <w:r w:rsidRPr="00272781">
        <w:rPr>
          <w:rFonts w:ascii="Cambria" w:hAnsi="Cambria"/>
          <w:sz w:val="16"/>
          <w:szCs w:val="16"/>
        </w:rPr>
        <w:t xml:space="preserve"> Judgment of June 23, 2005. Series C No. 127, para. 192.</w:t>
      </w:r>
    </w:p>
  </w:footnote>
  <w:footnote w:id="134">
    <w:p w14:paraId="4E844E17" w14:textId="77777777" w:rsidR="00C45C34" w:rsidRPr="00272781" w:rsidRDefault="00C45C34" w:rsidP="00131FA4">
      <w:pPr>
        <w:spacing w:after="120"/>
        <w:ind w:firstLine="720"/>
        <w:jc w:val="both"/>
        <w:rPr>
          <w:rFonts w:ascii="Cambria" w:hAnsi="Cambria" w:cs="Verdana"/>
          <w:b/>
          <w:bCs/>
          <w:smallCaps/>
          <w:sz w:val="16"/>
          <w:szCs w:val="16"/>
        </w:rPr>
      </w:pPr>
      <w:r w:rsidRPr="00272781">
        <w:rPr>
          <w:rStyle w:val="FootnoteReference"/>
          <w:rFonts w:ascii="Cambria" w:hAnsi="Cambria"/>
          <w:sz w:val="16"/>
          <w:szCs w:val="16"/>
        </w:rPr>
        <w:footnoteRef/>
      </w:r>
      <w:r w:rsidRPr="00272781">
        <w:rPr>
          <w:rFonts w:ascii="Cambria" w:hAnsi="Cambria"/>
          <w:sz w:val="16"/>
          <w:szCs w:val="16"/>
        </w:rPr>
        <w:t xml:space="preserve"> I/A Court H.R., Case of </w:t>
      </w:r>
      <w:proofErr w:type="spellStart"/>
      <w:r w:rsidRPr="00272781">
        <w:rPr>
          <w:rFonts w:ascii="Cambria" w:hAnsi="Cambria"/>
          <w:sz w:val="16"/>
          <w:szCs w:val="16"/>
        </w:rPr>
        <w:t>Yatama</w:t>
      </w:r>
      <w:proofErr w:type="spellEnd"/>
      <w:r w:rsidRPr="00272781">
        <w:rPr>
          <w:rFonts w:ascii="Cambria" w:hAnsi="Cambria"/>
          <w:sz w:val="16"/>
          <w:szCs w:val="16"/>
        </w:rPr>
        <w:t xml:space="preserve"> v. Nicaragua. </w:t>
      </w:r>
      <w:proofErr w:type="gramStart"/>
      <w:r w:rsidRPr="00272781">
        <w:rPr>
          <w:rFonts w:ascii="Cambria" w:hAnsi="Cambria"/>
          <w:sz w:val="16"/>
          <w:szCs w:val="16"/>
        </w:rPr>
        <w:t>Preliminary Objections, Merits, Reparations and Costs.</w:t>
      </w:r>
      <w:proofErr w:type="gramEnd"/>
      <w:r w:rsidRPr="00272781">
        <w:rPr>
          <w:rFonts w:ascii="Cambria" w:hAnsi="Cambria"/>
          <w:sz w:val="16"/>
          <w:szCs w:val="16"/>
        </w:rPr>
        <w:t xml:space="preserve"> Judgment of June 23, 2005. Series C No. 127, para. 195; I/A Court H.R., Case of </w:t>
      </w:r>
      <w:proofErr w:type="spellStart"/>
      <w:r w:rsidRPr="00272781">
        <w:rPr>
          <w:rFonts w:ascii="Cambria" w:hAnsi="Cambria"/>
          <w:sz w:val="16"/>
          <w:szCs w:val="16"/>
        </w:rPr>
        <w:t>Castañeda</w:t>
      </w:r>
      <w:proofErr w:type="spellEnd"/>
      <w:r w:rsidRPr="00272781">
        <w:rPr>
          <w:rFonts w:ascii="Cambria" w:hAnsi="Cambria"/>
          <w:sz w:val="16"/>
          <w:szCs w:val="16"/>
        </w:rPr>
        <w:t xml:space="preserve"> </w:t>
      </w:r>
      <w:proofErr w:type="spellStart"/>
      <w:r w:rsidRPr="00272781">
        <w:rPr>
          <w:rFonts w:ascii="Cambria" w:hAnsi="Cambria"/>
          <w:sz w:val="16"/>
          <w:szCs w:val="16"/>
        </w:rPr>
        <w:t>Gutman</w:t>
      </w:r>
      <w:proofErr w:type="spellEnd"/>
      <w:r w:rsidRPr="00272781">
        <w:rPr>
          <w:rFonts w:ascii="Cambria" w:hAnsi="Cambria"/>
          <w:sz w:val="16"/>
          <w:szCs w:val="16"/>
        </w:rPr>
        <w:t xml:space="preserve"> v. México. </w:t>
      </w:r>
      <w:proofErr w:type="gramStart"/>
      <w:r w:rsidRPr="00272781">
        <w:rPr>
          <w:rFonts w:ascii="Cambria" w:hAnsi="Cambria"/>
          <w:sz w:val="16"/>
          <w:szCs w:val="16"/>
        </w:rPr>
        <w:t>Preliminary Objections, Merits, Reparations, and Costs.</w:t>
      </w:r>
      <w:proofErr w:type="gramEnd"/>
      <w:r w:rsidRPr="00272781">
        <w:rPr>
          <w:rFonts w:ascii="Cambria" w:hAnsi="Cambria"/>
          <w:sz w:val="16"/>
          <w:szCs w:val="16"/>
        </w:rPr>
        <w:t xml:space="preserve"> Judgment of August 6, 2008. Series C No. 184, para. 145.</w:t>
      </w:r>
    </w:p>
  </w:footnote>
  <w:footnote w:id="135">
    <w:p w14:paraId="44B4A0B2" w14:textId="77777777" w:rsidR="00C45C34" w:rsidRPr="00272781" w:rsidRDefault="00C45C34" w:rsidP="00131FA4">
      <w:pPr>
        <w:pStyle w:val="FootnoteText"/>
        <w:spacing w:after="120"/>
        <w:ind w:firstLine="720"/>
        <w:jc w:val="both"/>
        <w:rPr>
          <w:rFonts w:ascii="Cambria" w:hAnsi="Cambria"/>
          <w:sz w:val="16"/>
          <w:szCs w:val="16"/>
        </w:rPr>
      </w:pPr>
      <w:r w:rsidRPr="00272781">
        <w:rPr>
          <w:rStyle w:val="FootnoteReference"/>
          <w:rFonts w:ascii="Cambria" w:hAnsi="Cambria"/>
          <w:sz w:val="16"/>
          <w:szCs w:val="16"/>
        </w:rPr>
        <w:footnoteRef/>
      </w:r>
      <w:r w:rsidRPr="00272781">
        <w:rPr>
          <w:rFonts w:ascii="Cambria" w:hAnsi="Cambria"/>
          <w:sz w:val="16"/>
          <w:szCs w:val="16"/>
        </w:rPr>
        <w:t xml:space="preserve"> I/A Court H.R., Case of </w:t>
      </w:r>
      <w:proofErr w:type="spellStart"/>
      <w:r w:rsidRPr="00272781">
        <w:rPr>
          <w:rFonts w:ascii="Cambria" w:hAnsi="Cambria"/>
          <w:sz w:val="16"/>
          <w:szCs w:val="16"/>
        </w:rPr>
        <w:t>Castañeda</w:t>
      </w:r>
      <w:proofErr w:type="spellEnd"/>
      <w:r w:rsidRPr="00272781">
        <w:rPr>
          <w:rFonts w:ascii="Cambria" w:hAnsi="Cambria"/>
          <w:sz w:val="16"/>
          <w:szCs w:val="16"/>
        </w:rPr>
        <w:t xml:space="preserve"> </w:t>
      </w:r>
      <w:proofErr w:type="spellStart"/>
      <w:r w:rsidRPr="00272781">
        <w:rPr>
          <w:rFonts w:ascii="Cambria" w:hAnsi="Cambria"/>
          <w:sz w:val="16"/>
          <w:szCs w:val="16"/>
        </w:rPr>
        <w:t>Gutman</w:t>
      </w:r>
      <w:proofErr w:type="spellEnd"/>
      <w:r w:rsidRPr="00272781">
        <w:rPr>
          <w:rFonts w:ascii="Cambria" w:hAnsi="Cambria"/>
          <w:sz w:val="16"/>
          <w:szCs w:val="16"/>
        </w:rPr>
        <w:t xml:space="preserve"> v. México. </w:t>
      </w:r>
      <w:proofErr w:type="gramStart"/>
      <w:r w:rsidRPr="00272781">
        <w:rPr>
          <w:rFonts w:ascii="Cambria" w:hAnsi="Cambria"/>
          <w:sz w:val="16"/>
          <w:szCs w:val="16"/>
        </w:rPr>
        <w:t>Preliminary Objections, Merits, Reparations, and Costs.</w:t>
      </w:r>
      <w:proofErr w:type="gramEnd"/>
      <w:r w:rsidRPr="00272781">
        <w:rPr>
          <w:rFonts w:ascii="Cambria" w:hAnsi="Cambria"/>
          <w:sz w:val="16"/>
          <w:szCs w:val="16"/>
        </w:rPr>
        <w:t xml:space="preserve"> Judgment of August 6, 2008. Series C No. 184, para. 147. Similarly, United Nations, Human Rights Committee, when interpreting Article 25 of the International Covenant on Civil and Political Rights, the wording of which is very similar to the provision in the American Convention, establishes broad parameters concerning the regulation of political rights. When interpreting this norm, the United Nations Human Rights Committee has stated that political rights must be guaranteed for election or constitutional amendment, referendum and other elections. See United Nations, Human Rights Committee, General Comment No. 25, The right to participate in public affairs, voting rights and the right of equal access to public service (Art. 25) of July 12, 1996, CCPR/C/21/Rev.1/Add.7, available at: </w:t>
      </w:r>
      <w:hyperlink r:id="rId46" w:history="1">
        <w:r w:rsidRPr="00272781">
          <w:rPr>
            <w:rStyle w:val="Hyperlink"/>
            <w:rFonts w:ascii="Cambria" w:hAnsi="Cambria"/>
            <w:sz w:val="16"/>
            <w:szCs w:val="16"/>
          </w:rPr>
          <w:t>http://www.refworld.org/docid/453883fc22.html</w:t>
        </w:r>
      </w:hyperlink>
      <w:r w:rsidRPr="00272781">
        <w:rPr>
          <w:rFonts w:ascii="Cambria" w:hAnsi="Cambria"/>
          <w:sz w:val="16"/>
          <w:szCs w:val="16"/>
        </w:rPr>
        <w:t xml:space="preserve"> </w:t>
      </w:r>
    </w:p>
  </w:footnote>
  <w:footnote w:id="136">
    <w:p w14:paraId="6085AC6C" w14:textId="77777777" w:rsidR="00C45C34" w:rsidRPr="00272781" w:rsidRDefault="00C45C34" w:rsidP="00131FA4">
      <w:pPr>
        <w:pStyle w:val="FootnoteText"/>
        <w:spacing w:after="120"/>
        <w:ind w:firstLine="720"/>
        <w:jc w:val="both"/>
        <w:rPr>
          <w:rFonts w:ascii="Cambria" w:hAnsi="Cambria"/>
          <w:sz w:val="16"/>
          <w:szCs w:val="16"/>
        </w:rPr>
      </w:pPr>
      <w:r w:rsidRPr="00272781">
        <w:rPr>
          <w:rStyle w:val="FootnoteReference"/>
          <w:rFonts w:ascii="Cambria" w:hAnsi="Cambria"/>
          <w:sz w:val="16"/>
          <w:szCs w:val="16"/>
        </w:rPr>
        <w:footnoteRef/>
      </w:r>
      <w:r w:rsidRPr="00272781">
        <w:rPr>
          <w:rFonts w:ascii="Cambria" w:hAnsi="Cambria"/>
          <w:sz w:val="16"/>
          <w:szCs w:val="16"/>
        </w:rPr>
        <w:t xml:space="preserve"> IACHR, Report 14/93, Case 10.956, Luis Felipe Bravo Mena, October 7, 1993, available at: </w:t>
      </w:r>
      <w:hyperlink r:id="rId47" w:history="1">
        <w:r w:rsidRPr="00272781">
          <w:rPr>
            <w:rStyle w:val="Hyperlink"/>
            <w:rFonts w:ascii="Cambria" w:hAnsi="Cambria"/>
            <w:sz w:val="16"/>
            <w:szCs w:val="16"/>
          </w:rPr>
          <w:t>http://www.cidh.org/annualrep/93eng/Mexico.10956.htm</w:t>
        </w:r>
      </w:hyperlink>
      <w:r w:rsidRPr="00272781">
        <w:rPr>
          <w:rFonts w:ascii="Cambria" w:hAnsi="Cambria"/>
          <w:sz w:val="16"/>
          <w:szCs w:val="16"/>
        </w:rPr>
        <w:t xml:space="preserve"> </w:t>
      </w:r>
    </w:p>
  </w:footnote>
  <w:footnote w:id="137">
    <w:p w14:paraId="03348A53" w14:textId="77777777" w:rsidR="00C45C34" w:rsidRPr="00272781" w:rsidRDefault="00C45C34" w:rsidP="00131FA4">
      <w:pPr>
        <w:pStyle w:val="FootnoteText"/>
        <w:spacing w:after="120"/>
        <w:ind w:firstLine="720"/>
        <w:jc w:val="both"/>
        <w:rPr>
          <w:rFonts w:ascii="Cambria" w:hAnsi="Cambria"/>
          <w:sz w:val="16"/>
          <w:szCs w:val="16"/>
        </w:rPr>
      </w:pPr>
      <w:r w:rsidRPr="00272781">
        <w:rPr>
          <w:rStyle w:val="FootnoteReference"/>
          <w:rFonts w:ascii="Cambria" w:hAnsi="Cambria"/>
          <w:sz w:val="16"/>
          <w:szCs w:val="16"/>
        </w:rPr>
        <w:footnoteRef/>
      </w:r>
      <w:r w:rsidRPr="00272781">
        <w:rPr>
          <w:rFonts w:ascii="Cambria" w:hAnsi="Cambria"/>
          <w:sz w:val="16"/>
          <w:szCs w:val="16"/>
        </w:rPr>
        <w:t xml:space="preserve"> </w:t>
      </w:r>
      <w:proofErr w:type="gramStart"/>
      <w:r w:rsidRPr="00272781">
        <w:rPr>
          <w:rFonts w:ascii="Cambria" w:hAnsi="Cambria"/>
          <w:sz w:val="16"/>
          <w:szCs w:val="16"/>
        </w:rPr>
        <w:t>Human Rights Committee, General Comment No. 25, para.</w:t>
      </w:r>
      <w:proofErr w:type="gramEnd"/>
      <w:r w:rsidRPr="00272781">
        <w:rPr>
          <w:rFonts w:ascii="Cambria" w:hAnsi="Cambria"/>
          <w:sz w:val="16"/>
          <w:szCs w:val="16"/>
        </w:rPr>
        <w:t xml:space="preserve"> 20. </w:t>
      </w:r>
    </w:p>
  </w:footnote>
  <w:footnote w:id="138">
    <w:p w14:paraId="698B4BDB" w14:textId="333EE702" w:rsidR="00C45C34" w:rsidRPr="00326F31" w:rsidRDefault="00C45C34" w:rsidP="00131FA4">
      <w:pPr>
        <w:pStyle w:val="FootnoteText"/>
        <w:spacing w:after="120"/>
        <w:ind w:firstLine="720"/>
        <w:jc w:val="both"/>
        <w:rPr>
          <w:rFonts w:asciiTheme="majorHAnsi" w:hAnsiTheme="majorHAnsi" w:cs="Arial"/>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H.R., Case of Ricardo </w:t>
      </w:r>
      <w:proofErr w:type="spellStart"/>
      <w:r w:rsidRPr="00326F31">
        <w:rPr>
          <w:rFonts w:asciiTheme="majorHAnsi" w:hAnsiTheme="majorHAnsi"/>
          <w:sz w:val="16"/>
          <w:szCs w:val="16"/>
        </w:rPr>
        <w:t>Canese</w:t>
      </w:r>
      <w:proofErr w:type="spellEnd"/>
      <w:r w:rsidRPr="00326F31">
        <w:rPr>
          <w:rFonts w:asciiTheme="majorHAnsi" w:hAnsiTheme="majorHAnsi"/>
          <w:sz w:val="16"/>
          <w:szCs w:val="16"/>
        </w:rPr>
        <w:t xml:space="preserve"> v. Paraguay.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August 31, 2004. Series C No. 111, para. 90; IACHR, Freedom of Expression and the Electoral Process: The Case of Opinion Polls and Exit Polls, 2005, paras. 11-15, available at: </w:t>
      </w:r>
      <w:hyperlink r:id="rId48" w:history="1">
        <w:r w:rsidRPr="00326F31">
          <w:rPr>
            <w:rStyle w:val="Hyperlink"/>
            <w:rFonts w:asciiTheme="majorHAnsi" w:hAnsiTheme="majorHAnsi"/>
            <w:sz w:val="16"/>
            <w:szCs w:val="16"/>
          </w:rPr>
          <w:t>http://www.oas.org/en/iachr/expression/reports/thematic.asp</w:t>
        </w:r>
      </w:hyperlink>
      <w:r w:rsidRPr="00326F31">
        <w:rPr>
          <w:rFonts w:asciiTheme="majorHAnsi" w:hAnsiTheme="majorHAnsi"/>
          <w:sz w:val="16"/>
          <w:szCs w:val="16"/>
        </w:rPr>
        <w:t>. Likewise the European Court of Human Rights has ruled that the two rights are interrelated. See ECHR, Case Mathieu-</w:t>
      </w:r>
      <w:proofErr w:type="spellStart"/>
      <w:r w:rsidRPr="00326F31">
        <w:rPr>
          <w:rFonts w:asciiTheme="majorHAnsi" w:hAnsiTheme="majorHAnsi"/>
          <w:sz w:val="16"/>
          <w:szCs w:val="16"/>
        </w:rPr>
        <w:t>Mohin</w:t>
      </w:r>
      <w:proofErr w:type="spellEnd"/>
      <w:r w:rsidRPr="00326F31">
        <w:rPr>
          <w:rFonts w:asciiTheme="majorHAnsi" w:hAnsiTheme="majorHAnsi"/>
          <w:sz w:val="16"/>
          <w:szCs w:val="16"/>
        </w:rPr>
        <w:t xml:space="preserve"> and </w:t>
      </w:r>
      <w:proofErr w:type="spellStart"/>
      <w:r w:rsidRPr="00326F31">
        <w:rPr>
          <w:rFonts w:asciiTheme="majorHAnsi" w:hAnsiTheme="majorHAnsi"/>
          <w:sz w:val="16"/>
          <w:szCs w:val="16"/>
        </w:rPr>
        <w:t>Clerfayt</w:t>
      </w:r>
      <w:proofErr w:type="spellEnd"/>
      <w:r w:rsidRPr="00326F31">
        <w:rPr>
          <w:rFonts w:asciiTheme="majorHAnsi" w:hAnsiTheme="majorHAnsi"/>
          <w:sz w:val="16"/>
          <w:szCs w:val="16"/>
        </w:rPr>
        <w:t xml:space="preserve"> v. Belgium, judgment of 2 March 1987, Series A, No. 113, </w:t>
      </w:r>
      <w:proofErr w:type="gramStart"/>
      <w:r w:rsidRPr="00326F31">
        <w:rPr>
          <w:rFonts w:asciiTheme="majorHAnsi" w:hAnsiTheme="majorHAnsi"/>
          <w:sz w:val="16"/>
          <w:szCs w:val="16"/>
        </w:rPr>
        <w:t>para</w:t>
      </w:r>
      <w:proofErr w:type="gramEnd"/>
      <w:r w:rsidRPr="00326F31">
        <w:rPr>
          <w:rFonts w:asciiTheme="majorHAnsi" w:hAnsiTheme="majorHAnsi"/>
          <w:sz w:val="16"/>
          <w:szCs w:val="16"/>
        </w:rPr>
        <w:t>. 54.</w:t>
      </w:r>
    </w:p>
  </w:footnote>
  <w:footnote w:id="139">
    <w:p w14:paraId="223E1782" w14:textId="7C874EC6" w:rsidR="00C45C34" w:rsidRPr="00326F31" w:rsidRDefault="00C45C34" w:rsidP="00131FA4">
      <w:pPr>
        <w:spacing w:after="120"/>
        <w:ind w:firstLine="720"/>
        <w:jc w:val="both"/>
        <w:rPr>
          <w:rFonts w:asciiTheme="majorHAnsi" w:hAnsiTheme="majorHAnsi" w:cs="Verdana"/>
          <w:b/>
          <w:bCs/>
          <w:smallCaps/>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w:t>
      </w:r>
      <w:r w:rsidRPr="00326F31">
        <w:rPr>
          <w:rFonts w:asciiTheme="majorHAnsi" w:hAnsiTheme="majorHAnsi"/>
          <w:sz w:val="16"/>
          <w:szCs w:val="16"/>
        </w:rPr>
        <w:t xml:space="preserve">I/A Court H.R., Case of </w:t>
      </w:r>
      <w:proofErr w:type="spellStart"/>
      <w:r w:rsidRPr="00326F31">
        <w:rPr>
          <w:rFonts w:asciiTheme="majorHAnsi" w:hAnsiTheme="majorHAnsi"/>
          <w:sz w:val="16"/>
          <w:szCs w:val="16"/>
        </w:rPr>
        <w:t>Castañeda</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Gutman</w:t>
      </w:r>
      <w:proofErr w:type="spellEnd"/>
      <w:r w:rsidRPr="00326F31">
        <w:rPr>
          <w:rFonts w:asciiTheme="majorHAnsi" w:hAnsiTheme="majorHAnsi"/>
          <w:sz w:val="16"/>
          <w:szCs w:val="16"/>
        </w:rPr>
        <w:t xml:space="preserve"> v. México.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w:t>
      </w:r>
      <w:r w:rsidRPr="00C9052E">
        <w:rPr>
          <w:rFonts w:asciiTheme="majorHAnsi" w:hAnsiTheme="majorHAnsi"/>
          <w:sz w:val="16"/>
          <w:szCs w:val="16"/>
        </w:rPr>
        <w:t xml:space="preserve">Judgment of August 6, 2008. </w:t>
      </w:r>
      <w:r w:rsidRPr="00326F31">
        <w:rPr>
          <w:rFonts w:asciiTheme="majorHAnsi" w:hAnsiTheme="majorHAnsi"/>
          <w:sz w:val="16"/>
          <w:szCs w:val="16"/>
        </w:rPr>
        <w:t>Series C No. 184, para. 140.</w:t>
      </w:r>
    </w:p>
  </w:footnote>
  <w:footnote w:id="140">
    <w:p w14:paraId="4318908F" w14:textId="11589BFE" w:rsidR="00C45C34" w:rsidRPr="00C9052E"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spellStart"/>
      <w:proofErr w:type="gramStart"/>
      <w:r w:rsidRPr="00326F31">
        <w:rPr>
          <w:rFonts w:asciiTheme="majorHAnsi" w:hAnsiTheme="majorHAnsi"/>
          <w:sz w:val="16"/>
          <w:szCs w:val="16"/>
        </w:rPr>
        <w:t>Cfr</w:t>
      </w:r>
      <w:proofErr w:type="spellEnd"/>
      <w:r w:rsidRPr="00326F31">
        <w:rPr>
          <w:rFonts w:asciiTheme="majorHAnsi" w:hAnsiTheme="majorHAnsi"/>
          <w:sz w:val="16"/>
          <w:szCs w:val="16"/>
        </w:rPr>
        <w:t>.</w:t>
      </w:r>
      <w:proofErr w:type="gramEnd"/>
      <w:r w:rsidRPr="00326F31">
        <w:rPr>
          <w:rFonts w:asciiTheme="majorHAnsi" w:hAnsiTheme="majorHAnsi"/>
          <w:sz w:val="16"/>
          <w:szCs w:val="16"/>
        </w:rPr>
        <w:t xml:space="preserve"> I/A Court H.R., Case of Claude Reyes et al. v. Chile.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September 19, 2006. Series C No. 151, para. 85; I/A Court H.R., Case of Herrera Ulloa v. Costa Rica.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July 2, 2004. Series C No. 107, para. 116; I/A Court H.R., Case of Ricardo </w:t>
      </w:r>
      <w:proofErr w:type="spellStart"/>
      <w:r w:rsidRPr="00326F31">
        <w:rPr>
          <w:rFonts w:asciiTheme="majorHAnsi" w:hAnsiTheme="majorHAnsi"/>
          <w:sz w:val="16"/>
          <w:szCs w:val="16"/>
        </w:rPr>
        <w:t>Canese</w:t>
      </w:r>
      <w:proofErr w:type="spellEnd"/>
      <w:r w:rsidRPr="00326F31">
        <w:rPr>
          <w:rFonts w:asciiTheme="majorHAnsi" w:hAnsiTheme="majorHAnsi"/>
          <w:sz w:val="16"/>
          <w:szCs w:val="16"/>
        </w:rPr>
        <w:t xml:space="preserve"> v. Paraguay.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w:t>
      </w:r>
      <w:r w:rsidRPr="00C9052E">
        <w:rPr>
          <w:rFonts w:asciiTheme="majorHAnsi" w:hAnsiTheme="majorHAnsi"/>
          <w:sz w:val="16"/>
          <w:szCs w:val="16"/>
        </w:rPr>
        <w:t xml:space="preserve">Judgment of August 31, 2004. Series C No. 111, para. </w:t>
      </w:r>
      <w:proofErr w:type="gramStart"/>
      <w:r w:rsidRPr="00326F31">
        <w:rPr>
          <w:rFonts w:asciiTheme="majorHAnsi" w:hAnsiTheme="majorHAnsi"/>
          <w:sz w:val="16"/>
          <w:szCs w:val="16"/>
        </w:rPr>
        <w:t>86; I/A Court H.R., Compulsory Membership in an Association Prescribed by Law for the Practice of Journalism (Arts. 13 and 29 American Convention on Human Rights).</w:t>
      </w:r>
      <w:proofErr w:type="gramEnd"/>
      <w:r w:rsidRPr="00326F31">
        <w:rPr>
          <w:rFonts w:asciiTheme="majorHAnsi" w:hAnsiTheme="majorHAnsi"/>
          <w:sz w:val="16"/>
          <w:szCs w:val="16"/>
        </w:rPr>
        <w:t xml:space="preserve"> </w:t>
      </w:r>
      <w:r w:rsidRPr="00C9052E">
        <w:rPr>
          <w:rFonts w:asciiTheme="majorHAnsi" w:hAnsiTheme="majorHAnsi"/>
          <w:sz w:val="16"/>
          <w:szCs w:val="16"/>
        </w:rPr>
        <w:t xml:space="preserve">Advisory Opinion OC-5/85 of November 13, 1985. Series </w:t>
      </w:r>
      <w:proofErr w:type="gramStart"/>
      <w:r w:rsidRPr="00C9052E">
        <w:rPr>
          <w:rFonts w:asciiTheme="majorHAnsi" w:hAnsiTheme="majorHAnsi"/>
          <w:sz w:val="16"/>
          <w:szCs w:val="16"/>
        </w:rPr>
        <w:t>A</w:t>
      </w:r>
      <w:proofErr w:type="gramEnd"/>
      <w:r w:rsidRPr="00C9052E">
        <w:rPr>
          <w:rFonts w:asciiTheme="majorHAnsi" w:hAnsiTheme="majorHAnsi"/>
          <w:sz w:val="16"/>
          <w:szCs w:val="16"/>
        </w:rPr>
        <w:t xml:space="preserve"> No. 5, para. 70.</w:t>
      </w:r>
    </w:p>
  </w:footnote>
  <w:footnote w:id="141">
    <w:p w14:paraId="2D6141EA" w14:textId="08B3B268" w:rsidR="00C45C34" w:rsidRPr="00C9052E" w:rsidRDefault="00C45C34" w:rsidP="00131FA4">
      <w:pPr>
        <w:pStyle w:val="FootnoteText"/>
        <w:spacing w:after="120"/>
        <w:ind w:firstLine="720"/>
        <w:jc w:val="both"/>
        <w:rPr>
          <w:rFonts w:asciiTheme="majorHAnsi" w:hAnsiTheme="majorHAnsi"/>
          <w:sz w:val="16"/>
          <w:szCs w:val="16"/>
          <w:lang w:val="fr-FR"/>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 R., Case of </w:t>
      </w:r>
      <w:proofErr w:type="spellStart"/>
      <w:r w:rsidRPr="00326F31">
        <w:rPr>
          <w:rFonts w:asciiTheme="majorHAnsi" w:hAnsiTheme="majorHAnsi"/>
          <w:sz w:val="16"/>
          <w:szCs w:val="16"/>
        </w:rPr>
        <w:t>Granier</w:t>
      </w:r>
      <w:proofErr w:type="spellEnd"/>
      <w:r w:rsidRPr="00326F31">
        <w:rPr>
          <w:rFonts w:asciiTheme="majorHAnsi" w:hAnsiTheme="majorHAnsi"/>
          <w:sz w:val="16"/>
          <w:szCs w:val="16"/>
        </w:rPr>
        <w:t xml:space="preserve"> et al. </w:t>
      </w:r>
      <w:r w:rsidRPr="00165F1E">
        <w:rPr>
          <w:rFonts w:asciiTheme="majorHAnsi" w:hAnsiTheme="majorHAnsi"/>
          <w:sz w:val="16"/>
          <w:szCs w:val="16"/>
        </w:rPr>
        <w:t xml:space="preserve">(Radio Caracas Television) v. Venezuela.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June 22, 2015. Series C No. 293, para. </w:t>
      </w:r>
      <w:r w:rsidRPr="00C9052E">
        <w:rPr>
          <w:rFonts w:asciiTheme="majorHAnsi" w:hAnsiTheme="majorHAnsi"/>
          <w:sz w:val="16"/>
          <w:szCs w:val="16"/>
          <w:lang w:val="fr-FR"/>
        </w:rPr>
        <w:t xml:space="preserve">140. </w:t>
      </w:r>
    </w:p>
  </w:footnote>
  <w:footnote w:id="142">
    <w:p w14:paraId="55DC653B" w14:textId="61B3EBE2" w:rsidR="00C45C34" w:rsidRPr="00C9052E" w:rsidRDefault="00C45C34" w:rsidP="00131FA4">
      <w:pPr>
        <w:pStyle w:val="FootnoteText"/>
        <w:tabs>
          <w:tab w:val="left" w:pos="567"/>
        </w:tabs>
        <w:spacing w:after="120"/>
        <w:ind w:firstLine="720"/>
        <w:jc w:val="both"/>
        <w:rPr>
          <w:rFonts w:asciiTheme="majorHAnsi" w:hAnsiTheme="majorHAnsi"/>
          <w:sz w:val="16"/>
          <w:szCs w:val="16"/>
          <w:lang w:val="fr-FR"/>
        </w:rPr>
      </w:pPr>
      <w:r w:rsidRPr="00326F31">
        <w:rPr>
          <w:rStyle w:val="FootnoteReference"/>
          <w:rFonts w:asciiTheme="majorHAnsi" w:hAnsiTheme="majorHAnsi"/>
          <w:sz w:val="16"/>
          <w:szCs w:val="16"/>
        </w:rPr>
        <w:footnoteRef/>
      </w:r>
      <w:r w:rsidRPr="009E0C89">
        <w:rPr>
          <w:rFonts w:asciiTheme="majorHAnsi" w:hAnsiTheme="majorHAnsi"/>
          <w:sz w:val="16"/>
          <w:szCs w:val="16"/>
        </w:rPr>
        <w:t xml:space="preserve"> </w:t>
      </w:r>
      <w:r w:rsidRPr="00326F31">
        <w:rPr>
          <w:rFonts w:asciiTheme="majorHAnsi" w:hAnsiTheme="majorHAnsi"/>
          <w:sz w:val="16"/>
          <w:szCs w:val="16"/>
        </w:rPr>
        <w:t xml:space="preserve">I/A Court H. R., Case of </w:t>
      </w:r>
      <w:proofErr w:type="spellStart"/>
      <w:r w:rsidRPr="00326F31">
        <w:rPr>
          <w:rFonts w:asciiTheme="majorHAnsi" w:hAnsiTheme="majorHAnsi"/>
          <w:sz w:val="16"/>
          <w:szCs w:val="16"/>
        </w:rPr>
        <w:t>Granier</w:t>
      </w:r>
      <w:proofErr w:type="spellEnd"/>
      <w:r w:rsidRPr="00326F31">
        <w:rPr>
          <w:rFonts w:asciiTheme="majorHAnsi" w:hAnsiTheme="majorHAnsi"/>
          <w:sz w:val="16"/>
          <w:szCs w:val="16"/>
        </w:rPr>
        <w:t xml:space="preserve"> et al. </w:t>
      </w:r>
      <w:r w:rsidRPr="009E0C89">
        <w:rPr>
          <w:rFonts w:asciiTheme="majorHAnsi" w:hAnsiTheme="majorHAnsi"/>
          <w:sz w:val="16"/>
          <w:szCs w:val="16"/>
        </w:rPr>
        <w:t xml:space="preserve">(Radio Caracas Television) v. Venezuela.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June 2</w:t>
      </w:r>
      <w:r>
        <w:rPr>
          <w:rFonts w:asciiTheme="majorHAnsi" w:hAnsiTheme="majorHAnsi"/>
          <w:sz w:val="16"/>
          <w:szCs w:val="16"/>
        </w:rPr>
        <w:t>2, 2015. Series C No. 293, para</w:t>
      </w:r>
      <w:r w:rsidRPr="00C9052E">
        <w:rPr>
          <w:rFonts w:asciiTheme="majorHAnsi" w:hAnsiTheme="majorHAnsi"/>
          <w:sz w:val="16"/>
          <w:szCs w:val="16"/>
          <w:lang w:val="fr-FR"/>
        </w:rPr>
        <w:t xml:space="preserve">. 161. </w:t>
      </w:r>
      <w:r w:rsidRPr="00C9052E">
        <w:rPr>
          <w:rFonts w:asciiTheme="majorHAnsi" w:hAnsiTheme="majorHAnsi"/>
          <w:sz w:val="16"/>
          <w:szCs w:val="16"/>
          <w:lang w:val="fr-FR"/>
        </w:rPr>
        <w:tab/>
      </w:r>
    </w:p>
  </w:footnote>
  <w:footnote w:id="143">
    <w:p w14:paraId="39BBDA6E" w14:textId="59B55F93" w:rsidR="00C45C34" w:rsidRPr="009E0C89" w:rsidRDefault="00C45C34" w:rsidP="00131FA4">
      <w:pPr>
        <w:pStyle w:val="FootnoteText"/>
        <w:tabs>
          <w:tab w:val="left" w:pos="567"/>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9E0C89">
        <w:rPr>
          <w:rFonts w:asciiTheme="majorHAnsi" w:hAnsiTheme="majorHAnsi"/>
          <w:sz w:val="16"/>
          <w:szCs w:val="16"/>
        </w:rPr>
        <w:t xml:space="preserve"> </w:t>
      </w:r>
      <w:r w:rsidRPr="00326F31">
        <w:rPr>
          <w:rFonts w:asciiTheme="majorHAnsi" w:hAnsiTheme="majorHAnsi"/>
          <w:sz w:val="16"/>
          <w:szCs w:val="16"/>
        </w:rPr>
        <w:t xml:space="preserve">I/A Court H. R., Case of </w:t>
      </w:r>
      <w:proofErr w:type="spellStart"/>
      <w:r w:rsidRPr="00326F31">
        <w:rPr>
          <w:rFonts w:asciiTheme="majorHAnsi" w:hAnsiTheme="majorHAnsi"/>
          <w:sz w:val="16"/>
          <w:szCs w:val="16"/>
        </w:rPr>
        <w:t>Granier</w:t>
      </w:r>
      <w:proofErr w:type="spellEnd"/>
      <w:r w:rsidRPr="00326F31">
        <w:rPr>
          <w:rFonts w:asciiTheme="majorHAnsi" w:hAnsiTheme="majorHAnsi"/>
          <w:sz w:val="16"/>
          <w:szCs w:val="16"/>
        </w:rPr>
        <w:t xml:space="preserve"> et al. </w:t>
      </w:r>
      <w:r w:rsidRPr="009E0C89">
        <w:rPr>
          <w:rFonts w:asciiTheme="majorHAnsi" w:hAnsiTheme="majorHAnsi"/>
          <w:sz w:val="16"/>
          <w:szCs w:val="16"/>
        </w:rPr>
        <w:t xml:space="preserve">(Radio Caracas Television) v. Venezuela.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June 22, 2015. Series C No. 293, para. </w:t>
      </w:r>
      <w:r>
        <w:rPr>
          <w:rFonts w:asciiTheme="majorHAnsi" w:hAnsiTheme="majorHAnsi"/>
          <w:sz w:val="16"/>
          <w:szCs w:val="16"/>
        </w:rPr>
        <w:t>162.</w:t>
      </w:r>
      <w:r w:rsidRPr="009E0C89">
        <w:rPr>
          <w:rFonts w:asciiTheme="majorHAnsi" w:hAnsiTheme="majorHAnsi"/>
          <w:sz w:val="16"/>
          <w:szCs w:val="16"/>
        </w:rPr>
        <w:t xml:space="preserve"> </w:t>
      </w:r>
      <w:r w:rsidRPr="009E0C89">
        <w:rPr>
          <w:rFonts w:asciiTheme="majorHAnsi" w:hAnsiTheme="majorHAnsi"/>
          <w:sz w:val="16"/>
          <w:szCs w:val="16"/>
        </w:rPr>
        <w:tab/>
      </w:r>
    </w:p>
  </w:footnote>
  <w:footnote w:id="144">
    <w:p w14:paraId="3489C39F" w14:textId="22EDEE0B" w:rsidR="00C45C34" w:rsidRPr="009E0C89" w:rsidRDefault="00C45C34" w:rsidP="00131FA4">
      <w:pPr>
        <w:pStyle w:val="FootnoteText"/>
        <w:tabs>
          <w:tab w:val="left" w:pos="567"/>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9E0C89">
        <w:rPr>
          <w:rFonts w:asciiTheme="majorHAnsi" w:hAnsiTheme="majorHAnsi"/>
          <w:sz w:val="16"/>
          <w:szCs w:val="16"/>
        </w:rPr>
        <w:t xml:space="preserve"> </w:t>
      </w:r>
      <w:r w:rsidRPr="00326F31">
        <w:rPr>
          <w:rFonts w:asciiTheme="majorHAnsi" w:hAnsiTheme="majorHAnsi"/>
          <w:sz w:val="16"/>
          <w:szCs w:val="16"/>
        </w:rPr>
        <w:t xml:space="preserve">I/A Court H. R., Case of </w:t>
      </w:r>
      <w:proofErr w:type="spellStart"/>
      <w:r w:rsidRPr="00326F31">
        <w:rPr>
          <w:rFonts w:asciiTheme="majorHAnsi" w:hAnsiTheme="majorHAnsi"/>
          <w:sz w:val="16"/>
          <w:szCs w:val="16"/>
        </w:rPr>
        <w:t>Granier</w:t>
      </w:r>
      <w:proofErr w:type="spellEnd"/>
      <w:r w:rsidRPr="00326F31">
        <w:rPr>
          <w:rFonts w:asciiTheme="majorHAnsi" w:hAnsiTheme="majorHAnsi"/>
          <w:sz w:val="16"/>
          <w:szCs w:val="16"/>
        </w:rPr>
        <w:t xml:space="preserve"> et al. </w:t>
      </w:r>
      <w:r w:rsidRPr="009E0C89">
        <w:rPr>
          <w:rFonts w:asciiTheme="majorHAnsi" w:hAnsiTheme="majorHAnsi"/>
          <w:sz w:val="16"/>
          <w:szCs w:val="16"/>
        </w:rPr>
        <w:t xml:space="preserve">(Radio Caracas Television) v. Venezuela.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June 22, 2015. Series C No. 293, para. </w:t>
      </w:r>
      <w:r>
        <w:rPr>
          <w:rFonts w:asciiTheme="majorHAnsi" w:hAnsiTheme="majorHAnsi"/>
          <w:sz w:val="16"/>
          <w:szCs w:val="16"/>
        </w:rPr>
        <w:t>163.</w:t>
      </w:r>
    </w:p>
  </w:footnote>
  <w:footnote w:id="145">
    <w:p w14:paraId="77040ECB" w14:textId="09290187" w:rsidR="00C45C34" w:rsidRPr="00C9052E" w:rsidRDefault="00C45C34" w:rsidP="00131FA4">
      <w:pPr>
        <w:pStyle w:val="FootnoteText"/>
        <w:tabs>
          <w:tab w:val="left" w:pos="567"/>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9E0C89">
        <w:rPr>
          <w:rFonts w:asciiTheme="majorHAnsi" w:hAnsiTheme="majorHAnsi"/>
          <w:sz w:val="16"/>
          <w:szCs w:val="16"/>
        </w:rPr>
        <w:t xml:space="preserve"> </w:t>
      </w:r>
      <w:r w:rsidRPr="00326F31">
        <w:rPr>
          <w:rFonts w:asciiTheme="majorHAnsi" w:hAnsiTheme="majorHAnsi"/>
          <w:sz w:val="16"/>
          <w:szCs w:val="16"/>
        </w:rPr>
        <w:t xml:space="preserve">I/A Court H. R., Case of </w:t>
      </w:r>
      <w:proofErr w:type="spellStart"/>
      <w:r w:rsidRPr="00326F31">
        <w:rPr>
          <w:rFonts w:asciiTheme="majorHAnsi" w:hAnsiTheme="majorHAnsi"/>
          <w:sz w:val="16"/>
          <w:szCs w:val="16"/>
        </w:rPr>
        <w:t>Granier</w:t>
      </w:r>
      <w:proofErr w:type="spellEnd"/>
      <w:r w:rsidRPr="00326F31">
        <w:rPr>
          <w:rFonts w:asciiTheme="majorHAnsi" w:hAnsiTheme="majorHAnsi"/>
          <w:sz w:val="16"/>
          <w:szCs w:val="16"/>
        </w:rPr>
        <w:t xml:space="preserve"> et al. </w:t>
      </w:r>
      <w:r w:rsidRPr="009E0C89">
        <w:rPr>
          <w:rFonts w:asciiTheme="majorHAnsi" w:hAnsiTheme="majorHAnsi"/>
          <w:sz w:val="16"/>
          <w:szCs w:val="16"/>
        </w:rPr>
        <w:t xml:space="preserve">(Radio Caracas Television) v. Venezuela.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June 22, 2015. Series C No. 293, para. </w:t>
      </w:r>
      <w:r w:rsidRPr="009E0C89">
        <w:rPr>
          <w:rFonts w:asciiTheme="majorHAnsi" w:hAnsiTheme="majorHAnsi"/>
          <w:sz w:val="16"/>
          <w:szCs w:val="16"/>
        </w:rPr>
        <w:t xml:space="preserve">140. </w:t>
      </w:r>
      <w:r>
        <w:rPr>
          <w:rFonts w:asciiTheme="majorHAnsi" w:hAnsiTheme="majorHAnsi"/>
          <w:sz w:val="16"/>
          <w:szCs w:val="16"/>
        </w:rPr>
        <w:t xml:space="preserve">Quoting </w:t>
      </w:r>
      <w:proofErr w:type="spellStart"/>
      <w:r w:rsidRPr="009E0C89">
        <w:rPr>
          <w:rFonts w:asciiTheme="majorHAnsi" w:hAnsiTheme="majorHAnsi"/>
          <w:i/>
          <w:sz w:val="16"/>
          <w:szCs w:val="16"/>
        </w:rPr>
        <w:t>Cfr</w:t>
      </w:r>
      <w:proofErr w:type="spellEnd"/>
      <w:r w:rsidRPr="009E0C89">
        <w:rPr>
          <w:rFonts w:asciiTheme="majorHAnsi" w:hAnsiTheme="majorHAnsi"/>
          <w:i/>
          <w:sz w:val="16"/>
          <w:szCs w:val="16"/>
        </w:rPr>
        <w:t>. Case of Ríos et al. v. Venezuela</w:t>
      </w:r>
      <w:r w:rsidRPr="009E0C89">
        <w:rPr>
          <w:rFonts w:asciiTheme="majorHAnsi" w:hAnsiTheme="majorHAnsi"/>
          <w:sz w:val="16"/>
          <w:szCs w:val="16"/>
        </w:rPr>
        <w:t xml:space="preserve">, para. </w:t>
      </w:r>
      <w:proofErr w:type="gramStart"/>
      <w:r w:rsidRPr="00C9052E">
        <w:rPr>
          <w:rFonts w:asciiTheme="majorHAnsi" w:hAnsiTheme="majorHAnsi"/>
          <w:sz w:val="16"/>
          <w:szCs w:val="16"/>
        </w:rPr>
        <w:t>340,</w:t>
      </w:r>
      <w:proofErr w:type="gramEnd"/>
      <w:r w:rsidRPr="00C9052E">
        <w:rPr>
          <w:rFonts w:asciiTheme="majorHAnsi" w:hAnsiTheme="majorHAnsi"/>
          <w:sz w:val="16"/>
          <w:szCs w:val="16"/>
        </w:rPr>
        <w:t xml:space="preserve"> and </w:t>
      </w:r>
      <w:r w:rsidRPr="00C9052E">
        <w:rPr>
          <w:rFonts w:asciiTheme="majorHAnsi" w:hAnsiTheme="majorHAnsi"/>
          <w:i/>
          <w:sz w:val="16"/>
          <w:szCs w:val="16"/>
        </w:rPr>
        <w:t xml:space="preserve">Case of </w:t>
      </w:r>
      <w:proofErr w:type="spellStart"/>
      <w:r w:rsidRPr="00C9052E">
        <w:rPr>
          <w:rFonts w:asciiTheme="majorHAnsi" w:hAnsiTheme="majorHAnsi"/>
          <w:i/>
          <w:sz w:val="16"/>
          <w:szCs w:val="16"/>
        </w:rPr>
        <w:t>Perozo</w:t>
      </w:r>
      <w:proofErr w:type="spellEnd"/>
      <w:r w:rsidRPr="00C9052E">
        <w:rPr>
          <w:rFonts w:asciiTheme="majorHAnsi" w:hAnsiTheme="majorHAnsi"/>
          <w:i/>
          <w:sz w:val="16"/>
          <w:szCs w:val="16"/>
        </w:rPr>
        <w:t xml:space="preserve"> et al. v. Venezuela</w:t>
      </w:r>
      <w:r w:rsidRPr="00C9052E">
        <w:rPr>
          <w:rFonts w:asciiTheme="majorHAnsi" w:hAnsiTheme="majorHAnsi"/>
          <w:sz w:val="16"/>
          <w:szCs w:val="16"/>
        </w:rPr>
        <w:t>, para. 367.</w:t>
      </w:r>
    </w:p>
  </w:footnote>
  <w:footnote w:id="146">
    <w:p w14:paraId="673F03B2" w14:textId="77777777"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gramStart"/>
      <w:r w:rsidRPr="00326F31">
        <w:rPr>
          <w:rFonts w:asciiTheme="majorHAnsi" w:hAnsiTheme="majorHAnsi"/>
          <w:sz w:val="16"/>
          <w:szCs w:val="16"/>
        </w:rPr>
        <w:t>I/A Court H.R., Juridical Condition and Rights of the Undocumented Migrants.</w:t>
      </w:r>
      <w:proofErr w:type="gramEnd"/>
      <w:r w:rsidRPr="00326F31">
        <w:rPr>
          <w:rFonts w:asciiTheme="majorHAnsi" w:hAnsiTheme="majorHAnsi"/>
          <w:sz w:val="16"/>
          <w:szCs w:val="16"/>
        </w:rPr>
        <w:t xml:space="preserve"> Advisory Opinion OC-18/03 of September 17, 2003. Series </w:t>
      </w:r>
      <w:proofErr w:type="gramStart"/>
      <w:r w:rsidRPr="00326F31">
        <w:rPr>
          <w:rFonts w:asciiTheme="majorHAnsi" w:hAnsiTheme="majorHAnsi"/>
          <w:sz w:val="16"/>
          <w:szCs w:val="16"/>
        </w:rPr>
        <w:t>A</w:t>
      </w:r>
      <w:proofErr w:type="gramEnd"/>
      <w:r w:rsidRPr="00326F31">
        <w:rPr>
          <w:rFonts w:asciiTheme="majorHAnsi" w:hAnsiTheme="majorHAnsi"/>
          <w:sz w:val="16"/>
          <w:szCs w:val="16"/>
        </w:rPr>
        <w:t xml:space="preserve"> No.18, para. </w:t>
      </w:r>
      <w:proofErr w:type="gramStart"/>
      <w:r w:rsidRPr="00326F31">
        <w:rPr>
          <w:rFonts w:asciiTheme="majorHAnsi" w:hAnsiTheme="majorHAnsi"/>
          <w:sz w:val="16"/>
          <w:szCs w:val="16"/>
        </w:rPr>
        <w:t>173 (5).</w:t>
      </w:r>
      <w:proofErr w:type="gramEnd"/>
    </w:p>
  </w:footnote>
  <w:footnote w:id="147">
    <w:p w14:paraId="07D5C9CD" w14:textId="0523F419" w:rsidR="00C45C34" w:rsidRPr="00C9052E" w:rsidRDefault="00C45C34" w:rsidP="00131FA4">
      <w:pPr>
        <w:pStyle w:val="FootnoteText"/>
        <w:tabs>
          <w:tab w:val="left" w:pos="567"/>
        </w:tabs>
        <w:spacing w:after="120"/>
        <w:ind w:firstLine="720"/>
        <w:jc w:val="both"/>
        <w:rPr>
          <w:rFonts w:asciiTheme="majorHAnsi" w:hAnsiTheme="majorHAnsi" w:cs="Arial"/>
          <w:b/>
          <w:i/>
          <w:iCs/>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w:t>
      </w:r>
      <w:proofErr w:type="spellStart"/>
      <w:proofErr w:type="gramStart"/>
      <w:r w:rsidRPr="00326F31">
        <w:rPr>
          <w:rFonts w:asciiTheme="majorHAnsi" w:hAnsiTheme="majorHAnsi"/>
          <w:i/>
          <w:sz w:val="16"/>
          <w:szCs w:val="16"/>
        </w:rPr>
        <w:t>Cfr</w:t>
      </w:r>
      <w:proofErr w:type="spellEnd"/>
      <w:r w:rsidRPr="00326F31">
        <w:rPr>
          <w:rFonts w:asciiTheme="majorHAnsi" w:hAnsiTheme="majorHAnsi"/>
          <w:i/>
          <w:sz w:val="16"/>
          <w:szCs w:val="16"/>
        </w:rPr>
        <w:t xml:space="preserve">. </w:t>
      </w:r>
      <w:r w:rsidRPr="00326F31">
        <w:rPr>
          <w:rFonts w:asciiTheme="majorHAnsi" w:hAnsiTheme="majorHAnsi" w:cs="Arial"/>
          <w:i/>
          <w:iCs/>
          <w:sz w:val="16"/>
          <w:szCs w:val="16"/>
        </w:rPr>
        <w:t>Juridical Condition and Rights of the Undocumented Migrants</w:t>
      </w:r>
      <w:r w:rsidRPr="00326F31">
        <w:rPr>
          <w:rFonts w:asciiTheme="majorHAnsi" w:hAnsiTheme="majorHAnsi" w:cs="Arial"/>
          <w:sz w:val="16"/>
          <w:szCs w:val="16"/>
        </w:rPr>
        <w:t>,</w:t>
      </w:r>
      <w:r w:rsidRPr="00326F31">
        <w:rPr>
          <w:rFonts w:asciiTheme="majorHAnsi" w:hAnsiTheme="majorHAnsi" w:cs="Arial"/>
          <w:i/>
          <w:iCs/>
          <w:sz w:val="16"/>
          <w:szCs w:val="16"/>
        </w:rPr>
        <w:t xml:space="preserve"> </w:t>
      </w:r>
      <w:r w:rsidRPr="00326F31">
        <w:rPr>
          <w:rFonts w:asciiTheme="majorHAnsi" w:hAnsiTheme="majorHAnsi" w:cs="Arial"/>
          <w:sz w:val="16"/>
          <w:szCs w:val="16"/>
        </w:rPr>
        <w:t>para.</w:t>
      </w:r>
      <w:proofErr w:type="gramEnd"/>
      <w:r w:rsidRPr="00326F31">
        <w:rPr>
          <w:rFonts w:asciiTheme="majorHAnsi" w:hAnsiTheme="majorHAnsi" w:cs="Arial"/>
          <w:sz w:val="16"/>
          <w:szCs w:val="16"/>
        </w:rPr>
        <w:t xml:space="preserve"> </w:t>
      </w:r>
      <w:proofErr w:type="gramStart"/>
      <w:r w:rsidRPr="00326F31">
        <w:rPr>
          <w:rFonts w:asciiTheme="majorHAnsi" w:hAnsiTheme="majorHAnsi" w:cs="Arial"/>
          <w:sz w:val="16"/>
          <w:szCs w:val="16"/>
        </w:rPr>
        <w:t>101,</w:t>
      </w:r>
      <w:proofErr w:type="gramEnd"/>
      <w:r w:rsidRPr="00326F31">
        <w:rPr>
          <w:rFonts w:asciiTheme="majorHAnsi" w:hAnsiTheme="majorHAnsi" w:cs="Arial"/>
          <w:sz w:val="16"/>
          <w:szCs w:val="16"/>
        </w:rPr>
        <w:t xml:space="preserve"> and</w:t>
      </w:r>
      <w:r w:rsidRPr="00326F31">
        <w:rPr>
          <w:rStyle w:val="Strong"/>
          <w:rFonts w:asciiTheme="majorHAnsi" w:hAnsiTheme="majorHAnsi"/>
          <w:i/>
          <w:sz w:val="16"/>
          <w:szCs w:val="16"/>
          <w:shd w:val="clear" w:color="auto" w:fill="FFFFFF"/>
        </w:rPr>
        <w:t xml:space="preserve"> </w:t>
      </w:r>
      <w:r w:rsidRPr="00326F31">
        <w:rPr>
          <w:rStyle w:val="Strong"/>
          <w:rFonts w:asciiTheme="majorHAnsi" w:hAnsiTheme="majorHAnsi"/>
          <w:b w:val="0"/>
          <w:i/>
          <w:sz w:val="16"/>
          <w:szCs w:val="16"/>
          <w:shd w:val="clear" w:color="auto" w:fill="FFFFFF"/>
        </w:rPr>
        <w:t xml:space="preserve">Case of Espinoza </w:t>
      </w:r>
      <w:proofErr w:type="spellStart"/>
      <w:r w:rsidRPr="00326F31">
        <w:rPr>
          <w:rStyle w:val="Strong"/>
          <w:rFonts w:asciiTheme="majorHAnsi" w:hAnsiTheme="majorHAnsi"/>
          <w:b w:val="0"/>
          <w:i/>
          <w:sz w:val="16"/>
          <w:szCs w:val="16"/>
          <w:shd w:val="clear" w:color="auto" w:fill="FFFFFF"/>
        </w:rPr>
        <w:t>Gonzáles</w:t>
      </w:r>
      <w:proofErr w:type="spellEnd"/>
      <w:r w:rsidRPr="00326F31">
        <w:rPr>
          <w:rStyle w:val="Strong"/>
          <w:rFonts w:asciiTheme="majorHAnsi" w:hAnsiTheme="majorHAnsi"/>
          <w:b w:val="0"/>
          <w:i/>
          <w:sz w:val="16"/>
          <w:szCs w:val="16"/>
          <w:shd w:val="clear" w:color="auto" w:fill="FFFFFF"/>
        </w:rPr>
        <w:t xml:space="preserve"> v. Peru. Preliminary Objection</w:t>
      </w:r>
      <w:r w:rsidRPr="00326F31">
        <w:rPr>
          <w:rStyle w:val="Strong"/>
          <w:rFonts w:asciiTheme="majorHAnsi" w:hAnsiTheme="majorHAnsi"/>
          <w:b w:val="0"/>
          <w:sz w:val="16"/>
          <w:szCs w:val="16"/>
          <w:shd w:val="clear" w:color="auto" w:fill="FFFFFF"/>
        </w:rPr>
        <w:t xml:space="preserve">, para. </w:t>
      </w:r>
      <w:r w:rsidRPr="00C9052E">
        <w:rPr>
          <w:rStyle w:val="Strong"/>
          <w:rFonts w:asciiTheme="majorHAnsi" w:hAnsiTheme="majorHAnsi"/>
          <w:b w:val="0"/>
          <w:sz w:val="16"/>
          <w:szCs w:val="16"/>
          <w:shd w:val="clear" w:color="auto" w:fill="FFFFFF"/>
        </w:rPr>
        <w:t>216.</w:t>
      </w:r>
    </w:p>
  </w:footnote>
  <w:footnote w:id="148">
    <w:p w14:paraId="7EF609A5" w14:textId="5F882633" w:rsidR="00C45C34" w:rsidRPr="00C9052E" w:rsidRDefault="00C45C34" w:rsidP="00131FA4">
      <w:pPr>
        <w:pStyle w:val="FootnoteText"/>
        <w:tabs>
          <w:tab w:val="left" w:pos="567"/>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spellStart"/>
      <w:proofErr w:type="gramStart"/>
      <w:r w:rsidRPr="00326F31">
        <w:rPr>
          <w:rFonts w:asciiTheme="majorHAnsi" w:hAnsiTheme="majorHAnsi"/>
          <w:i/>
          <w:sz w:val="16"/>
          <w:szCs w:val="16"/>
        </w:rPr>
        <w:t>Cfr</w:t>
      </w:r>
      <w:proofErr w:type="spellEnd"/>
      <w:r w:rsidRPr="00326F31">
        <w:rPr>
          <w:rFonts w:asciiTheme="majorHAnsi" w:hAnsiTheme="majorHAnsi"/>
          <w:i/>
          <w:sz w:val="16"/>
          <w:szCs w:val="16"/>
        </w:rPr>
        <w:t>.</w:t>
      </w:r>
      <w:proofErr w:type="gramEnd"/>
      <w:r w:rsidRPr="00326F31">
        <w:rPr>
          <w:rFonts w:asciiTheme="majorHAnsi" w:hAnsiTheme="majorHAnsi"/>
          <w:i/>
          <w:sz w:val="16"/>
          <w:szCs w:val="16"/>
        </w:rPr>
        <w:t xml:space="preserve"> I/A Court H.R</w:t>
      </w:r>
      <w:proofErr w:type="gramStart"/>
      <w:r w:rsidRPr="00326F31">
        <w:rPr>
          <w:rFonts w:asciiTheme="majorHAnsi" w:hAnsiTheme="majorHAnsi"/>
          <w:i/>
          <w:sz w:val="16"/>
          <w:szCs w:val="16"/>
        </w:rPr>
        <w:t>.,</w:t>
      </w:r>
      <w:proofErr w:type="gramEnd"/>
      <w:r w:rsidRPr="00326F31">
        <w:rPr>
          <w:rFonts w:asciiTheme="majorHAnsi" w:hAnsiTheme="majorHAnsi"/>
          <w:i/>
          <w:sz w:val="16"/>
          <w:szCs w:val="16"/>
        </w:rPr>
        <w:t xml:space="preserve"> Proposed Amendments of the Naturalization Provisions of the Constitution of Costa Rica. </w:t>
      </w:r>
      <w:r w:rsidRPr="00C9052E">
        <w:rPr>
          <w:rFonts w:asciiTheme="majorHAnsi" w:hAnsiTheme="majorHAnsi"/>
          <w:i/>
          <w:sz w:val="16"/>
          <w:szCs w:val="16"/>
        </w:rPr>
        <w:t xml:space="preserve">Advisory Opinion OC-4/84 of January 19, 1984. Series </w:t>
      </w:r>
      <w:proofErr w:type="gramStart"/>
      <w:r w:rsidRPr="00C9052E">
        <w:rPr>
          <w:rFonts w:asciiTheme="majorHAnsi" w:hAnsiTheme="majorHAnsi"/>
          <w:i/>
          <w:sz w:val="16"/>
          <w:szCs w:val="16"/>
        </w:rPr>
        <w:t>A</w:t>
      </w:r>
      <w:proofErr w:type="gramEnd"/>
      <w:r w:rsidRPr="00C9052E">
        <w:rPr>
          <w:rFonts w:asciiTheme="majorHAnsi" w:hAnsiTheme="majorHAnsi"/>
          <w:i/>
          <w:sz w:val="16"/>
          <w:szCs w:val="16"/>
        </w:rPr>
        <w:t xml:space="preserve"> No. 4</w:t>
      </w:r>
      <w:r w:rsidRPr="00C9052E">
        <w:rPr>
          <w:rFonts w:asciiTheme="majorHAnsi" w:hAnsiTheme="majorHAnsi"/>
          <w:sz w:val="16"/>
          <w:szCs w:val="16"/>
        </w:rPr>
        <w:t xml:space="preserve">, para. </w:t>
      </w:r>
      <w:r w:rsidRPr="00326F31">
        <w:rPr>
          <w:rFonts w:asciiTheme="majorHAnsi" w:hAnsiTheme="majorHAnsi"/>
          <w:sz w:val="16"/>
          <w:szCs w:val="16"/>
        </w:rPr>
        <w:t xml:space="preserve">53, and </w:t>
      </w:r>
      <w:r w:rsidRPr="00326F31">
        <w:rPr>
          <w:rFonts w:asciiTheme="majorHAnsi" w:hAnsiTheme="majorHAnsi"/>
          <w:i/>
          <w:sz w:val="16"/>
          <w:szCs w:val="16"/>
        </w:rPr>
        <w:t xml:space="preserve">I/A Court H. R., Case of the Afro-descendant communities displaced from the </w:t>
      </w:r>
      <w:proofErr w:type="spellStart"/>
      <w:r w:rsidRPr="00326F31">
        <w:rPr>
          <w:rFonts w:asciiTheme="majorHAnsi" w:hAnsiTheme="majorHAnsi"/>
          <w:i/>
          <w:sz w:val="16"/>
          <w:szCs w:val="16"/>
        </w:rPr>
        <w:t>Cacarica</w:t>
      </w:r>
      <w:proofErr w:type="spellEnd"/>
      <w:r w:rsidRPr="00326F31">
        <w:rPr>
          <w:rFonts w:asciiTheme="majorHAnsi" w:hAnsiTheme="majorHAnsi"/>
          <w:i/>
          <w:sz w:val="16"/>
          <w:szCs w:val="16"/>
        </w:rPr>
        <w:t xml:space="preserve"> River Basin (Operation Genesis) v. Colombia. </w:t>
      </w:r>
      <w:proofErr w:type="gramStart"/>
      <w:r w:rsidRPr="00326F31">
        <w:rPr>
          <w:rFonts w:asciiTheme="majorHAnsi" w:hAnsiTheme="majorHAnsi"/>
          <w:i/>
          <w:sz w:val="16"/>
          <w:szCs w:val="16"/>
        </w:rPr>
        <w:t>Preliminary Objections, Merits, Reparations and Costs.</w:t>
      </w:r>
      <w:proofErr w:type="gramEnd"/>
      <w:r w:rsidRPr="00326F31">
        <w:rPr>
          <w:rFonts w:asciiTheme="majorHAnsi" w:hAnsiTheme="majorHAnsi"/>
          <w:i/>
          <w:sz w:val="16"/>
          <w:szCs w:val="16"/>
        </w:rPr>
        <w:t xml:space="preserve"> Judgment of November 20, 2013. Series C No. 270</w:t>
      </w:r>
      <w:r w:rsidRPr="00326F31">
        <w:rPr>
          <w:rFonts w:asciiTheme="majorHAnsi" w:hAnsiTheme="majorHAnsi"/>
          <w:sz w:val="16"/>
          <w:szCs w:val="16"/>
        </w:rPr>
        <w:t xml:space="preserve">, para. </w:t>
      </w:r>
      <w:r w:rsidRPr="00C9052E">
        <w:rPr>
          <w:rFonts w:asciiTheme="majorHAnsi" w:hAnsiTheme="majorHAnsi"/>
          <w:sz w:val="16"/>
          <w:szCs w:val="16"/>
        </w:rPr>
        <w:t xml:space="preserve">332. </w:t>
      </w:r>
    </w:p>
  </w:footnote>
  <w:footnote w:id="149">
    <w:p w14:paraId="2AC55C72" w14:textId="28124259" w:rsidR="00C45C34" w:rsidRPr="00326F31" w:rsidRDefault="00C45C34" w:rsidP="00131FA4">
      <w:pPr>
        <w:pStyle w:val="FootnoteText"/>
        <w:tabs>
          <w:tab w:val="left" w:pos="567"/>
        </w:tabs>
        <w:spacing w:after="120"/>
        <w:ind w:firstLine="720"/>
        <w:jc w:val="both"/>
        <w:rPr>
          <w:rFonts w:asciiTheme="majorHAnsi" w:hAnsiTheme="majorHAnsi" w:cs="Arial"/>
          <w:i/>
          <w:iCs/>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w:t>
      </w:r>
      <w:proofErr w:type="spellStart"/>
      <w:proofErr w:type="gramStart"/>
      <w:r w:rsidRPr="00326F31">
        <w:rPr>
          <w:rFonts w:asciiTheme="majorHAnsi" w:hAnsiTheme="majorHAnsi"/>
          <w:i/>
          <w:sz w:val="16"/>
          <w:szCs w:val="16"/>
        </w:rPr>
        <w:t>Cfr</w:t>
      </w:r>
      <w:proofErr w:type="spellEnd"/>
      <w:r w:rsidRPr="00326F31">
        <w:rPr>
          <w:rFonts w:asciiTheme="majorHAnsi" w:hAnsiTheme="majorHAnsi"/>
          <w:i/>
          <w:sz w:val="16"/>
          <w:szCs w:val="16"/>
        </w:rPr>
        <w:t xml:space="preserve">. </w:t>
      </w:r>
      <w:r w:rsidRPr="00326F31">
        <w:rPr>
          <w:rFonts w:asciiTheme="majorHAnsi" w:hAnsiTheme="majorHAnsi"/>
          <w:sz w:val="16"/>
          <w:szCs w:val="16"/>
        </w:rPr>
        <w:t>Juridical Condition and Rights of the Undocumented Migrants.</w:t>
      </w:r>
      <w:proofErr w:type="gramEnd"/>
      <w:r w:rsidRPr="00326F31">
        <w:rPr>
          <w:rFonts w:asciiTheme="majorHAnsi" w:hAnsiTheme="majorHAnsi"/>
          <w:sz w:val="16"/>
          <w:szCs w:val="16"/>
        </w:rPr>
        <w:t xml:space="preserve"> Advisory Opinion OC-18/03 of September 17, 2003. </w:t>
      </w:r>
      <w:r w:rsidRPr="00165F1E">
        <w:rPr>
          <w:rFonts w:asciiTheme="majorHAnsi" w:hAnsiTheme="majorHAnsi"/>
          <w:sz w:val="16"/>
          <w:szCs w:val="16"/>
        </w:rPr>
        <w:t xml:space="preserve">Series </w:t>
      </w:r>
      <w:proofErr w:type="gramStart"/>
      <w:r w:rsidRPr="00165F1E">
        <w:rPr>
          <w:rFonts w:asciiTheme="majorHAnsi" w:hAnsiTheme="majorHAnsi"/>
          <w:sz w:val="16"/>
          <w:szCs w:val="16"/>
        </w:rPr>
        <w:t>A</w:t>
      </w:r>
      <w:proofErr w:type="gramEnd"/>
      <w:r w:rsidRPr="00165F1E">
        <w:rPr>
          <w:rFonts w:asciiTheme="majorHAnsi" w:hAnsiTheme="majorHAnsi"/>
          <w:sz w:val="16"/>
          <w:szCs w:val="16"/>
        </w:rPr>
        <w:t xml:space="preserve"> No.18, para</w:t>
      </w:r>
      <w:r w:rsidRPr="00165F1E">
        <w:rPr>
          <w:rFonts w:asciiTheme="majorHAnsi" w:hAnsiTheme="majorHAnsi" w:cs="Arial"/>
          <w:sz w:val="16"/>
          <w:szCs w:val="16"/>
        </w:rPr>
        <w:t xml:space="preserve">. </w:t>
      </w:r>
      <w:proofErr w:type="gramStart"/>
      <w:r w:rsidRPr="00165F1E">
        <w:rPr>
          <w:rFonts w:asciiTheme="majorHAnsi" w:hAnsiTheme="majorHAnsi" w:cs="Arial"/>
          <w:sz w:val="16"/>
          <w:szCs w:val="16"/>
        </w:rPr>
        <w:t>85,</w:t>
      </w:r>
      <w:proofErr w:type="gramEnd"/>
      <w:r w:rsidRPr="00165F1E">
        <w:rPr>
          <w:rFonts w:asciiTheme="majorHAnsi" w:hAnsiTheme="majorHAnsi" w:cs="Arial"/>
          <w:sz w:val="16"/>
          <w:szCs w:val="16"/>
        </w:rPr>
        <w:t xml:space="preserve"> and</w:t>
      </w:r>
      <w:r w:rsidRPr="00165F1E">
        <w:rPr>
          <w:rStyle w:val="Strong"/>
          <w:rFonts w:asciiTheme="majorHAnsi" w:hAnsiTheme="majorHAnsi"/>
          <w:i/>
          <w:sz w:val="16"/>
          <w:szCs w:val="16"/>
          <w:shd w:val="clear" w:color="auto" w:fill="FFFFFF"/>
        </w:rPr>
        <w:t xml:space="preserve"> </w:t>
      </w:r>
      <w:r w:rsidRPr="00165F1E">
        <w:rPr>
          <w:rStyle w:val="Strong"/>
          <w:rFonts w:asciiTheme="majorHAnsi" w:hAnsiTheme="majorHAnsi"/>
          <w:b w:val="0"/>
          <w:i/>
          <w:sz w:val="16"/>
          <w:szCs w:val="16"/>
          <w:shd w:val="clear" w:color="auto" w:fill="FFFFFF"/>
        </w:rPr>
        <w:t xml:space="preserve">Case of Espinoza </w:t>
      </w:r>
      <w:proofErr w:type="spellStart"/>
      <w:r w:rsidRPr="00165F1E">
        <w:rPr>
          <w:rStyle w:val="Strong"/>
          <w:rFonts w:asciiTheme="majorHAnsi" w:hAnsiTheme="majorHAnsi"/>
          <w:b w:val="0"/>
          <w:i/>
          <w:sz w:val="16"/>
          <w:szCs w:val="16"/>
          <w:shd w:val="clear" w:color="auto" w:fill="FFFFFF"/>
        </w:rPr>
        <w:t>Gonzáles</w:t>
      </w:r>
      <w:proofErr w:type="spellEnd"/>
      <w:r w:rsidRPr="00165F1E">
        <w:rPr>
          <w:rStyle w:val="Strong"/>
          <w:rFonts w:asciiTheme="majorHAnsi" w:hAnsiTheme="majorHAnsi"/>
          <w:b w:val="0"/>
          <w:i/>
          <w:sz w:val="16"/>
          <w:szCs w:val="16"/>
          <w:shd w:val="clear" w:color="auto" w:fill="FFFFFF"/>
        </w:rPr>
        <w:t xml:space="preserve"> v. Peru, </w:t>
      </w:r>
      <w:r w:rsidRPr="00165F1E">
        <w:rPr>
          <w:rStyle w:val="Strong"/>
          <w:rFonts w:asciiTheme="majorHAnsi" w:hAnsiTheme="majorHAnsi"/>
          <w:b w:val="0"/>
          <w:sz w:val="16"/>
          <w:szCs w:val="16"/>
          <w:shd w:val="clear" w:color="auto" w:fill="FFFFFF"/>
        </w:rPr>
        <w:t xml:space="preserve">para. </w:t>
      </w:r>
      <w:r w:rsidRPr="00326F31">
        <w:rPr>
          <w:rStyle w:val="Strong"/>
          <w:rFonts w:asciiTheme="majorHAnsi" w:hAnsiTheme="majorHAnsi"/>
          <w:b w:val="0"/>
          <w:sz w:val="16"/>
          <w:szCs w:val="16"/>
          <w:shd w:val="clear" w:color="auto" w:fill="FFFFFF"/>
        </w:rPr>
        <w:t>218.</w:t>
      </w:r>
    </w:p>
  </w:footnote>
  <w:footnote w:id="150">
    <w:p w14:paraId="7DAEED0A" w14:textId="52D3F2B1" w:rsidR="00C45C34" w:rsidRPr="00165F1E" w:rsidRDefault="00C45C34" w:rsidP="00131FA4">
      <w:pPr>
        <w:pStyle w:val="FootnoteText"/>
        <w:tabs>
          <w:tab w:val="left" w:pos="567"/>
        </w:tabs>
        <w:spacing w:after="120"/>
        <w:ind w:firstLine="720"/>
        <w:jc w:val="both"/>
        <w:rPr>
          <w:rFonts w:asciiTheme="majorHAnsi" w:hAnsiTheme="majorHAnsi"/>
          <w:sz w:val="16"/>
          <w:szCs w:val="16"/>
          <w:lang w:val="es-VE"/>
        </w:rPr>
      </w:pPr>
      <w:r w:rsidRPr="00326F31">
        <w:rPr>
          <w:rStyle w:val="FootnoteReference"/>
          <w:rFonts w:asciiTheme="majorHAnsi" w:hAnsiTheme="majorHAnsi"/>
          <w:sz w:val="16"/>
          <w:szCs w:val="16"/>
        </w:rPr>
        <w:footnoteRef/>
      </w:r>
      <w:r>
        <w:rPr>
          <w:rFonts w:asciiTheme="majorHAnsi" w:hAnsiTheme="majorHAnsi"/>
          <w:sz w:val="16"/>
          <w:szCs w:val="16"/>
        </w:rPr>
        <w:t xml:space="preserve"> </w:t>
      </w:r>
      <w:proofErr w:type="spellStart"/>
      <w:proofErr w:type="gramStart"/>
      <w:r w:rsidRPr="00326F31">
        <w:rPr>
          <w:rFonts w:asciiTheme="majorHAnsi" w:hAnsiTheme="majorHAnsi"/>
          <w:i/>
          <w:sz w:val="16"/>
          <w:szCs w:val="16"/>
        </w:rPr>
        <w:t>Cfr</w:t>
      </w:r>
      <w:proofErr w:type="spellEnd"/>
      <w:r w:rsidRPr="00326F31">
        <w:rPr>
          <w:rFonts w:asciiTheme="majorHAnsi" w:hAnsiTheme="majorHAnsi"/>
          <w:i/>
          <w:sz w:val="16"/>
          <w:szCs w:val="16"/>
        </w:rPr>
        <w:t xml:space="preserve">. </w:t>
      </w:r>
      <w:r w:rsidRPr="00326F31">
        <w:rPr>
          <w:rFonts w:asciiTheme="majorHAnsi" w:hAnsiTheme="majorHAnsi" w:cs="Arial"/>
          <w:i/>
          <w:iCs/>
          <w:sz w:val="16"/>
          <w:szCs w:val="16"/>
        </w:rPr>
        <w:t>Juridical Condition and Rights of the Undocumented Migrants</w:t>
      </w:r>
      <w:r w:rsidRPr="00326F31">
        <w:rPr>
          <w:rFonts w:asciiTheme="majorHAnsi" w:hAnsiTheme="majorHAnsi" w:cs="Arial"/>
          <w:sz w:val="16"/>
          <w:szCs w:val="16"/>
        </w:rPr>
        <w:t>,</w:t>
      </w:r>
      <w:r w:rsidRPr="00326F31">
        <w:rPr>
          <w:rFonts w:asciiTheme="majorHAnsi" w:hAnsiTheme="majorHAnsi" w:cs="Arial"/>
          <w:i/>
          <w:iCs/>
          <w:sz w:val="16"/>
          <w:szCs w:val="16"/>
        </w:rPr>
        <w:t xml:space="preserve"> </w:t>
      </w:r>
      <w:r w:rsidRPr="00326F31">
        <w:rPr>
          <w:rFonts w:asciiTheme="majorHAnsi" w:hAnsiTheme="majorHAnsi" w:cs="Arial"/>
          <w:sz w:val="16"/>
          <w:szCs w:val="16"/>
        </w:rPr>
        <w:t>para.</w:t>
      </w:r>
      <w:proofErr w:type="gramEnd"/>
      <w:r w:rsidRPr="00326F31">
        <w:rPr>
          <w:rFonts w:asciiTheme="majorHAnsi" w:hAnsiTheme="majorHAnsi" w:cs="Arial"/>
          <w:sz w:val="16"/>
          <w:szCs w:val="16"/>
        </w:rPr>
        <w:t xml:space="preserve"> </w:t>
      </w:r>
      <w:r w:rsidRPr="00165F1E">
        <w:rPr>
          <w:rFonts w:asciiTheme="majorHAnsi" w:hAnsiTheme="majorHAnsi" w:cs="Arial"/>
          <w:sz w:val="16"/>
          <w:szCs w:val="16"/>
          <w:lang w:val="es-VE"/>
        </w:rPr>
        <w:t>53, and</w:t>
      </w:r>
      <w:r w:rsidRPr="00165F1E">
        <w:rPr>
          <w:rStyle w:val="Strong"/>
          <w:rFonts w:asciiTheme="majorHAnsi" w:hAnsiTheme="majorHAnsi"/>
          <w:i/>
          <w:sz w:val="16"/>
          <w:szCs w:val="16"/>
          <w:shd w:val="clear" w:color="auto" w:fill="FFFFFF"/>
          <w:lang w:val="es-VE"/>
        </w:rPr>
        <w:t xml:space="preserve"> </w:t>
      </w:r>
      <w:r w:rsidRPr="00165F1E">
        <w:rPr>
          <w:rStyle w:val="Strong"/>
          <w:rFonts w:asciiTheme="majorHAnsi" w:hAnsiTheme="majorHAnsi"/>
          <w:b w:val="0"/>
          <w:i/>
          <w:sz w:val="16"/>
          <w:szCs w:val="16"/>
          <w:shd w:val="clear" w:color="auto" w:fill="FFFFFF"/>
          <w:lang w:val="es-VE"/>
        </w:rPr>
        <w:t xml:space="preserve">Case of Espinoza Gonzáles v. </w:t>
      </w:r>
      <w:proofErr w:type="spellStart"/>
      <w:r w:rsidRPr="00165F1E">
        <w:rPr>
          <w:rStyle w:val="Strong"/>
          <w:rFonts w:asciiTheme="majorHAnsi" w:hAnsiTheme="majorHAnsi"/>
          <w:b w:val="0"/>
          <w:i/>
          <w:sz w:val="16"/>
          <w:szCs w:val="16"/>
          <w:shd w:val="clear" w:color="auto" w:fill="FFFFFF"/>
          <w:lang w:val="es-VE"/>
        </w:rPr>
        <w:t>Peru</w:t>
      </w:r>
      <w:proofErr w:type="spellEnd"/>
      <w:r w:rsidRPr="00165F1E">
        <w:rPr>
          <w:rStyle w:val="Strong"/>
          <w:rFonts w:asciiTheme="majorHAnsi" w:hAnsiTheme="majorHAnsi"/>
          <w:b w:val="0"/>
          <w:i/>
          <w:sz w:val="16"/>
          <w:szCs w:val="16"/>
          <w:shd w:val="clear" w:color="auto" w:fill="FFFFFF"/>
          <w:lang w:val="es-VE"/>
        </w:rPr>
        <w:t xml:space="preserve">, </w:t>
      </w:r>
      <w:r w:rsidRPr="00165F1E">
        <w:rPr>
          <w:rStyle w:val="Strong"/>
          <w:rFonts w:asciiTheme="majorHAnsi" w:hAnsiTheme="majorHAnsi"/>
          <w:b w:val="0"/>
          <w:sz w:val="16"/>
          <w:szCs w:val="16"/>
          <w:shd w:val="clear" w:color="auto" w:fill="FFFFFF"/>
          <w:lang w:val="es-VE"/>
        </w:rPr>
        <w:t>para. 218..</w:t>
      </w:r>
    </w:p>
  </w:footnote>
  <w:footnote w:id="151">
    <w:p w14:paraId="34C9177E" w14:textId="20C70EE7" w:rsidR="00C45C34" w:rsidRPr="00A2556A" w:rsidRDefault="00C45C34" w:rsidP="00835223">
      <w:pPr>
        <w:pStyle w:val="FootnoteText"/>
        <w:spacing w:after="120"/>
        <w:ind w:firstLine="720"/>
        <w:jc w:val="both"/>
        <w:rPr>
          <w:rFonts w:ascii="Cambria" w:hAnsi="Cambria"/>
          <w:sz w:val="16"/>
          <w:szCs w:val="16"/>
          <w:lang w:val="es-VE"/>
        </w:rPr>
      </w:pPr>
      <w:r w:rsidRPr="00A2556A">
        <w:rPr>
          <w:rStyle w:val="FootnoteReference"/>
          <w:rFonts w:ascii="Cambria" w:hAnsi="Cambria"/>
          <w:sz w:val="16"/>
          <w:szCs w:val="16"/>
        </w:rPr>
        <w:footnoteRef/>
      </w:r>
      <w:r>
        <w:rPr>
          <w:rFonts w:ascii="Cambria" w:hAnsi="Cambria"/>
          <w:sz w:val="16"/>
          <w:szCs w:val="16"/>
          <w:lang w:val="es-VE"/>
        </w:rPr>
        <w:t xml:space="preserve"> Anexo 17</w:t>
      </w:r>
      <w:r w:rsidRPr="00A2556A">
        <w:rPr>
          <w:rFonts w:ascii="Cambria" w:hAnsi="Cambria"/>
          <w:sz w:val="16"/>
          <w:szCs w:val="16"/>
          <w:lang w:val="es-VE"/>
        </w:rPr>
        <w:t xml:space="preserve">.  Carta del Presidente del Consejo Nacional de Fronteras a Rocío San Miguel, comunicando la finalización de la relación laboral, el 12 de marzo de 2004, Anexo F al Escrito del Estado dentro del trámite de admisibilidad ante CIDH </w:t>
      </w:r>
      <w:r>
        <w:rPr>
          <w:rFonts w:ascii="Cambria" w:hAnsi="Cambria"/>
          <w:sz w:val="16"/>
          <w:szCs w:val="16"/>
          <w:lang w:val="es-VE"/>
        </w:rPr>
        <w:t>de 16 de enero de 2008; Anexo 18</w:t>
      </w:r>
      <w:r w:rsidRPr="00A2556A">
        <w:rPr>
          <w:rFonts w:ascii="Cambria" w:hAnsi="Cambria"/>
          <w:sz w:val="16"/>
          <w:szCs w:val="16"/>
          <w:lang w:val="es-VE"/>
        </w:rPr>
        <w:t xml:space="preserve">.  Carta del Presidente del Consejo Nacional de Fronteras a </w:t>
      </w:r>
      <w:proofErr w:type="spellStart"/>
      <w:r w:rsidRPr="00A2556A">
        <w:rPr>
          <w:rFonts w:ascii="Cambria" w:hAnsi="Cambria"/>
          <w:sz w:val="16"/>
          <w:szCs w:val="16"/>
          <w:lang w:val="es-VE"/>
        </w:rPr>
        <w:t>Magally</w:t>
      </w:r>
      <w:proofErr w:type="spellEnd"/>
      <w:r w:rsidRPr="00A2556A">
        <w:rPr>
          <w:rFonts w:ascii="Cambria" w:hAnsi="Cambria"/>
          <w:sz w:val="16"/>
          <w:szCs w:val="16"/>
          <w:lang w:val="es-VE"/>
        </w:rPr>
        <w:t xml:space="preserve"> Chang Girón, comunicando la finalización de la relación laboral, el 12 de marzo de 2004, Anexo F al Escrito del Estado dentro del trámite de admisibilidad ante CIDH </w:t>
      </w:r>
      <w:r>
        <w:rPr>
          <w:rFonts w:ascii="Cambria" w:hAnsi="Cambria"/>
          <w:sz w:val="16"/>
          <w:szCs w:val="16"/>
          <w:lang w:val="es-VE"/>
        </w:rPr>
        <w:t>de 16 de enero de 2008; Anexo 19</w:t>
      </w:r>
      <w:r w:rsidRPr="00A2556A">
        <w:rPr>
          <w:rFonts w:ascii="Cambria" w:hAnsi="Cambria"/>
          <w:sz w:val="16"/>
          <w:szCs w:val="16"/>
          <w:lang w:val="es-VE"/>
        </w:rPr>
        <w:t>.  Carta del Presidente del Consejo Nacional de Fronteras a Thais Coromoto Peña, comunicando la finalización de la relación laboral, el 12 de marzo de 2004, Anexo F al Escrito del Estado dentro del trámite de admisibilidad ante CIDH de 16 de enero de 2008. De conformidad con una comunicación del entonces Secretario Ejecutivo del Consejo Nacional de Fronteras, las presuntas víctimas prestaron sus servicios al Consejo Nacional de Fronteras hasta el 30</w:t>
      </w:r>
      <w:r>
        <w:rPr>
          <w:rFonts w:ascii="Cambria" w:hAnsi="Cambria"/>
          <w:sz w:val="16"/>
          <w:szCs w:val="16"/>
          <w:lang w:val="es-VE"/>
        </w:rPr>
        <w:t xml:space="preserve"> de abril de 2004.  Ver Anexo 20</w:t>
      </w:r>
      <w:r w:rsidRPr="00A2556A">
        <w:rPr>
          <w:rFonts w:ascii="Cambria" w:hAnsi="Cambria"/>
          <w:sz w:val="16"/>
          <w:szCs w:val="16"/>
          <w:lang w:val="es-VE"/>
        </w:rPr>
        <w:t xml:space="preserve">. Carta del Secretario Ejecutivo del Consejo Nacional de Fronteras al Fiscal 37 del Ministerio Público, 13 de julio de 2004, Anexo II de la denuncia presentada ante la CIDH el 7 de marzo de 2006. </w:t>
      </w:r>
      <w:r w:rsidRPr="00A2556A">
        <w:rPr>
          <w:rFonts w:ascii="Cambria" w:hAnsi="Cambria"/>
          <w:sz w:val="16"/>
          <w:szCs w:val="16"/>
          <w:lang w:val="es-VE"/>
        </w:rPr>
        <w:tab/>
      </w:r>
    </w:p>
  </w:footnote>
  <w:footnote w:id="152">
    <w:p w14:paraId="1F54E750" w14:textId="02F5586A"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52</w:t>
      </w:r>
      <w:r w:rsidRPr="00326F31">
        <w:rPr>
          <w:rFonts w:asciiTheme="majorHAnsi" w:hAnsiTheme="majorHAnsi"/>
          <w:sz w:val="16"/>
          <w:szCs w:val="16"/>
        </w:rPr>
        <w:t>. Judgment of the Third Superior Court for Labor Matters of the Labor Circuit Court of the Judicial District of the Metropolitan Area of Caracas, September 9, 2005, Annex I of the complaint filed before the IACHR on March 7, 2006.</w:t>
      </w:r>
    </w:p>
  </w:footnote>
  <w:footnote w:id="153">
    <w:p w14:paraId="30557898" w14:textId="45CFCBAE"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58.</w:t>
      </w:r>
      <w:r w:rsidRPr="00326F31">
        <w:rPr>
          <w:rFonts w:asciiTheme="majorHAnsi" w:hAnsiTheme="majorHAnsi"/>
          <w:sz w:val="16"/>
          <w:szCs w:val="16"/>
        </w:rPr>
        <w:t xml:space="preserve"> </w:t>
      </w:r>
      <w:proofErr w:type="gramStart"/>
      <w:r w:rsidRPr="00326F31">
        <w:rPr>
          <w:rFonts w:asciiTheme="majorHAnsi" w:hAnsiTheme="majorHAnsi"/>
          <w:sz w:val="16"/>
          <w:szCs w:val="16"/>
        </w:rPr>
        <w:t>Resolution dismissal of the case of Control Court 21 of the Criminal Judicial Circuit of the Metropolitan Area of Caracas, April 4, 2004.</w:t>
      </w:r>
      <w:proofErr w:type="gramEnd"/>
      <w:r>
        <w:rPr>
          <w:rFonts w:asciiTheme="majorHAnsi" w:hAnsiTheme="majorHAnsi"/>
          <w:sz w:val="16"/>
          <w:szCs w:val="16"/>
        </w:rPr>
        <w:t xml:space="preserve"> </w:t>
      </w:r>
      <w:r w:rsidRPr="00326F31">
        <w:rPr>
          <w:rFonts w:asciiTheme="majorHAnsi" w:hAnsiTheme="majorHAnsi"/>
          <w:sz w:val="16"/>
          <w:szCs w:val="16"/>
        </w:rPr>
        <w:t>Annex II of the complaint filed before the IACHR on March 7, 2006.</w:t>
      </w:r>
    </w:p>
  </w:footnote>
  <w:footnote w:id="154">
    <w:p w14:paraId="616BE1FC" w14:textId="1A3B22BC" w:rsidR="00C45C34" w:rsidRPr="00603ED8" w:rsidRDefault="00C45C34" w:rsidP="00131FA4">
      <w:pPr>
        <w:pStyle w:val="FootnoteText"/>
        <w:tabs>
          <w:tab w:val="left" w:pos="360"/>
        </w:tabs>
        <w:spacing w:after="120"/>
        <w:ind w:firstLine="720"/>
        <w:jc w:val="both"/>
        <w:rPr>
          <w:rFonts w:ascii="Cambria" w:hAnsi="Cambria"/>
          <w:sz w:val="16"/>
          <w:szCs w:val="16"/>
        </w:rPr>
      </w:pPr>
      <w:r w:rsidRPr="00A2556A">
        <w:rPr>
          <w:rStyle w:val="FootnoteReference"/>
          <w:rFonts w:ascii="Cambria" w:hAnsi="Cambria"/>
          <w:sz w:val="16"/>
          <w:szCs w:val="16"/>
        </w:rPr>
        <w:footnoteRef/>
      </w:r>
      <w:proofErr w:type="gramStart"/>
      <w:r w:rsidRPr="00326F31">
        <w:rPr>
          <w:rFonts w:asciiTheme="majorHAnsi" w:hAnsiTheme="majorHAnsi"/>
          <w:sz w:val="16"/>
          <w:szCs w:val="16"/>
        </w:rPr>
        <w:t>IACHR.</w:t>
      </w:r>
      <w:proofErr w:type="gramEnd"/>
      <w:r w:rsidRPr="00326F31">
        <w:rPr>
          <w:rFonts w:asciiTheme="majorHAnsi" w:hAnsiTheme="majorHAnsi"/>
          <w:sz w:val="16"/>
          <w:szCs w:val="16"/>
        </w:rPr>
        <w:t xml:space="preserve"> Application filed before the Inter-American Court of Human Rights, in the case of Ana María Ruggeri Cova, Perkins Rocha Contreras and Juan Carlos </w:t>
      </w:r>
      <w:proofErr w:type="spellStart"/>
      <w:r w:rsidRPr="00326F31">
        <w:rPr>
          <w:rFonts w:asciiTheme="majorHAnsi" w:hAnsiTheme="majorHAnsi"/>
          <w:sz w:val="16"/>
          <w:szCs w:val="16"/>
        </w:rPr>
        <w:t>Apitz</w:t>
      </w:r>
      <w:proofErr w:type="spellEnd"/>
      <w:r w:rsidRPr="00326F31">
        <w:rPr>
          <w:rFonts w:asciiTheme="majorHAnsi" w:hAnsiTheme="majorHAnsi"/>
          <w:sz w:val="16"/>
          <w:szCs w:val="16"/>
        </w:rPr>
        <w:t xml:space="preserve"> (“First Court of Administrative Disputes”) (Case 12.489) against the Bolivarian Republic of Venezuela, November 2, 2006, para. </w:t>
      </w:r>
      <w:r>
        <w:rPr>
          <w:rFonts w:asciiTheme="majorHAnsi" w:hAnsiTheme="majorHAnsi"/>
          <w:sz w:val="16"/>
          <w:szCs w:val="16"/>
        </w:rPr>
        <w:t>128.</w:t>
      </w:r>
    </w:p>
  </w:footnote>
  <w:footnote w:id="155">
    <w:p w14:paraId="054798DD" w14:textId="3926A2AA" w:rsidR="00C45C34" w:rsidRPr="00603ED8" w:rsidRDefault="00C45C34" w:rsidP="00131FA4">
      <w:pPr>
        <w:pStyle w:val="FootnoteText"/>
        <w:tabs>
          <w:tab w:val="left" w:pos="360"/>
        </w:tabs>
        <w:spacing w:after="120"/>
        <w:ind w:firstLine="720"/>
        <w:jc w:val="both"/>
        <w:rPr>
          <w:rFonts w:ascii="Cambria" w:hAnsi="Cambria"/>
          <w:sz w:val="16"/>
          <w:szCs w:val="16"/>
        </w:rPr>
      </w:pPr>
      <w:r w:rsidRPr="00A2556A">
        <w:rPr>
          <w:rStyle w:val="FootnoteReference"/>
          <w:rFonts w:ascii="Cambria" w:hAnsi="Cambria"/>
          <w:sz w:val="16"/>
          <w:szCs w:val="16"/>
        </w:rPr>
        <w:footnoteRef/>
      </w:r>
      <w:proofErr w:type="gramStart"/>
      <w:r w:rsidRPr="00326F31">
        <w:rPr>
          <w:rFonts w:asciiTheme="majorHAnsi" w:hAnsiTheme="majorHAnsi"/>
          <w:sz w:val="16"/>
          <w:szCs w:val="16"/>
        </w:rPr>
        <w:t>IACHR.</w:t>
      </w:r>
      <w:proofErr w:type="gramEnd"/>
      <w:r w:rsidRPr="00326F31">
        <w:rPr>
          <w:rFonts w:asciiTheme="majorHAnsi" w:hAnsiTheme="majorHAnsi"/>
          <w:sz w:val="16"/>
          <w:szCs w:val="16"/>
        </w:rPr>
        <w:t xml:space="preserve"> Application filed before the Inter-American Court of Human Rights, in the case of Ana María Ruggeri Cova, Perkins Rocha Contreras and Juan Carlos </w:t>
      </w:r>
      <w:proofErr w:type="spellStart"/>
      <w:r w:rsidRPr="00326F31">
        <w:rPr>
          <w:rFonts w:asciiTheme="majorHAnsi" w:hAnsiTheme="majorHAnsi"/>
          <w:sz w:val="16"/>
          <w:szCs w:val="16"/>
        </w:rPr>
        <w:t>Apitz</w:t>
      </w:r>
      <w:proofErr w:type="spellEnd"/>
      <w:r w:rsidRPr="00326F31">
        <w:rPr>
          <w:rFonts w:asciiTheme="majorHAnsi" w:hAnsiTheme="majorHAnsi"/>
          <w:sz w:val="16"/>
          <w:szCs w:val="16"/>
        </w:rPr>
        <w:t xml:space="preserve"> (“First Court of Administrative Disputes”) (Case 12.489) against the Bolivarian Republic of Venezuela, November 2, 2006, para. </w:t>
      </w:r>
      <w:r w:rsidRPr="00C9052E">
        <w:rPr>
          <w:rFonts w:asciiTheme="majorHAnsi" w:hAnsiTheme="majorHAnsi"/>
          <w:sz w:val="16"/>
          <w:szCs w:val="16"/>
        </w:rPr>
        <w:t>129</w:t>
      </w:r>
      <w:r w:rsidRPr="00603ED8">
        <w:rPr>
          <w:rFonts w:ascii="Cambria" w:hAnsi="Cambria"/>
          <w:sz w:val="16"/>
          <w:szCs w:val="16"/>
        </w:rPr>
        <w:t xml:space="preserve">.  </w:t>
      </w:r>
    </w:p>
  </w:footnote>
  <w:footnote w:id="156">
    <w:p w14:paraId="7A10A77C" w14:textId="5F87E253" w:rsidR="00C45C34" w:rsidRPr="00C9052E" w:rsidRDefault="00C45C34" w:rsidP="00131FA4">
      <w:pPr>
        <w:pStyle w:val="footnote"/>
        <w:spacing w:before="0" w:beforeAutospacing="0" w:after="120" w:afterAutospacing="0"/>
        <w:ind w:firstLine="720"/>
        <w:jc w:val="both"/>
        <w:rPr>
          <w:rFonts w:asciiTheme="majorHAnsi" w:hAnsiTheme="majorHAnsi"/>
          <w:sz w:val="16"/>
          <w:szCs w:val="16"/>
        </w:rPr>
      </w:pPr>
      <w:proofErr w:type="gramStart"/>
      <w:r w:rsidRPr="00326F31">
        <w:rPr>
          <w:rFonts w:asciiTheme="majorHAnsi" w:hAnsiTheme="majorHAnsi"/>
          <w:sz w:val="16"/>
          <w:szCs w:val="16"/>
        </w:rPr>
        <w:t>IACHR, The Inter-American Legal Framework Regarding the Right to Freedom of Expression OEA/</w:t>
      </w:r>
      <w:proofErr w:type="spellStart"/>
      <w:r w:rsidRPr="00326F31">
        <w:rPr>
          <w:rFonts w:asciiTheme="majorHAnsi" w:hAnsiTheme="majorHAnsi"/>
          <w:sz w:val="16"/>
          <w:szCs w:val="16"/>
        </w:rPr>
        <w:t>Ser.L</w:t>
      </w:r>
      <w:proofErr w:type="spellEnd"/>
      <w:r w:rsidRPr="00326F31">
        <w:rPr>
          <w:rFonts w:asciiTheme="majorHAnsi" w:hAnsiTheme="majorHAnsi"/>
          <w:sz w:val="16"/>
          <w:szCs w:val="16"/>
        </w:rPr>
        <w:t>/V/IICIDH/RELE/INF.2/09/, December, 30 2009, para.</w:t>
      </w:r>
      <w:proofErr w:type="gramEnd"/>
      <w:r w:rsidRPr="00326F31">
        <w:rPr>
          <w:rFonts w:asciiTheme="majorHAnsi" w:hAnsiTheme="majorHAnsi"/>
          <w:sz w:val="16"/>
          <w:szCs w:val="16"/>
        </w:rPr>
        <w:t xml:space="preserve"> </w:t>
      </w:r>
      <w:r w:rsidRPr="00C9052E">
        <w:rPr>
          <w:rFonts w:asciiTheme="majorHAnsi" w:hAnsiTheme="majorHAnsi"/>
          <w:sz w:val="16"/>
          <w:szCs w:val="16"/>
        </w:rPr>
        <w:t>203.</w:t>
      </w:r>
      <w:r>
        <w:rPr>
          <w:rFonts w:asciiTheme="majorHAnsi" w:hAnsiTheme="majorHAnsi"/>
          <w:sz w:val="16"/>
          <w:szCs w:val="16"/>
        </w:rPr>
        <w:t xml:space="preserve"> </w:t>
      </w:r>
    </w:p>
  </w:footnote>
  <w:footnote w:id="157">
    <w:p w14:paraId="0D8E3005" w14:textId="052E5284" w:rsidR="00C45C34" w:rsidRPr="00C9052E" w:rsidRDefault="00C45C34" w:rsidP="00131FA4">
      <w:pPr>
        <w:pStyle w:val="footnote"/>
        <w:spacing w:before="0" w:beforeAutospacing="0" w:after="120" w:afterAutospacing="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IACHR, 2013 </w:t>
      </w:r>
      <w:proofErr w:type="spellStart"/>
      <w:r w:rsidRPr="00326F31">
        <w:rPr>
          <w:rFonts w:asciiTheme="majorHAnsi" w:hAnsiTheme="majorHAnsi"/>
          <w:sz w:val="16"/>
          <w:szCs w:val="16"/>
        </w:rPr>
        <w:t>Anual</w:t>
      </w:r>
      <w:proofErr w:type="spellEnd"/>
      <w:r w:rsidRPr="00326F31">
        <w:rPr>
          <w:rFonts w:asciiTheme="majorHAnsi" w:hAnsiTheme="majorHAnsi"/>
          <w:sz w:val="16"/>
          <w:szCs w:val="16"/>
        </w:rPr>
        <w:t xml:space="preserve"> Report of the Inter-American Commission on Human Rights, Volume II, Annual Report of the Office of the Special Rapporteur for Freedom of Expression </w:t>
      </w:r>
      <w:proofErr w:type="spellStart"/>
      <w:r w:rsidRPr="00326F31">
        <w:rPr>
          <w:rFonts w:asciiTheme="majorHAnsi" w:hAnsiTheme="majorHAnsi"/>
          <w:sz w:val="16"/>
          <w:szCs w:val="16"/>
        </w:rPr>
        <w:t>oea</w:t>
      </w:r>
      <w:proofErr w:type="spellEnd"/>
      <w:r w:rsidRPr="00326F31">
        <w:rPr>
          <w:rFonts w:asciiTheme="majorHAnsi" w:hAnsiTheme="majorHAnsi"/>
          <w:sz w:val="16"/>
          <w:szCs w:val="16"/>
        </w:rPr>
        <w:t>/</w:t>
      </w:r>
      <w:proofErr w:type="spellStart"/>
      <w:r w:rsidRPr="00326F31">
        <w:rPr>
          <w:rFonts w:asciiTheme="majorHAnsi" w:hAnsiTheme="majorHAnsi"/>
          <w:sz w:val="16"/>
          <w:szCs w:val="16"/>
        </w:rPr>
        <w:t>ser.L</w:t>
      </w:r>
      <w:proofErr w:type="spellEnd"/>
      <w:r w:rsidRPr="00326F31">
        <w:rPr>
          <w:rFonts w:asciiTheme="majorHAnsi" w:hAnsiTheme="majorHAnsi"/>
          <w:sz w:val="16"/>
          <w:szCs w:val="16"/>
        </w:rPr>
        <w:t xml:space="preserve">/V.II/Doc.50, December 31, 2013, para. </w:t>
      </w:r>
      <w:r w:rsidRPr="00C9052E">
        <w:rPr>
          <w:rFonts w:asciiTheme="majorHAnsi" w:hAnsiTheme="majorHAnsi"/>
          <w:sz w:val="16"/>
          <w:szCs w:val="16"/>
        </w:rPr>
        <w:t>911.</w:t>
      </w:r>
    </w:p>
  </w:footnote>
  <w:footnote w:id="158">
    <w:p w14:paraId="29975FA8" w14:textId="5D203937" w:rsidR="00C45C34" w:rsidRPr="00C9052E" w:rsidRDefault="00C45C34" w:rsidP="00131FA4">
      <w:pPr>
        <w:pStyle w:val="footnote"/>
        <w:spacing w:before="0" w:beforeAutospacing="0" w:after="120" w:afterAutospacing="0"/>
        <w:ind w:firstLine="720"/>
        <w:jc w:val="both"/>
        <w:rPr>
          <w:rFonts w:asciiTheme="majorHAnsi" w:hAnsiTheme="majorHAnsi"/>
          <w:sz w:val="16"/>
          <w:szCs w:val="16"/>
        </w:rPr>
      </w:pPr>
      <w:r w:rsidRPr="00326F31">
        <w:rPr>
          <w:rStyle w:val="FootnoteReference"/>
          <w:rFonts w:asciiTheme="majorHAnsi" w:hAnsiTheme="majorHAnsi"/>
          <w:sz w:val="16"/>
          <w:szCs w:val="16"/>
        </w:rPr>
        <w:footnoteRef/>
      </w:r>
      <w:proofErr w:type="spellStart"/>
      <w:proofErr w:type="gramStart"/>
      <w:r w:rsidRPr="00C9052E">
        <w:rPr>
          <w:rFonts w:asciiTheme="majorHAnsi" w:hAnsiTheme="majorHAnsi"/>
          <w:i/>
          <w:sz w:val="16"/>
          <w:szCs w:val="16"/>
        </w:rPr>
        <w:t>Ibíd</w:t>
      </w:r>
      <w:proofErr w:type="spellEnd"/>
      <w:r w:rsidRPr="00C9052E">
        <w:rPr>
          <w:rFonts w:asciiTheme="majorHAnsi" w:hAnsiTheme="majorHAnsi"/>
          <w:i/>
          <w:sz w:val="16"/>
          <w:szCs w:val="16"/>
        </w:rPr>
        <w:t>.</w:t>
      </w:r>
      <w:proofErr w:type="gramEnd"/>
      <w:r w:rsidRPr="00C9052E">
        <w:rPr>
          <w:rFonts w:asciiTheme="majorHAnsi" w:hAnsiTheme="majorHAnsi"/>
          <w:sz w:val="16"/>
          <w:szCs w:val="16"/>
        </w:rPr>
        <w:t xml:space="preserve"> </w:t>
      </w:r>
      <w:proofErr w:type="gramStart"/>
      <w:r w:rsidRPr="00C9052E">
        <w:rPr>
          <w:rFonts w:asciiTheme="majorHAnsi" w:hAnsiTheme="majorHAnsi"/>
          <w:sz w:val="16"/>
          <w:szCs w:val="16"/>
        </w:rPr>
        <w:t>para</w:t>
      </w:r>
      <w:proofErr w:type="gramEnd"/>
      <w:r w:rsidRPr="00C9052E">
        <w:rPr>
          <w:rFonts w:asciiTheme="majorHAnsi" w:hAnsiTheme="majorHAnsi"/>
          <w:sz w:val="16"/>
          <w:szCs w:val="16"/>
        </w:rPr>
        <w:t>. 870.</w:t>
      </w:r>
    </w:p>
  </w:footnote>
  <w:footnote w:id="159">
    <w:p w14:paraId="415981A0" w14:textId="14878B06" w:rsidR="00C45C34" w:rsidRPr="00163AF3" w:rsidRDefault="00C45C34" w:rsidP="00131FA4">
      <w:pPr>
        <w:pStyle w:val="FootnoteText"/>
        <w:spacing w:after="120"/>
        <w:ind w:firstLine="720"/>
        <w:jc w:val="both"/>
        <w:rPr>
          <w:rFonts w:ascii="Cambria" w:hAnsi="Cambria"/>
          <w:sz w:val="16"/>
          <w:szCs w:val="16"/>
        </w:rPr>
      </w:pPr>
      <w:r w:rsidRPr="00A2556A">
        <w:rPr>
          <w:rStyle w:val="FootnoteReference"/>
          <w:rFonts w:ascii="Cambria" w:hAnsi="Cambria"/>
          <w:sz w:val="16"/>
          <w:szCs w:val="16"/>
        </w:rPr>
        <w:footnoteRef/>
      </w:r>
      <w:r w:rsidRPr="00B7781C">
        <w:rPr>
          <w:rFonts w:ascii="Cambria" w:hAnsi="Cambria"/>
          <w:sz w:val="16"/>
          <w:szCs w:val="16"/>
        </w:rPr>
        <w:t xml:space="preserve"> Statement by Venezuelan President Hugo Ch</w:t>
      </w:r>
      <w:r>
        <w:rPr>
          <w:rFonts w:ascii="Cambria" w:hAnsi="Cambria"/>
          <w:sz w:val="16"/>
          <w:szCs w:val="16"/>
        </w:rPr>
        <w:t>ávez at the V Mobile Cabinet Meeting, April 15</w:t>
      </w:r>
      <w:proofErr w:type="gramStart"/>
      <w:r>
        <w:rPr>
          <w:rFonts w:ascii="Cambria" w:hAnsi="Cambria"/>
          <w:sz w:val="16"/>
          <w:szCs w:val="16"/>
        </w:rPr>
        <w:t>,2005</w:t>
      </w:r>
      <w:proofErr w:type="gramEnd"/>
      <w:r>
        <w:rPr>
          <w:rFonts w:ascii="Cambria" w:hAnsi="Cambria"/>
          <w:sz w:val="16"/>
          <w:szCs w:val="16"/>
        </w:rPr>
        <w:t xml:space="preserve">, in the city of Puerto </w:t>
      </w:r>
      <w:proofErr w:type="spellStart"/>
      <w:r>
        <w:rPr>
          <w:rFonts w:ascii="Cambria" w:hAnsi="Cambria"/>
          <w:sz w:val="16"/>
          <w:szCs w:val="16"/>
        </w:rPr>
        <w:t>Ordaz</w:t>
      </w:r>
      <w:proofErr w:type="spellEnd"/>
      <w:r w:rsidRPr="00B7781C">
        <w:rPr>
          <w:rFonts w:ascii="Cambria" w:eastAsia="Arial Unicode MS" w:hAnsi="Cambria" w:cs="Times New Roman"/>
          <w:sz w:val="16"/>
          <w:szCs w:val="16"/>
          <w:lang w:eastAsia="en-US"/>
        </w:rPr>
        <w:t>, cited in</w:t>
      </w:r>
      <w:r>
        <w:rPr>
          <w:rFonts w:ascii="Cambria" w:eastAsia="Arial Unicode MS" w:hAnsi="Cambria" w:cs="Times New Roman"/>
          <w:sz w:val="16"/>
          <w:szCs w:val="16"/>
          <w:lang w:eastAsia="en-US"/>
        </w:rPr>
        <w:t xml:space="preserve"> IACHR </w:t>
      </w:r>
      <w:r w:rsidRPr="00B7781C">
        <w:rPr>
          <w:rFonts w:ascii="Cambria" w:hAnsi="Cambria"/>
          <w:sz w:val="16"/>
          <w:szCs w:val="16"/>
        </w:rPr>
        <w:t>, Democracy and Human Rights in Venezuela, OEA/</w:t>
      </w:r>
      <w:proofErr w:type="spellStart"/>
      <w:r w:rsidRPr="00B7781C">
        <w:rPr>
          <w:rFonts w:ascii="Cambria" w:hAnsi="Cambria"/>
          <w:sz w:val="16"/>
          <w:szCs w:val="16"/>
        </w:rPr>
        <w:t>Ser.L</w:t>
      </w:r>
      <w:proofErr w:type="spellEnd"/>
      <w:r w:rsidRPr="00B7781C">
        <w:rPr>
          <w:rFonts w:ascii="Cambria" w:hAnsi="Cambria"/>
          <w:sz w:val="16"/>
          <w:szCs w:val="16"/>
        </w:rPr>
        <w:t xml:space="preserve">/V/II.Doc.54, December 30, 2009, chap </w:t>
      </w:r>
      <w:proofErr w:type="spellStart"/>
      <w:r w:rsidRPr="00B7781C">
        <w:rPr>
          <w:rFonts w:ascii="Cambria" w:hAnsi="Cambria"/>
          <w:sz w:val="16"/>
          <w:szCs w:val="16"/>
        </w:rPr>
        <w:t>II.a</w:t>
      </w:r>
      <w:proofErr w:type="spellEnd"/>
      <w:r w:rsidRPr="00B7781C">
        <w:rPr>
          <w:rFonts w:ascii="Cambria" w:hAnsi="Cambria"/>
          <w:sz w:val="16"/>
          <w:szCs w:val="16"/>
        </w:rPr>
        <w:t xml:space="preserve">, para. </w:t>
      </w:r>
      <w:r w:rsidRPr="00163AF3">
        <w:rPr>
          <w:rFonts w:ascii="Cambria" w:hAnsi="Cambria"/>
          <w:sz w:val="16"/>
          <w:szCs w:val="16"/>
        </w:rPr>
        <w:t>99.</w:t>
      </w:r>
    </w:p>
  </w:footnote>
  <w:footnote w:id="160">
    <w:p w14:paraId="30E4F078" w14:textId="77777777" w:rsidR="00C45C34" w:rsidRPr="00924E1F" w:rsidRDefault="00C45C34" w:rsidP="00DA307A">
      <w:pPr>
        <w:pStyle w:val="FootnoteText"/>
        <w:tabs>
          <w:tab w:val="left" w:pos="360"/>
        </w:tabs>
        <w:spacing w:after="120"/>
        <w:ind w:firstLine="720"/>
        <w:jc w:val="both"/>
        <w:rPr>
          <w:rFonts w:ascii="Cambria" w:hAnsi="Cambria"/>
          <w:sz w:val="16"/>
          <w:szCs w:val="16"/>
        </w:rPr>
      </w:pPr>
      <w:r w:rsidRPr="00924E1F">
        <w:rPr>
          <w:rStyle w:val="FootnoteReference"/>
          <w:rFonts w:asciiTheme="majorHAnsi" w:hAnsiTheme="majorHAnsi"/>
          <w:sz w:val="16"/>
          <w:szCs w:val="16"/>
        </w:rPr>
        <w:footnoteRef/>
      </w:r>
      <w:r w:rsidRPr="00924E1F">
        <w:rPr>
          <w:rFonts w:asciiTheme="majorHAnsi" w:hAnsiTheme="majorHAnsi"/>
          <w:sz w:val="16"/>
          <w:szCs w:val="16"/>
        </w:rPr>
        <w:t xml:space="preserve"> </w:t>
      </w:r>
      <w:proofErr w:type="gramStart"/>
      <w:r w:rsidRPr="00924E1F">
        <w:rPr>
          <w:rFonts w:asciiTheme="majorHAnsi" w:hAnsiTheme="majorHAnsi"/>
          <w:sz w:val="16"/>
          <w:szCs w:val="16"/>
        </w:rPr>
        <w:t>IACHR.</w:t>
      </w:r>
      <w:proofErr w:type="gramEnd"/>
      <w:r w:rsidRPr="00924E1F">
        <w:rPr>
          <w:rFonts w:asciiTheme="majorHAnsi" w:hAnsiTheme="majorHAnsi"/>
          <w:sz w:val="16"/>
          <w:szCs w:val="16"/>
        </w:rPr>
        <w:t xml:space="preserve"> Application filed before the Inter-American Court of Human Rights, in the case of Ana María Ruggeri Cova, Perkins Rocha Contreras and Juan Carlos </w:t>
      </w:r>
      <w:proofErr w:type="spellStart"/>
      <w:r w:rsidRPr="00924E1F">
        <w:rPr>
          <w:rFonts w:asciiTheme="majorHAnsi" w:hAnsiTheme="majorHAnsi"/>
          <w:sz w:val="16"/>
          <w:szCs w:val="16"/>
        </w:rPr>
        <w:t>Apitz</w:t>
      </w:r>
      <w:proofErr w:type="spellEnd"/>
      <w:r w:rsidRPr="00924E1F">
        <w:rPr>
          <w:rFonts w:asciiTheme="majorHAnsi" w:hAnsiTheme="majorHAnsi"/>
          <w:sz w:val="16"/>
          <w:szCs w:val="16"/>
        </w:rPr>
        <w:t xml:space="preserve"> (“First Court of Administrative Disputes”) (Case 12.489) against the Bolivarian Republic of Venezuela, November 2, 2006, para. 128</w:t>
      </w:r>
      <w:r>
        <w:rPr>
          <w:rFonts w:asciiTheme="majorHAnsi" w:hAnsiTheme="majorHAnsi"/>
          <w:sz w:val="16"/>
          <w:szCs w:val="16"/>
        </w:rPr>
        <w:t>.</w:t>
      </w:r>
    </w:p>
  </w:footnote>
  <w:footnote w:id="161">
    <w:p w14:paraId="7D182313" w14:textId="17881978" w:rsidR="00C45C34" w:rsidRPr="00C9052E" w:rsidRDefault="00C45C34" w:rsidP="00131FA4">
      <w:pPr>
        <w:pStyle w:val="FootnoteText"/>
        <w:tabs>
          <w:tab w:val="left" w:pos="567"/>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 R., Case of </w:t>
      </w:r>
      <w:proofErr w:type="spellStart"/>
      <w:r w:rsidRPr="00326F31">
        <w:rPr>
          <w:rFonts w:asciiTheme="majorHAnsi" w:hAnsiTheme="majorHAnsi"/>
          <w:sz w:val="16"/>
          <w:szCs w:val="16"/>
        </w:rPr>
        <w:t>Granier</w:t>
      </w:r>
      <w:proofErr w:type="spellEnd"/>
      <w:r w:rsidRPr="00326F31">
        <w:rPr>
          <w:rFonts w:asciiTheme="majorHAnsi" w:hAnsiTheme="majorHAnsi"/>
          <w:sz w:val="16"/>
          <w:szCs w:val="16"/>
        </w:rPr>
        <w:t xml:space="preserve"> et al. </w:t>
      </w:r>
      <w:r w:rsidRPr="003B7ACF">
        <w:rPr>
          <w:rFonts w:asciiTheme="majorHAnsi" w:hAnsiTheme="majorHAnsi"/>
          <w:sz w:val="16"/>
          <w:szCs w:val="16"/>
        </w:rPr>
        <w:t xml:space="preserve">(Radio Caracas Television) v. Venezuela.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June 22, 2015. </w:t>
      </w:r>
      <w:proofErr w:type="gramStart"/>
      <w:r w:rsidRPr="00326F31">
        <w:rPr>
          <w:rFonts w:asciiTheme="majorHAnsi" w:hAnsiTheme="majorHAnsi"/>
          <w:sz w:val="16"/>
          <w:szCs w:val="16"/>
        </w:rPr>
        <w:t>Series C No. 293, para 189.</w:t>
      </w:r>
      <w:proofErr w:type="gramEnd"/>
      <w:r w:rsidRPr="00326F31">
        <w:rPr>
          <w:rFonts w:asciiTheme="majorHAnsi" w:hAnsiTheme="majorHAnsi"/>
          <w:sz w:val="16"/>
          <w:szCs w:val="16"/>
        </w:rPr>
        <w:t xml:space="preserve"> </w:t>
      </w:r>
      <w:proofErr w:type="gramStart"/>
      <w:r w:rsidRPr="00326F31">
        <w:rPr>
          <w:rFonts w:asciiTheme="majorHAnsi" w:hAnsiTheme="majorHAnsi"/>
          <w:sz w:val="16"/>
          <w:szCs w:val="16"/>
        </w:rPr>
        <w:t>Quoting.</w:t>
      </w:r>
      <w:proofErr w:type="gramEnd"/>
      <w:r w:rsidRPr="00326F31">
        <w:rPr>
          <w:rFonts w:asciiTheme="majorHAnsi" w:hAnsiTheme="majorHAnsi"/>
          <w:sz w:val="16"/>
          <w:szCs w:val="16"/>
        </w:rPr>
        <w:t xml:space="preserve"> </w:t>
      </w:r>
      <w:proofErr w:type="gramStart"/>
      <w:r w:rsidRPr="00326F31">
        <w:rPr>
          <w:rFonts w:asciiTheme="majorHAnsi" w:hAnsiTheme="majorHAnsi"/>
          <w:i/>
          <w:sz w:val="16"/>
          <w:szCs w:val="16"/>
        </w:rPr>
        <w:t xml:space="preserve">Case of the Supreme Court of Justice (Quintana </w:t>
      </w:r>
      <w:proofErr w:type="spellStart"/>
      <w:r w:rsidRPr="00326F31">
        <w:rPr>
          <w:rFonts w:asciiTheme="majorHAnsi" w:hAnsiTheme="majorHAnsi"/>
          <w:i/>
          <w:sz w:val="16"/>
          <w:szCs w:val="16"/>
        </w:rPr>
        <w:t>Coello</w:t>
      </w:r>
      <w:proofErr w:type="spellEnd"/>
      <w:r w:rsidRPr="00326F31">
        <w:rPr>
          <w:rFonts w:asciiTheme="majorHAnsi" w:hAnsiTheme="majorHAnsi"/>
          <w:i/>
          <w:sz w:val="16"/>
          <w:szCs w:val="16"/>
        </w:rPr>
        <w:t xml:space="preserve"> et al.) v. Ecuador.</w:t>
      </w:r>
      <w:proofErr w:type="gramEnd"/>
      <w:r w:rsidRPr="00326F31">
        <w:rPr>
          <w:rFonts w:asciiTheme="majorHAnsi" w:hAnsiTheme="majorHAnsi"/>
          <w:i/>
          <w:sz w:val="16"/>
          <w:szCs w:val="16"/>
        </w:rPr>
        <w:t xml:space="preserve"> </w:t>
      </w:r>
      <w:proofErr w:type="gramStart"/>
      <w:r w:rsidRPr="00326F31">
        <w:rPr>
          <w:rFonts w:asciiTheme="majorHAnsi" w:hAnsiTheme="majorHAnsi"/>
          <w:i/>
          <w:sz w:val="16"/>
          <w:szCs w:val="16"/>
        </w:rPr>
        <w:t>Preliminary Objection, Merits, Reparations and Costs.</w:t>
      </w:r>
      <w:proofErr w:type="gramEnd"/>
      <w:r w:rsidRPr="00326F31">
        <w:rPr>
          <w:rFonts w:asciiTheme="majorHAnsi" w:hAnsiTheme="majorHAnsi"/>
          <w:i/>
          <w:sz w:val="16"/>
          <w:szCs w:val="16"/>
        </w:rPr>
        <w:t xml:space="preserve"> Judgment of August 23, 2013. </w:t>
      </w:r>
      <w:r w:rsidRPr="00C9052E">
        <w:rPr>
          <w:rFonts w:asciiTheme="majorHAnsi" w:hAnsiTheme="majorHAnsi"/>
          <w:i/>
          <w:sz w:val="16"/>
          <w:szCs w:val="16"/>
        </w:rPr>
        <w:t>Series C No. 266,</w:t>
      </w:r>
      <w:r w:rsidRPr="00C9052E">
        <w:rPr>
          <w:rFonts w:asciiTheme="majorHAnsi" w:hAnsiTheme="majorHAnsi"/>
          <w:sz w:val="16"/>
          <w:szCs w:val="16"/>
        </w:rPr>
        <w:t xml:space="preserve"> para. </w:t>
      </w:r>
      <w:proofErr w:type="gramStart"/>
      <w:r w:rsidRPr="00326F31">
        <w:rPr>
          <w:rFonts w:asciiTheme="majorHAnsi" w:hAnsiTheme="majorHAnsi"/>
          <w:sz w:val="16"/>
          <w:szCs w:val="16"/>
        </w:rPr>
        <w:t>173,</w:t>
      </w:r>
      <w:proofErr w:type="gramEnd"/>
      <w:r w:rsidRPr="00326F31">
        <w:rPr>
          <w:rFonts w:asciiTheme="majorHAnsi" w:hAnsiTheme="majorHAnsi"/>
          <w:sz w:val="16"/>
          <w:szCs w:val="16"/>
        </w:rPr>
        <w:t xml:space="preserve"> and </w:t>
      </w:r>
      <w:r w:rsidRPr="00326F31">
        <w:rPr>
          <w:rFonts w:asciiTheme="majorHAnsi" w:hAnsiTheme="majorHAnsi"/>
          <w:i/>
          <w:sz w:val="16"/>
          <w:szCs w:val="16"/>
        </w:rPr>
        <w:t>Case of the Constitutional Tribunal (</w:t>
      </w:r>
      <w:proofErr w:type="spellStart"/>
      <w:r w:rsidRPr="00326F31">
        <w:rPr>
          <w:rFonts w:asciiTheme="majorHAnsi" w:hAnsiTheme="majorHAnsi"/>
          <w:i/>
          <w:sz w:val="16"/>
          <w:szCs w:val="16"/>
        </w:rPr>
        <w:t>Camba</w:t>
      </w:r>
      <w:proofErr w:type="spellEnd"/>
      <w:r w:rsidRPr="00326F31">
        <w:rPr>
          <w:rFonts w:asciiTheme="majorHAnsi" w:hAnsiTheme="majorHAnsi"/>
          <w:i/>
          <w:sz w:val="16"/>
          <w:szCs w:val="16"/>
        </w:rPr>
        <w:t xml:space="preserve"> Campos et al.) v. Ecuador. </w:t>
      </w:r>
      <w:proofErr w:type="gramStart"/>
      <w:r w:rsidRPr="00326F31">
        <w:rPr>
          <w:rFonts w:asciiTheme="majorHAnsi" w:hAnsiTheme="majorHAnsi"/>
          <w:i/>
          <w:sz w:val="16"/>
          <w:szCs w:val="16"/>
        </w:rPr>
        <w:t>Preliminary Objections, Merits, Reparations and Costs.</w:t>
      </w:r>
      <w:proofErr w:type="gramEnd"/>
      <w:r w:rsidRPr="00326F31">
        <w:rPr>
          <w:rFonts w:asciiTheme="majorHAnsi" w:hAnsiTheme="majorHAnsi"/>
          <w:i/>
          <w:sz w:val="16"/>
          <w:szCs w:val="16"/>
        </w:rPr>
        <w:t xml:space="preserve"> </w:t>
      </w:r>
      <w:r w:rsidRPr="00C9052E">
        <w:rPr>
          <w:rFonts w:asciiTheme="majorHAnsi" w:hAnsiTheme="majorHAnsi"/>
          <w:i/>
          <w:sz w:val="16"/>
          <w:szCs w:val="16"/>
        </w:rPr>
        <w:t>Judgment of August 28, 2013. Series C No. 268,</w:t>
      </w:r>
      <w:r>
        <w:rPr>
          <w:rFonts w:asciiTheme="majorHAnsi" w:hAnsiTheme="majorHAnsi"/>
          <w:i/>
          <w:sz w:val="16"/>
          <w:szCs w:val="16"/>
        </w:rPr>
        <w:t xml:space="preserve"> </w:t>
      </w:r>
      <w:r w:rsidRPr="00C9052E">
        <w:rPr>
          <w:rFonts w:asciiTheme="majorHAnsi" w:hAnsiTheme="majorHAnsi"/>
          <w:sz w:val="16"/>
          <w:szCs w:val="16"/>
        </w:rPr>
        <w:t>para. 210.</w:t>
      </w:r>
    </w:p>
  </w:footnote>
  <w:footnote w:id="162">
    <w:p w14:paraId="22068684" w14:textId="14438F04" w:rsidR="00C45C34" w:rsidRPr="00C9052E" w:rsidRDefault="00C45C34" w:rsidP="00131FA4">
      <w:pPr>
        <w:tabs>
          <w:tab w:val="left" w:pos="567"/>
        </w:tabs>
        <w:spacing w:after="120"/>
        <w:ind w:firstLine="720"/>
        <w:jc w:val="both"/>
        <w:rPr>
          <w:rFonts w:asciiTheme="majorHAnsi" w:hAnsiTheme="majorHAnsi" w:cs="Arial"/>
          <w:sz w:val="16"/>
          <w:szCs w:val="16"/>
        </w:rPr>
      </w:pPr>
      <w:r w:rsidRPr="00326F31">
        <w:rPr>
          <w:rStyle w:val="FootnoteReference"/>
          <w:rFonts w:asciiTheme="majorHAnsi" w:eastAsia="ヒラギノ角ゴ Pro W3" w:hAnsiTheme="majorHAnsi"/>
          <w:sz w:val="16"/>
          <w:szCs w:val="16"/>
        </w:rPr>
        <w:footnoteRef/>
      </w:r>
      <w:r w:rsidRPr="00C9052E">
        <w:rPr>
          <w:rFonts w:asciiTheme="majorHAnsi" w:hAnsiTheme="majorHAnsi"/>
          <w:sz w:val="16"/>
          <w:szCs w:val="16"/>
        </w:rPr>
        <w:t xml:space="preserve"> </w:t>
      </w:r>
      <w:r w:rsidRPr="00326F31">
        <w:rPr>
          <w:rFonts w:asciiTheme="majorHAnsi" w:hAnsiTheme="majorHAnsi"/>
          <w:sz w:val="16"/>
          <w:szCs w:val="16"/>
        </w:rPr>
        <w:t xml:space="preserve">I/A Court H. R., Case of </w:t>
      </w:r>
      <w:proofErr w:type="spellStart"/>
      <w:r w:rsidRPr="00326F31">
        <w:rPr>
          <w:rFonts w:asciiTheme="majorHAnsi" w:hAnsiTheme="majorHAnsi"/>
          <w:sz w:val="16"/>
          <w:szCs w:val="16"/>
        </w:rPr>
        <w:t>Granier</w:t>
      </w:r>
      <w:proofErr w:type="spellEnd"/>
      <w:r w:rsidRPr="00326F31">
        <w:rPr>
          <w:rFonts w:asciiTheme="majorHAnsi" w:hAnsiTheme="majorHAnsi"/>
          <w:sz w:val="16"/>
          <w:szCs w:val="16"/>
        </w:rPr>
        <w:t xml:space="preserve"> et al. </w:t>
      </w:r>
      <w:r w:rsidRPr="003B7ACF">
        <w:rPr>
          <w:rFonts w:asciiTheme="majorHAnsi" w:hAnsiTheme="majorHAnsi"/>
          <w:sz w:val="16"/>
          <w:szCs w:val="16"/>
        </w:rPr>
        <w:t xml:space="preserve">(Radio Caracas Television) v. Venezuela.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June 22, 2015. </w:t>
      </w:r>
      <w:proofErr w:type="gramStart"/>
      <w:r w:rsidRPr="00326F31">
        <w:rPr>
          <w:rFonts w:asciiTheme="majorHAnsi" w:hAnsiTheme="majorHAnsi"/>
          <w:sz w:val="16"/>
          <w:szCs w:val="16"/>
        </w:rPr>
        <w:t>Serie</w:t>
      </w:r>
      <w:r>
        <w:rPr>
          <w:rFonts w:asciiTheme="majorHAnsi" w:hAnsiTheme="majorHAnsi"/>
          <w:sz w:val="16"/>
          <w:szCs w:val="16"/>
        </w:rPr>
        <w:t>s C No. 293, para</w:t>
      </w:r>
      <w:r w:rsidRPr="00C9052E">
        <w:rPr>
          <w:rFonts w:asciiTheme="majorHAnsi" w:hAnsiTheme="majorHAnsi"/>
          <w:sz w:val="16"/>
          <w:szCs w:val="16"/>
        </w:rPr>
        <w:t xml:space="preserve"> 189.</w:t>
      </w:r>
      <w:proofErr w:type="gramEnd"/>
      <w:r w:rsidRPr="00C9052E">
        <w:rPr>
          <w:rFonts w:asciiTheme="majorHAnsi" w:hAnsiTheme="majorHAnsi"/>
          <w:sz w:val="16"/>
          <w:szCs w:val="16"/>
        </w:rPr>
        <w:t xml:space="preserve"> </w:t>
      </w:r>
      <w:proofErr w:type="gramStart"/>
      <w:r w:rsidRPr="00C9052E">
        <w:rPr>
          <w:rFonts w:asciiTheme="majorHAnsi" w:hAnsiTheme="majorHAnsi"/>
          <w:sz w:val="16"/>
          <w:szCs w:val="16"/>
        </w:rPr>
        <w:t>Quoting.</w:t>
      </w:r>
      <w:proofErr w:type="gramEnd"/>
      <w:r w:rsidRPr="00C9052E">
        <w:rPr>
          <w:rFonts w:asciiTheme="majorHAnsi" w:hAnsiTheme="majorHAnsi"/>
          <w:sz w:val="16"/>
          <w:szCs w:val="16"/>
        </w:rPr>
        <w:t xml:space="preserve"> </w:t>
      </w:r>
      <w:proofErr w:type="gramStart"/>
      <w:r w:rsidRPr="00326F31">
        <w:rPr>
          <w:rFonts w:asciiTheme="majorHAnsi" w:hAnsiTheme="majorHAnsi"/>
          <w:i/>
          <w:sz w:val="16"/>
          <w:szCs w:val="16"/>
        </w:rPr>
        <w:t xml:space="preserve">Case of the Supreme Court of Justice (Quintana </w:t>
      </w:r>
      <w:proofErr w:type="spellStart"/>
      <w:r w:rsidRPr="00326F31">
        <w:rPr>
          <w:rFonts w:asciiTheme="majorHAnsi" w:hAnsiTheme="majorHAnsi"/>
          <w:i/>
          <w:sz w:val="16"/>
          <w:szCs w:val="16"/>
        </w:rPr>
        <w:t>Coello</w:t>
      </w:r>
      <w:proofErr w:type="spellEnd"/>
      <w:r w:rsidRPr="00326F31">
        <w:rPr>
          <w:rFonts w:asciiTheme="majorHAnsi" w:hAnsiTheme="majorHAnsi"/>
          <w:i/>
          <w:sz w:val="16"/>
          <w:szCs w:val="16"/>
        </w:rPr>
        <w:t xml:space="preserve"> et al.) v. Ecuador.</w:t>
      </w:r>
      <w:proofErr w:type="gramEnd"/>
      <w:r w:rsidRPr="00326F31">
        <w:rPr>
          <w:rFonts w:asciiTheme="majorHAnsi" w:hAnsiTheme="majorHAnsi"/>
          <w:i/>
          <w:sz w:val="16"/>
          <w:szCs w:val="16"/>
        </w:rPr>
        <w:t xml:space="preserve"> </w:t>
      </w:r>
      <w:r w:rsidRPr="00326F31">
        <w:rPr>
          <w:rFonts w:asciiTheme="majorHAnsi" w:hAnsiTheme="majorHAnsi"/>
          <w:sz w:val="16"/>
          <w:szCs w:val="16"/>
        </w:rPr>
        <w:t xml:space="preserve">In this regard, the European Court of Human Rights has taken into account the real purpose or grounds that the State authorities had when exercising their functions, in order to determine whether or not there had been a violation of the European Convention on Human Rights. For example, in the Case of </w:t>
      </w:r>
      <w:proofErr w:type="spellStart"/>
      <w:r w:rsidRPr="00326F31">
        <w:rPr>
          <w:rFonts w:asciiTheme="majorHAnsi" w:hAnsiTheme="majorHAnsi"/>
          <w:sz w:val="16"/>
          <w:szCs w:val="16"/>
        </w:rPr>
        <w:t>Gusinskiy</w:t>
      </w:r>
      <w:proofErr w:type="spellEnd"/>
      <w:r w:rsidRPr="00326F31">
        <w:rPr>
          <w:rFonts w:asciiTheme="majorHAnsi" w:hAnsiTheme="majorHAnsi"/>
          <w:sz w:val="16"/>
          <w:szCs w:val="16"/>
        </w:rPr>
        <w:t xml:space="preserve"> v. Russia, the European Court considered that the restriction of the victim’s detention, authorized by Article 5.1(c) of the European Convention was applied not only in order to make him appear before the competent judicial authority, considering that there were reasonable indications of the commission of an offense, but also in order to oblige him to sell his Company to the State. In the case of </w:t>
      </w:r>
      <w:proofErr w:type="spellStart"/>
      <w:r w:rsidRPr="00326F31">
        <w:rPr>
          <w:rFonts w:asciiTheme="majorHAnsi" w:hAnsiTheme="majorHAnsi"/>
          <w:sz w:val="16"/>
          <w:szCs w:val="16"/>
        </w:rPr>
        <w:t>Cebotari</w:t>
      </w:r>
      <w:proofErr w:type="spellEnd"/>
      <w:r w:rsidRPr="00326F31">
        <w:rPr>
          <w:rFonts w:asciiTheme="majorHAnsi" w:hAnsiTheme="majorHAnsi"/>
          <w:sz w:val="16"/>
          <w:szCs w:val="16"/>
        </w:rPr>
        <w:t xml:space="preserve"> v. Moldavia, it declared that Article 18 of the European Convention had been violated because the Government had not convinced the Court that there were reasonable indications that the applicant had committed an offense, and the Court concluded that the real purpose of the criminal proceeding and the applicant’s detention was to put pressure on him and, thus, prevent his company “</w:t>
      </w:r>
      <w:proofErr w:type="spellStart"/>
      <w:r w:rsidRPr="00326F31">
        <w:rPr>
          <w:rFonts w:asciiTheme="majorHAnsi" w:hAnsiTheme="majorHAnsi"/>
          <w:sz w:val="16"/>
          <w:szCs w:val="16"/>
        </w:rPr>
        <w:t>Oferta</w:t>
      </w:r>
      <w:proofErr w:type="spellEnd"/>
      <w:r w:rsidRPr="00326F31">
        <w:rPr>
          <w:rFonts w:asciiTheme="majorHAnsi" w:hAnsiTheme="majorHAnsi"/>
          <w:sz w:val="16"/>
          <w:szCs w:val="16"/>
        </w:rPr>
        <w:t xml:space="preserve"> Plus” from suing before the Court. Finally, in the case of </w:t>
      </w:r>
      <w:proofErr w:type="spellStart"/>
      <w:r w:rsidRPr="00326F31">
        <w:rPr>
          <w:rFonts w:asciiTheme="majorHAnsi" w:hAnsiTheme="majorHAnsi"/>
          <w:sz w:val="16"/>
          <w:szCs w:val="16"/>
        </w:rPr>
        <w:t>Lutsenko</w:t>
      </w:r>
      <w:proofErr w:type="spellEnd"/>
      <w:r w:rsidRPr="00326F31">
        <w:rPr>
          <w:rFonts w:asciiTheme="majorHAnsi" w:hAnsiTheme="majorHAnsi"/>
          <w:sz w:val="16"/>
          <w:szCs w:val="16"/>
        </w:rPr>
        <w:t xml:space="preserve"> v. Ukraine, the European Court determined that the deprivation of liberty of the applicant, authorized by Article 5.1(c), had been applied not only in order to make him appear before the competent judicial authority, because there were reasonable indications that he had committed an offense, but also for other reasons related to the prosecutor’s intention of accusing the applicant for publicly expressing his opposition to the charges against him. Cf. European Court of Human Rights, Case of </w:t>
      </w:r>
      <w:proofErr w:type="spellStart"/>
      <w:r w:rsidRPr="00326F31">
        <w:rPr>
          <w:rFonts w:asciiTheme="majorHAnsi" w:hAnsiTheme="majorHAnsi"/>
          <w:sz w:val="16"/>
          <w:szCs w:val="16"/>
        </w:rPr>
        <w:t>Gusinskiy</w:t>
      </w:r>
      <w:proofErr w:type="spellEnd"/>
      <w:r w:rsidRPr="00326F31">
        <w:rPr>
          <w:rFonts w:asciiTheme="majorHAnsi" w:hAnsiTheme="majorHAnsi"/>
          <w:sz w:val="16"/>
          <w:szCs w:val="16"/>
        </w:rPr>
        <w:t xml:space="preserve"> v. Russia, </w:t>
      </w:r>
      <w:proofErr w:type="gramStart"/>
      <w:r w:rsidRPr="00326F31">
        <w:rPr>
          <w:rFonts w:asciiTheme="majorHAnsi" w:hAnsiTheme="majorHAnsi"/>
          <w:sz w:val="16"/>
          <w:szCs w:val="16"/>
        </w:rPr>
        <w:t>Judgment</w:t>
      </w:r>
      <w:proofErr w:type="gramEnd"/>
      <w:r w:rsidRPr="00326F31">
        <w:rPr>
          <w:rFonts w:asciiTheme="majorHAnsi" w:hAnsiTheme="majorHAnsi"/>
          <w:sz w:val="16"/>
          <w:szCs w:val="16"/>
        </w:rPr>
        <w:t xml:space="preserve"> of 19 May 2004, paras. </w:t>
      </w:r>
      <w:proofErr w:type="gramStart"/>
      <w:r w:rsidRPr="00326F31">
        <w:rPr>
          <w:rFonts w:asciiTheme="majorHAnsi" w:hAnsiTheme="majorHAnsi"/>
          <w:sz w:val="16"/>
          <w:szCs w:val="16"/>
        </w:rPr>
        <w:t xml:space="preserve">71 to 78; Case of </w:t>
      </w:r>
      <w:proofErr w:type="spellStart"/>
      <w:r w:rsidRPr="00326F31">
        <w:rPr>
          <w:rFonts w:asciiTheme="majorHAnsi" w:hAnsiTheme="majorHAnsi"/>
          <w:sz w:val="16"/>
          <w:szCs w:val="16"/>
        </w:rPr>
        <w:t>Cebotari</w:t>
      </w:r>
      <w:proofErr w:type="spellEnd"/>
      <w:r w:rsidRPr="00326F31">
        <w:rPr>
          <w:rFonts w:asciiTheme="majorHAnsi" w:hAnsiTheme="majorHAnsi"/>
          <w:sz w:val="16"/>
          <w:szCs w:val="16"/>
        </w:rPr>
        <w:t xml:space="preserve"> v. Moldavia, Judgment of 13 February 2008, paras.</w:t>
      </w:r>
      <w:proofErr w:type="gramEnd"/>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46 to 53, and Case of </w:t>
      </w:r>
      <w:proofErr w:type="spellStart"/>
      <w:r w:rsidRPr="00326F31">
        <w:rPr>
          <w:rFonts w:asciiTheme="majorHAnsi" w:hAnsiTheme="majorHAnsi"/>
          <w:sz w:val="16"/>
          <w:szCs w:val="16"/>
        </w:rPr>
        <w:t>Lutsenko</w:t>
      </w:r>
      <w:proofErr w:type="spellEnd"/>
      <w:r w:rsidRPr="00326F31">
        <w:rPr>
          <w:rFonts w:asciiTheme="majorHAnsi" w:hAnsiTheme="majorHAnsi"/>
          <w:sz w:val="16"/>
          <w:szCs w:val="16"/>
        </w:rPr>
        <w:t xml:space="preserve"> v. Ukraine, Judgment of 3 July 2012, paras.</w:t>
      </w:r>
      <w:proofErr w:type="gramEnd"/>
      <w:r w:rsidRPr="00326F31">
        <w:rPr>
          <w:rFonts w:asciiTheme="majorHAnsi" w:hAnsiTheme="majorHAnsi"/>
          <w:sz w:val="16"/>
          <w:szCs w:val="16"/>
        </w:rPr>
        <w:t xml:space="preserve"> </w:t>
      </w:r>
      <w:proofErr w:type="gramStart"/>
      <w:r w:rsidRPr="00326F31">
        <w:rPr>
          <w:rFonts w:asciiTheme="majorHAnsi" w:hAnsiTheme="majorHAnsi"/>
          <w:sz w:val="16"/>
          <w:szCs w:val="16"/>
        </w:rPr>
        <w:t>100 to 110.</w:t>
      </w:r>
      <w:proofErr w:type="gramEnd"/>
    </w:p>
  </w:footnote>
  <w:footnote w:id="163">
    <w:p w14:paraId="6F633E1B" w14:textId="72F1A10D" w:rsidR="00C45C34" w:rsidRPr="00C9052E" w:rsidRDefault="00C45C34" w:rsidP="00131FA4">
      <w:pPr>
        <w:pStyle w:val="FootnoteText"/>
        <w:tabs>
          <w:tab w:val="left" w:pos="567"/>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I/A Court H. R., Case of </w:t>
      </w:r>
      <w:proofErr w:type="spellStart"/>
      <w:r w:rsidRPr="00326F31">
        <w:rPr>
          <w:rFonts w:asciiTheme="majorHAnsi" w:hAnsiTheme="majorHAnsi"/>
          <w:sz w:val="16"/>
          <w:szCs w:val="16"/>
        </w:rPr>
        <w:t>Granier</w:t>
      </w:r>
      <w:proofErr w:type="spellEnd"/>
      <w:r w:rsidRPr="00326F31">
        <w:rPr>
          <w:rFonts w:asciiTheme="majorHAnsi" w:hAnsiTheme="majorHAnsi"/>
          <w:sz w:val="16"/>
          <w:szCs w:val="16"/>
        </w:rPr>
        <w:t xml:space="preserve"> et al. </w:t>
      </w:r>
      <w:r w:rsidRPr="003B7ACF">
        <w:rPr>
          <w:rFonts w:asciiTheme="majorHAnsi" w:hAnsiTheme="majorHAnsi"/>
          <w:sz w:val="16"/>
          <w:szCs w:val="16"/>
        </w:rPr>
        <w:t xml:space="preserve">(Radio Caracas Television) v. Venezuela.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June 22, 2015. Series C No. 293, Quoting. </w:t>
      </w:r>
      <w:proofErr w:type="gramStart"/>
      <w:r w:rsidRPr="00326F31">
        <w:rPr>
          <w:rFonts w:asciiTheme="majorHAnsi" w:hAnsiTheme="majorHAnsi"/>
          <w:i/>
          <w:sz w:val="16"/>
          <w:szCs w:val="16"/>
        </w:rPr>
        <w:t xml:space="preserve">Case of the Supreme Court of Justice (Quintana </w:t>
      </w:r>
      <w:proofErr w:type="spellStart"/>
      <w:r w:rsidRPr="00326F31">
        <w:rPr>
          <w:rFonts w:asciiTheme="majorHAnsi" w:hAnsiTheme="majorHAnsi"/>
          <w:i/>
          <w:sz w:val="16"/>
          <w:szCs w:val="16"/>
        </w:rPr>
        <w:t>Coello</w:t>
      </w:r>
      <w:proofErr w:type="spellEnd"/>
      <w:r w:rsidRPr="00326F31">
        <w:rPr>
          <w:rFonts w:asciiTheme="majorHAnsi" w:hAnsiTheme="majorHAnsi"/>
          <w:i/>
          <w:sz w:val="16"/>
          <w:szCs w:val="16"/>
        </w:rPr>
        <w:t xml:space="preserve"> et al.) v. Ecuador</w:t>
      </w:r>
      <w:r w:rsidRPr="00326F31">
        <w:rPr>
          <w:rFonts w:asciiTheme="majorHAnsi" w:hAnsiTheme="majorHAnsi"/>
          <w:sz w:val="16"/>
          <w:szCs w:val="16"/>
        </w:rPr>
        <w:t>, para.</w:t>
      </w:r>
      <w:proofErr w:type="gramEnd"/>
      <w:r w:rsidRPr="00326F31">
        <w:rPr>
          <w:rFonts w:asciiTheme="majorHAnsi" w:hAnsiTheme="majorHAnsi"/>
          <w:sz w:val="16"/>
          <w:szCs w:val="16"/>
        </w:rPr>
        <w:t xml:space="preserve"> </w:t>
      </w:r>
      <w:proofErr w:type="gramStart"/>
      <w:r w:rsidRPr="00326F31">
        <w:rPr>
          <w:rFonts w:asciiTheme="majorHAnsi" w:hAnsiTheme="majorHAnsi"/>
          <w:sz w:val="16"/>
          <w:szCs w:val="16"/>
        </w:rPr>
        <w:t>173,</w:t>
      </w:r>
      <w:proofErr w:type="gramEnd"/>
      <w:r w:rsidRPr="00326F31">
        <w:rPr>
          <w:rFonts w:asciiTheme="majorHAnsi" w:hAnsiTheme="majorHAnsi"/>
          <w:sz w:val="16"/>
          <w:szCs w:val="16"/>
        </w:rPr>
        <w:t xml:space="preserve"> and </w:t>
      </w:r>
      <w:r w:rsidRPr="00326F31">
        <w:rPr>
          <w:rFonts w:asciiTheme="majorHAnsi" w:hAnsiTheme="majorHAnsi"/>
          <w:i/>
          <w:sz w:val="16"/>
          <w:szCs w:val="16"/>
        </w:rPr>
        <w:t>Case of the Constitutional Tribunal (</w:t>
      </w:r>
      <w:proofErr w:type="spellStart"/>
      <w:r w:rsidRPr="00326F31">
        <w:rPr>
          <w:rFonts w:asciiTheme="majorHAnsi" w:hAnsiTheme="majorHAnsi"/>
          <w:i/>
          <w:sz w:val="16"/>
          <w:szCs w:val="16"/>
        </w:rPr>
        <w:t>Camba</w:t>
      </w:r>
      <w:proofErr w:type="spellEnd"/>
      <w:r w:rsidRPr="00326F31">
        <w:rPr>
          <w:rFonts w:asciiTheme="majorHAnsi" w:hAnsiTheme="majorHAnsi"/>
          <w:i/>
          <w:sz w:val="16"/>
          <w:szCs w:val="16"/>
        </w:rPr>
        <w:t xml:space="preserve"> Campos et al.) v. Ecuador</w:t>
      </w:r>
      <w:r w:rsidRPr="00326F31">
        <w:rPr>
          <w:rFonts w:asciiTheme="majorHAnsi" w:hAnsiTheme="majorHAnsi"/>
          <w:sz w:val="16"/>
          <w:szCs w:val="16"/>
        </w:rPr>
        <w:t xml:space="preserve">, para. </w:t>
      </w:r>
      <w:r w:rsidRPr="00C9052E">
        <w:rPr>
          <w:rFonts w:asciiTheme="majorHAnsi" w:hAnsiTheme="majorHAnsi"/>
          <w:sz w:val="16"/>
          <w:szCs w:val="16"/>
        </w:rPr>
        <w:t>210.</w:t>
      </w:r>
    </w:p>
  </w:footnote>
  <w:footnote w:id="164">
    <w:p w14:paraId="4D528EF0" w14:textId="21062899" w:rsidR="00C45C34" w:rsidRPr="00326F31" w:rsidRDefault="00C45C34" w:rsidP="00131FA4">
      <w:pPr>
        <w:tabs>
          <w:tab w:val="left" w:pos="567"/>
        </w:tabs>
        <w:autoSpaceDE w:val="0"/>
        <w:autoSpaceDN w:val="0"/>
        <w:adjustRightInd w:val="0"/>
        <w:spacing w:after="120"/>
        <w:ind w:firstLine="720"/>
        <w:jc w:val="both"/>
        <w:rPr>
          <w:rFonts w:asciiTheme="majorHAnsi" w:hAnsiTheme="majorHAnsi" w:cs="Arial"/>
          <w:sz w:val="16"/>
          <w:szCs w:val="16"/>
          <w:lang w:eastAsia="de-DE"/>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 R., Case of </w:t>
      </w:r>
      <w:proofErr w:type="spellStart"/>
      <w:r w:rsidRPr="00326F31">
        <w:rPr>
          <w:rFonts w:asciiTheme="majorHAnsi" w:hAnsiTheme="majorHAnsi"/>
          <w:sz w:val="16"/>
          <w:szCs w:val="16"/>
        </w:rPr>
        <w:t>Granier</w:t>
      </w:r>
      <w:proofErr w:type="spellEnd"/>
      <w:r w:rsidRPr="00326F31">
        <w:rPr>
          <w:rFonts w:asciiTheme="majorHAnsi" w:hAnsiTheme="majorHAnsi"/>
          <w:sz w:val="16"/>
          <w:szCs w:val="16"/>
        </w:rPr>
        <w:t xml:space="preserve"> et al. </w:t>
      </w:r>
      <w:r w:rsidRPr="003B7ACF">
        <w:rPr>
          <w:rFonts w:asciiTheme="majorHAnsi" w:hAnsiTheme="majorHAnsi"/>
          <w:sz w:val="16"/>
          <w:szCs w:val="16"/>
        </w:rPr>
        <w:t xml:space="preserve">(Radio Caracas Television) v. Venezuela.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June 22, 2015. Series C No. 293, paras. </w:t>
      </w:r>
      <w:r>
        <w:rPr>
          <w:rFonts w:asciiTheme="majorHAnsi" w:hAnsiTheme="majorHAnsi"/>
          <w:sz w:val="16"/>
          <w:szCs w:val="16"/>
        </w:rPr>
        <w:t>189</w:t>
      </w:r>
      <w:r w:rsidRPr="00326F31">
        <w:rPr>
          <w:rFonts w:asciiTheme="majorHAnsi" w:hAnsiTheme="majorHAnsi"/>
          <w:sz w:val="16"/>
          <w:szCs w:val="16"/>
        </w:rPr>
        <w:t xml:space="preserve">. Quoting. </w:t>
      </w:r>
      <w:proofErr w:type="gramStart"/>
      <w:r w:rsidRPr="00326F31">
        <w:rPr>
          <w:rFonts w:asciiTheme="majorHAnsi" w:hAnsiTheme="majorHAnsi"/>
          <w:i/>
          <w:sz w:val="16"/>
          <w:szCs w:val="16"/>
        </w:rPr>
        <w:t xml:space="preserve">Case of the Supreme Court of Justice (Quintana </w:t>
      </w:r>
      <w:proofErr w:type="spellStart"/>
      <w:r w:rsidRPr="00326F31">
        <w:rPr>
          <w:rFonts w:asciiTheme="majorHAnsi" w:hAnsiTheme="majorHAnsi"/>
          <w:i/>
          <w:sz w:val="16"/>
          <w:szCs w:val="16"/>
        </w:rPr>
        <w:t>Coello</w:t>
      </w:r>
      <w:proofErr w:type="spellEnd"/>
      <w:r w:rsidRPr="00326F31">
        <w:rPr>
          <w:rFonts w:asciiTheme="majorHAnsi" w:hAnsiTheme="majorHAnsi"/>
          <w:i/>
          <w:sz w:val="16"/>
          <w:szCs w:val="16"/>
        </w:rPr>
        <w:t xml:space="preserve"> et al.) v. Ecuador</w:t>
      </w:r>
      <w:r w:rsidRPr="00326F31">
        <w:rPr>
          <w:rFonts w:asciiTheme="majorHAnsi" w:hAnsiTheme="majorHAnsi"/>
          <w:sz w:val="16"/>
          <w:szCs w:val="16"/>
        </w:rPr>
        <w:t>, para.</w:t>
      </w:r>
      <w:proofErr w:type="gramEnd"/>
      <w:r w:rsidRPr="00326F31">
        <w:rPr>
          <w:rFonts w:asciiTheme="majorHAnsi" w:hAnsiTheme="majorHAnsi"/>
          <w:sz w:val="16"/>
          <w:szCs w:val="16"/>
        </w:rPr>
        <w:t xml:space="preserve"> </w:t>
      </w:r>
      <w:proofErr w:type="gramStart"/>
      <w:r w:rsidRPr="00326F31">
        <w:rPr>
          <w:rFonts w:asciiTheme="majorHAnsi" w:hAnsiTheme="majorHAnsi"/>
          <w:sz w:val="16"/>
          <w:szCs w:val="16"/>
        </w:rPr>
        <w:t>173,</w:t>
      </w:r>
      <w:proofErr w:type="gramEnd"/>
      <w:r w:rsidRPr="00326F31">
        <w:rPr>
          <w:rFonts w:asciiTheme="majorHAnsi" w:hAnsiTheme="majorHAnsi"/>
          <w:sz w:val="16"/>
          <w:szCs w:val="16"/>
        </w:rPr>
        <w:t xml:space="preserve"> and </w:t>
      </w:r>
      <w:r w:rsidRPr="00326F31">
        <w:rPr>
          <w:rFonts w:asciiTheme="majorHAnsi" w:hAnsiTheme="majorHAnsi"/>
          <w:i/>
          <w:sz w:val="16"/>
          <w:szCs w:val="16"/>
        </w:rPr>
        <w:t>Case of the Constitutional Tribunal (</w:t>
      </w:r>
      <w:proofErr w:type="spellStart"/>
      <w:r w:rsidRPr="00326F31">
        <w:rPr>
          <w:rFonts w:asciiTheme="majorHAnsi" w:hAnsiTheme="majorHAnsi"/>
          <w:i/>
          <w:sz w:val="16"/>
          <w:szCs w:val="16"/>
        </w:rPr>
        <w:t>Camba</w:t>
      </w:r>
      <w:proofErr w:type="spellEnd"/>
      <w:r w:rsidRPr="00326F31">
        <w:rPr>
          <w:rFonts w:asciiTheme="majorHAnsi" w:hAnsiTheme="majorHAnsi"/>
          <w:i/>
          <w:sz w:val="16"/>
          <w:szCs w:val="16"/>
        </w:rPr>
        <w:t xml:space="preserve"> Campos et al.) v. Ecuador</w:t>
      </w:r>
      <w:r w:rsidRPr="00326F31">
        <w:rPr>
          <w:rFonts w:asciiTheme="majorHAnsi" w:hAnsiTheme="majorHAnsi"/>
          <w:sz w:val="16"/>
          <w:szCs w:val="16"/>
        </w:rPr>
        <w:t>, para. 210.</w:t>
      </w:r>
    </w:p>
  </w:footnote>
  <w:footnote w:id="165">
    <w:p w14:paraId="7DAC18D8" w14:textId="15035F67" w:rsidR="00C45C34" w:rsidRPr="00C9052E"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gramStart"/>
      <w:r w:rsidRPr="00326F31">
        <w:rPr>
          <w:rFonts w:asciiTheme="majorHAnsi" w:hAnsiTheme="majorHAnsi"/>
          <w:sz w:val="16"/>
          <w:szCs w:val="16"/>
        </w:rPr>
        <w:t>I/A Court H.R., Juridical Condition and Human Rights of the Child.</w:t>
      </w:r>
      <w:proofErr w:type="gramEnd"/>
      <w:r w:rsidRPr="00326F31">
        <w:rPr>
          <w:rFonts w:asciiTheme="majorHAnsi" w:hAnsiTheme="majorHAnsi"/>
          <w:sz w:val="16"/>
          <w:szCs w:val="16"/>
        </w:rPr>
        <w:t xml:space="preserve"> </w:t>
      </w:r>
      <w:r w:rsidRPr="00C9052E">
        <w:rPr>
          <w:rFonts w:asciiTheme="majorHAnsi" w:hAnsiTheme="majorHAnsi"/>
          <w:sz w:val="16"/>
          <w:szCs w:val="16"/>
        </w:rPr>
        <w:t xml:space="preserve">Advisory Opinion OC-17/02 of August 28, 2002. Series </w:t>
      </w:r>
      <w:proofErr w:type="gramStart"/>
      <w:r w:rsidRPr="00C9052E">
        <w:rPr>
          <w:rFonts w:asciiTheme="majorHAnsi" w:hAnsiTheme="majorHAnsi"/>
          <w:sz w:val="16"/>
          <w:szCs w:val="16"/>
        </w:rPr>
        <w:t>A</w:t>
      </w:r>
      <w:proofErr w:type="gramEnd"/>
      <w:r w:rsidRPr="00C9052E">
        <w:rPr>
          <w:rFonts w:asciiTheme="majorHAnsi" w:hAnsiTheme="majorHAnsi"/>
          <w:sz w:val="16"/>
          <w:szCs w:val="16"/>
        </w:rPr>
        <w:t xml:space="preserve"> No.17, para. 46.</w:t>
      </w:r>
    </w:p>
  </w:footnote>
  <w:footnote w:id="166">
    <w:p w14:paraId="53AFF0D2" w14:textId="3C59DF71" w:rsidR="00C45C34" w:rsidRPr="00C9052E" w:rsidRDefault="00C45C34" w:rsidP="00131FA4">
      <w:pPr>
        <w:autoSpaceDE w:val="0"/>
        <w:autoSpaceDN w:val="0"/>
        <w:adjustRightInd w:val="0"/>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H.R., Case of </w:t>
      </w:r>
      <w:proofErr w:type="spellStart"/>
      <w:r w:rsidRPr="00326F31">
        <w:rPr>
          <w:rFonts w:asciiTheme="majorHAnsi" w:hAnsiTheme="majorHAnsi"/>
          <w:sz w:val="16"/>
          <w:szCs w:val="16"/>
        </w:rPr>
        <w:t>Castañeda</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Gutman</w:t>
      </w:r>
      <w:proofErr w:type="spellEnd"/>
      <w:r w:rsidRPr="00326F31">
        <w:rPr>
          <w:rFonts w:asciiTheme="majorHAnsi" w:hAnsiTheme="majorHAnsi"/>
          <w:sz w:val="16"/>
          <w:szCs w:val="16"/>
        </w:rPr>
        <w:t xml:space="preserve"> v. México.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w:t>
      </w:r>
      <w:r w:rsidRPr="00C9052E">
        <w:rPr>
          <w:rFonts w:asciiTheme="majorHAnsi" w:hAnsiTheme="majorHAnsi"/>
          <w:sz w:val="16"/>
          <w:szCs w:val="16"/>
        </w:rPr>
        <w:t xml:space="preserve">Judgment of August 6, 2008. Series C No. 184, para. </w:t>
      </w:r>
      <w:r w:rsidRPr="00326F31">
        <w:rPr>
          <w:rFonts w:asciiTheme="majorHAnsi" w:hAnsiTheme="majorHAnsi"/>
          <w:sz w:val="16"/>
          <w:szCs w:val="16"/>
        </w:rPr>
        <w:t xml:space="preserve">211, quoting </w:t>
      </w:r>
      <w:proofErr w:type="gramStart"/>
      <w:r w:rsidRPr="00326F31">
        <w:rPr>
          <w:rFonts w:asciiTheme="majorHAnsi" w:hAnsiTheme="majorHAnsi"/>
          <w:color w:val="000000"/>
          <w:sz w:val="16"/>
          <w:szCs w:val="16"/>
        </w:rPr>
        <w:t>I/A</w:t>
      </w:r>
      <w:proofErr w:type="gramEnd"/>
      <w:r w:rsidRPr="00326F31">
        <w:rPr>
          <w:rFonts w:asciiTheme="majorHAnsi" w:hAnsiTheme="majorHAnsi"/>
          <w:color w:val="000000"/>
          <w:sz w:val="16"/>
          <w:szCs w:val="16"/>
        </w:rPr>
        <w:t xml:space="preserve"> Court H.R., Juridical Condition and Rights of the Undocumented Migrants. </w:t>
      </w:r>
      <w:r w:rsidRPr="00C9052E">
        <w:rPr>
          <w:rFonts w:asciiTheme="majorHAnsi" w:hAnsiTheme="majorHAnsi"/>
          <w:color w:val="000000"/>
          <w:sz w:val="16"/>
          <w:szCs w:val="16"/>
        </w:rPr>
        <w:t xml:space="preserve">Advisory Opinion OC-18/03 of September 17, 2003. Series </w:t>
      </w:r>
      <w:proofErr w:type="gramStart"/>
      <w:r w:rsidRPr="00C9052E">
        <w:rPr>
          <w:rFonts w:asciiTheme="majorHAnsi" w:hAnsiTheme="majorHAnsi"/>
          <w:color w:val="000000"/>
          <w:sz w:val="16"/>
          <w:szCs w:val="16"/>
        </w:rPr>
        <w:t>A</w:t>
      </w:r>
      <w:proofErr w:type="gramEnd"/>
      <w:r w:rsidRPr="00C9052E">
        <w:rPr>
          <w:rFonts w:asciiTheme="majorHAnsi" w:hAnsiTheme="majorHAnsi"/>
          <w:color w:val="000000"/>
          <w:sz w:val="16"/>
          <w:szCs w:val="16"/>
        </w:rPr>
        <w:t xml:space="preserve"> No.18</w:t>
      </w:r>
      <w:r w:rsidRPr="00C9052E">
        <w:rPr>
          <w:rFonts w:asciiTheme="majorHAnsi" w:hAnsiTheme="majorHAnsi"/>
          <w:iCs/>
          <w:sz w:val="16"/>
          <w:szCs w:val="16"/>
        </w:rPr>
        <w:t xml:space="preserve">, </w:t>
      </w:r>
      <w:r w:rsidRPr="00C9052E">
        <w:rPr>
          <w:rFonts w:asciiTheme="majorHAnsi" w:hAnsiTheme="majorHAnsi"/>
          <w:color w:val="000000"/>
          <w:sz w:val="16"/>
          <w:szCs w:val="16"/>
        </w:rPr>
        <w:t>para. 84.</w:t>
      </w:r>
    </w:p>
  </w:footnote>
  <w:footnote w:id="167">
    <w:p w14:paraId="25D6F7A1" w14:textId="3611C3B0" w:rsidR="00C45C34" w:rsidRPr="00C9052E"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I/A Court H.R., Case of </w:t>
      </w:r>
      <w:proofErr w:type="spellStart"/>
      <w:r w:rsidRPr="00326F31">
        <w:rPr>
          <w:rFonts w:asciiTheme="majorHAnsi" w:hAnsiTheme="majorHAnsi"/>
          <w:sz w:val="16"/>
          <w:szCs w:val="16"/>
        </w:rPr>
        <w:t>Atala</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Riffo</w:t>
      </w:r>
      <w:proofErr w:type="spellEnd"/>
      <w:r w:rsidRPr="00326F31">
        <w:rPr>
          <w:rFonts w:asciiTheme="majorHAnsi" w:hAnsiTheme="majorHAnsi"/>
          <w:sz w:val="16"/>
          <w:szCs w:val="16"/>
        </w:rPr>
        <w:t xml:space="preserve"> and daughters v. Chile.</w:t>
      </w:r>
      <w:proofErr w:type="gramEnd"/>
      <w:r w:rsidRPr="00326F31">
        <w:rPr>
          <w:rFonts w:asciiTheme="majorHAnsi" w:hAnsiTheme="majorHAnsi"/>
          <w:sz w:val="16"/>
          <w:szCs w:val="16"/>
        </w:rPr>
        <w:t xml:space="preserve">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February 24</w:t>
      </w:r>
      <w:proofErr w:type="gramStart"/>
      <w:r w:rsidRPr="00326F31">
        <w:rPr>
          <w:rFonts w:asciiTheme="majorHAnsi" w:hAnsiTheme="majorHAnsi"/>
          <w:sz w:val="16"/>
          <w:szCs w:val="16"/>
        </w:rPr>
        <w:t>,2012</w:t>
      </w:r>
      <w:proofErr w:type="gramEnd"/>
      <w:r w:rsidRPr="00326F31">
        <w:rPr>
          <w:rFonts w:asciiTheme="majorHAnsi" w:hAnsiTheme="majorHAnsi"/>
          <w:sz w:val="16"/>
          <w:szCs w:val="16"/>
        </w:rPr>
        <w:t xml:space="preserve">. </w:t>
      </w:r>
      <w:r w:rsidRPr="00C9052E">
        <w:rPr>
          <w:rFonts w:asciiTheme="majorHAnsi" w:hAnsiTheme="majorHAnsi"/>
          <w:sz w:val="16"/>
          <w:szCs w:val="16"/>
        </w:rPr>
        <w:t>Series C No. 239, para. 85.</w:t>
      </w:r>
    </w:p>
  </w:footnote>
  <w:footnote w:id="168">
    <w:p w14:paraId="777FA6EF" w14:textId="26313926" w:rsidR="00C45C34" w:rsidRPr="00C9052E"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spellStart"/>
      <w:r w:rsidRPr="00326F31">
        <w:rPr>
          <w:rFonts w:asciiTheme="majorHAnsi" w:hAnsiTheme="majorHAnsi"/>
          <w:sz w:val="16"/>
          <w:szCs w:val="16"/>
        </w:rPr>
        <w:t>Cfr</w:t>
      </w:r>
      <w:proofErr w:type="spellEnd"/>
      <w:r w:rsidRPr="00326F31">
        <w:rPr>
          <w:rFonts w:asciiTheme="majorHAnsi" w:hAnsiTheme="majorHAnsi"/>
          <w:sz w:val="16"/>
          <w:szCs w:val="16"/>
        </w:rPr>
        <w:t xml:space="preserve">. IACHR, Application before the /A Court H.R. in the Case of Karen </w:t>
      </w:r>
      <w:proofErr w:type="spellStart"/>
      <w:r w:rsidRPr="00326F31">
        <w:rPr>
          <w:rFonts w:asciiTheme="majorHAnsi" w:hAnsiTheme="majorHAnsi"/>
          <w:sz w:val="16"/>
          <w:szCs w:val="16"/>
        </w:rPr>
        <w:t>Atala</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Riffo</w:t>
      </w:r>
      <w:proofErr w:type="spellEnd"/>
      <w:r w:rsidRPr="00326F31">
        <w:rPr>
          <w:rFonts w:asciiTheme="majorHAnsi" w:hAnsiTheme="majorHAnsi"/>
          <w:sz w:val="16"/>
          <w:szCs w:val="16"/>
        </w:rPr>
        <w:t xml:space="preserve"> and daughters against the State of</w:t>
      </w:r>
      <w:r>
        <w:rPr>
          <w:rFonts w:asciiTheme="majorHAnsi" w:hAnsiTheme="majorHAnsi"/>
          <w:sz w:val="16"/>
          <w:szCs w:val="16"/>
        </w:rPr>
        <w:t xml:space="preserve"> </w:t>
      </w:r>
      <w:r w:rsidRPr="00326F31">
        <w:rPr>
          <w:rFonts w:asciiTheme="majorHAnsi" w:hAnsiTheme="majorHAnsi"/>
          <w:sz w:val="16"/>
          <w:szCs w:val="16"/>
        </w:rPr>
        <w:t xml:space="preserve">Chile, </w:t>
      </w:r>
      <w:proofErr w:type="spellStart"/>
      <w:r w:rsidRPr="00326F31">
        <w:rPr>
          <w:rFonts w:asciiTheme="majorHAnsi" w:hAnsiTheme="majorHAnsi"/>
          <w:sz w:val="16"/>
          <w:szCs w:val="16"/>
        </w:rPr>
        <w:t>Septiembre</w:t>
      </w:r>
      <w:proofErr w:type="spellEnd"/>
      <w:r w:rsidRPr="00326F31">
        <w:rPr>
          <w:rFonts w:asciiTheme="majorHAnsi" w:hAnsiTheme="majorHAnsi"/>
          <w:sz w:val="16"/>
          <w:szCs w:val="16"/>
        </w:rPr>
        <w:t xml:space="preserve"> 17, 2010, para. </w:t>
      </w:r>
      <w:r w:rsidRPr="00C9052E">
        <w:rPr>
          <w:rFonts w:asciiTheme="majorHAnsi" w:hAnsiTheme="majorHAnsi"/>
          <w:sz w:val="16"/>
          <w:szCs w:val="16"/>
        </w:rPr>
        <w:t xml:space="preserve">88, available at: </w:t>
      </w:r>
      <w:hyperlink r:id="rId49" w:history="1">
        <w:r w:rsidRPr="00C9052E">
          <w:rPr>
            <w:rStyle w:val="Hyperlink"/>
            <w:rFonts w:asciiTheme="majorHAnsi" w:hAnsiTheme="majorHAnsi"/>
            <w:sz w:val="16"/>
            <w:szCs w:val="16"/>
          </w:rPr>
          <w:t>http://www.cidh.oas.org/demandas/12.502ENG.pdf</w:t>
        </w:r>
      </w:hyperlink>
      <w:r w:rsidRPr="00C9052E">
        <w:rPr>
          <w:rFonts w:asciiTheme="majorHAnsi" w:hAnsiTheme="majorHAnsi"/>
          <w:sz w:val="16"/>
          <w:szCs w:val="16"/>
        </w:rPr>
        <w:t xml:space="preserve">. </w:t>
      </w:r>
    </w:p>
  </w:footnote>
  <w:footnote w:id="169">
    <w:p w14:paraId="369C3CFC" w14:textId="75214246" w:rsidR="00C45C34" w:rsidRPr="00C9052E"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 R., Case of </w:t>
      </w:r>
      <w:proofErr w:type="spellStart"/>
      <w:r w:rsidRPr="00326F31">
        <w:rPr>
          <w:rFonts w:asciiTheme="majorHAnsi" w:hAnsiTheme="majorHAnsi"/>
          <w:sz w:val="16"/>
          <w:szCs w:val="16"/>
        </w:rPr>
        <w:t>Granier</w:t>
      </w:r>
      <w:proofErr w:type="spellEnd"/>
      <w:r w:rsidRPr="00326F31">
        <w:rPr>
          <w:rFonts w:asciiTheme="majorHAnsi" w:hAnsiTheme="majorHAnsi"/>
          <w:sz w:val="16"/>
          <w:szCs w:val="16"/>
        </w:rPr>
        <w:t xml:space="preserve"> et al. </w:t>
      </w:r>
      <w:r w:rsidRPr="00165F1E">
        <w:rPr>
          <w:rFonts w:asciiTheme="majorHAnsi" w:hAnsiTheme="majorHAnsi"/>
          <w:sz w:val="16"/>
          <w:szCs w:val="16"/>
        </w:rPr>
        <w:t xml:space="preserve">(Radio Caracas Television) v. Venezuela.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June 22, 2015. Series C No. 293, paras. </w:t>
      </w:r>
      <w:r w:rsidRPr="00C9052E">
        <w:rPr>
          <w:rFonts w:asciiTheme="majorHAnsi" w:hAnsiTheme="majorHAnsi"/>
          <w:sz w:val="16"/>
          <w:szCs w:val="16"/>
        </w:rPr>
        <w:t>223-227.</w:t>
      </w:r>
    </w:p>
  </w:footnote>
  <w:footnote w:id="170">
    <w:p w14:paraId="23DD3DE7" w14:textId="08287AB1"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spellStart"/>
      <w:r w:rsidRPr="00326F31">
        <w:rPr>
          <w:rFonts w:asciiTheme="majorHAnsi" w:hAnsiTheme="majorHAnsi"/>
          <w:sz w:val="16"/>
          <w:szCs w:val="16"/>
        </w:rPr>
        <w:t>Cfr</w:t>
      </w:r>
      <w:proofErr w:type="spellEnd"/>
      <w:r w:rsidRPr="00326F31">
        <w:rPr>
          <w:rFonts w:asciiTheme="majorHAnsi" w:hAnsiTheme="majorHAnsi"/>
          <w:sz w:val="16"/>
          <w:szCs w:val="16"/>
        </w:rPr>
        <w:t xml:space="preserve">. IACHR, Application before the /A Court H.R. in the Case of Karen </w:t>
      </w:r>
      <w:proofErr w:type="spellStart"/>
      <w:r w:rsidRPr="00326F31">
        <w:rPr>
          <w:rFonts w:asciiTheme="majorHAnsi" w:hAnsiTheme="majorHAnsi"/>
          <w:sz w:val="16"/>
          <w:szCs w:val="16"/>
        </w:rPr>
        <w:t>Atala</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Riffo</w:t>
      </w:r>
      <w:proofErr w:type="spellEnd"/>
      <w:r w:rsidRPr="00326F31">
        <w:rPr>
          <w:rFonts w:asciiTheme="majorHAnsi" w:hAnsiTheme="majorHAnsi"/>
          <w:sz w:val="16"/>
          <w:szCs w:val="16"/>
        </w:rPr>
        <w:t xml:space="preserve"> and daughters against the State of</w:t>
      </w:r>
      <w:r>
        <w:rPr>
          <w:rFonts w:asciiTheme="majorHAnsi" w:hAnsiTheme="majorHAnsi"/>
          <w:sz w:val="16"/>
          <w:szCs w:val="16"/>
        </w:rPr>
        <w:t xml:space="preserve"> </w:t>
      </w:r>
      <w:r w:rsidRPr="00326F31">
        <w:rPr>
          <w:rFonts w:asciiTheme="majorHAnsi" w:hAnsiTheme="majorHAnsi"/>
          <w:sz w:val="16"/>
          <w:szCs w:val="16"/>
        </w:rPr>
        <w:t xml:space="preserve">Chile, </w:t>
      </w:r>
      <w:proofErr w:type="spellStart"/>
      <w:r w:rsidRPr="00326F31">
        <w:rPr>
          <w:rFonts w:asciiTheme="majorHAnsi" w:hAnsiTheme="majorHAnsi"/>
          <w:sz w:val="16"/>
          <w:szCs w:val="16"/>
        </w:rPr>
        <w:t>Septiembre</w:t>
      </w:r>
      <w:proofErr w:type="spellEnd"/>
      <w:r w:rsidRPr="00326F31">
        <w:rPr>
          <w:rFonts w:asciiTheme="majorHAnsi" w:hAnsiTheme="majorHAnsi"/>
          <w:sz w:val="16"/>
          <w:szCs w:val="16"/>
        </w:rPr>
        <w:t xml:space="preserve"> 17, 2010, para. 89, available at: </w:t>
      </w:r>
      <w:hyperlink r:id="rId50" w:history="1">
        <w:r w:rsidRPr="00326F31">
          <w:rPr>
            <w:rStyle w:val="Hyperlink"/>
            <w:rFonts w:asciiTheme="majorHAnsi" w:hAnsiTheme="majorHAnsi"/>
            <w:sz w:val="16"/>
            <w:szCs w:val="16"/>
          </w:rPr>
          <w:t>http://www.cidh.oas.org/demandas/12.502ENG.pdf</w:t>
        </w:r>
      </w:hyperlink>
      <w:r w:rsidRPr="00326F31">
        <w:rPr>
          <w:rFonts w:asciiTheme="majorHAnsi" w:hAnsiTheme="majorHAnsi"/>
          <w:sz w:val="16"/>
          <w:szCs w:val="16"/>
        </w:rPr>
        <w:t>.</w:t>
      </w:r>
    </w:p>
  </w:footnote>
  <w:footnote w:id="171">
    <w:p w14:paraId="6C5CB7C7" w14:textId="2E5FE7AB" w:rsidR="00C45C34" w:rsidRPr="00C9052E"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In the Case of the</w:t>
      </w:r>
      <w:r w:rsidRPr="00326F31">
        <w:rPr>
          <w:rFonts w:asciiTheme="majorHAnsi" w:hAnsiTheme="majorHAnsi"/>
          <w:i/>
          <w:sz w:val="16"/>
          <w:szCs w:val="16"/>
        </w:rPr>
        <w:t xml:space="preserve"> General Gallardo</w:t>
      </w:r>
      <w:r w:rsidRPr="00326F31">
        <w:rPr>
          <w:rFonts w:asciiTheme="majorHAnsi" w:hAnsiTheme="majorHAnsi"/>
          <w:sz w:val="16"/>
          <w:szCs w:val="16"/>
        </w:rPr>
        <w:t>, the Inter-American Commission highlighted that “every administrative act must be directed at the accomplishment of a purpose, which is always determined, either expressly or tacitly (and hence is subject to regulation), by the provision that confers the authority to act. If the administrative authority or organ departs from that purpose, which conditions the exercise of its competence, any act or decision it takes for a different purpose ceases to be legitimate...</w:t>
      </w:r>
      <w:proofErr w:type="gramStart"/>
      <w:r w:rsidRPr="00326F31">
        <w:rPr>
          <w:rFonts w:asciiTheme="majorHAnsi" w:hAnsiTheme="majorHAnsi"/>
          <w:sz w:val="16"/>
          <w:szCs w:val="16"/>
        </w:rPr>
        <w:t>”.</w:t>
      </w:r>
      <w:proofErr w:type="gramEnd"/>
      <w:r>
        <w:rPr>
          <w:rFonts w:asciiTheme="majorHAnsi" w:hAnsiTheme="majorHAnsi"/>
          <w:sz w:val="16"/>
          <w:szCs w:val="16"/>
        </w:rPr>
        <w:t xml:space="preserve"> Similarly, the author </w:t>
      </w:r>
      <w:proofErr w:type="spellStart"/>
      <w:r>
        <w:rPr>
          <w:rFonts w:asciiTheme="majorHAnsi" w:hAnsiTheme="majorHAnsi"/>
          <w:sz w:val="16"/>
          <w:szCs w:val="16"/>
        </w:rPr>
        <w:t>Alibert</w:t>
      </w:r>
      <w:proofErr w:type="spellEnd"/>
      <w:r>
        <w:rPr>
          <w:rFonts w:asciiTheme="majorHAnsi" w:hAnsiTheme="majorHAnsi"/>
          <w:sz w:val="16"/>
          <w:szCs w:val="16"/>
        </w:rPr>
        <w:t xml:space="preserve"> </w:t>
      </w:r>
      <w:r w:rsidRPr="00326F31">
        <w:rPr>
          <w:rFonts w:asciiTheme="majorHAnsi" w:hAnsiTheme="majorHAnsi"/>
          <w:sz w:val="16"/>
          <w:szCs w:val="16"/>
        </w:rPr>
        <w:t xml:space="preserve"> has said that “an agent of the administration commits an abuse of power when, in performing an act within his competence and respecting the forms imposed by legislation, he makes use of his power in cases, for motives and to purposes other than those for which this power was conferred upon him. The abuse of power is an abuse of mandate, an abuse of law. An administrative act may have been performed by the competent official with all the appearances of legality and yet this discretionary act, which the qualified official had the strict right to perform, may be rendered illegal if its author has used his powers for a purpose other than that for which they were conferred on him, or to speak in terms of jurisprudence, for a purpose other than the public interest or the good of the service".</w:t>
      </w:r>
      <w:r>
        <w:rPr>
          <w:rFonts w:asciiTheme="majorHAnsi" w:hAnsiTheme="majorHAnsi"/>
          <w:sz w:val="16"/>
          <w:szCs w:val="16"/>
        </w:rPr>
        <w:t xml:space="preserve"> </w:t>
      </w:r>
      <w:r w:rsidRPr="00326F31">
        <w:rPr>
          <w:rFonts w:asciiTheme="majorHAnsi" w:hAnsiTheme="majorHAnsi"/>
          <w:sz w:val="16"/>
          <w:szCs w:val="16"/>
        </w:rPr>
        <w:t>[T]he Commission finds that while in principle General Gallardo was detained after the respective arrest warrant was issued by a competent Tribunal, it is evident that said public authority was used for ends other than those provided for in Mexican law, thus constituting an abuse of power, through successive and related actions that have tended to deny General José Francisco Gallardo his personal liberty, through acts that have the appearance of legality.</w:t>
      </w:r>
      <w:r>
        <w:rPr>
          <w:rFonts w:asciiTheme="majorHAnsi" w:hAnsiTheme="majorHAnsi"/>
          <w:sz w:val="16"/>
          <w:szCs w:val="16"/>
        </w:rPr>
        <w:t xml:space="preserve"> </w:t>
      </w:r>
      <w:r w:rsidRPr="00326F31">
        <w:rPr>
          <w:rFonts w:asciiTheme="majorHAnsi" w:hAnsiTheme="majorHAnsi"/>
          <w:sz w:val="16"/>
          <w:szCs w:val="16"/>
        </w:rPr>
        <w:t>Therefore, said conduct by the Mexican military authorities means that the law has been used for a purpose other than the one established in the law, i.e. the unlawful deprivation of liberty through acts that abide by legal formality.</w:t>
      </w:r>
      <w:r>
        <w:rPr>
          <w:rFonts w:asciiTheme="majorHAnsi" w:hAnsiTheme="majorHAnsi"/>
          <w:sz w:val="16"/>
          <w:szCs w:val="16"/>
        </w:rPr>
        <w:t xml:space="preserve"> </w:t>
      </w:r>
      <w:proofErr w:type="gramStart"/>
      <w:r w:rsidRPr="00326F31">
        <w:rPr>
          <w:rFonts w:asciiTheme="majorHAnsi" w:hAnsiTheme="majorHAnsi"/>
          <w:sz w:val="16"/>
          <w:szCs w:val="16"/>
        </w:rPr>
        <w:t>IACHR</w:t>
      </w:r>
      <w:r w:rsidRPr="00C9052E">
        <w:rPr>
          <w:rFonts w:asciiTheme="majorHAnsi" w:hAnsiTheme="majorHAnsi"/>
          <w:sz w:val="16"/>
          <w:szCs w:val="16"/>
        </w:rPr>
        <w:t>, Report No. 43/96, Case 11.430, Mexico,</w:t>
      </w:r>
      <w:r>
        <w:rPr>
          <w:rFonts w:asciiTheme="majorHAnsi" w:hAnsiTheme="majorHAnsi"/>
          <w:sz w:val="16"/>
          <w:szCs w:val="16"/>
        </w:rPr>
        <w:t xml:space="preserve"> </w:t>
      </w:r>
      <w:r w:rsidRPr="00C9052E">
        <w:rPr>
          <w:rFonts w:asciiTheme="majorHAnsi" w:hAnsiTheme="majorHAnsi"/>
          <w:sz w:val="16"/>
          <w:szCs w:val="16"/>
        </w:rPr>
        <w:t>Oct</w:t>
      </w:r>
      <w:r>
        <w:rPr>
          <w:rFonts w:asciiTheme="majorHAnsi" w:hAnsiTheme="majorHAnsi"/>
          <w:sz w:val="16"/>
          <w:szCs w:val="16"/>
        </w:rPr>
        <w:t xml:space="preserve">ober </w:t>
      </w:r>
      <w:r w:rsidRPr="00C9052E">
        <w:rPr>
          <w:rFonts w:asciiTheme="majorHAnsi" w:hAnsiTheme="majorHAnsi"/>
          <w:sz w:val="16"/>
          <w:szCs w:val="16"/>
        </w:rPr>
        <w:t>15, 1996, paras.</w:t>
      </w:r>
      <w:proofErr w:type="gramEnd"/>
      <w:r w:rsidRPr="00C9052E">
        <w:rPr>
          <w:rFonts w:asciiTheme="majorHAnsi" w:hAnsiTheme="majorHAnsi"/>
          <w:sz w:val="16"/>
          <w:szCs w:val="16"/>
        </w:rPr>
        <w:t xml:space="preserve"> </w:t>
      </w:r>
      <w:proofErr w:type="gramStart"/>
      <w:r w:rsidRPr="00C9052E">
        <w:rPr>
          <w:rFonts w:asciiTheme="majorHAnsi" w:hAnsiTheme="majorHAnsi"/>
          <w:sz w:val="16"/>
          <w:szCs w:val="16"/>
        </w:rPr>
        <w:t>70 and 114.</w:t>
      </w:r>
      <w:proofErr w:type="gramEnd"/>
    </w:p>
  </w:footnote>
  <w:footnote w:id="172">
    <w:p w14:paraId="7E351E5C" w14:textId="77777777" w:rsidR="00C45C34" w:rsidRPr="00C9052E" w:rsidRDefault="00C45C34" w:rsidP="00131FA4">
      <w:pPr>
        <w:pStyle w:val="NormalWeb"/>
        <w:spacing w:before="0" w:beforeAutospacing="0" w:after="120" w:afterAutospacing="0"/>
        <w:ind w:firstLine="720"/>
        <w:jc w:val="both"/>
        <w:rPr>
          <w:rFonts w:asciiTheme="majorHAnsi" w:eastAsia="Arial Unicode MS"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H.R., Case of </w:t>
      </w:r>
      <w:proofErr w:type="spellStart"/>
      <w:r w:rsidRPr="00326F31">
        <w:rPr>
          <w:rFonts w:asciiTheme="majorHAnsi" w:hAnsiTheme="majorHAnsi"/>
          <w:sz w:val="16"/>
          <w:szCs w:val="16"/>
        </w:rPr>
        <w:t>Baena</w:t>
      </w:r>
      <w:proofErr w:type="spellEnd"/>
      <w:r w:rsidRPr="00326F31">
        <w:rPr>
          <w:rFonts w:asciiTheme="majorHAnsi" w:hAnsiTheme="majorHAnsi"/>
          <w:sz w:val="16"/>
          <w:szCs w:val="16"/>
        </w:rPr>
        <w:t xml:space="preserve"> Ricardo et al. v. Panama.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February 2, 2001. </w:t>
      </w:r>
      <w:r w:rsidRPr="00C9052E">
        <w:rPr>
          <w:rFonts w:asciiTheme="majorHAnsi" w:hAnsiTheme="majorHAnsi"/>
          <w:sz w:val="16"/>
          <w:szCs w:val="16"/>
        </w:rPr>
        <w:t xml:space="preserve">Series C No. 72, para. </w:t>
      </w:r>
      <w:proofErr w:type="gramStart"/>
      <w:r w:rsidRPr="00C9052E">
        <w:rPr>
          <w:rFonts w:asciiTheme="majorHAnsi" w:hAnsiTheme="majorHAnsi"/>
          <w:sz w:val="16"/>
          <w:szCs w:val="16"/>
        </w:rPr>
        <w:t>124; IACHR</w:t>
      </w:r>
      <w:r w:rsidRPr="00C9052E">
        <w:rPr>
          <w:rFonts w:asciiTheme="majorHAnsi" w:eastAsia="Arial Unicode MS" w:hAnsiTheme="majorHAnsi"/>
          <w:sz w:val="16"/>
          <w:szCs w:val="16"/>
        </w:rPr>
        <w:t>.</w:t>
      </w:r>
      <w:proofErr w:type="gramEnd"/>
      <w:r w:rsidRPr="00C9052E">
        <w:rPr>
          <w:rFonts w:asciiTheme="majorHAnsi" w:eastAsia="Arial Unicode MS" w:hAnsiTheme="majorHAnsi"/>
          <w:sz w:val="16"/>
          <w:szCs w:val="16"/>
        </w:rPr>
        <w:t xml:space="preserve"> </w:t>
      </w:r>
      <w:r w:rsidRPr="00326F31">
        <w:rPr>
          <w:rFonts w:asciiTheme="majorHAnsi" w:eastAsia="Arial Unicode MS" w:hAnsiTheme="majorHAnsi"/>
          <w:i/>
          <w:iCs/>
          <w:sz w:val="16"/>
          <w:szCs w:val="16"/>
        </w:rPr>
        <w:t xml:space="preserve">Case 12.600 Hugo Quintana </w:t>
      </w:r>
      <w:proofErr w:type="spellStart"/>
      <w:r w:rsidRPr="00326F31">
        <w:rPr>
          <w:rFonts w:asciiTheme="majorHAnsi" w:eastAsia="Arial Unicode MS" w:hAnsiTheme="majorHAnsi"/>
          <w:i/>
          <w:iCs/>
          <w:sz w:val="16"/>
          <w:szCs w:val="16"/>
        </w:rPr>
        <w:t>Coello</w:t>
      </w:r>
      <w:proofErr w:type="spellEnd"/>
      <w:r w:rsidRPr="00326F31">
        <w:rPr>
          <w:rFonts w:asciiTheme="majorHAnsi" w:eastAsia="Arial Unicode MS" w:hAnsiTheme="majorHAnsi"/>
          <w:i/>
          <w:iCs/>
          <w:sz w:val="16"/>
          <w:szCs w:val="16"/>
        </w:rPr>
        <w:t xml:space="preserve"> et al (Supreme Court of Justice) against Ecuador (Merits), Au</w:t>
      </w:r>
      <w:r w:rsidRPr="00326F31">
        <w:rPr>
          <w:rFonts w:asciiTheme="majorHAnsi" w:eastAsia="Arial Unicode MS" w:hAnsiTheme="majorHAnsi"/>
          <w:sz w:val="16"/>
          <w:szCs w:val="16"/>
        </w:rPr>
        <w:t xml:space="preserve">gust 2, 2011, para. </w:t>
      </w:r>
      <w:r w:rsidRPr="00C9052E">
        <w:rPr>
          <w:rFonts w:asciiTheme="majorHAnsi" w:eastAsia="Arial Unicode MS" w:hAnsiTheme="majorHAnsi"/>
          <w:sz w:val="16"/>
          <w:szCs w:val="16"/>
        </w:rPr>
        <w:t>100.</w:t>
      </w:r>
    </w:p>
  </w:footnote>
  <w:footnote w:id="173">
    <w:p w14:paraId="6D9A18E8" w14:textId="3DDAC73F" w:rsidR="00C45C34" w:rsidRPr="00C9052E" w:rsidRDefault="00C45C34" w:rsidP="00131FA4">
      <w:pPr>
        <w:pStyle w:val="FootnoteText"/>
        <w:tabs>
          <w:tab w:val="left" w:pos="1080"/>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H.R., Case of Claude Reyes et al. v. Chile.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September 19, 2006. Series C No. 151, para. 129; I/A Court H.R., Case of </w:t>
      </w:r>
      <w:proofErr w:type="spellStart"/>
      <w:r w:rsidRPr="00326F31">
        <w:rPr>
          <w:rFonts w:asciiTheme="majorHAnsi" w:hAnsiTheme="majorHAnsi"/>
          <w:sz w:val="16"/>
          <w:szCs w:val="16"/>
        </w:rPr>
        <w:t>García</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Asto</w:t>
      </w:r>
      <w:proofErr w:type="spellEnd"/>
      <w:r w:rsidRPr="00326F31">
        <w:rPr>
          <w:rFonts w:asciiTheme="majorHAnsi" w:hAnsiTheme="majorHAnsi"/>
          <w:sz w:val="16"/>
          <w:szCs w:val="16"/>
        </w:rPr>
        <w:t xml:space="preserve"> and </w:t>
      </w:r>
      <w:proofErr w:type="spellStart"/>
      <w:r w:rsidRPr="00326F31">
        <w:rPr>
          <w:rFonts w:asciiTheme="majorHAnsi" w:hAnsiTheme="majorHAnsi"/>
          <w:sz w:val="16"/>
          <w:szCs w:val="16"/>
        </w:rPr>
        <w:t>Ramírez</w:t>
      </w:r>
      <w:proofErr w:type="spellEnd"/>
      <w:r w:rsidRPr="00326F31">
        <w:rPr>
          <w:rFonts w:asciiTheme="majorHAnsi" w:hAnsiTheme="majorHAnsi"/>
          <w:sz w:val="16"/>
          <w:szCs w:val="16"/>
        </w:rPr>
        <w:t xml:space="preserve"> Rojas v. Peru. </w:t>
      </w:r>
      <w:proofErr w:type="gramStart"/>
      <w:r w:rsidRPr="00326F31">
        <w:rPr>
          <w:rFonts w:asciiTheme="majorHAnsi" w:hAnsiTheme="majorHAnsi"/>
          <w:sz w:val="16"/>
          <w:szCs w:val="16"/>
        </w:rPr>
        <w:t>Preliminary Objection, Merits, Reparations and Costs.</w:t>
      </w:r>
      <w:proofErr w:type="gramEnd"/>
      <w:r w:rsidRPr="00326F31">
        <w:rPr>
          <w:rFonts w:asciiTheme="majorHAnsi" w:hAnsiTheme="majorHAnsi"/>
          <w:sz w:val="16"/>
          <w:szCs w:val="16"/>
        </w:rPr>
        <w:t xml:space="preserve"> Judgment of November 25, 2005. Series C No. 137, para. 113; I/A Court H.R., Case of </w:t>
      </w:r>
      <w:proofErr w:type="spellStart"/>
      <w:r w:rsidRPr="00326F31">
        <w:rPr>
          <w:rFonts w:asciiTheme="majorHAnsi" w:hAnsiTheme="majorHAnsi"/>
          <w:sz w:val="16"/>
          <w:szCs w:val="16"/>
        </w:rPr>
        <w:t>Palamara</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Iribarne</w:t>
      </w:r>
      <w:proofErr w:type="spellEnd"/>
      <w:r w:rsidRPr="00326F31">
        <w:rPr>
          <w:rFonts w:asciiTheme="majorHAnsi" w:hAnsiTheme="majorHAnsi"/>
          <w:sz w:val="16"/>
          <w:szCs w:val="16"/>
        </w:rPr>
        <w:t xml:space="preserve"> v. Chile.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November 22, 2005. </w:t>
      </w:r>
      <w:r w:rsidRPr="00C9052E">
        <w:rPr>
          <w:rFonts w:asciiTheme="majorHAnsi" w:hAnsiTheme="majorHAnsi"/>
          <w:sz w:val="16"/>
          <w:szCs w:val="16"/>
        </w:rPr>
        <w:t>Series C No. 135, para. 183</w:t>
      </w:r>
      <w:r w:rsidRPr="00C9052E">
        <w:rPr>
          <w:rFonts w:asciiTheme="majorHAnsi" w:hAnsiTheme="majorHAnsi"/>
          <w:iCs/>
          <w:sz w:val="16"/>
          <w:szCs w:val="16"/>
        </w:rPr>
        <w:t>.</w:t>
      </w:r>
    </w:p>
  </w:footnote>
  <w:footnote w:id="174">
    <w:p w14:paraId="7EA10BD7" w14:textId="6B9B14A7" w:rsidR="00C45C34" w:rsidRPr="00C9052E" w:rsidRDefault="00C45C34" w:rsidP="00131FA4">
      <w:pPr>
        <w:pStyle w:val="NoSpacing"/>
        <w:numPr>
          <w:ilvl w:val="0"/>
          <w:numId w:val="0"/>
        </w:numPr>
        <w:spacing w:after="120"/>
        <w:ind w:firstLine="720"/>
        <w:jc w:val="both"/>
        <w:rPr>
          <w:rFonts w:asciiTheme="majorHAnsi" w:hAnsiTheme="majorHAnsi"/>
          <w:sz w:val="16"/>
          <w:szCs w:val="16"/>
          <w:lang w:val="en-US"/>
        </w:rPr>
      </w:pPr>
      <w:r w:rsidRPr="00326F31">
        <w:rPr>
          <w:rStyle w:val="FootnoteReference"/>
          <w:rFonts w:asciiTheme="majorHAnsi" w:hAnsiTheme="majorHAnsi"/>
          <w:sz w:val="16"/>
          <w:szCs w:val="16"/>
        </w:rPr>
        <w:footnoteRef/>
      </w:r>
      <w:r w:rsidRPr="00C9052E">
        <w:rPr>
          <w:rFonts w:asciiTheme="majorHAnsi" w:hAnsiTheme="majorHAnsi"/>
          <w:sz w:val="16"/>
          <w:szCs w:val="16"/>
          <w:lang w:val="en-US"/>
        </w:rPr>
        <w:t xml:space="preserve"> I/A Court H.R., Case of </w:t>
      </w:r>
      <w:proofErr w:type="spellStart"/>
      <w:r w:rsidRPr="00C9052E">
        <w:rPr>
          <w:rFonts w:asciiTheme="majorHAnsi" w:hAnsiTheme="majorHAnsi"/>
          <w:sz w:val="16"/>
          <w:szCs w:val="16"/>
          <w:lang w:val="en-US"/>
        </w:rPr>
        <w:t>Velásquez</w:t>
      </w:r>
      <w:proofErr w:type="spellEnd"/>
      <w:r w:rsidRPr="00C9052E">
        <w:rPr>
          <w:rFonts w:asciiTheme="majorHAnsi" w:hAnsiTheme="majorHAnsi"/>
          <w:sz w:val="16"/>
          <w:szCs w:val="16"/>
          <w:lang w:val="en-US"/>
        </w:rPr>
        <w:t xml:space="preserve"> Rodríguez v. Honduras. </w:t>
      </w:r>
      <w:proofErr w:type="gramStart"/>
      <w:r w:rsidRPr="00326F31">
        <w:rPr>
          <w:rFonts w:asciiTheme="majorHAnsi" w:hAnsiTheme="majorHAnsi"/>
          <w:sz w:val="16"/>
          <w:szCs w:val="16"/>
          <w:lang w:val="en-US"/>
        </w:rPr>
        <w:t>Preliminary Objections.</w:t>
      </w:r>
      <w:proofErr w:type="gramEnd"/>
      <w:r w:rsidRPr="00326F31">
        <w:rPr>
          <w:rFonts w:asciiTheme="majorHAnsi" w:hAnsiTheme="majorHAnsi"/>
          <w:sz w:val="16"/>
          <w:szCs w:val="16"/>
          <w:lang w:val="en-US"/>
        </w:rPr>
        <w:t xml:space="preserve"> Judgment of June 26, 1987. Series C No. 1, para. 91; I/A Court H.R., Case of </w:t>
      </w:r>
      <w:proofErr w:type="spellStart"/>
      <w:r w:rsidRPr="00326F31">
        <w:rPr>
          <w:rFonts w:asciiTheme="majorHAnsi" w:hAnsiTheme="majorHAnsi"/>
          <w:sz w:val="16"/>
          <w:szCs w:val="16"/>
          <w:lang w:val="en-US"/>
        </w:rPr>
        <w:t>Kichwa</w:t>
      </w:r>
      <w:proofErr w:type="spellEnd"/>
      <w:r w:rsidRPr="00326F31">
        <w:rPr>
          <w:rFonts w:asciiTheme="majorHAnsi" w:hAnsiTheme="majorHAnsi"/>
          <w:sz w:val="16"/>
          <w:szCs w:val="16"/>
          <w:lang w:val="en-US"/>
        </w:rPr>
        <w:t xml:space="preserve"> Indigenous People of </w:t>
      </w:r>
      <w:proofErr w:type="spellStart"/>
      <w:r w:rsidRPr="00326F31">
        <w:rPr>
          <w:rFonts w:asciiTheme="majorHAnsi" w:hAnsiTheme="majorHAnsi"/>
          <w:sz w:val="16"/>
          <w:szCs w:val="16"/>
          <w:lang w:val="en-US"/>
        </w:rPr>
        <w:t>Sarayaku</w:t>
      </w:r>
      <w:proofErr w:type="spellEnd"/>
      <w:r w:rsidRPr="00326F31">
        <w:rPr>
          <w:rFonts w:asciiTheme="majorHAnsi" w:hAnsiTheme="majorHAnsi"/>
          <w:sz w:val="16"/>
          <w:szCs w:val="16"/>
          <w:lang w:val="en-US"/>
        </w:rPr>
        <w:t xml:space="preserve"> v. Ecuador. </w:t>
      </w:r>
      <w:proofErr w:type="gramStart"/>
      <w:r w:rsidRPr="00326F31">
        <w:rPr>
          <w:rFonts w:asciiTheme="majorHAnsi" w:hAnsiTheme="majorHAnsi"/>
          <w:sz w:val="16"/>
          <w:szCs w:val="16"/>
          <w:lang w:val="en-US"/>
        </w:rPr>
        <w:t>Merits and reparations.</w:t>
      </w:r>
      <w:proofErr w:type="gramEnd"/>
      <w:r w:rsidRPr="00326F31">
        <w:rPr>
          <w:rFonts w:asciiTheme="majorHAnsi" w:hAnsiTheme="majorHAnsi"/>
          <w:sz w:val="16"/>
          <w:szCs w:val="16"/>
          <w:lang w:val="en-US"/>
        </w:rPr>
        <w:t xml:space="preserve"> Judgment of June 27, 2012. </w:t>
      </w:r>
      <w:r w:rsidRPr="00C9052E">
        <w:rPr>
          <w:rFonts w:asciiTheme="majorHAnsi" w:hAnsiTheme="majorHAnsi"/>
          <w:sz w:val="16"/>
          <w:szCs w:val="16"/>
          <w:lang w:val="en-US"/>
        </w:rPr>
        <w:t xml:space="preserve">Series C No. 245, para. </w:t>
      </w:r>
      <w:proofErr w:type="gramStart"/>
      <w:r w:rsidRPr="00326F31">
        <w:rPr>
          <w:rFonts w:asciiTheme="majorHAnsi" w:hAnsiTheme="majorHAnsi"/>
          <w:sz w:val="16"/>
          <w:szCs w:val="16"/>
          <w:lang w:val="en-US"/>
        </w:rPr>
        <w:t>260; and</w:t>
      </w:r>
      <w:r w:rsidRPr="00326F31">
        <w:rPr>
          <w:rFonts w:asciiTheme="majorHAnsi" w:hAnsiTheme="majorHAnsi"/>
          <w:bCs/>
          <w:sz w:val="16"/>
          <w:szCs w:val="16"/>
          <w:lang w:val="en-US" w:bidi="en-US"/>
        </w:rPr>
        <w:t xml:space="preserve"> Case of the Kuna Indigenous People of </w:t>
      </w:r>
      <w:proofErr w:type="spellStart"/>
      <w:r w:rsidRPr="00326F31">
        <w:rPr>
          <w:rFonts w:asciiTheme="majorHAnsi" w:hAnsiTheme="majorHAnsi"/>
          <w:bCs/>
          <w:sz w:val="16"/>
          <w:szCs w:val="16"/>
          <w:lang w:val="en-US" w:bidi="en-US"/>
        </w:rPr>
        <w:t>Madungandí</w:t>
      </w:r>
      <w:proofErr w:type="spellEnd"/>
      <w:r w:rsidRPr="00326F31">
        <w:rPr>
          <w:rFonts w:asciiTheme="majorHAnsi" w:hAnsiTheme="majorHAnsi"/>
          <w:bCs/>
          <w:sz w:val="16"/>
          <w:szCs w:val="16"/>
          <w:lang w:val="en-US" w:bidi="en-US"/>
        </w:rPr>
        <w:t xml:space="preserve"> and the </w:t>
      </w:r>
      <w:proofErr w:type="spellStart"/>
      <w:r w:rsidRPr="00326F31">
        <w:rPr>
          <w:rFonts w:asciiTheme="majorHAnsi" w:hAnsiTheme="majorHAnsi"/>
          <w:bCs/>
          <w:sz w:val="16"/>
          <w:szCs w:val="16"/>
          <w:lang w:val="en-US" w:bidi="en-US"/>
        </w:rPr>
        <w:t>Emberá</w:t>
      </w:r>
      <w:proofErr w:type="spellEnd"/>
      <w:r w:rsidRPr="00326F31">
        <w:rPr>
          <w:rFonts w:asciiTheme="majorHAnsi" w:hAnsiTheme="majorHAnsi"/>
          <w:bCs/>
          <w:sz w:val="16"/>
          <w:szCs w:val="16"/>
          <w:lang w:val="en-US" w:bidi="en-US"/>
        </w:rPr>
        <w:t xml:space="preserve"> Indigenous People of </w:t>
      </w:r>
      <w:proofErr w:type="spellStart"/>
      <w:r w:rsidRPr="00326F31">
        <w:rPr>
          <w:rFonts w:asciiTheme="majorHAnsi" w:hAnsiTheme="majorHAnsi"/>
          <w:bCs/>
          <w:sz w:val="16"/>
          <w:szCs w:val="16"/>
          <w:lang w:val="en-US" w:bidi="en-US"/>
        </w:rPr>
        <w:t>Bayano</w:t>
      </w:r>
      <w:proofErr w:type="spellEnd"/>
      <w:r w:rsidRPr="00326F31">
        <w:rPr>
          <w:rFonts w:asciiTheme="majorHAnsi" w:hAnsiTheme="majorHAnsi"/>
          <w:bCs/>
          <w:sz w:val="16"/>
          <w:szCs w:val="16"/>
          <w:lang w:val="en-US" w:bidi="en-US"/>
        </w:rPr>
        <w:t xml:space="preserve"> and their Members v. Panama.</w:t>
      </w:r>
      <w:proofErr w:type="gramEnd"/>
      <w:r w:rsidRPr="00326F31">
        <w:rPr>
          <w:rFonts w:asciiTheme="majorHAnsi" w:hAnsiTheme="majorHAnsi"/>
          <w:bCs/>
          <w:sz w:val="16"/>
          <w:szCs w:val="16"/>
          <w:lang w:val="en-US" w:bidi="en-US"/>
        </w:rPr>
        <w:t xml:space="preserve"> </w:t>
      </w:r>
      <w:proofErr w:type="gramStart"/>
      <w:r w:rsidRPr="00326F31">
        <w:rPr>
          <w:rFonts w:asciiTheme="majorHAnsi" w:hAnsiTheme="majorHAnsi"/>
          <w:bCs/>
          <w:sz w:val="16"/>
          <w:szCs w:val="16"/>
          <w:lang w:val="en-US" w:bidi="en-US"/>
        </w:rPr>
        <w:t>Preliminary objections, merits, reparations and costs.</w:t>
      </w:r>
      <w:proofErr w:type="gramEnd"/>
      <w:r w:rsidRPr="00326F31">
        <w:rPr>
          <w:rFonts w:asciiTheme="majorHAnsi" w:hAnsiTheme="majorHAnsi"/>
          <w:bCs/>
          <w:sz w:val="16"/>
          <w:szCs w:val="16"/>
          <w:lang w:val="en-US" w:bidi="en-US"/>
        </w:rPr>
        <w:t xml:space="preserve"> Judgment of October 14, 2014. Series C No. 284, para. </w:t>
      </w:r>
      <w:r w:rsidRPr="00C9052E">
        <w:rPr>
          <w:rFonts w:asciiTheme="majorHAnsi" w:hAnsiTheme="majorHAnsi"/>
          <w:bCs/>
          <w:sz w:val="16"/>
          <w:szCs w:val="16"/>
          <w:lang w:val="en-US" w:bidi="en-US"/>
        </w:rPr>
        <w:t>165.</w:t>
      </w:r>
    </w:p>
  </w:footnote>
  <w:footnote w:id="175">
    <w:p w14:paraId="47C17B4E" w14:textId="2DE81E0D" w:rsidR="00C45C34" w:rsidRPr="00C9052E" w:rsidRDefault="00C45C34" w:rsidP="00131FA4">
      <w:pPr>
        <w:pStyle w:val="FootnoteText"/>
        <w:tabs>
          <w:tab w:val="left" w:pos="360"/>
          <w:tab w:val="left" w:pos="720"/>
          <w:tab w:val="left" w:pos="900"/>
          <w:tab w:val="left" w:pos="1080"/>
        </w:tabs>
        <w:spacing w:after="120"/>
        <w:ind w:firstLine="720"/>
        <w:jc w:val="both"/>
        <w:rPr>
          <w:rFonts w:asciiTheme="majorHAnsi" w:hAnsiTheme="majorHAnsi"/>
          <w: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r w:rsidRPr="00326F31">
        <w:rPr>
          <w:rFonts w:asciiTheme="majorHAnsi" w:hAnsiTheme="majorHAnsi"/>
          <w:sz w:val="16"/>
          <w:szCs w:val="16"/>
        </w:rPr>
        <w:tab/>
        <w:t xml:space="preserve">I/A Court H.R., Case of </w:t>
      </w:r>
      <w:proofErr w:type="spellStart"/>
      <w:r w:rsidRPr="00326F31">
        <w:rPr>
          <w:rFonts w:asciiTheme="majorHAnsi" w:hAnsiTheme="majorHAnsi"/>
          <w:sz w:val="16"/>
          <w:szCs w:val="16"/>
        </w:rPr>
        <w:t>García</w:t>
      </w:r>
      <w:proofErr w:type="spellEnd"/>
      <w:r w:rsidRPr="00326F31">
        <w:rPr>
          <w:rFonts w:asciiTheme="majorHAnsi" w:hAnsiTheme="majorHAnsi"/>
          <w:sz w:val="16"/>
          <w:szCs w:val="16"/>
        </w:rPr>
        <w:t xml:space="preserve"> Prieto et al. v. El Salvador.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November 20, 2007. Series C No. 168, para. 103; I/A Court H.R., Case of </w:t>
      </w:r>
      <w:proofErr w:type="spellStart"/>
      <w:r w:rsidRPr="00326F31">
        <w:rPr>
          <w:rFonts w:asciiTheme="majorHAnsi" w:hAnsiTheme="majorHAnsi"/>
          <w:sz w:val="16"/>
          <w:szCs w:val="16"/>
        </w:rPr>
        <w:t>Bulacio</w:t>
      </w:r>
      <w:proofErr w:type="spellEnd"/>
      <w:r w:rsidRPr="00326F31">
        <w:rPr>
          <w:rFonts w:asciiTheme="majorHAnsi" w:hAnsiTheme="majorHAnsi"/>
          <w:sz w:val="16"/>
          <w:szCs w:val="16"/>
        </w:rPr>
        <w:t xml:space="preserve"> v. Argentina.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September 18, 2003. </w:t>
      </w:r>
      <w:r w:rsidRPr="00C9052E">
        <w:rPr>
          <w:rFonts w:asciiTheme="majorHAnsi" w:hAnsiTheme="majorHAnsi"/>
          <w:sz w:val="16"/>
          <w:szCs w:val="16"/>
        </w:rPr>
        <w:t xml:space="preserve">Series C No. 100, para. </w:t>
      </w:r>
      <w:r w:rsidRPr="00326F31">
        <w:rPr>
          <w:rFonts w:asciiTheme="majorHAnsi" w:hAnsiTheme="majorHAnsi"/>
          <w:sz w:val="16"/>
          <w:szCs w:val="16"/>
        </w:rPr>
        <w:t xml:space="preserve">114; and I/A Court H.R., Case of the Miguel Castro </w:t>
      </w:r>
      <w:proofErr w:type="spellStart"/>
      <w:r w:rsidRPr="00326F31">
        <w:rPr>
          <w:rFonts w:asciiTheme="majorHAnsi" w:hAnsiTheme="majorHAnsi"/>
          <w:sz w:val="16"/>
          <w:szCs w:val="16"/>
        </w:rPr>
        <w:t>Castro</w:t>
      </w:r>
      <w:proofErr w:type="spellEnd"/>
      <w:r w:rsidRPr="00326F31">
        <w:rPr>
          <w:rFonts w:asciiTheme="majorHAnsi" w:hAnsiTheme="majorHAnsi"/>
          <w:sz w:val="16"/>
          <w:szCs w:val="16"/>
        </w:rPr>
        <w:t xml:space="preserve"> Prison v. Peru. </w:t>
      </w:r>
      <w:proofErr w:type="gramStart"/>
      <w:r w:rsidRPr="00326F31">
        <w:rPr>
          <w:rFonts w:asciiTheme="majorHAnsi" w:hAnsiTheme="majorHAnsi"/>
          <w:sz w:val="16"/>
          <w:szCs w:val="16"/>
        </w:rPr>
        <w:t>Interpretation of the Judgment on Merits, Reparations and Costs.</w:t>
      </w:r>
      <w:proofErr w:type="gramEnd"/>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Judgment of August 2, 2008 Series C No. 181, </w:t>
      </w:r>
      <w:r w:rsidRPr="00C9052E">
        <w:rPr>
          <w:rFonts w:asciiTheme="majorHAnsi" w:hAnsiTheme="majorHAnsi"/>
          <w:sz w:val="16"/>
          <w:szCs w:val="16"/>
        </w:rPr>
        <w:t>para.</w:t>
      </w:r>
      <w:proofErr w:type="gramEnd"/>
      <w:r w:rsidRPr="00C9052E">
        <w:rPr>
          <w:rFonts w:asciiTheme="majorHAnsi" w:hAnsiTheme="majorHAnsi"/>
          <w:sz w:val="16"/>
          <w:szCs w:val="16"/>
        </w:rPr>
        <w:t xml:space="preserve"> 382.</w:t>
      </w:r>
    </w:p>
  </w:footnote>
  <w:footnote w:id="176">
    <w:p w14:paraId="758A06A2" w14:textId="731378B5" w:rsidR="00C45C34" w:rsidRPr="00C9052E" w:rsidRDefault="00C45C34" w:rsidP="00131FA4">
      <w:pPr>
        <w:tabs>
          <w:tab w:val="left" w:pos="180"/>
          <w:tab w:val="left" w:pos="900"/>
          <w:tab w:val="left" w:pos="1080"/>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r w:rsidRPr="00326F31">
        <w:rPr>
          <w:rFonts w:asciiTheme="majorHAnsi" w:hAnsiTheme="majorHAnsi"/>
          <w:sz w:val="16"/>
          <w:szCs w:val="16"/>
        </w:rPr>
        <w:tab/>
      </w:r>
      <w:r w:rsidRPr="00326F31">
        <w:rPr>
          <w:rFonts w:asciiTheme="majorHAnsi" w:hAnsiTheme="majorHAnsi"/>
          <w:color w:val="000000"/>
          <w:sz w:val="16"/>
          <w:szCs w:val="16"/>
        </w:rPr>
        <w:t>I/A Court H.R., Case of the Dismissed Congressional Employees (</w:t>
      </w:r>
      <w:proofErr w:type="spellStart"/>
      <w:r w:rsidRPr="00326F31">
        <w:rPr>
          <w:rFonts w:asciiTheme="majorHAnsi" w:hAnsiTheme="majorHAnsi"/>
          <w:color w:val="000000"/>
          <w:sz w:val="16"/>
          <w:szCs w:val="16"/>
        </w:rPr>
        <w:t>Aguado</w:t>
      </w:r>
      <w:proofErr w:type="spellEnd"/>
      <w:r w:rsidRPr="00326F31">
        <w:rPr>
          <w:rFonts w:asciiTheme="majorHAnsi" w:hAnsiTheme="majorHAnsi"/>
          <w:color w:val="000000"/>
          <w:sz w:val="16"/>
          <w:szCs w:val="16"/>
        </w:rPr>
        <w:t xml:space="preserve"> - Alfaro et al.) v. Peru. </w:t>
      </w:r>
      <w:proofErr w:type="gramStart"/>
      <w:r w:rsidRPr="00326F31">
        <w:rPr>
          <w:rFonts w:asciiTheme="majorHAnsi" w:hAnsiTheme="majorHAnsi"/>
          <w:color w:val="000000"/>
          <w:sz w:val="16"/>
          <w:szCs w:val="16"/>
        </w:rPr>
        <w:t>Preliminary Objections, Merits, Reparations and Costs.</w:t>
      </w:r>
      <w:proofErr w:type="gramEnd"/>
      <w:r w:rsidRPr="00326F31">
        <w:rPr>
          <w:rFonts w:asciiTheme="majorHAnsi" w:hAnsiTheme="majorHAnsi"/>
          <w:color w:val="000000"/>
          <w:sz w:val="16"/>
          <w:szCs w:val="16"/>
        </w:rPr>
        <w:t xml:space="preserve"> Judgment of November 24, 2006. Series C No. 158, para. 125; I/A Court H.R., Case of the </w:t>
      </w:r>
      <w:proofErr w:type="spellStart"/>
      <w:r w:rsidRPr="00326F31">
        <w:rPr>
          <w:rFonts w:asciiTheme="majorHAnsi" w:hAnsiTheme="majorHAnsi"/>
          <w:color w:val="000000"/>
          <w:sz w:val="16"/>
          <w:szCs w:val="16"/>
        </w:rPr>
        <w:t>Yakye</w:t>
      </w:r>
      <w:proofErr w:type="spellEnd"/>
      <w:r w:rsidRPr="00326F31">
        <w:rPr>
          <w:rFonts w:asciiTheme="majorHAnsi" w:hAnsiTheme="majorHAnsi"/>
          <w:color w:val="000000"/>
          <w:sz w:val="16"/>
          <w:szCs w:val="16"/>
        </w:rPr>
        <w:t xml:space="preserve"> </w:t>
      </w:r>
      <w:proofErr w:type="spellStart"/>
      <w:r w:rsidRPr="00326F31">
        <w:rPr>
          <w:rFonts w:asciiTheme="majorHAnsi" w:hAnsiTheme="majorHAnsi"/>
          <w:color w:val="000000"/>
          <w:sz w:val="16"/>
          <w:szCs w:val="16"/>
        </w:rPr>
        <w:t>Axa</w:t>
      </w:r>
      <w:proofErr w:type="spellEnd"/>
      <w:r w:rsidRPr="00326F31">
        <w:rPr>
          <w:rFonts w:asciiTheme="majorHAnsi" w:hAnsiTheme="majorHAnsi"/>
          <w:color w:val="000000"/>
          <w:sz w:val="16"/>
          <w:szCs w:val="16"/>
        </w:rPr>
        <w:t xml:space="preserve"> Indigenous Community v. Paraguay. </w:t>
      </w:r>
      <w:proofErr w:type="gramStart"/>
      <w:r w:rsidRPr="00326F31">
        <w:rPr>
          <w:rFonts w:asciiTheme="majorHAnsi" w:hAnsiTheme="majorHAnsi"/>
          <w:color w:val="000000"/>
          <w:sz w:val="16"/>
          <w:szCs w:val="16"/>
        </w:rPr>
        <w:t>Merits, Reparations and Costs.</w:t>
      </w:r>
      <w:proofErr w:type="gramEnd"/>
      <w:r w:rsidRPr="00326F31">
        <w:rPr>
          <w:rFonts w:asciiTheme="majorHAnsi" w:hAnsiTheme="majorHAnsi"/>
          <w:color w:val="000000"/>
          <w:sz w:val="16"/>
          <w:szCs w:val="16"/>
        </w:rPr>
        <w:t xml:space="preserve"> Judgment of June 17, 2005. Series C No. 125, </w:t>
      </w:r>
      <w:r w:rsidRPr="00326F31">
        <w:rPr>
          <w:rFonts w:asciiTheme="majorHAnsi" w:hAnsiTheme="majorHAnsi"/>
          <w:sz w:val="16"/>
          <w:szCs w:val="16"/>
        </w:rPr>
        <w:t>para.</w:t>
      </w:r>
      <w:r>
        <w:rPr>
          <w:rFonts w:asciiTheme="majorHAnsi" w:hAnsiTheme="majorHAnsi"/>
          <w:sz w:val="16"/>
          <w:szCs w:val="16"/>
        </w:rPr>
        <w:t xml:space="preserve"> </w:t>
      </w:r>
      <w:r w:rsidRPr="00326F31">
        <w:rPr>
          <w:rFonts w:asciiTheme="majorHAnsi" w:hAnsiTheme="majorHAnsi"/>
          <w:sz w:val="16"/>
          <w:szCs w:val="16"/>
        </w:rPr>
        <w:t xml:space="preserve">61; </w:t>
      </w:r>
      <w:r w:rsidRPr="00326F31">
        <w:rPr>
          <w:rFonts w:asciiTheme="majorHAnsi" w:hAnsiTheme="majorHAnsi"/>
          <w:color w:val="000000"/>
          <w:sz w:val="16"/>
          <w:szCs w:val="16"/>
        </w:rPr>
        <w:t xml:space="preserve">I/A Court H.R., Case of the “Five Pensioners” v. Peru. </w:t>
      </w:r>
      <w:proofErr w:type="gramStart"/>
      <w:r w:rsidRPr="00326F31">
        <w:rPr>
          <w:rFonts w:asciiTheme="majorHAnsi" w:hAnsiTheme="majorHAnsi"/>
          <w:color w:val="000000"/>
          <w:sz w:val="16"/>
          <w:szCs w:val="16"/>
        </w:rPr>
        <w:t>Merits, Reparations and Costs.</w:t>
      </w:r>
      <w:proofErr w:type="gramEnd"/>
      <w:r w:rsidRPr="00326F31">
        <w:rPr>
          <w:rFonts w:asciiTheme="majorHAnsi" w:hAnsiTheme="majorHAnsi"/>
          <w:color w:val="000000"/>
          <w:sz w:val="16"/>
          <w:szCs w:val="16"/>
        </w:rPr>
        <w:t xml:space="preserve"> Judgment of February 28, 2003. Series C No. 98</w:t>
      </w:r>
      <w:r w:rsidRPr="00326F31">
        <w:rPr>
          <w:rFonts w:asciiTheme="majorHAnsi" w:hAnsiTheme="majorHAnsi"/>
          <w:sz w:val="16"/>
          <w:szCs w:val="16"/>
        </w:rPr>
        <w:t xml:space="preserve">, </w:t>
      </w:r>
      <w:r w:rsidRPr="00C9052E">
        <w:rPr>
          <w:rFonts w:asciiTheme="majorHAnsi" w:hAnsiTheme="majorHAnsi"/>
          <w:sz w:val="16"/>
          <w:szCs w:val="16"/>
        </w:rPr>
        <w:t>para. 136.</w:t>
      </w:r>
    </w:p>
  </w:footnote>
  <w:footnote w:id="177">
    <w:p w14:paraId="6E9A23F5" w14:textId="77777777" w:rsidR="00C45C34" w:rsidRPr="00C9052E" w:rsidRDefault="00C45C34" w:rsidP="00131FA4">
      <w:pPr>
        <w:pStyle w:val="FootnoteText"/>
        <w:tabs>
          <w:tab w:val="left" w:pos="900"/>
          <w:tab w:val="left" w:pos="1080"/>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/A Court H.R., Case of the Dismissed Congressional Employees (</w:t>
      </w:r>
      <w:proofErr w:type="spellStart"/>
      <w:r w:rsidRPr="00326F31">
        <w:rPr>
          <w:rFonts w:asciiTheme="majorHAnsi" w:hAnsiTheme="majorHAnsi"/>
          <w:sz w:val="16"/>
          <w:szCs w:val="16"/>
        </w:rPr>
        <w:t>Aguado</w:t>
      </w:r>
      <w:proofErr w:type="spellEnd"/>
      <w:r w:rsidRPr="00326F31">
        <w:rPr>
          <w:rFonts w:asciiTheme="majorHAnsi" w:hAnsiTheme="majorHAnsi"/>
          <w:sz w:val="16"/>
          <w:szCs w:val="16"/>
        </w:rPr>
        <w:t xml:space="preserve"> - Alfaro et al.) v. Peru.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November 24, 2006. </w:t>
      </w:r>
      <w:r w:rsidRPr="00C9052E">
        <w:rPr>
          <w:rFonts w:asciiTheme="majorHAnsi" w:hAnsiTheme="majorHAnsi"/>
          <w:sz w:val="16"/>
          <w:szCs w:val="16"/>
        </w:rPr>
        <w:t>Series C No. 158, para. 126.</w:t>
      </w:r>
    </w:p>
  </w:footnote>
  <w:footnote w:id="178">
    <w:p w14:paraId="496208AE" w14:textId="2B3AF20D" w:rsidR="00C45C34" w:rsidRPr="00C9052E" w:rsidRDefault="00C45C34" w:rsidP="00131FA4">
      <w:pPr>
        <w:tabs>
          <w:tab w:val="left" w:pos="360"/>
          <w:tab w:val="left" w:pos="720"/>
          <w:tab w:val="left" w:pos="900"/>
          <w:tab w:val="left" w:pos="1080"/>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C9052E">
        <w:rPr>
          <w:rFonts w:asciiTheme="majorHAnsi" w:hAnsiTheme="majorHAnsi"/>
          <w:sz w:val="16"/>
          <w:szCs w:val="16"/>
        </w:rPr>
        <w:t xml:space="preserve"> I/A Court H.R., Case of </w:t>
      </w:r>
      <w:proofErr w:type="spellStart"/>
      <w:r w:rsidRPr="00C9052E">
        <w:rPr>
          <w:rFonts w:asciiTheme="majorHAnsi" w:hAnsiTheme="majorHAnsi"/>
          <w:sz w:val="16"/>
          <w:szCs w:val="16"/>
        </w:rPr>
        <w:t>García</w:t>
      </w:r>
      <w:proofErr w:type="spellEnd"/>
      <w:r w:rsidRPr="00C9052E">
        <w:rPr>
          <w:rFonts w:asciiTheme="majorHAnsi" w:hAnsiTheme="majorHAnsi"/>
          <w:sz w:val="16"/>
          <w:szCs w:val="16"/>
        </w:rPr>
        <w:t xml:space="preserve"> Prieto et al. v. El Salvador.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November 20, 2007. Series C No. 168, para</w:t>
      </w:r>
      <w:r w:rsidRPr="00C9052E">
        <w:rPr>
          <w:rFonts w:asciiTheme="majorHAnsi" w:hAnsiTheme="majorHAnsi"/>
          <w:sz w:val="16"/>
          <w:szCs w:val="16"/>
        </w:rPr>
        <w:t>. 101.</w:t>
      </w:r>
      <w:r>
        <w:rPr>
          <w:rFonts w:asciiTheme="majorHAnsi" w:hAnsiTheme="majorHAnsi"/>
          <w:sz w:val="16"/>
          <w:szCs w:val="16"/>
        </w:rPr>
        <w:t xml:space="preserve"> </w:t>
      </w:r>
    </w:p>
  </w:footnote>
  <w:footnote w:id="179">
    <w:p w14:paraId="0ED891FC" w14:textId="41F4597A" w:rsidR="00C45C34" w:rsidRPr="00C9052E" w:rsidRDefault="00C45C34" w:rsidP="00131FA4">
      <w:pPr>
        <w:tabs>
          <w:tab w:val="left" w:pos="360"/>
          <w:tab w:val="left" w:pos="900"/>
          <w:tab w:val="left" w:pos="1080"/>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H.R., Case of </w:t>
      </w:r>
      <w:proofErr w:type="spellStart"/>
      <w:r w:rsidRPr="00326F31">
        <w:rPr>
          <w:rFonts w:asciiTheme="majorHAnsi" w:hAnsiTheme="majorHAnsi"/>
          <w:sz w:val="16"/>
          <w:szCs w:val="16"/>
        </w:rPr>
        <w:t>Bulacio</w:t>
      </w:r>
      <w:proofErr w:type="spellEnd"/>
      <w:r w:rsidRPr="00326F31">
        <w:rPr>
          <w:rFonts w:asciiTheme="majorHAnsi" w:hAnsiTheme="majorHAnsi"/>
          <w:sz w:val="16"/>
          <w:szCs w:val="16"/>
        </w:rPr>
        <w:t xml:space="preserve"> v. Argentina.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September 18, 2003. </w:t>
      </w:r>
      <w:r w:rsidRPr="00C9052E">
        <w:rPr>
          <w:rFonts w:asciiTheme="majorHAnsi" w:hAnsiTheme="majorHAnsi"/>
          <w:sz w:val="16"/>
          <w:szCs w:val="16"/>
        </w:rPr>
        <w:t xml:space="preserve">Series C No. 100, para. </w:t>
      </w:r>
      <w:r w:rsidRPr="00326F31">
        <w:rPr>
          <w:rFonts w:asciiTheme="majorHAnsi" w:hAnsiTheme="majorHAnsi"/>
          <w:sz w:val="16"/>
          <w:szCs w:val="16"/>
        </w:rPr>
        <w:t xml:space="preserve">114; I/A Court H.R., Case of the </w:t>
      </w:r>
      <w:proofErr w:type="spellStart"/>
      <w:r w:rsidRPr="00326F31">
        <w:rPr>
          <w:rFonts w:asciiTheme="majorHAnsi" w:hAnsiTheme="majorHAnsi"/>
          <w:sz w:val="16"/>
          <w:szCs w:val="16"/>
        </w:rPr>
        <w:t>Rochela</w:t>
      </w:r>
      <w:proofErr w:type="spellEnd"/>
      <w:r w:rsidRPr="00326F31">
        <w:rPr>
          <w:rFonts w:asciiTheme="majorHAnsi" w:hAnsiTheme="majorHAnsi"/>
          <w:sz w:val="16"/>
          <w:szCs w:val="16"/>
        </w:rPr>
        <w:t xml:space="preserve"> Massacre v. Colombia.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May 11, 2007. </w:t>
      </w:r>
      <w:proofErr w:type="gramStart"/>
      <w:r w:rsidRPr="00326F31">
        <w:rPr>
          <w:rFonts w:asciiTheme="majorHAnsi" w:hAnsiTheme="majorHAnsi"/>
          <w:sz w:val="16"/>
          <w:szCs w:val="16"/>
        </w:rPr>
        <w:t xml:space="preserve">Series C No. 163, para 146; I/A Court H.R., Case of the Miguel Castro </w:t>
      </w:r>
      <w:proofErr w:type="spellStart"/>
      <w:r w:rsidRPr="00326F31">
        <w:rPr>
          <w:rFonts w:asciiTheme="majorHAnsi" w:hAnsiTheme="majorHAnsi"/>
          <w:sz w:val="16"/>
          <w:szCs w:val="16"/>
        </w:rPr>
        <w:t>Castro</w:t>
      </w:r>
      <w:proofErr w:type="spellEnd"/>
      <w:r w:rsidRPr="00326F31">
        <w:rPr>
          <w:rFonts w:asciiTheme="majorHAnsi" w:hAnsiTheme="majorHAnsi"/>
          <w:sz w:val="16"/>
          <w:szCs w:val="16"/>
        </w:rPr>
        <w:t xml:space="preserve"> Prison v. Peru.</w:t>
      </w:r>
      <w:proofErr w:type="gramEnd"/>
      <w:r w:rsidRPr="00326F31">
        <w:rPr>
          <w:rFonts w:asciiTheme="majorHAnsi" w:hAnsiTheme="majorHAnsi"/>
          <w:sz w:val="16"/>
          <w:szCs w:val="16"/>
        </w:rPr>
        <w:t xml:space="preserve">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November 25, 2006. Series C No. 160, para</w:t>
      </w:r>
      <w:r w:rsidRPr="00C9052E">
        <w:rPr>
          <w:rFonts w:asciiTheme="majorHAnsi" w:hAnsiTheme="majorHAnsi"/>
          <w:sz w:val="16"/>
          <w:szCs w:val="16"/>
        </w:rPr>
        <w:t>. 382.</w:t>
      </w:r>
    </w:p>
  </w:footnote>
  <w:footnote w:id="180">
    <w:p w14:paraId="0E723114" w14:textId="54353367" w:rsidR="00C45C34" w:rsidRPr="00326F31" w:rsidRDefault="00C45C34" w:rsidP="00131FA4">
      <w:pPr>
        <w:tabs>
          <w:tab w:val="left" w:pos="360"/>
          <w:tab w:val="left" w:pos="900"/>
          <w:tab w:val="left" w:pos="1080"/>
        </w:tabs>
        <w:spacing w:after="120"/>
        <w:ind w:firstLine="720"/>
        <w:jc w:val="both"/>
        <w:rPr>
          <w:rFonts w:asciiTheme="majorHAnsi" w:hAnsiTheme="majorHAnsi"/>
          <w:sz w:val="16"/>
          <w:szCs w:val="16"/>
          <w:lang w:val="it-IT"/>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H.R., Case of </w:t>
      </w:r>
      <w:proofErr w:type="spellStart"/>
      <w:r w:rsidRPr="00326F31">
        <w:rPr>
          <w:rFonts w:asciiTheme="majorHAnsi" w:hAnsiTheme="majorHAnsi"/>
          <w:sz w:val="16"/>
          <w:szCs w:val="16"/>
        </w:rPr>
        <w:t>Cantoral</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Huamaní</w:t>
      </w:r>
      <w:proofErr w:type="spellEnd"/>
      <w:r w:rsidRPr="00326F31">
        <w:rPr>
          <w:rFonts w:asciiTheme="majorHAnsi" w:hAnsiTheme="majorHAnsi"/>
          <w:sz w:val="16"/>
          <w:szCs w:val="16"/>
        </w:rPr>
        <w:t xml:space="preserve"> and </w:t>
      </w:r>
      <w:proofErr w:type="spellStart"/>
      <w:r w:rsidRPr="00326F31">
        <w:rPr>
          <w:rFonts w:asciiTheme="majorHAnsi" w:hAnsiTheme="majorHAnsi"/>
          <w:sz w:val="16"/>
          <w:szCs w:val="16"/>
        </w:rPr>
        <w:t>García</w:t>
      </w:r>
      <w:proofErr w:type="spellEnd"/>
      <w:r w:rsidRPr="00326F31">
        <w:rPr>
          <w:rFonts w:asciiTheme="majorHAnsi" w:hAnsiTheme="majorHAnsi"/>
          <w:sz w:val="16"/>
          <w:szCs w:val="16"/>
        </w:rPr>
        <w:t xml:space="preserve"> Santa Cruz v. Peru. </w:t>
      </w:r>
      <w:proofErr w:type="gramStart"/>
      <w:r w:rsidRPr="00326F31">
        <w:rPr>
          <w:rFonts w:asciiTheme="majorHAnsi" w:hAnsiTheme="majorHAnsi"/>
          <w:sz w:val="16"/>
          <w:szCs w:val="16"/>
        </w:rPr>
        <w:t>Preliminary Objection, Merits, Reparations and Costs.</w:t>
      </w:r>
      <w:proofErr w:type="gramEnd"/>
      <w:r w:rsidRPr="00326F31">
        <w:rPr>
          <w:rFonts w:asciiTheme="majorHAnsi" w:hAnsiTheme="majorHAnsi"/>
          <w:sz w:val="16"/>
          <w:szCs w:val="16"/>
        </w:rPr>
        <w:t xml:space="preserve"> Judgment of July 10, 2007. Series C No. 167, para. 130; I/A Court H.R., Case of the Pueblo Bello Massacre v. Colombia.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January 31, 2006. </w:t>
      </w:r>
      <w:r w:rsidRPr="00C9052E">
        <w:rPr>
          <w:rFonts w:asciiTheme="majorHAnsi" w:hAnsiTheme="majorHAnsi"/>
          <w:sz w:val="16"/>
          <w:szCs w:val="16"/>
        </w:rPr>
        <w:t xml:space="preserve">Series C No. 140, </w:t>
      </w:r>
      <w:r w:rsidRPr="00326F31">
        <w:rPr>
          <w:rFonts w:asciiTheme="majorHAnsi" w:hAnsiTheme="majorHAnsi"/>
          <w:sz w:val="16"/>
          <w:szCs w:val="16"/>
          <w:lang w:val="it-IT"/>
        </w:rPr>
        <w:t>para</w:t>
      </w:r>
      <w:r w:rsidRPr="00C9052E">
        <w:rPr>
          <w:rFonts w:asciiTheme="majorHAnsi" w:hAnsiTheme="majorHAnsi"/>
          <w:sz w:val="16"/>
          <w:szCs w:val="16"/>
        </w:rPr>
        <w:t xml:space="preserve">. </w:t>
      </w:r>
      <w:r w:rsidRPr="00326F31">
        <w:rPr>
          <w:rFonts w:asciiTheme="majorHAnsi" w:hAnsiTheme="majorHAnsi"/>
          <w:sz w:val="16"/>
          <w:szCs w:val="16"/>
        </w:rPr>
        <w:t xml:space="preserve">120; and I/A Court H.R., Case of </w:t>
      </w:r>
      <w:proofErr w:type="spellStart"/>
      <w:r w:rsidRPr="00326F31">
        <w:rPr>
          <w:rFonts w:asciiTheme="majorHAnsi" w:hAnsiTheme="majorHAnsi"/>
          <w:sz w:val="16"/>
          <w:szCs w:val="16"/>
        </w:rPr>
        <w:t>Huilca</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Tecse</w:t>
      </w:r>
      <w:proofErr w:type="spellEnd"/>
      <w:r w:rsidRPr="00326F31">
        <w:rPr>
          <w:rFonts w:asciiTheme="majorHAnsi" w:hAnsiTheme="majorHAnsi"/>
          <w:sz w:val="16"/>
          <w:szCs w:val="16"/>
        </w:rPr>
        <w:t xml:space="preserve"> v. Peru.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March 3, 2005. Series C No. 121, para. </w:t>
      </w:r>
      <w:r w:rsidRPr="00C9052E">
        <w:rPr>
          <w:rFonts w:asciiTheme="majorHAnsi" w:hAnsiTheme="majorHAnsi"/>
          <w:sz w:val="16"/>
          <w:szCs w:val="16"/>
        </w:rPr>
        <w:t>66.</w:t>
      </w:r>
    </w:p>
  </w:footnote>
  <w:footnote w:id="181">
    <w:p w14:paraId="07801BAF" w14:textId="1AC68EA9" w:rsidR="00C45C34" w:rsidRPr="00C9052E" w:rsidRDefault="00C45C34" w:rsidP="00131FA4">
      <w:pPr>
        <w:pStyle w:val="FootnoteText"/>
        <w:tabs>
          <w:tab w:val="left" w:pos="360"/>
          <w:tab w:val="left" w:pos="900"/>
          <w:tab w:val="left" w:pos="1080"/>
        </w:tabs>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H.R., Case of Zambrano </w:t>
      </w:r>
      <w:proofErr w:type="spellStart"/>
      <w:r w:rsidRPr="00326F31">
        <w:rPr>
          <w:rFonts w:asciiTheme="majorHAnsi" w:hAnsiTheme="majorHAnsi"/>
          <w:sz w:val="16"/>
          <w:szCs w:val="16"/>
        </w:rPr>
        <w:t>Vélez</w:t>
      </w:r>
      <w:proofErr w:type="spellEnd"/>
      <w:r w:rsidRPr="00326F31">
        <w:rPr>
          <w:rFonts w:asciiTheme="majorHAnsi" w:hAnsiTheme="majorHAnsi"/>
          <w:sz w:val="16"/>
          <w:szCs w:val="16"/>
        </w:rPr>
        <w:t xml:space="preserve"> et al. v. Ecuador.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w:t>
      </w:r>
      <w:r w:rsidRPr="00C9052E">
        <w:rPr>
          <w:rFonts w:asciiTheme="majorHAnsi" w:hAnsiTheme="majorHAnsi"/>
          <w:sz w:val="16"/>
          <w:szCs w:val="16"/>
        </w:rPr>
        <w:t xml:space="preserve">Judgment of July 4, 2007. </w:t>
      </w:r>
      <w:proofErr w:type="gramStart"/>
      <w:r w:rsidRPr="00C9052E">
        <w:rPr>
          <w:rFonts w:asciiTheme="majorHAnsi" w:hAnsiTheme="majorHAnsi"/>
          <w:sz w:val="16"/>
          <w:szCs w:val="16"/>
        </w:rPr>
        <w:t>Series C No. 166, para 122.</w:t>
      </w:r>
      <w:proofErr w:type="gramEnd"/>
    </w:p>
  </w:footnote>
  <w:footnote w:id="182">
    <w:p w14:paraId="4C727B41" w14:textId="4F88A8E8"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gramStart"/>
      <w:r w:rsidRPr="00326F31">
        <w:rPr>
          <w:rFonts w:asciiTheme="majorHAnsi" w:hAnsiTheme="majorHAnsi"/>
          <w:sz w:val="16"/>
          <w:szCs w:val="16"/>
        </w:rPr>
        <w:t>As it has been indicated by the Inter-American Court in cases of serious human rights violations.</w:t>
      </w:r>
      <w:proofErr w:type="gramEnd"/>
      <w:r w:rsidRPr="00326F31">
        <w:rPr>
          <w:rFonts w:asciiTheme="majorHAnsi" w:hAnsiTheme="majorHAnsi"/>
          <w:sz w:val="16"/>
          <w:szCs w:val="16"/>
        </w:rPr>
        <w:t xml:space="preserve"> See, for example, </w:t>
      </w:r>
      <w:proofErr w:type="gramStart"/>
      <w:r w:rsidRPr="00326F31">
        <w:rPr>
          <w:rFonts w:asciiTheme="majorHAnsi" w:hAnsiTheme="majorHAnsi"/>
          <w:sz w:val="16"/>
          <w:szCs w:val="16"/>
        </w:rPr>
        <w:t>I/A</w:t>
      </w:r>
      <w:proofErr w:type="gramEnd"/>
      <w:r w:rsidRPr="00326F31">
        <w:rPr>
          <w:rFonts w:asciiTheme="majorHAnsi" w:hAnsiTheme="majorHAnsi"/>
          <w:sz w:val="16"/>
          <w:szCs w:val="16"/>
        </w:rPr>
        <w:t xml:space="preserve"> Court H.R., Case of the Pueblo Bello Massacre v. Colombia.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January 31, 2006. Series C No. 140, para.143. </w:t>
      </w:r>
    </w:p>
  </w:footnote>
  <w:footnote w:id="183">
    <w:p w14:paraId="7BCF49BE" w14:textId="2B51F946" w:rsidR="00C45C34" w:rsidRPr="00C9052E"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H.R., Case of </w:t>
      </w:r>
      <w:proofErr w:type="spellStart"/>
      <w:r w:rsidRPr="00326F31">
        <w:rPr>
          <w:rFonts w:asciiTheme="majorHAnsi" w:hAnsiTheme="majorHAnsi"/>
          <w:sz w:val="16"/>
          <w:szCs w:val="16"/>
        </w:rPr>
        <w:t>Escué</w:t>
      </w:r>
      <w:proofErr w:type="spellEnd"/>
      <w:r w:rsidRPr="00326F31">
        <w:rPr>
          <w:rFonts w:asciiTheme="majorHAnsi" w:hAnsiTheme="majorHAnsi"/>
          <w:sz w:val="16"/>
          <w:szCs w:val="16"/>
        </w:rPr>
        <w:t xml:space="preserve"> Zapata. v. Colombia. </w:t>
      </w:r>
      <w:proofErr w:type="gramStart"/>
      <w:r w:rsidRPr="00326F31">
        <w:rPr>
          <w:rFonts w:asciiTheme="majorHAnsi" w:hAnsiTheme="majorHAnsi"/>
          <w:sz w:val="16"/>
          <w:szCs w:val="16"/>
        </w:rPr>
        <w:t>Interpretation of the Judgment on Merits, Reparations and Costs.</w:t>
      </w:r>
      <w:proofErr w:type="gramEnd"/>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Judgment of May 5, 2008 Series C No. 178, para.106; I/A Court H.R., Case of </w:t>
      </w:r>
      <w:proofErr w:type="spellStart"/>
      <w:r w:rsidRPr="00326F31">
        <w:rPr>
          <w:rFonts w:asciiTheme="majorHAnsi" w:hAnsiTheme="majorHAnsi"/>
          <w:sz w:val="16"/>
          <w:szCs w:val="16"/>
        </w:rPr>
        <w:t>Radilla</w:t>
      </w:r>
      <w:proofErr w:type="spellEnd"/>
      <w:r w:rsidRPr="00326F31">
        <w:rPr>
          <w:rFonts w:asciiTheme="majorHAnsi" w:hAnsiTheme="majorHAnsi"/>
          <w:sz w:val="16"/>
          <w:szCs w:val="16"/>
        </w:rPr>
        <w:t xml:space="preserve"> Pacheco v. Mexico.</w:t>
      </w:r>
      <w:proofErr w:type="gramEnd"/>
      <w:r w:rsidRPr="00326F31">
        <w:rPr>
          <w:rFonts w:asciiTheme="majorHAnsi" w:hAnsiTheme="majorHAnsi"/>
          <w:sz w:val="16"/>
          <w:szCs w:val="16"/>
        </w:rPr>
        <w:t xml:space="preserve"> </w:t>
      </w:r>
      <w:proofErr w:type="gramStart"/>
      <w:r w:rsidRPr="00326F31">
        <w:rPr>
          <w:rFonts w:asciiTheme="majorHAnsi" w:hAnsiTheme="majorHAnsi"/>
          <w:sz w:val="16"/>
          <w:szCs w:val="16"/>
        </w:rPr>
        <w:t>Preliminary Objections, Merits, Reparations, and Costs.</w:t>
      </w:r>
      <w:proofErr w:type="gramEnd"/>
      <w:r w:rsidRPr="00326F31">
        <w:rPr>
          <w:rFonts w:asciiTheme="majorHAnsi" w:hAnsiTheme="majorHAnsi"/>
          <w:sz w:val="16"/>
          <w:szCs w:val="16"/>
        </w:rPr>
        <w:t xml:space="preserve"> Judgment of November 23, 2009. </w:t>
      </w:r>
      <w:r w:rsidRPr="00C9052E">
        <w:rPr>
          <w:rFonts w:asciiTheme="majorHAnsi" w:hAnsiTheme="majorHAnsi"/>
          <w:sz w:val="16"/>
          <w:szCs w:val="16"/>
        </w:rPr>
        <w:t xml:space="preserve">Series C No. 209, para.333. </w:t>
      </w:r>
    </w:p>
  </w:footnote>
  <w:footnote w:id="184">
    <w:p w14:paraId="4210D432" w14:textId="27CF45B0"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IACHR, Report on Access to Justice and Social Inclusion: The Road towards Strengthening Democracy in Bolivia. </w:t>
      </w:r>
      <w:proofErr w:type="gramStart"/>
      <w:r w:rsidRPr="00326F31">
        <w:rPr>
          <w:rFonts w:asciiTheme="majorHAnsi" w:hAnsiTheme="majorHAnsi"/>
          <w:sz w:val="16"/>
          <w:szCs w:val="16"/>
        </w:rPr>
        <w:t>June 28, 2007, para.</w:t>
      </w:r>
      <w:proofErr w:type="gramEnd"/>
      <w:r w:rsidRPr="00326F31">
        <w:rPr>
          <w:rFonts w:asciiTheme="majorHAnsi" w:hAnsiTheme="majorHAnsi"/>
          <w:sz w:val="16"/>
          <w:szCs w:val="16"/>
        </w:rPr>
        <w:t xml:space="preserve"> 153. Available at: </w:t>
      </w:r>
      <w:hyperlink r:id="rId51" w:history="1">
        <w:r w:rsidRPr="00326F31">
          <w:rPr>
            <w:rStyle w:val="Hyperlink"/>
            <w:rFonts w:asciiTheme="majorHAnsi" w:hAnsiTheme="majorHAnsi"/>
            <w:sz w:val="16"/>
            <w:szCs w:val="16"/>
          </w:rPr>
          <w:t>http://cidh.org/countryrep/Bolivia2007eng/Bolivia07indice.eng.htm</w:t>
        </w:r>
      </w:hyperlink>
      <w:r w:rsidRPr="00326F31">
        <w:rPr>
          <w:rFonts w:asciiTheme="majorHAnsi" w:hAnsiTheme="majorHAnsi"/>
          <w:sz w:val="16"/>
          <w:szCs w:val="16"/>
        </w:rPr>
        <w:t xml:space="preserve">. </w:t>
      </w:r>
    </w:p>
  </w:footnote>
  <w:footnote w:id="185">
    <w:p w14:paraId="29E2A953" w14:textId="7E71283B"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Pr>
          <w:rFonts w:asciiTheme="majorHAnsi" w:hAnsiTheme="majorHAnsi"/>
          <w:sz w:val="16"/>
          <w:szCs w:val="16"/>
        </w:rPr>
        <w:t xml:space="preserve"> Annex 62</w:t>
      </w:r>
      <w:r w:rsidRPr="00326F31">
        <w:rPr>
          <w:rFonts w:asciiTheme="majorHAnsi" w:hAnsiTheme="majorHAnsi"/>
          <w:sz w:val="16"/>
          <w:szCs w:val="16"/>
        </w:rPr>
        <w:t>. Decision of the Seventh Chamber of the Court of Appeals of the Criminal Judicial Circuit of the Metropolitan Area of Caracas, which dismisses the appeal, May 12, 2005, Annex II of the complaint filed before the IACHR on March 7, 2006.</w:t>
      </w:r>
    </w:p>
  </w:footnote>
  <w:footnote w:id="186">
    <w:p w14:paraId="557A3177" w14:textId="29B2528A"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Criminal Procedure Code, Official Gazette of the Bolivarian Republic of Venezuela No 5558 of 14-11-2001, available at: </w:t>
      </w:r>
      <w:hyperlink r:id="rId52" w:history="1">
        <w:r w:rsidRPr="00326F31">
          <w:rPr>
            <w:rStyle w:val="Hyperlink"/>
            <w:rFonts w:asciiTheme="majorHAnsi" w:hAnsiTheme="majorHAnsi"/>
            <w:sz w:val="16"/>
            <w:szCs w:val="16"/>
          </w:rPr>
          <w:t>http://www.oas.org/juridico/spanish/cyb_ven_Cod_Org_Pro_Penal.pdf</w:t>
        </w:r>
      </w:hyperlink>
      <w:r w:rsidRPr="00326F31">
        <w:rPr>
          <w:rFonts w:asciiTheme="majorHAnsi" w:hAnsiTheme="majorHAnsi"/>
          <w:sz w:val="16"/>
          <w:szCs w:val="16"/>
        </w:rPr>
        <w:t>.</w:t>
      </w:r>
      <w:r>
        <w:rPr>
          <w:rFonts w:asciiTheme="majorHAnsi" w:hAnsiTheme="majorHAnsi"/>
          <w:sz w:val="16"/>
          <w:szCs w:val="16"/>
        </w:rPr>
        <w:t xml:space="preserve"> </w:t>
      </w:r>
    </w:p>
  </w:footnote>
  <w:footnote w:id="187">
    <w:p w14:paraId="6D20C8A2" w14:textId="4B255C22"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506E20">
        <w:rPr>
          <w:rFonts w:asciiTheme="majorHAnsi" w:hAnsiTheme="majorHAnsi"/>
          <w:sz w:val="16"/>
          <w:szCs w:val="16"/>
        </w:rPr>
        <w:t xml:space="preserve"> I/A Court H.R., Case of Blake v. Guatemala. </w:t>
      </w:r>
      <w:proofErr w:type="gramStart"/>
      <w:r w:rsidRPr="00506E20">
        <w:rPr>
          <w:rFonts w:asciiTheme="majorHAnsi" w:hAnsiTheme="majorHAnsi"/>
          <w:sz w:val="16"/>
          <w:szCs w:val="16"/>
        </w:rPr>
        <w:t>Merits.</w:t>
      </w:r>
      <w:proofErr w:type="gramEnd"/>
      <w:r w:rsidRPr="00506E20">
        <w:rPr>
          <w:rFonts w:asciiTheme="majorHAnsi" w:hAnsiTheme="majorHAnsi"/>
          <w:sz w:val="16"/>
          <w:szCs w:val="16"/>
        </w:rPr>
        <w:t xml:space="preserve"> Judgment of January 24, 1998. Series C No. 36, para</w:t>
      </w:r>
      <w:r w:rsidRPr="00326F31">
        <w:rPr>
          <w:rFonts w:asciiTheme="majorHAnsi" w:hAnsiTheme="majorHAnsi"/>
          <w:sz w:val="16"/>
          <w:szCs w:val="16"/>
        </w:rPr>
        <w:t>. 103.</w:t>
      </w:r>
      <w:r>
        <w:rPr>
          <w:rFonts w:asciiTheme="majorHAnsi" w:hAnsiTheme="majorHAnsi"/>
          <w:sz w:val="16"/>
          <w:szCs w:val="16"/>
        </w:rPr>
        <w:t xml:space="preserve"> </w:t>
      </w:r>
    </w:p>
  </w:footnote>
  <w:footnote w:id="188">
    <w:p w14:paraId="23035226" w14:textId="5319D73B" w:rsidR="00C45C34" w:rsidRPr="00C9052E"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gramStart"/>
      <w:r w:rsidRPr="00326F31">
        <w:rPr>
          <w:rFonts w:asciiTheme="majorHAnsi" w:hAnsiTheme="majorHAnsi"/>
          <w:sz w:val="16"/>
          <w:szCs w:val="16"/>
        </w:rPr>
        <w:t xml:space="preserve">I/A Court H.R., Case of </w:t>
      </w:r>
      <w:proofErr w:type="spellStart"/>
      <w:r w:rsidRPr="00326F31">
        <w:rPr>
          <w:rFonts w:asciiTheme="majorHAnsi" w:hAnsiTheme="majorHAnsi"/>
          <w:sz w:val="16"/>
          <w:szCs w:val="16"/>
        </w:rPr>
        <w:t>Fornerón</w:t>
      </w:r>
      <w:proofErr w:type="spellEnd"/>
      <w:r w:rsidRPr="00326F31">
        <w:rPr>
          <w:rFonts w:asciiTheme="majorHAnsi" w:hAnsiTheme="majorHAnsi"/>
          <w:sz w:val="16"/>
          <w:szCs w:val="16"/>
        </w:rPr>
        <w:t xml:space="preserve"> and daughter v. Argentina.</w:t>
      </w:r>
      <w:proofErr w:type="gramEnd"/>
      <w:r w:rsidRPr="00326F31">
        <w:rPr>
          <w:rFonts w:asciiTheme="majorHAnsi" w:hAnsiTheme="majorHAnsi"/>
          <w:sz w:val="16"/>
          <w:szCs w:val="16"/>
        </w:rPr>
        <w:t xml:space="preserve">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April 27, 2012. Series C No. 242, para</w:t>
      </w:r>
      <w:r w:rsidRPr="00C9052E">
        <w:rPr>
          <w:rFonts w:asciiTheme="majorHAnsi" w:hAnsiTheme="majorHAnsi"/>
          <w:sz w:val="16"/>
          <w:szCs w:val="16"/>
        </w:rPr>
        <w:t>. 107.</w:t>
      </w:r>
      <w:r>
        <w:rPr>
          <w:rFonts w:asciiTheme="majorHAnsi" w:hAnsiTheme="majorHAnsi"/>
          <w:sz w:val="16"/>
          <w:szCs w:val="16"/>
        </w:rPr>
        <w:t xml:space="preserve"> </w:t>
      </w:r>
    </w:p>
  </w:footnote>
  <w:footnote w:id="189">
    <w:p w14:paraId="7A337436" w14:textId="77777777" w:rsidR="00C45C34" w:rsidRPr="00C9052E"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I/A Court H.R., Case of </w:t>
      </w:r>
      <w:proofErr w:type="spellStart"/>
      <w:r w:rsidRPr="00326F31">
        <w:rPr>
          <w:rFonts w:asciiTheme="majorHAnsi" w:hAnsiTheme="majorHAnsi"/>
          <w:sz w:val="16"/>
          <w:szCs w:val="16"/>
        </w:rPr>
        <w:t>Kawas</w:t>
      </w:r>
      <w:proofErr w:type="spellEnd"/>
      <w:r w:rsidRPr="00326F31">
        <w:rPr>
          <w:rFonts w:asciiTheme="majorHAnsi" w:hAnsiTheme="majorHAnsi"/>
          <w:sz w:val="16"/>
          <w:szCs w:val="16"/>
        </w:rPr>
        <w:t xml:space="preserve"> </w:t>
      </w:r>
      <w:proofErr w:type="spellStart"/>
      <w:r w:rsidRPr="00326F31">
        <w:rPr>
          <w:rFonts w:asciiTheme="majorHAnsi" w:hAnsiTheme="majorHAnsi"/>
          <w:sz w:val="16"/>
          <w:szCs w:val="16"/>
        </w:rPr>
        <w:t>Fernández</w:t>
      </w:r>
      <w:proofErr w:type="spellEnd"/>
      <w:r w:rsidRPr="00326F31">
        <w:rPr>
          <w:rFonts w:asciiTheme="majorHAnsi" w:hAnsiTheme="majorHAnsi"/>
          <w:sz w:val="16"/>
          <w:szCs w:val="16"/>
        </w:rPr>
        <w:t xml:space="preserve"> v. Honduras. </w:t>
      </w:r>
      <w:proofErr w:type="gramStart"/>
      <w:r w:rsidRPr="00326F31">
        <w:rPr>
          <w:rFonts w:asciiTheme="majorHAnsi" w:hAnsiTheme="majorHAnsi"/>
          <w:sz w:val="16"/>
          <w:szCs w:val="16"/>
        </w:rPr>
        <w:t>Merits, Reparations and Costs.</w:t>
      </w:r>
      <w:proofErr w:type="gramEnd"/>
      <w:r w:rsidRPr="00326F31">
        <w:rPr>
          <w:rFonts w:asciiTheme="majorHAnsi" w:hAnsiTheme="majorHAnsi"/>
          <w:sz w:val="16"/>
          <w:szCs w:val="16"/>
        </w:rPr>
        <w:t xml:space="preserve"> Judgment of April 3, 2009. </w:t>
      </w:r>
      <w:r w:rsidRPr="00C9052E">
        <w:rPr>
          <w:rFonts w:asciiTheme="majorHAnsi" w:hAnsiTheme="majorHAnsi"/>
          <w:sz w:val="16"/>
          <w:szCs w:val="16"/>
        </w:rPr>
        <w:t>Series C No. 196, para.112.</w:t>
      </w:r>
    </w:p>
  </w:footnote>
  <w:footnote w:id="190">
    <w:p w14:paraId="37951CDA" w14:textId="66623314" w:rsidR="00C45C34" w:rsidRPr="00326F31" w:rsidRDefault="00C45C34" w:rsidP="00131FA4">
      <w:pPr>
        <w:pStyle w:val="FootnoteText"/>
        <w:spacing w:after="120"/>
        <w:ind w:firstLine="720"/>
        <w:jc w:val="both"/>
        <w:rPr>
          <w:rFonts w:asciiTheme="majorHAnsi" w:hAnsiTheme="majorHAnsi"/>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See Article 26 of the Political Constitution of the Bolivarian Republic of Venezuela, available at: </w:t>
      </w:r>
      <w:hyperlink r:id="rId53" w:anchor="cap2sec2" w:history="1">
        <w:r w:rsidRPr="00326F31">
          <w:rPr>
            <w:rStyle w:val="Hyperlink"/>
            <w:rFonts w:asciiTheme="majorHAnsi" w:hAnsiTheme="majorHAnsi"/>
            <w:sz w:val="16"/>
            <w:szCs w:val="16"/>
          </w:rPr>
          <w:t>http://www.cne.gob.ve/web/normativa_electoral/constitucion/titulo3.php#cap2sec2</w:t>
        </w:r>
      </w:hyperlink>
      <w:r w:rsidRPr="00326F31">
        <w:rPr>
          <w:rFonts w:asciiTheme="majorHAnsi" w:hAnsiTheme="majorHAnsi"/>
          <w:sz w:val="16"/>
          <w:szCs w:val="16"/>
        </w:rPr>
        <w:t xml:space="preserve"> </w:t>
      </w:r>
    </w:p>
  </w:footnote>
  <w:footnote w:id="191">
    <w:p w14:paraId="6E119BF2" w14:textId="0A397E16" w:rsidR="00C45C34" w:rsidRPr="006A416F" w:rsidRDefault="00C45C34" w:rsidP="00131FA4">
      <w:pPr>
        <w:pStyle w:val="FootnoteText"/>
        <w:spacing w:after="120"/>
        <w:ind w:firstLine="720"/>
        <w:jc w:val="both"/>
        <w:rPr>
          <w:rFonts w:ascii="Cambria" w:hAnsi="Cambria"/>
          <w:sz w:val="16"/>
          <w:szCs w:val="16"/>
        </w:rPr>
      </w:pPr>
      <w:r w:rsidRPr="009B7A5D">
        <w:rPr>
          <w:rStyle w:val="FootnoteReference"/>
          <w:rFonts w:ascii="Cambria" w:hAnsi="Cambria"/>
          <w:sz w:val="16"/>
          <w:szCs w:val="16"/>
        </w:rPr>
        <w:footnoteRef/>
      </w:r>
      <w:r w:rsidRPr="006A416F">
        <w:rPr>
          <w:rFonts w:ascii="Cambria" w:hAnsi="Cambria"/>
          <w:sz w:val="16"/>
          <w:szCs w:val="16"/>
        </w:rPr>
        <w:t xml:space="preserve"> </w:t>
      </w:r>
      <w:proofErr w:type="spellStart"/>
      <w:proofErr w:type="gramStart"/>
      <w:r w:rsidRPr="006A416F">
        <w:rPr>
          <w:rFonts w:ascii="Cambria" w:hAnsi="Cambria"/>
          <w:sz w:val="16"/>
          <w:szCs w:val="16"/>
        </w:rPr>
        <w:t>Cfr</w:t>
      </w:r>
      <w:proofErr w:type="spellEnd"/>
      <w:r w:rsidRPr="006A416F">
        <w:rPr>
          <w:rFonts w:ascii="Cambria" w:hAnsi="Cambria"/>
          <w:sz w:val="16"/>
          <w:szCs w:val="16"/>
        </w:rPr>
        <w:t>.</w:t>
      </w:r>
      <w:proofErr w:type="gramEnd"/>
      <w:r w:rsidRPr="006A416F">
        <w:rPr>
          <w:rFonts w:ascii="Cambria" w:hAnsi="Cambria"/>
          <w:sz w:val="16"/>
          <w:szCs w:val="16"/>
        </w:rPr>
        <w:t xml:space="preserve"> </w:t>
      </w:r>
      <w:proofErr w:type="gramStart"/>
      <w:r w:rsidRPr="006A416F">
        <w:rPr>
          <w:rFonts w:ascii="Cambria" w:hAnsi="Cambria"/>
          <w:sz w:val="16"/>
          <w:szCs w:val="16"/>
        </w:rPr>
        <w:t xml:space="preserve">I/A Court H.R. Case of </w:t>
      </w:r>
      <w:proofErr w:type="spellStart"/>
      <w:r w:rsidRPr="006A416F">
        <w:rPr>
          <w:rFonts w:ascii="Cambria" w:hAnsi="Cambria"/>
          <w:sz w:val="16"/>
          <w:szCs w:val="16"/>
        </w:rPr>
        <w:t>Apitz</w:t>
      </w:r>
      <w:proofErr w:type="spellEnd"/>
      <w:r w:rsidRPr="006A416F">
        <w:rPr>
          <w:rFonts w:ascii="Cambria" w:hAnsi="Cambria"/>
          <w:sz w:val="16"/>
          <w:szCs w:val="16"/>
        </w:rPr>
        <w:t xml:space="preserve"> </w:t>
      </w:r>
      <w:proofErr w:type="spellStart"/>
      <w:r w:rsidRPr="006A416F">
        <w:rPr>
          <w:rFonts w:ascii="Cambria" w:hAnsi="Cambria"/>
          <w:sz w:val="16"/>
          <w:szCs w:val="16"/>
        </w:rPr>
        <w:t>Barbera</w:t>
      </w:r>
      <w:proofErr w:type="spellEnd"/>
      <w:r w:rsidRPr="006A416F">
        <w:rPr>
          <w:rFonts w:ascii="Cambria" w:hAnsi="Cambria"/>
          <w:sz w:val="16"/>
          <w:szCs w:val="16"/>
        </w:rPr>
        <w:t xml:space="preserve"> et al. (“First Court of Administrative Disputes”) v. Venezuela.</w:t>
      </w:r>
      <w:proofErr w:type="gramEnd"/>
      <w:r w:rsidRPr="006A416F">
        <w:rPr>
          <w:rFonts w:ascii="Cambria" w:hAnsi="Cambria"/>
          <w:sz w:val="16"/>
          <w:szCs w:val="16"/>
        </w:rPr>
        <w:t xml:space="preserve"> </w:t>
      </w:r>
      <w:proofErr w:type="gramStart"/>
      <w:r w:rsidRPr="006A416F">
        <w:rPr>
          <w:rFonts w:ascii="Cambria" w:hAnsi="Cambria"/>
          <w:sz w:val="16"/>
          <w:szCs w:val="16"/>
        </w:rPr>
        <w:t>Preliminary Objection, Merits, Reparations and Costs.</w:t>
      </w:r>
      <w:proofErr w:type="gramEnd"/>
      <w:r w:rsidRPr="006A416F">
        <w:rPr>
          <w:rFonts w:ascii="Cambria" w:hAnsi="Cambria"/>
          <w:sz w:val="16"/>
          <w:szCs w:val="16"/>
        </w:rPr>
        <w:t xml:space="preserve"> Judgment of August 5, 2008. Series C No. 182</w:t>
      </w:r>
      <w:r>
        <w:rPr>
          <w:rFonts w:ascii="Cambria" w:hAnsi="Cambria"/>
          <w:sz w:val="16"/>
          <w:szCs w:val="16"/>
        </w:rPr>
        <w:t>, paras</w:t>
      </w:r>
      <w:r w:rsidRPr="006A416F">
        <w:rPr>
          <w:rFonts w:ascii="Cambria" w:hAnsi="Cambria"/>
          <w:sz w:val="16"/>
          <w:szCs w:val="16"/>
        </w:rPr>
        <w:t xml:space="preserve">. </w:t>
      </w:r>
      <w:proofErr w:type="gramStart"/>
      <w:r w:rsidRPr="00506E20">
        <w:rPr>
          <w:rFonts w:ascii="Cambria" w:hAnsi="Cambria"/>
          <w:sz w:val="16"/>
          <w:szCs w:val="16"/>
        </w:rPr>
        <w:t>155 y 156.</w:t>
      </w:r>
      <w:proofErr w:type="gramEnd"/>
      <w:r w:rsidRPr="00506E20">
        <w:rPr>
          <w:rFonts w:ascii="Cambria" w:hAnsi="Cambria"/>
          <w:sz w:val="16"/>
          <w:szCs w:val="16"/>
        </w:rPr>
        <w:t xml:space="preserve"> </w:t>
      </w:r>
      <w:r w:rsidRPr="006A416F">
        <w:rPr>
          <w:rFonts w:asciiTheme="majorHAnsi" w:hAnsiTheme="majorHAnsi"/>
          <w:sz w:val="16"/>
          <w:szCs w:val="16"/>
        </w:rPr>
        <w:t xml:space="preserve">Organic Law on Protection of Rights and Constitutional Guarantees of 1988, available at: </w:t>
      </w:r>
      <w:hyperlink r:id="rId54" w:history="1">
        <w:r w:rsidRPr="006A416F">
          <w:rPr>
            <w:rStyle w:val="Hyperlink"/>
            <w:rFonts w:asciiTheme="majorHAnsi" w:hAnsiTheme="majorHAnsi"/>
            <w:sz w:val="16"/>
            <w:szCs w:val="16"/>
          </w:rPr>
          <w:t>http://www.tsj.gov.ve/legislacion/loadgc.html</w:t>
        </w:r>
      </w:hyperlink>
      <w:r w:rsidRPr="006A416F">
        <w:rPr>
          <w:rFonts w:asciiTheme="majorHAnsi" w:hAnsiTheme="majorHAnsi"/>
          <w:sz w:val="16"/>
          <w:szCs w:val="16"/>
        </w:rPr>
        <w:t>.</w:t>
      </w:r>
      <w:r w:rsidRPr="006A416F">
        <w:rPr>
          <w:rFonts w:ascii="Cambria" w:hAnsi="Cambria"/>
          <w:sz w:val="16"/>
          <w:szCs w:val="16"/>
        </w:rPr>
        <w:t xml:space="preserve">, </w:t>
      </w:r>
      <w:r>
        <w:rPr>
          <w:rFonts w:ascii="Cambria" w:hAnsi="Cambria"/>
          <w:sz w:val="16"/>
          <w:szCs w:val="16"/>
        </w:rPr>
        <w:t>establishes in its relevant parts:</w:t>
      </w:r>
    </w:p>
    <w:p w14:paraId="760B6548" w14:textId="4536B579" w:rsidR="00C45C34" w:rsidRPr="006A416F" w:rsidRDefault="00C45C34" w:rsidP="00131FA4">
      <w:pPr>
        <w:pStyle w:val="NormalWeb"/>
        <w:spacing w:before="0" w:beforeAutospacing="0" w:after="120" w:afterAutospacing="0"/>
        <w:ind w:firstLine="720"/>
        <w:jc w:val="both"/>
        <w:rPr>
          <w:rFonts w:ascii="Cambria" w:hAnsi="Cambria"/>
          <w:sz w:val="16"/>
          <w:szCs w:val="16"/>
        </w:rPr>
      </w:pPr>
      <w:proofErr w:type="gramStart"/>
      <w:r w:rsidRPr="006A416F">
        <w:rPr>
          <w:rFonts w:ascii="Cambria" w:hAnsi="Cambria"/>
          <w:sz w:val="16"/>
          <w:szCs w:val="16"/>
        </w:rPr>
        <w:t>Article 22.</w:t>
      </w:r>
      <w:proofErr w:type="gramEnd"/>
      <w:r w:rsidRPr="006A416F">
        <w:rPr>
          <w:rFonts w:ascii="Cambria" w:hAnsi="Cambria"/>
          <w:sz w:val="16"/>
          <w:szCs w:val="16"/>
        </w:rPr>
        <w:t xml:space="preserve"> The court hearing the application for</w:t>
      </w:r>
      <w:r>
        <w:rPr>
          <w:rFonts w:ascii="Cambria" w:hAnsi="Cambria"/>
          <w:sz w:val="16"/>
          <w:szCs w:val="16"/>
        </w:rPr>
        <w:t xml:space="preserve"> </w:t>
      </w:r>
      <w:proofErr w:type="spellStart"/>
      <w:r w:rsidRPr="006A416F">
        <w:rPr>
          <w:rFonts w:ascii="Cambria" w:hAnsi="Cambria"/>
          <w:i/>
          <w:sz w:val="16"/>
          <w:szCs w:val="16"/>
        </w:rPr>
        <w:t>amparo</w:t>
      </w:r>
      <w:proofErr w:type="spellEnd"/>
      <w:r w:rsidRPr="006A416F">
        <w:rPr>
          <w:rFonts w:ascii="Cambria" w:hAnsi="Cambria"/>
          <w:sz w:val="16"/>
          <w:szCs w:val="16"/>
        </w:rPr>
        <w:t xml:space="preserve"> shall have the power to restore the juridical situation, regardless of considerations of mere form without any preliminary investigation that precedes it.</w:t>
      </w:r>
    </w:p>
    <w:p w14:paraId="6D374C91" w14:textId="622EB2AE" w:rsidR="00C45C34" w:rsidRPr="006A416F" w:rsidRDefault="00C45C34" w:rsidP="00131FA4">
      <w:pPr>
        <w:pStyle w:val="NormalWeb"/>
        <w:spacing w:before="0" w:beforeAutospacing="0" w:after="120" w:afterAutospacing="0"/>
        <w:ind w:firstLine="720"/>
        <w:jc w:val="both"/>
        <w:rPr>
          <w:rFonts w:ascii="Cambria" w:hAnsi="Cambria"/>
          <w:sz w:val="16"/>
          <w:szCs w:val="16"/>
        </w:rPr>
      </w:pPr>
      <w:r w:rsidRPr="006A416F">
        <w:rPr>
          <w:rFonts w:ascii="Cambria" w:hAnsi="Cambria"/>
          <w:sz w:val="16"/>
          <w:szCs w:val="16"/>
        </w:rPr>
        <w:t>In this case, an order of protection must be motivated and be based on a means test that constitutes a serious presumption of violation or threat of violation.</w:t>
      </w:r>
    </w:p>
    <w:p w14:paraId="513A803D" w14:textId="59EE2479" w:rsidR="00C45C34" w:rsidRPr="006A416F" w:rsidRDefault="00C45C34" w:rsidP="00131FA4">
      <w:pPr>
        <w:pStyle w:val="NormalWeb"/>
        <w:spacing w:before="0" w:beforeAutospacing="0" w:after="120" w:afterAutospacing="0"/>
        <w:ind w:firstLine="720"/>
        <w:jc w:val="both"/>
        <w:rPr>
          <w:rFonts w:ascii="Cambria" w:hAnsi="Cambria"/>
          <w:sz w:val="16"/>
          <w:szCs w:val="16"/>
        </w:rPr>
      </w:pPr>
      <w:proofErr w:type="gramStart"/>
      <w:r w:rsidRPr="006A416F">
        <w:rPr>
          <w:rFonts w:ascii="Cambria" w:hAnsi="Cambria"/>
          <w:sz w:val="16"/>
          <w:szCs w:val="16"/>
        </w:rPr>
        <w:t>Article 23.</w:t>
      </w:r>
      <w:proofErr w:type="gramEnd"/>
      <w:r w:rsidRPr="006A416F">
        <w:rPr>
          <w:rFonts w:ascii="Cambria" w:hAnsi="Cambria"/>
          <w:sz w:val="16"/>
          <w:szCs w:val="16"/>
        </w:rPr>
        <w:t xml:space="preserve"> If the Judge chooses to restore immediately the juridical situation under the previous article,</w:t>
      </w:r>
      <w:r>
        <w:rPr>
          <w:rFonts w:ascii="Cambria" w:hAnsi="Cambria"/>
          <w:sz w:val="16"/>
          <w:szCs w:val="16"/>
        </w:rPr>
        <w:t xml:space="preserve"> he will</w:t>
      </w:r>
      <w:r w:rsidRPr="006A416F">
        <w:rPr>
          <w:rFonts w:ascii="Cambria" w:hAnsi="Cambria"/>
          <w:sz w:val="16"/>
          <w:szCs w:val="16"/>
        </w:rPr>
        <w:t xml:space="preserve"> order the authority, institution, social organization or individual alleged to violate or threaten the right or constitutional guarantee, that within forty-eight (48) hours, counted from the respective notification, </w:t>
      </w:r>
      <w:r>
        <w:rPr>
          <w:rFonts w:ascii="Cambria" w:hAnsi="Cambria"/>
          <w:sz w:val="16"/>
          <w:szCs w:val="16"/>
        </w:rPr>
        <w:t xml:space="preserve">file a </w:t>
      </w:r>
      <w:r w:rsidRPr="006A416F">
        <w:rPr>
          <w:rFonts w:ascii="Cambria" w:hAnsi="Cambria"/>
          <w:sz w:val="16"/>
          <w:szCs w:val="16"/>
        </w:rPr>
        <w:t>report on the alleged violation or threat that gave rise to the injunction request.</w:t>
      </w:r>
    </w:p>
    <w:p w14:paraId="45F49187" w14:textId="0F8AEDBC" w:rsidR="00C45C34" w:rsidRDefault="00C45C34" w:rsidP="00131FA4">
      <w:pPr>
        <w:pStyle w:val="NormalWeb"/>
        <w:spacing w:before="0" w:beforeAutospacing="0" w:after="120" w:afterAutospacing="0"/>
        <w:ind w:firstLine="720"/>
        <w:jc w:val="both"/>
        <w:rPr>
          <w:rFonts w:ascii="Cambria" w:hAnsi="Cambria"/>
          <w:sz w:val="16"/>
          <w:szCs w:val="16"/>
        </w:rPr>
      </w:pPr>
      <w:r>
        <w:rPr>
          <w:rFonts w:ascii="Cambria" w:hAnsi="Cambria"/>
          <w:sz w:val="16"/>
          <w:szCs w:val="16"/>
        </w:rPr>
        <w:t>The lack of the corresponding report will be</w:t>
      </w:r>
      <w:r w:rsidRPr="006A416F">
        <w:rPr>
          <w:rFonts w:ascii="Cambria" w:hAnsi="Cambria"/>
          <w:sz w:val="16"/>
          <w:szCs w:val="16"/>
        </w:rPr>
        <w:t xml:space="preserve"> understood as acceptance of the offenses in question.</w:t>
      </w:r>
    </w:p>
    <w:p w14:paraId="21CB8639" w14:textId="0AFC0C6C" w:rsidR="00C45C34" w:rsidRPr="006A416F" w:rsidRDefault="00C45C34" w:rsidP="00131FA4">
      <w:pPr>
        <w:pStyle w:val="NormalWeb"/>
        <w:spacing w:before="0" w:beforeAutospacing="0" w:after="120" w:afterAutospacing="0"/>
        <w:ind w:firstLine="720"/>
        <w:jc w:val="both"/>
        <w:rPr>
          <w:rFonts w:ascii="Cambria" w:hAnsi="Cambria"/>
          <w:sz w:val="16"/>
          <w:szCs w:val="16"/>
        </w:rPr>
      </w:pPr>
      <w:proofErr w:type="gramStart"/>
      <w:r w:rsidRPr="006A416F">
        <w:rPr>
          <w:rFonts w:ascii="Cambria" w:hAnsi="Cambria"/>
          <w:sz w:val="16"/>
          <w:szCs w:val="16"/>
        </w:rPr>
        <w:t>Article 26.</w:t>
      </w:r>
      <w:proofErr w:type="gramEnd"/>
      <w:r w:rsidRPr="006A416F">
        <w:rPr>
          <w:rFonts w:ascii="Cambria" w:hAnsi="Cambria"/>
          <w:sz w:val="16"/>
          <w:szCs w:val="16"/>
        </w:rPr>
        <w:t xml:space="preserve"> The court hearing the </w:t>
      </w:r>
      <w:proofErr w:type="spellStart"/>
      <w:r w:rsidRPr="006A416F">
        <w:rPr>
          <w:rFonts w:ascii="Cambria" w:hAnsi="Cambria"/>
          <w:i/>
          <w:sz w:val="16"/>
          <w:szCs w:val="16"/>
        </w:rPr>
        <w:t>amparo</w:t>
      </w:r>
      <w:proofErr w:type="spellEnd"/>
      <w:r w:rsidRPr="006A416F">
        <w:rPr>
          <w:rFonts w:ascii="Cambria" w:hAnsi="Cambria"/>
          <w:i/>
          <w:sz w:val="16"/>
          <w:szCs w:val="16"/>
        </w:rPr>
        <w:t>,</w:t>
      </w:r>
      <w:r w:rsidRPr="006A416F">
        <w:rPr>
          <w:rFonts w:ascii="Cambria" w:hAnsi="Cambria"/>
          <w:sz w:val="16"/>
          <w:szCs w:val="16"/>
        </w:rPr>
        <w:t xml:space="preserve"> </w:t>
      </w:r>
      <w:r>
        <w:rPr>
          <w:rFonts w:ascii="Cambria" w:hAnsi="Cambria"/>
          <w:sz w:val="16"/>
          <w:szCs w:val="16"/>
        </w:rPr>
        <w:t xml:space="preserve">will </w:t>
      </w:r>
      <w:r w:rsidRPr="006A416F">
        <w:rPr>
          <w:rFonts w:ascii="Cambria" w:hAnsi="Cambria"/>
          <w:sz w:val="16"/>
          <w:szCs w:val="16"/>
        </w:rPr>
        <w:t>set within nin</w:t>
      </w:r>
      <w:r>
        <w:rPr>
          <w:rFonts w:ascii="Cambria" w:hAnsi="Cambria"/>
          <w:sz w:val="16"/>
          <w:szCs w:val="16"/>
        </w:rPr>
        <w:t>ety-six (96) hours</w:t>
      </w:r>
      <w:r w:rsidRPr="006A416F">
        <w:rPr>
          <w:rFonts w:ascii="Cambria" w:hAnsi="Cambria"/>
          <w:sz w:val="16"/>
          <w:szCs w:val="16"/>
        </w:rPr>
        <w:t xml:space="preserve"> following the presentation of the report by the alleged offender or the expiration of their respec</w:t>
      </w:r>
      <w:r>
        <w:rPr>
          <w:rFonts w:ascii="Cambria" w:hAnsi="Cambria"/>
          <w:sz w:val="16"/>
          <w:szCs w:val="16"/>
        </w:rPr>
        <w:t>tive term, the opportunity</w:t>
      </w:r>
      <w:r w:rsidRPr="006A416F">
        <w:rPr>
          <w:rFonts w:ascii="Cambria" w:hAnsi="Cambria"/>
          <w:sz w:val="16"/>
          <w:szCs w:val="16"/>
        </w:rPr>
        <w:t xml:space="preserve"> for the parties or their legal representatives express, orally and publicly, the respective arguments.</w:t>
      </w:r>
    </w:p>
    <w:p w14:paraId="58E2C424" w14:textId="259385E7" w:rsidR="00C45C34" w:rsidRPr="006A416F" w:rsidRDefault="00C45C34" w:rsidP="00131FA4">
      <w:pPr>
        <w:pStyle w:val="NormalWeb"/>
        <w:spacing w:before="0" w:beforeAutospacing="0" w:after="120" w:afterAutospacing="0"/>
        <w:ind w:firstLine="720"/>
        <w:jc w:val="both"/>
        <w:rPr>
          <w:rFonts w:ascii="Cambria" w:hAnsi="Cambria"/>
          <w:sz w:val="16"/>
          <w:szCs w:val="16"/>
        </w:rPr>
      </w:pPr>
      <w:r w:rsidRPr="006A416F">
        <w:rPr>
          <w:rFonts w:ascii="Cambria" w:hAnsi="Cambria"/>
          <w:sz w:val="16"/>
          <w:szCs w:val="16"/>
        </w:rPr>
        <w:t xml:space="preserve">Carried out that measure, the Judge will have a non-extendable term of twenty-four (24) hours to decide the </w:t>
      </w:r>
      <w:r>
        <w:rPr>
          <w:rFonts w:ascii="Cambria" w:hAnsi="Cambria"/>
          <w:sz w:val="16"/>
          <w:szCs w:val="16"/>
        </w:rPr>
        <w:t xml:space="preserve">application for constitutional </w:t>
      </w:r>
      <w:proofErr w:type="spellStart"/>
      <w:r w:rsidRPr="006A416F">
        <w:rPr>
          <w:rFonts w:ascii="Cambria" w:hAnsi="Cambria"/>
          <w:i/>
          <w:sz w:val="16"/>
          <w:szCs w:val="16"/>
        </w:rPr>
        <w:t>amparo</w:t>
      </w:r>
      <w:proofErr w:type="spellEnd"/>
      <w:r w:rsidRPr="006A416F">
        <w:rPr>
          <w:rFonts w:ascii="Cambria" w:hAnsi="Cambria"/>
          <w:i/>
          <w:sz w:val="16"/>
          <w:szCs w:val="16"/>
        </w:rPr>
        <w:t>.</w:t>
      </w:r>
    </w:p>
  </w:footnote>
  <w:footnote w:id="192">
    <w:p w14:paraId="1F3ADC52" w14:textId="36274C3D" w:rsidR="00C45C34" w:rsidRPr="00C9052E" w:rsidRDefault="00C45C34" w:rsidP="00131FA4">
      <w:pPr>
        <w:pStyle w:val="FootnoteText"/>
        <w:spacing w:after="120"/>
        <w:ind w:firstLine="720"/>
        <w:jc w:val="both"/>
        <w:rPr>
          <w:rFonts w:ascii="Cambria" w:hAnsi="Cambria"/>
          <w:sz w:val="16"/>
          <w:szCs w:val="16"/>
        </w:rPr>
      </w:pPr>
      <w:r w:rsidRPr="00326F31">
        <w:rPr>
          <w:rStyle w:val="FootnoteReference"/>
          <w:rFonts w:asciiTheme="majorHAnsi" w:hAnsiTheme="majorHAnsi"/>
          <w:sz w:val="16"/>
          <w:szCs w:val="16"/>
        </w:rPr>
        <w:footnoteRef/>
      </w:r>
      <w:r w:rsidRPr="00326F31">
        <w:rPr>
          <w:rFonts w:asciiTheme="majorHAnsi" w:hAnsiTheme="majorHAnsi"/>
          <w:sz w:val="16"/>
          <w:szCs w:val="16"/>
        </w:rPr>
        <w:t xml:space="preserve"> </w:t>
      </w:r>
      <w:proofErr w:type="gramStart"/>
      <w:r w:rsidRPr="00326F31">
        <w:rPr>
          <w:rFonts w:asciiTheme="majorHAnsi" w:hAnsiTheme="majorHAnsi"/>
          <w:sz w:val="16"/>
          <w:szCs w:val="16"/>
        </w:rPr>
        <w:t>Organic Law on Protection of Rights and Constitutional Guarantees of 1988, arts.</w:t>
      </w:r>
      <w:proofErr w:type="gramEnd"/>
      <w:r w:rsidRPr="00326F31">
        <w:rPr>
          <w:rFonts w:asciiTheme="majorHAnsi" w:hAnsiTheme="majorHAnsi"/>
          <w:sz w:val="16"/>
          <w:szCs w:val="16"/>
        </w:rPr>
        <w:t xml:space="preserve"> </w:t>
      </w:r>
      <w:r w:rsidRPr="00C9052E">
        <w:rPr>
          <w:rFonts w:asciiTheme="majorHAnsi" w:hAnsiTheme="majorHAnsi"/>
          <w:sz w:val="16"/>
          <w:szCs w:val="16"/>
        </w:rPr>
        <w:t xml:space="preserve">4, 13, available at: </w:t>
      </w:r>
      <w:hyperlink r:id="rId55" w:history="1">
        <w:r w:rsidRPr="00C9052E">
          <w:rPr>
            <w:rStyle w:val="Hyperlink"/>
            <w:rFonts w:asciiTheme="majorHAnsi" w:hAnsiTheme="majorHAnsi"/>
            <w:sz w:val="16"/>
            <w:szCs w:val="16"/>
          </w:rPr>
          <w:t>http://www.tsj.gov.ve/legislacion/loadgc.html</w:t>
        </w:r>
      </w:hyperlink>
      <w:r w:rsidRPr="00C9052E">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04B12" w14:textId="77777777" w:rsidR="00C45C34" w:rsidRDefault="00C45C34"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5ACA709" w14:textId="77777777" w:rsidR="00C45C34" w:rsidRDefault="00C45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F3C0F" w14:textId="13DC8DAB" w:rsidR="00C45C34" w:rsidRDefault="00C45C34" w:rsidP="00A50FCF">
    <w:pPr>
      <w:pStyle w:val="Header"/>
      <w:tabs>
        <w:tab w:val="clear" w:pos="4320"/>
        <w:tab w:val="clear" w:pos="8640"/>
      </w:tabs>
      <w:jc w:val="center"/>
      <w:rPr>
        <w:sz w:val="22"/>
        <w:szCs w:val="22"/>
      </w:rPr>
    </w:pPr>
    <w:r w:rsidRPr="001D502F">
      <w:rPr>
        <w:noProof/>
        <w:sz w:val="22"/>
        <w:szCs w:val="22"/>
      </w:rPr>
      <w:drawing>
        <wp:inline distT="0" distB="0" distL="0" distR="0" wp14:anchorId="07BF6950" wp14:editId="7D39220F">
          <wp:extent cx="2208530" cy="118745"/>
          <wp:effectExtent l="0" t="0" r="1270" b="0"/>
          <wp:docPr id="3" name="Imagen 3"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18745"/>
                  </a:xfrm>
                  <a:prstGeom prst="rect">
                    <a:avLst/>
                  </a:prstGeom>
                  <a:noFill/>
                  <a:ln>
                    <a:noFill/>
                  </a:ln>
                </pic:spPr>
              </pic:pic>
            </a:graphicData>
          </a:graphic>
        </wp:inline>
      </w:drawing>
    </w:r>
  </w:p>
  <w:p w14:paraId="3ED00A27" w14:textId="77777777" w:rsidR="00C45C34" w:rsidRPr="00EC7D62" w:rsidRDefault="00F30897" w:rsidP="00A50FCF">
    <w:pPr>
      <w:pStyle w:val="Header"/>
      <w:tabs>
        <w:tab w:val="clear" w:pos="4320"/>
        <w:tab w:val="clear" w:pos="8640"/>
      </w:tabs>
      <w:jc w:val="center"/>
      <w:rPr>
        <w:sz w:val="22"/>
        <w:szCs w:val="22"/>
      </w:rPr>
    </w:pPr>
    <w:r>
      <w:rPr>
        <w:sz w:val="22"/>
        <w:szCs w:val="22"/>
      </w:rPr>
      <w:pict w14:anchorId="1AF324E4">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595340C"/>
    <w:multiLevelType w:val="hybridMultilevel"/>
    <w:tmpl w:val="082E2974"/>
    <w:lvl w:ilvl="0" w:tplc="B7280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7D3EB2"/>
    <w:multiLevelType w:val="hybridMultilevel"/>
    <w:tmpl w:val="0860CF78"/>
    <w:lvl w:ilvl="0" w:tplc="46E66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FFF7F79"/>
    <w:multiLevelType w:val="hybridMultilevel"/>
    <w:tmpl w:val="DB6E93C0"/>
    <w:lvl w:ilvl="0" w:tplc="C0D662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7C65472"/>
    <w:multiLevelType w:val="hybridMultilevel"/>
    <w:tmpl w:val="B4603AC6"/>
    <w:lvl w:ilvl="0" w:tplc="1DF2145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DC61D90"/>
    <w:multiLevelType w:val="hybridMultilevel"/>
    <w:tmpl w:val="7EA4E954"/>
    <w:lvl w:ilvl="0" w:tplc="8C565DD2">
      <w:start w:val="1"/>
      <w:numFmt w:val="decimal"/>
      <w:lvlText w:val="%1."/>
      <w:lvlJc w:val="left"/>
      <w:pPr>
        <w:tabs>
          <w:tab w:val="num" w:pos="1080"/>
        </w:tabs>
        <w:ind w:left="1080" w:hanging="360"/>
      </w:pPr>
      <w:rPr>
        <w:rFonts w:ascii="Cambria" w:hAnsi="Cambria" w:cs="Times New Roman" w:hint="default"/>
        <w:b w:val="0"/>
        <w:i w:val="0"/>
        <w:sz w:val="20"/>
        <w:szCs w:val="20"/>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DC4859"/>
    <w:multiLevelType w:val="hybridMultilevel"/>
    <w:tmpl w:val="D3528C34"/>
    <w:lvl w:ilvl="0" w:tplc="16B68AC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7B63B5"/>
    <w:multiLevelType w:val="hybridMultilevel"/>
    <w:tmpl w:val="89F4C518"/>
    <w:lvl w:ilvl="0" w:tplc="C43A80A0">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73262A"/>
    <w:multiLevelType w:val="hybridMultilevel"/>
    <w:tmpl w:val="0F78D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6A101BB"/>
    <w:multiLevelType w:val="hybridMultilevel"/>
    <w:tmpl w:val="50C04F4C"/>
    <w:lvl w:ilvl="0" w:tplc="CB3E82CC">
      <w:start w:val="1"/>
      <w:numFmt w:val="upperRoman"/>
      <w:lvlText w:val="%1."/>
      <w:lvlJc w:val="left"/>
      <w:pPr>
        <w:tabs>
          <w:tab w:val="num" w:pos="1440"/>
        </w:tabs>
        <w:ind w:left="1440" w:hanging="720"/>
      </w:pPr>
      <w:rPr>
        <w:rFonts w:cs="Times New Roman" w:hint="default"/>
        <w:b/>
      </w:rPr>
    </w:lvl>
    <w:lvl w:ilvl="1" w:tplc="1DF2145E">
      <w:start w:val="1"/>
      <w:numFmt w:val="decimal"/>
      <w:lvlText w:val="%2."/>
      <w:lvlJc w:val="left"/>
      <w:pPr>
        <w:tabs>
          <w:tab w:val="num" w:pos="1800"/>
        </w:tabs>
        <w:ind w:left="1800" w:hanging="360"/>
      </w:pPr>
      <w:rPr>
        <w:rFonts w:cs="Times New Roman" w:hint="default"/>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9"/>
  </w:num>
  <w:num w:numId="4">
    <w:abstractNumId w:val="23"/>
  </w:num>
  <w:num w:numId="5">
    <w:abstractNumId w:val="52"/>
  </w:num>
  <w:num w:numId="6">
    <w:abstractNumId w:val="29"/>
  </w:num>
  <w:num w:numId="7">
    <w:abstractNumId w:val="8"/>
  </w:num>
  <w:num w:numId="8">
    <w:abstractNumId w:val="18"/>
  </w:num>
  <w:num w:numId="9">
    <w:abstractNumId w:val="47"/>
  </w:num>
  <w:num w:numId="10">
    <w:abstractNumId w:val="1"/>
  </w:num>
  <w:num w:numId="11">
    <w:abstractNumId w:val="41"/>
  </w:num>
  <w:num w:numId="12">
    <w:abstractNumId w:val="42"/>
  </w:num>
  <w:num w:numId="13">
    <w:abstractNumId w:val="49"/>
  </w:num>
  <w:num w:numId="14">
    <w:abstractNumId w:val="2"/>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8"/>
  </w:num>
  <w:num w:numId="31">
    <w:abstractNumId w:val="30"/>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4"/>
  </w:num>
  <w:num w:numId="40">
    <w:abstractNumId w:val="45"/>
  </w:num>
  <w:num w:numId="41">
    <w:abstractNumId w:val="51"/>
  </w:num>
  <w:num w:numId="42">
    <w:abstractNumId w:val="55"/>
  </w:num>
  <w:num w:numId="43">
    <w:abstractNumId w:val="56"/>
  </w:num>
  <w:num w:numId="44">
    <w:abstractNumId w:val="57"/>
  </w:num>
  <w:num w:numId="45">
    <w:abstractNumId w:val="58"/>
  </w:num>
  <w:num w:numId="46">
    <w:abstractNumId w:val="60"/>
  </w:num>
  <w:num w:numId="47">
    <w:abstractNumId w:val="61"/>
  </w:num>
  <w:num w:numId="48">
    <w:abstractNumId w:val="62"/>
  </w:num>
  <w:num w:numId="49">
    <w:abstractNumId w:val="64"/>
  </w:num>
  <w:num w:numId="50">
    <w:abstractNumId w:val="65"/>
  </w:num>
  <w:num w:numId="51">
    <w:abstractNumId w:val="22"/>
  </w:num>
  <w:num w:numId="52">
    <w:abstractNumId w:val="46"/>
  </w:num>
  <w:num w:numId="53">
    <w:abstractNumId w:val="50"/>
  </w:num>
  <w:num w:numId="54">
    <w:abstractNumId w:val="43"/>
  </w:num>
  <w:num w:numId="55">
    <w:abstractNumId w:val="53"/>
  </w:num>
  <w:num w:numId="56">
    <w:abstractNumId w:val="0"/>
  </w:num>
  <w:num w:numId="57">
    <w:abstractNumId w:val="63"/>
  </w:num>
  <w:num w:numId="58">
    <w:abstractNumId w:val="32"/>
  </w:num>
  <w:num w:numId="59">
    <w:abstractNumId w:val="31"/>
  </w:num>
  <w:num w:numId="60">
    <w:abstractNumId w:val="33"/>
  </w:num>
  <w:num w:numId="61">
    <w:abstractNumId w:val="27"/>
  </w:num>
  <w:num w:numId="62">
    <w:abstractNumId w:val="21"/>
  </w:num>
  <w:num w:numId="63">
    <w:abstractNumId w:val="7"/>
  </w:num>
  <w:num w:numId="64">
    <w:abstractNumId w:val="54"/>
  </w:num>
  <w:num w:numId="65">
    <w:abstractNumId w:val="6"/>
  </w:num>
  <w:num w:numId="6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VE"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C" w:vendorID="64" w:dllVersion="131078" w:nlCheck="1" w:checkStyle="1"/>
  <w:activeWritingStyle w:appName="MSWord" w:lang="es-CL" w:vendorID="64" w:dllVersion="131078" w:nlCheck="1" w:checkStyle="1"/>
  <w:activeWritingStyle w:appName="MSWord" w:lang="es-AR" w:vendorID="64" w:dllVersion="131078" w:nlCheck="1" w:checkStyle="1"/>
  <w:activeWritingStyle w:appName="MSWord" w:lang="es-DO" w:vendorID="64" w:dllVersion="131078" w:nlCheck="1" w:checkStyle="1"/>
  <w:activeWritingStyle w:appName="MSWord" w:lang="fr-CA" w:vendorID="64" w:dllVersion="131078" w:nlCheck="1" w:checkStyle="1"/>
  <w:activeWritingStyle w:appName="MSWord" w:lang="es-PE" w:vendorID="64" w:dllVersion="131078" w:nlCheck="1" w:checkStyle="1"/>
  <w:activeWritingStyle w:appName="MSWord" w:lang="es-CR"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14F"/>
    <w:rsid w:val="0000036F"/>
    <w:rsid w:val="00000472"/>
    <w:rsid w:val="00000665"/>
    <w:rsid w:val="00000CDA"/>
    <w:rsid w:val="0000270F"/>
    <w:rsid w:val="00003017"/>
    <w:rsid w:val="00003585"/>
    <w:rsid w:val="00003756"/>
    <w:rsid w:val="000038FC"/>
    <w:rsid w:val="00003C0A"/>
    <w:rsid w:val="00003C98"/>
    <w:rsid w:val="00003E8B"/>
    <w:rsid w:val="00004260"/>
    <w:rsid w:val="00004A86"/>
    <w:rsid w:val="00004DE7"/>
    <w:rsid w:val="00005228"/>
    <w:rsid w:val="00005F8B"/>
    <w:rsid w:val="00006210"/>
    <w:rsid w:val="000065BB"/>
    <w:rsid w:val="0000665B"/>
    <w:rsid w:val="00006B28"/>
    <w:rsid w:val="00006E1F"/>
    <w:rsid w:val="000070D7"/>
    <w:rsid w:val="00007135"/>
    <w:rsid w:val="0000713D"/>
    <w:rsid w:val="0000721C"/>
    <w:rsid w:val="00007C3A"/>
    <w:rsid w:val="00007E1F"/>
    <w:rsid w:val="00010E7B"/>
    <w:rsid w:val="00010F73"/>
    <w:rsid w:val="0001139F"/>
    <w:rsid w:val="00011BFA"/>
    <w:rsid w:val="00011D28"/>
    <w:rsid w:val="00012E69"/>
    <w:rsid w:val="00013262"/>
    <w:rsid w:val="00013EF8"/>
    <w:rsid w:val="00015B68"/>
    <w:rsid w:val="00015CF2"/>
    <w:rsid w:val="00016669"/>
    <w:rsid w:val="000167C9"/>
    <w:rsid w:val="00016D84"/>
    <w:rsid w:val="0001714B"/>
    <w:rsid w:val="0001788C"/>
    <w:rsid w:val="00017896"/>
    <w:rsid w:val="00017D12"/>
    <w:rsid w:val="00020576"/>
    <w:rsid w:val="00021607"/>
    <w:rsid w:val="000216C0"/>
    <w:rsid w:val="00021B34"/>
    <w:rsid w:val="00022008"/>
    <w:rsid w:val="0002248F"/>
    <w:rsid w:val="00023070"/>
    <w:rsid w:val="000234A9"/>
    <w:rsid w:val="0002440E"/>
    <w:rsid w:val="00024A8B"/>
    <w:rsid w:val="00024A9E"/>
    <w:rsid w:val="000258DF"/>
    <w:rsid w:val="00027093"/>
    <w:rsid w:val="00027161"/>
    <w:rsid w:val="00027921"/>
    <w:rsid w:val="000308E4"/>
    <w:rsid w:val="00030CF4"/>
    <w:rsid w:val="00030EEA"/>
    <w:rsid w:val="00030EEC"/>
    <w:rsid w:val="0003140D"/>
    <w:rsid w:val="00032C1D"/>
    <w:rsid w:val="00032DB2"/>
    <w:rsid w:val="00033798"/>
    <w:rsid w:val="00033C0A"/>
    <w:rsid w:val="00033D3F"/>
    <w:rsid w:val="000345D8"/>
    <w:rsid w:val="000348CD"/>
    <w:rsid w:val="00034B08"/>
    <w:rsid w:val="00035898"/>
    <w:rsid w:val="00036090"/>
    <w:rsid w:val="00036409"/>
    <w:rsid w:val="0003681B"/>
    <w:rsid w:val="0003738C"/>
    <w:rsid w:val="00037C0D"/>
    <w:rsid w:val="00040AE9"/>
    <w:rsid w:val="00040C3A"/>
    <w:rsid w:val="0004176A"/>
    <w:rsid w:val="000422ED"/>
    <w:rsid w:val="000423AC"/>
    <w:rsid w:val="00042615"/>
    <w:rsid w:val="00042707"/>
    <w:rsid w:val="000428AA"/>
    <w:rsid w:val="00042AA3"/>
    <w:rsid w:val="0004316F"/>
    <w:rsid w:val="00043A9B"/>
    <w:rsid w:val="000443AB"/>
    <w:rsid w:val="000444CD"/>
    <w:rsid w:val="0004481A"/>
    <w:rsid w:val="00044D50"/>
    <w:rsid w:val="00044DFD"/>
    <w:rsid w:val="000452BC"/>
    <w:rsid w:val="000455F8"/>
    <w:rsid w:val="00045932"/>
    <w:rsid w:val="00046100"/>
    <w:rsid w:val="0004618D"/>
    <w:rsid w:val="00046395"/>
    <w:rsid w:val="000465C7"/>
    <w:rsid w:val="0004682F"/>
    <w:rsid w:val="00046C0E"/>
    <w:rsid w:val="00050A98"/>
    <w:rsid w:val="00050BD1"/>
    <w:rsid w:val="00052C79"/>
    <w:rsid w:val="000531B7"/>
    <w:rsid w:val="0005362B"/>
    <w:rsid w:val="00053C8B"/>
    <w:rsid w:val="00053D00"/>
    <w:rsid w:val="00054266"/>
    <w:rsid w:val="00054BCE"/>
    <w:rsid w:val="00054D12"/>
    <w:rsid w:val="00055001"/>
    <w:rsid w:val="0005571E"/>
    <w:rsid w:val="00055963"/>
    <w:rsid w:val="00055FAD"/>
    <w:rsid w:val="00056D2E"/>
    <w:rsid w:val="00056E11"/>
    <w:rsid w:val="00057C20"/>
    <w:rsid w:val="000603D5"/>
    <w:rsid w:val="000608B5"/>
    <w:rsid w:val="00062052"/>
    <w:rsid w:val="00062663"/>
    <w:rsid w:val="00062A19"/>
    <w:rsid w:val="00062AD7"/>
    <w:rsid w:val="00062B74"/>
    <w:rsid w:val="000646CE"/>
    <w:rsid w:val="00064A26"/>
    <w:rsid w:val="00064A4D"/>
    <w:rsid w:val="00064D5C"/>
    <w:rsid w:val="00064D7F"/>
    <w:rsid w:val="00064F88"/>
    <w:rsid w:val="000659A5"/>
    <w:rsid w:val="00065A77"/>
    <w:rsid w:val="000664AA"/>
    <w:rsid w:val="00066DC1"/>
    <w:rsid w:val="00066DC3"/>
    <w:rsid w:val="00066EF9"/>
    <w:rsid w:val="0006717D"/>
    <w:rsid w:val="00067387"/>
    <w:rsid w:val="000673D7"/>
    <w:rsid w:val="0007061E"/>
    <w:rsid w:val="0007068E"/>
    <w:rsid w:val="00070D39"/>
    <w:rsid w:val="00070D46"/>
    <w:rsid w:val="0007147B"/>
    <w:rsid w:val="000716C5"/>
    <w:rsid w:val="00072A6F"/>
    <w:rsid w:val="00073559"/>
    <w:rsid w:val="0007379B"/>
    <w:rsid w:val="000738B8"/>
    <w:rsid w:val="00073936"/>
    <w:rsid w:val="0007430D"/>
    <w:rsid w:val="00074A70"/>
    <w:rsid w:val="00075027"/>
    <w:rsid w:val="000756B3"/>
    <w:rsid w:val="00075E23"/>
    <w:rsid w:val="00075F8F"/>
    <w:rsid w:val="000766DB"/>
    <w:rsid w:val="0007700D"/>
    <w:rsid w:val="000771A8"/>
    <w:rsid w:val="000776FB"/>
    <w:rsid w:val="00077E68"/>
    <w:rsid w:val="0008002E"/>
    <w:rsid w:val="00080090"/>
    <w:rsid w:val="00081241"/>
    <w:rsid w:val="000819B7"/>
    <w:rsid w:val="00082D95"/>
    <w:rsid w:val="000832CE"/>
    <w:rsid w:val="00083661"/>
    <w:rsid w:val="000838F8"/>
    <w:rsid w:val="0008426D"/>
    <w:rsid w:val="00084A48"/>
    <w:rsid w:val="000852BF"/>
    <w:rsid w:val="00085AAE"/>
    <w:rsid w:val="000862C6"/>
    <w:rsid w:val="0008725D"/>
    <w:rsid w:val="000873CC"/>
    <w:rsid w:val="00087C95"/>
    <w:rsid w:val="00087F4C"/>
    <w:rsid w:val="00090355"/>
    <w:rsid w:val="00091369"/>
    <w:rsid w:val="00093196"/>
    <w:rsid w:val="00093275"/>
    <w:rsid w:val="0009344A"/>
    <w:rsid w:val="000936FF"/>
    <w:rsid w:val="00093BD2"/>
    <w:rsid w:val="00093C1D"/>
    <w:rsid w:val="0009424C"/>
    <w:rsid w:val="000949E4"/>
    <w:rsid w:val="00095BE7"/>
    <w:rsid w:val="000971C4"/>
    <w:rsid w:val="00097447"/>
    <w:rsid w:val="000978D9"/>
    <w:rsid w:val="0009791F"/>
    <w:rsid w:val="00097DA5"/>
    <w:rsid w:val="000A0655"/>
    <w:rsid w:val="000A0743"/>
    <w:rsid w:val="000A0D6F"/>
    <w:rsid w:val="000A17E2"/>
    <w:rsid w:val="000A2C5F"/>
    <w:rsid w:val="000A3352"/>
    <w:rsid w:val="000A392E"/>
    <w:rsid w:val="000A3ADC"/>
    <w:rsid w:val="000A4648"/>
    <w:rsid w:val="000A495B"/>
    <w:rsid w:val="000A546E"/>
    <w:rsid w:val="000A55A4"/>
    <w:rsid w:val="000A56CB"/>
    <w:rsid w:val="000A575F"/>
    <w:rsid w:val="000A5CD6"/>
    <w:rsid w:val="000A7128"/>
    <w:rsid w:val="000A73B5"/>
    <w:rsid w:val="000A76B6"/>
    <w:rsid w:val="000A7E6B"/>
    <w:rsid w:val="000B08E4"/>
    <w:rsid w:val="000B0AB4"/>
    <w:rsid w:val="000B0AD2"/>
    <w:rsid w:val="000B15F9"/>
    <w:rsid w:val="000B21D2"/>
    <w:rsid w:val="000B2D3E"/>
    <w:rsid w:val="000B2FC1"/>
    <w:rsid w:val="000B30B2"/>
    <w:rsid w:val="000B33A5"/>
    <w:rsid w:val="000B389F"/>
    <w:rsid w:val="000B421C"/>
    <w:rsid w:val="000B5C0D"/>
    <w:rsid w:val="000B60D1"/>
    <w:rsid w:val="000B68EE"/>
    <w:rsid w:val="000B7473"/>
    <w:rsid w:val="000B77D4"/>
    <w:rsid w:val="000C185A"/>
    <w:rsid w:val="000C1AEB"/>
    <w:rsid w:val="000C1C31"/>
    <w:rsid w:val="000C1C40"/>
    <w:rsid w:val="000C21D9"/>
    <w:rsid w:val="000C246A"/>
    <w:rsid w:val="000C2D1E"/>
    <w:rsid w:val="000C326B"/>
    <w:rsid w:val="000C3537"/>
    <w:rsid w:val="000C35AA"/>
    <w:rsid w:val="000C38D0"/>
    <w:rsid w:val="000C39A1"/>
    <w:rsid w:val="000C3FAF"/>
    <w:rsid w:val="000C4608"/>
    <w:rsid w:val="000C46DB"/>
    <w:rsid w:val="000C49E5"/>
    <w:rsid w:val="000C5BC3"/>
    <w:rsid w:val="000C5BC5"/>
    <w:rsid w:val="000C606A"/>
    <w:rsid w:val="000C6197"/>
    <w:rsid w:val="000C6396"/>
    <w:rsid w:val="000C6E2F"/>
    <w:rsid w:val="000D0883"/>
    <w:rsid w:val="000D10DB"/>
    <w:rsid w:val="000D2264"/>
    <w:rsid w:val="000D2B31"/>
    <w:rsid w:val="000D2FEA"/>
    <w:rsid w:val="000D3087"/>
    <w:rsid w:val="000D38BF"/>
    <w:rsid w:val="000D4302"/>
    <w:rsid w:val="000D4EDA"/>
    <w:rsid w:val="000D5813"/>
    <w:rsid w:val="000D5F45"/>
    <w:rsid w:val="000D63AB"/>
    <w:rsid w:val="000D6940"/>
    <w:rsid w:val="000D6C2C"/>
    <w:rsid w:val="000D77A5"/>
    <w:rsid w:val="000D7D62"/>
    <w:rsid w:val="000D7E5C"/>
    <w:rsid w:val="000E15E0"/>
    <w:rsid w:val="000E1735"/>
    <w:rsid w:val="000E2C13"/>
    <w:rsid w:val="000E2F92"/>
    <w:rsid w:val="000E36DB"/>
    <w:rsid w:val="000E4430"/>
    <w:rsid w:val="000E4DE0"/>
    <w:rsid w:val="000E5573"/>
    <w:rsid w:val="000E5EB5"/>
    <w:rsid w:val="000E5F2D"/>
    <w:rsid w:val="000E68C0"/>
    <w:rsid w:val="000E696E"/>
    <w:rsid w:val="000E6BB4"/>
    <w:rsid w:val="000E6D56"/>
    <w:rsid w:val="000E6F30"/>
    <w:rsid w:val="000E74A1"/>
    <w:rsid w:val="000E786A"/>
    <w:rsid w:val="000E79C6"/>
    <w:rsid w:val="000E7DB1"/>
    <w:rsid w:val="000E7F36"/>
    <w:rsid w:val="000F02CF"/>
    <w:rsid w:val="000F05CF"/>
    <w:rsid w:val="000F0D25"/>
    <w:rsid w:val="000F144C"/>
    <w:rsid w:val="000F1BFB"/>
    <w:rsid w:val="000F200D"/>
    <w:rsid w:val="000F37CF"/>
    <w:rsid w:val="000F4860"/>
    <w:rsid w:val="000F5F5D"/>
    <w:rsid w:val="000F60D7"/>
    <w:rsid w:val="000F6422"/>
    <w:rsid w:val="000F675E"/>
    <w:rsid w:val="000F6BAD"/>
    <w:rsid w:val="00100C29"/>
    <w:rsid w:val="00100DF8"/>
    <w:rsid w:val="0010163B"/>
    <w:rsid w:val="00101CD1"/>
    <w:rsid w:val="00101D95"/>
    <w:rsid w:val="001020F4"/>
    <w:rsid w:val="0010210A"/>
    <w:rsid w:val="00103340"/>
    <w:rsid w:val="001048C3"/>
    <w:rsid w:val="00104D50"/>
    <w:rsid w:val="00104EEF"/>
    <w:rsid w:val="00104F8F"/>
    <w:rsid w:val="00105618"/>
    <w:rsid w:val="00105B63"/>
    <w:rsid w:val="00105BF1"/>
    <w:rsid w:val="00105C91"/>
    <w:rsid w:val="001063C9"/>
    <w:rsid w:val="00106BB9"/>
    <w:rsid w:val="00106D45"/>
    <w:rsid w:val="00107131"/>
    <w:rsid w:val="001072D6"/>
    <w:rsid w:val="001072DB"/>
    <w:rsid w:val="0010736F"/>
    <w:rsid w:val="00107C28"/>
    <w:rsid w:val="00107DE1"/>
    <w:rsid w:val="001108C5"/>
    <w:rsid w:val="00111119"/>
    <w:rsid w:val="0011146D"/>
    <w:rsid w:val="00111D90"/>
    <w:rsid w:val="00112E9A"/>
    <w:rsid w:val="001135F0"/>
    <w:rsid w:val="001137BC"/>
    <w:rsid w:val="00113F73"/>
    <w:rsid w:val="0011455B"/>
    <w:rsid w:val="001148E3"/>
    <w:rsid w:val="00114A3E"/>
    <w:rsid w:val="00114F8B"/>
    <w:rsid w:val="00114FA2"/>
    <w:rsid w:val="0011518A"/>
    <w:rsid w:val="0011559D"/>
    <w:rsid w:val="001159C2"/>
    <w:rsid w:val="00116A99"/>
    <w:rsid w:val="00116DE9"/>
    <w:rsid w:val="0011729F"/>
    <w:rsid w:val="00117804"/>
    <w:rsid w:val="001179C8"/>
    <w:rsid w:val="001207B6"/>
    <w:rsid w:val="00121CC2"/>
    <w:rsid w:val="00121DA5"/>
    <w:rsid w:val="001244C2"/>
    <w:rsid w:val="0012463E"/>
    <w:rsid w:val="00124FDB"/>
    <w:rsid w:val="0012544F"/>
    <w:rsid w:val="001256DB"/>
    <w:rsid w:val="00125A0D"/>
    <w:rsid w:val="00125D1F"/>
    <w:rsid w:val="00126439"/>
    <w:rsid w:val="001271B3"/>
    <w:rsid w:val="001272DF"/>
    <w:rsid w:val="0013019B"/>
    <w:rsid w:val="001302EC"/>
    <w:rsid w:val="00131531"/>
    <w:rsid w:val="001317DE"/>
    <w:rsid w:val="00131D92"/>
    <w:rsid w:val="00131FA4"/>
    <w:rsid w:val="00132419"/>
    <w:rsid w:val="00132556"/>
    <w:rsid w:val="00132991"/>
    <w:rsid w:val="00132BB6"/>
    <w:rsid w:val="00133EE5"/>
    <w:rsid w:val="00134213"/>
    <w:rsid w:val="001348B4"/>
    <w:rsid w:val="0013490B"/>
    <w:rsid w:val="00134CAE"/>
    <w:rsid w:val="00134EC9"/>
    <w:rsid w:val="00135773"/>
    <w:rsid w:val="00135AFF"/>
    <w:rsid w:val="001362B9"/>
    <w:rsid w:val="00136BF2"/>
    <w:rsid w:val="00136BFD"/>
    <w:rsid w:val="00136C3F"/>
    <w:rsid w:val="00137255"/>
    <w:rsid w:val="001375A9"/>
    <w:rsid w:val="00137B73"/>
    <w:rsid w:val="00137DCE"/>
    <w:rsid w:val="0014020B"/>
    <w:rsid w:val="00140ED0"/>
    <w:rsid w:val="001414D2"/>
    <w:rsid w:val="00141EE4"/>
    <w:rsid w:val="00142959"/>
    <w:rsid w:val="00142F23"/>
    <w:rsid w:val="001435E4"/>
    <w:rsid w:val="00144168"/>
    <w:rsid w:val="0014430E"/>
    <w:rsid w:val="00144A3C"/>
    <w:rsid w:val="00144E97"/>
    <w:rsid w:val="00144F7B"/>
    <w:rsid w:val="00144F9D"/>
    <w:rsid w:val="0014640C"/>
    <w:rsid w:val="001464BE"/>
    <w:rsid w:val="00146DFF"/>
    <w:rsid w:val="00147374"/>
    <w:rsid w:val="0014754E"/>
    <w:rsid w:val="00147CDE"/>
    <w:rsid w:val="00150901"/>
    <w:rsid w:val="001509F1"/>
    <w:rsid w:val="001518CD"/>
    <w:rsid w:val="001518FF"/>
    <w:rsid w:val="00151A9C"/>
    <w:rsid w:val="00153168"/>
    <w:rsid w:val="00153902"/>
    <w:rsid w:val="0015428A"/>
    <w:rsid w:val="00154311"/>
    <w:rsid w:val="0015476E"/>
    <w:rsid w:val="00155C93"/>
    <w:rsid w:val="00155CBD"/>
    <w:rsid w:val="0015623F"/>
    <w:rsid w:val="0015653E"/>
    <w:rsid w:val="001567E9"/>
    <w:rsid w:val="00156F91"/>
    <w:rsid w:val="0016081C"/>
    <w:rsid w:val="0016148D"/>
    <w:rsid w:val="001629BF"/>
    <w:rsid w:val="00163AF3"/>
    <w:rsid w:val="001642A7"/>
    <w:rsid w:val="001644A9"/>
    <w:rsid w:val="00165554"/>
    <w:rsid w:val="00165B4C"/>
    <w:rsid w:val="00165F1E"/>
    <w:rsid w:val="0016638B"/>
    <w:rsid w:val="0016793E"/>
    <w:rsid w:val="00167A34"/>
    <w:rsid w:val="00167A48"/>
    <w:rsid w:val="0017016B"/>
    <w:rsid w:val="00171223"/>
    <w:rsid w:val="00171A98"/>
    <w:rsid w:val="00172786"/>
    <w:rsid w:val="00172BA6"/>
    <w:rsid w:val="00173BFF"/>
    <w:rsid w:val="00173E25"/>
    <w:rsid w:val="00174320"/>
    <w:rsid w:val="00175231"/>
    <w:rsid w:val="00175358"/>
    <w:rsid w:val="00175520"/>
    <w:rsid w:val="00175ABB"/>
    <w:rsid w:val="00176353"/>
    <w:rsid w:val="001770BB"/>
    <w:rsid w:val="001777FD"/>
    <w:rsid w:val="0017788C"/>
    <w:rsid w:val="001801B2"/>
    <w:rsid w:val="001801CE"/>
    <w:rsid w:val="00180AF9"/>
    <w:rsid w:val="00181839"/>
    <w:rsid w:val="00181F9D"/>
    <w:rsid w:val="00182075"/>
    <w:rsid w:val="001820E3"/>
    <w:rsid w:val="00182194"/>
    <w:rsid w:val="00182E76"/>
    <w:rsid w:val="00182F97"/>
    <w:rsid w:val="0018301D"/>
    <w:rsid w:val="00183B96"/>
    <w:rsid w:val="00183D57"/>
    <w:rsid w:val="0018406F"/>
    <w:rsid w:val="00184368"/>
    <w:rsid w:val="00184CD1"/>
    <w:rsid w:val="0018609E"/>
    <w:rsid w:val="001869BA"/>
    <w:rsid w:val="00186D50"/>
    <w:rsid w:val="001875BF"/>
    <w:rsid w:val="00187970"/>
    <w:rsid w:val="00187F36"/>
    <w:rsid w:val="001904BF"/>
    <w:rsid w:val="0019090E"/>
    <w:rsid w:val="00190FB4"/>
    <w:rsid w:val="0019117A"/>
    <w:rsid w:val="00191D9E"/>
    <w:rsid w:val="00192CEC"/>
    <w:rsid w:val="0019315D"/>
    <w:rsid w:val="001935B7"/>
    <w:rsid w:val="00193E53"/>
    <w:rsid w:val="00196576"/>
    <w:rsid w:val="001974F7"/>
    <w:rsid w:val="00197D1C"/>
    <w:rsid w:val="001A0392"/>
    <w:rsid w:val="001A0A80"/>
    <w:rsid w:val="001A0E10"/>
    <w:rsid w:val="001A2E9E"/>
    <w:rsid w:val="001A326F"/>
    <w:rsid w:val="001A39C9"/>
    <w:rsid w:val="001A3D33"/>
    <w:rsid w:val="001A4150"/>
    <w:rsid w:val="001A4155"/>
    <w:rsid w:val="001A4B19"/>
    <w:rsid w:val="001A56BE"/>
    <w:rsid w:val="001A5D0E"/>
    <w:rsid w:val="001A6142"/>
    <w:rsid w:val="001A6A3C"/>
    <w:rsid w:val="001A732B"/>
    <w:rsid w:val="001A73F3"/>
    <w:rsid w:val="001A7821"/>
    <w:rsid w:val="001A7870"/>
    <w:rsid w:val="001A7911"/>
    <w:rsid w:val="001B05AB"/>
    <w:rsid w:val="001B0833"/>
    <w:rsid w:val="001B0CFF"/>
    <w:rsid w:val="001B21FD"/>
    <w:rsid w:val="001B24D6"/>
    <w:rsid w:val="001B2DA4"/>
    <w:rsid w:val="001B397A"/>
    <w:rsid w:val="001B4309"/>
    <w:rsid w:val="001B464B"/>
    <w:rsid w:val="001B4E9A"/>
    <w:rsid w:val="001B512E"/>
    <w:rsid w:val="001B58DF"/>
    <w:rsid w:val="001B6514"/>
    <w:rsid w:val="001B668D"/>
    <w:rsid w:val="001B73A3"/>
    <w:rsid w:val="001B73E2"/>
    <w:rsid w:val="001B7CF7"/>
    <w:rsid w:val="001C02FD"/>
    <w:rsid w:val="001C03FB"/>
    <w:rsid w:val="001C0846"/>
    <w:rsid w:val="001C08F4"/>
    <w:rsid w:val="001C0C84"/>
    <w:rsid w:val="001C1B41"/>
    <w:rsid w:val="001C1FDD"/>
    <w:rsid w:val="001C39B3"/>
    <w:rsid w:val="001C3B7C"/>
    <w:rsid w:val="001C4035"/>
    <w:rsid w:val="001C4D40"/>
    <w:rsid w:val="001C5071"/>
    <w:rsid w:val="001C5CF6"/>
    <w:rsid w:val="001C65BC"/>
    <w:rsid w:val="001C65C8"/>
    <w:rsid w:val="001C7030"/>
    <w:rsid w:val="001C741A"/>
    <w:rsid w:val="001C7D08"/>
    <w:rsid w:val="001C7FB9"/>
    <w:rsid w:val="001D0110"/>
    <w:rsid w:val="001D018F"/>
    <w:rsid w:val="001D0A2D"/>
    <w:rsid w:val="001D0C3F"/>
    <w:rsid w:val="001D0FE9"/>
    <w:rsid w:val="001D13D4"/>
    <w:rsid w:val="001D1AB6"/>
    <w:rsid w:val="001D2A57"/>
    <w:rsid w:val="001D3235"/>
    <w:rsid w:val="001D4838"/>
    <w:rsid w:val="001D4920"/>
    <w:rsid w:val="001D4DCB"/>
    <w:rsid w:val="001D517C"/>
    <w:rsid w:val="001D53DD"/>
    <w:rsid w:val="001D568D"/>
    <w:rsid w:val="001D57DD"/>
    <w:rsid w:val="001D5CAE"/>
    <w:rsid w:val="001D6250"/>
    <w:rsid w:val="001D65EF"/>
    <w:rsid w:val="001D679A"/>
    <w:rsid w:val="001D6933"/>
    <w:rsid w:val="001D714A"/>
    <w:rsid w:val="001D72C4"/>
    <w:rsid w:val="001D78C3"/>
    <w:rsid w:val="001D79BD"/>
    <w:rsid w:val="001D7D0B"/>
    <w:rsid w:val="001D7EE5"/>
    <w:rsid w:val="001E0794"/>
    <w:rsid w:val="001E0E8D"/>
    <w:rsid w:val="001E199C"/>
    <w:rsid w:val="001E1A30"/>
    <w:rsid w:val="001E20DA"/>
    <w:rsid w:val="001E3CF8"/>
    <w:rsid w:val="001E3D9F"/>
    <w:rsid w:val="001E44AA"/>
    <w:rsid w:val="001E478E"/>
    <w:rsid w:val="001E5710"/>
    <w:rsid w:val="001E6089"/>
    <w:rsid w:val="001E616F"/>
    <w:rsid w:val="001E626D"/>
    <w:rsid w:val="001E69EE"/>
    <w:rsid w:val="001E730E"/>
    <w:rsid w:val="001E7B01"/>
    <w:rsid w:val="001E7F5B"/>
    <w:rsid w:val="001F0BAC"/>
    <w:rsid w:val="001F1400"/>
    <w:rsid w:val="001F1FCA"/>
    <w:rsid w:val="001F2029"/>
    <w:rsid w:val="001F21BE"/>
    <w:rsid w:val="001F2493"/>
    <w:rsid w:val="001F2A99"/>
    <w:rsid w:val="001F2E46"/>
    <w:rsid w:val="001F3808"/>
    <w:rsid w:val="001F3C33"/>
    <w:rsid w:val="001F4AD7"/>
    <w:rsid w:val="001F5239"/>
    <w:rsid w:val="001F5F72"/>
    <w:rsid w:val="001F6B91"/>
    <w:rsid w:val="001F7317"/>
    <w:rsid w:val="001F7520"/>
    <w:rsid w:val="001F7DEA"/>
    <w:rsid w:val="00200042"/>
    <w:rsid w:val="0020074C"/>
    <w:rsid w:val="0020078A"/>
    <w:rsid w:val="002010F0"/>
    <w:rsid w:val="00202938"/>
    <w:rsid w:val="00202D93"/>
    <w:rsid w:val="002035AD"/>
    <w:rsid w:val="0020451F"/>
    <w:rsid w:val="00204E28"/>
    <w:rsid w:val="00205360"/>
    <w:rsid w:val="00205C87"/>
    <w:rsid w:val="00206580"/>
    <w:rsid w:val="00206FD6"/>
    <w:rsid w:val="00207A7B"/>
    <w:rsid w:val="00207D88"/>
    <w:rsid w:val="00207E60"/>
    <w:rsid w:val="00210CEC"/>
    <w:rsid w:val="00210D4F"/>
    <w:rsid w:val="00211639"/>
    <w:rsid w:val="002119CF"/>
    <w:rsid w:val="002126B2"/>
    <w:rsid w:val="0021289C"/>
    <w:rsid w:val="00212DC0"/>
    <w:rsid w:val="00212FEF"/>
    <w:rsid w:val="002139B8"/>
    <w:rsid w:val="00213CE7"/>
    <w:rsid w:val="00214F4E"/>
    <w:rsid w:val="002159C3"/>
    <w:rsid w:val="00215C4E"/>
    <w:rsid w:val="00215CB1"/>
    <w:rsid w:val="002163E3"/>
    <w:rsid w:val="0021687A"/>
    <w:rsid w:val="00216E12"/>
    <w:rsid w:val="002170A0"/>
    <w:rsid w:val="00217BE0"/>
    <w:rsid w:val="00217D58"/>
    <w:rsid w:val="00220995"/>
    <w:rsid w:val="00220C98"/>
    <w:rsid w:val="00221882"/>
    <w:rsid w:val="00221D3B"/>
    <w:rsid w:val="00222DA8"/>
    <w:rsid w:val="0022325B"/>
    <w:rsid w:val="0022363F"/>
    <w:rsid w:val="00223E1A"/>
    <w:rsid w:val="00223F08"/>
    <w:rsid w:val="0022476D"/>
    <w:rsid w:val="0022485A"/>
    <w:rsid w:val="002250A3"/>
    <w:rsid w:val="002259E0"/>
    <w:rsid w:val="002275B6"/>
    <w:rsid w:val="00230ED4"/>
    <w:rsid w:val="0023138D"/>
    <w:rsid w:val="0023177F"/>
    <w:rsid w:val="00231A7E"/>
    <w:rsid w:val="00231B3A"/>
    <w:rsid w:val="00232699"/>
    <w:rsid w:val="00233556"/>
    <w:rsid w:val="00233754"/>
    <w:rsid w:val="00233A2A"/>
    <w:rsid w:val="00233ADE"/>
    <w:rsid w:val="00234195"/>
    <w:rsid w:val="00234E9B"/>
    <w:rsid w:val="00235217"/>
    <w:rsid w:val="002367BF"/>
    <w:rsid w:val="00236BC1"/>
    <w:rsid w:val="00241871"/>
    <w:rsid w:val="00242435"/>
    <w:rsid w:val="0024399A"/>
    <w:rsid w:val="0024436B"/>
    <w:rsid w:val="00244577"/>
    <w:rsid w:val="0024466B"/>
    <w:rsid w:val="002447E7"/>
    <w:rsid w:val="00244DD4"/>
    <w:rsid w:val="00246249"/>
    <w:rsid w:val="00246D1F"/>
    <w:rsid w:val="002470AA"/>
    <w:rsid w:val="00247102"/>
    <w:rsid w:val="00247403"/>
    <w:rsid w:val="00247542"/>
    <w:rsid w:val="002501DF"/>
    <w:rsid w:val="002502FA"/>
    <w:rsid w:val="0025035A"/>
    <w:rsid w:val="00250F6D"/>
    <w:rsid w:val="00251A00"/>
    <w:rsid w:val="00251AD4"/>
    <w:rsid w:val="002528A3"/>
    <w:rsid w:val="00252986"/>
    <w:rsid w:val="00252D46"/>
    <w:rsid w:val="0025362D"/>
    <w:rsid w:val="00253D89"/>
    <w:rsid w:val="00253ECD"/>
    <w:rsid w:val="00255E75"/>
    <w:rsid w:val="002561F9"/>
    <w:rsid w:val="0025645E"/>
    <w:rsid w:val="002571C0"/>
    <w:rsid w:val="002571E1"/>
    <w:rsid w:val="0025721A"/>
    <w:rsid w:val="00257466"/>
    <w:rsid w:val="0025788C"/>
    <w:rsid w:val="00260014"/>
    <w:rsid w:val="0026030B"/>
    <w:rsid w:val="0026036B"/>
    <w:rsid w:val="00260498"/>
    <w:rsid w:val="00260B9D"/>
    <w:rsid w:val="00261D98"/>
    <w:rsid w:val="00261FF3"/>
    <w:rsid w:val="00262FE7"/>
    <w:rsid w:val="002639B4"/>
    <w:rsid w:val="00264C08"/>
    <w:rsid w:val="00265475"/>
    <w:rsid w:val="00265763"/>
    <w:rsid w:val="00265CC8"/>
    <w:rsid w:val="00266B56"/>
    <w:rsid w:val="00266B61"/>
    <w:rsid w:val="0026712A"/>
    <w:rsid w:val="00267FD8"/>
    <w:rsid w:val="0027028C"/>
    <w:rsid w:val="002704DB"/>
    <w:rsid w:val="00270CCF"/>
    <w:rsid w:val="00271490"/>
    <w:rsid w:val="00272278"/>
    <w:rsid w:val="00272A9A"/>
    <w:rsid w:val="00273352"/>
    <w:rsid w:val="00273B48"/>
    <w:rsid w:val="00274A4B"/>
    <w:rsid w:val="00275A72"/>
    <w:rsid w:val="00276D62"/>
    <w:rsid w:val="002773C2"/>
    <w:rsid w:val="00277F61"/>
    <w:rsid w:val="00280936"/>
    <w:rsid w:val="00280D03"/>
    <w:rsid w:val="00281754"/>
    <w:rsid w:val="002822DA"/>
    <w:rsid w:val="002845CB"/>
    <w:rsid w:val="002849E0"/>
    <w:rsid w:val="00284DE8"/>
    <w:rsid w:val="00285069"/>
    <w:rsid w:val="00285772"/>
    <w:rsid w:val="00285F07"/>
    <w:rsid w:val="002861AB"/>
    <w:rsid w:val="002868D4"/>
    <w:rsid w:val="00286D5A"/>
    <w:rsid w:val="00287511"/>
    <w:rsid w:val="00287AD5"/>
    <w:rsid w:val="00290140"/>
    <w:rsid w:val="00291197"/>
    <w:rsid w:val="002915A4"/>
    <w:rsid w:val="00291852"/>
    <w:rsid w:val="00291CB2"/>
    <w:rsid w:val="00291E29"/>
    <w:rsid w:val="0029245A"/>
    <w:rsid w:val="00293632"/>
    <w:rsid w:val="002939B1"/>
    <w:rsid w:val="00293A69"/>
    <w:rsid w:val="00293BD4"/>
    <w:rsid w:val="00295B56"/>
    <w:rsid w:val="00295E72"/>
    <w:rsid w:val="002978D3"/>
    <w:rsid w:val="00297DAC"/>
    <w:rsid w:val="002A0AAE"/>
    <w:rsid w:val="002A0C80"/>
    <w:rsid w:val="002A0F05"/>
    <w:rsid w:val="002A1897"/>
    <w:rsid w:val="002A257A"/>
    <w:rsid w:val="002A2BB8"/>
    <w:rsid w:val="002A3123"/>
    <w:rsid w:val="002A357B"/>
    <w:rsid w:val="002A3A10"/>
    <w:rsid w:val="002A4AF0"/>
    <w:rsid w:val="002A51F5"/>
    <w:rsid w:val="002A55D8"/>
    <w:rsid w:val="002A5820"/>
    <w:rsid w:val="002A58AC"/>
    <w:rsid w:val="002A5980"/>
    <w:rsid w:val="002A59D5"/>
    <w:rsid w:val="002A5E63"/>
    <w:rsid w:val="002A5F69"/>
    <w:rsid w:val="002A62C7"/>
    <w:rsid w:val="002A6D47"/>
    <w:rsid w:val="002A6D6E"/>
    <w:rsid w:val="002A797C"/>
    <w:rsid w:val="002B02DF"/>
    <w:rsid w:val="002B049F"/>
    <w:rsid w:val="002B2064"/>
    <w:rsid w:val="002B2684"/>
    <w:rsid w:val="002B26AA"/>
    <w:rsid w:val="002B26C1"/>
    <w:rsid w:val="002B31DE"/>
    <w:rsid w:val="002B33A7"/>
    <w:rsid w:val="002B38D3"/>
    <w:rsid w:val="002B3A7D"/>
    <w:rsid w:val="002B5C25"/>
    <w:rsid w:val="002B5C5B"/>
    <w:rsid w:val="002B5CA7"/>
    <w:rsid w:val="002B6194"/>
    <w:rsid w:val="002B76B0"/>
    <w:rsid w:val="002B7DEB"/>
    <w:rsid w:val="002B7ED9"/>
    <w:rsid w:val="002C006D"/>
    <w:rsid w:val="002C0080"/>
    <w:rsid w:val="002C0102"/>
    <w:rsid w:val="002C0D63"/>
    <w:rsid w:val="002C15C4"/>
    <w:rsid w:val="002C1C64"/>
    <w:rsid w:val="002C2904"/>
    <w:rsid w:val="002C2B7C"/>
    <w:rsid w:val="002C34A2"/>
    <w:rsid w:val="002C3F66"/>
    <w:rsid w:val="002C4030"/>
    <w:rsid w:val="002C4287"/>
    <w:rsid w:val="002C42C4"/>
    <w:rsid w:val="002C4389"/>
    <w:rsid w:val="002C5523"/>
    <w:rsid w:val="002C591F"/>
    <w:rsid w:val="002C6225"/>
    <w:rsid w:val="002C65E0"/>
    <w:rsid w:val="002C6923"/>
    <w:rsid w:val="002D0E51"/>
    <w:rsid w:val="002D1830"/>
    <w:rsid w:val="002D18B6"/>
    <w:rsid w:val="002D18D9"/>
    <w:rsid w:val="002D2B26"/>
    <w:rsid w:val="002D2C84"/>
    <w:rsid w:val="002D31B6"/>
    <w:rsid w:val="002D3204"/>
    <w:rsid w:val="002D38A8"/>
    <w:rsid w:val="002D432A"/>
    <w:rsid w:val="002D49D8"/>
    <w:rsid w:val="002D6432"/>
    <w:rsid w:val="002D660F"/>
    <w:rsid w:val="002D6DFA"/>
    <w:rsid w:val="002D7C75"/>
    <w:rsid w:val="002D7EA2"/>
    <w:rsid w:val="002E07B0"/>
    <w:rsid w:val="002E1155"/>
    <w:rsid w:val="002E118C"/>
    <w:rsid w:val="002E11D8"/>
    <w:rsid w:val="002E187C"/>
    <w:rsid w:val="002E2177"/>
    <w:rsid w:val="002E2A8A"/>
    <w:rsid w:val="002E2BFD"/>
    <w:rsid w:val="002E2D5E"/>
    <w:rsid w:val="002E3978"/>
    <w:rsid w:val="002E3E41"/>
    <w:rsid w:val="002E4339"/>
    <w:rsid w:val="002E5579"/>
    <w:rsid w:val="002E583B"/>
    <w:rsid w:val="002E607F"/>
    <w:rsid w:val="002E67C3"/>
    <w:rsid w:val="002E68C8"/>
    <w:rsid w:val="002E7000"/>
    <w:rsid w:val="002E78CE"/>
    <w:rsid w:val="002F085C"/>
    <w:rsid w:val="002F0CCD"/>
    <w:rsid w:val="002F0FB2"/>
    <w:rsid w:val="002F1177"/>
    <w:rsid w:val="002F1ED2"/>
    <w:rsid w:val="002F225F"/>
    <w:rsid w:val="002F26D5"/>
    <w:rsid w:val="002F2D34"/>
    <w:rsid w:val="002F3964"/>
    <w:rsid w:val="002F3CDA"/>
    <w:rsid w:val="002F3F97"/>
    <w:rsid w:val="002F464F"/>
    <w:rsid w:val="002F485D"/>
    <w:rsid w:val="002F4876"/>
    <w:rsid w:val="002F5842"/>
    <w:rsid w:val="002F596C"/>
    <w:rsid w:val="002F5DAF"/>
    <w:rsid w:val="002F6034"/>
    <w:rsid w:val="002F6F78"/>
    <w:rsid w:val="003005A7"/>
    <w:rsid w:val="00300DE6"/>
    <w:rsid w:val="003018E5"/>
    <w:rsid w:val="00301E20"/>
    <w:rsid w:val="00301F70"/>
    <w:rsid w:val="00302347"/>
    <w:rsid w:val="00302733"/>
    <w:rsid w:val="00302A64"/>
    <w:rsid w:val="003034B3"/>
    <w:rsid w:val="003034CE"/>
    <w:rsid w:val="003037F0"/>
    <w:rsid w:val="00303974"/>
    <w:rsid w:val="003039F4"/>
    <w:rsid w:val="0030433B"/>
    <w:rsid w:val="003045D6"/>
    <w:rsid w:val="00304AD9"/>
    <w:rsid w:val="0030512D"/>
    <w:rsid w:val="00305956"/>
    <w:rsid w:val="0030616D"/>
    <w:rsid w:val="00306486"/>
    <w:rsid w:val="00306880"/>
    <w:rsid w:val="00306C37"/>
    <w:rsid w:val="00307920"/>
    <w:rsid w:val="00307B26"/>
    <w:rsid w:val="00307EE5"/>
    <w:rsid w:val="003106C3"/>
    <w:rsid w:val="0031128E"/>
    <w:rsid w:val="003112A9"/>
    <w:rsid w:val="00311901"/>
    <w:rsid w:val="00311EFE"/>
    <w:rsid w:val="003122F4"/>
    <w:rsid w:val="00312593"/>
    <w:rsid w:val="003126ED"/>
    <w:rsid w:val="00312F2F"/>
    <w:rsid w:val="00312F89"/>
    <w:rsid w:val="00312F99"/>
    <w:rsid w:val="00313AD6"/>
    <w:rsid w:val="00314078"/>
    <w:rsid w:val="00314A7F"/>
    <w:rsid w:val="00316517"/>
    <w:rsid w:val="00316E88"/>
    <w:rsid w:val="003170EA"/>
    <w:rsid w:val="00317250"/>
    <w:rsid w:val="00317EC9"/>
    <w:rsid w:val="00321576"/>
    <w:rsid w:val="0032186D"/>
    <w:rsid w:val="003229C1"/>
    <w:rsid w:val="00323190"/>
    <w:rsid w:val="00323253"/>
    <w:rsid w:val="0032363A"/>
    <w:rsid w:val="0032412C"/>
    <w:rsid w:val="003247D2"/>
    <w:rsid w:val="0032515D"/>
    <w:rsid w:val="003252C8"/>
    <w:rsid w:val="00325747"/>
    <w:rsid w:val="00325794"/>
    <w:rsid w:val="00325B5A"/>
    <w:rsid w:val="00326114"/>
    <w:rsid w:val="003268A6"/>
    <w:rsid w:val="00326F31"/>
    <w:rsid w:val="003273FC"/>
    <w:rsid w:val="003274CA"/>
    <w:rsid w:val="00327BA0"/>
    <w:rsid w:val="00327BFD"/>
    <w:rsid w:val="00330AD6"/>
    <w:rsid w:val="00330B2C"/>
    <w:rsid w:val="00331015"/>
    <w:rsid w:val="00331547"/>
    <w:rsid w:val="0033169F"/>
    <w:rsid w:val="00331880"/>
    <w:rsid w:val="00331D6B"/>
    <w:rsid w:val="00331DB6"/>
    <w:rsid w:val="00332983"/>
    <w:rsid w:val="003332ED"/>
    <w:rsid w:val="00333392"/>
    <w:rsid w:val="00333479"/>
    <w:rsid w:val="00333B27"/>
    <w:rsid w:val="003340F9"/>
    <w:rsid w:val="00334A3E"/>
    <w:rsid w:val="003351CA"/>
    <w:rsid w:val="00336412"/>
    <w:rsid w:val="003367AD"/>
    <w:rsid w:val="00336DBE"/>
    <w:rsid w:val="00337D8A"/>
    <w:rsid w:val="003401E5"/>
    <w:rsid w:val="003402C6"/>
    <w:rsid w:val="00340A13"/>
    <w:rsid w:val="00340E9B"/>
    <w:rsid w:val="00341959"/>
    <w:rsid w:val="00341D78"/>
    <w:rsid w:val="00341D8B"/>
    <w:rsid w:val="00342457"/>
    <w:rsid w:val="00342A5D"/>
    <w:rsid w:val="00343226"/>
    <w:rsid w:val="00343559"/>
    <w:rsid w:val="00343BE6"/>
    <w:rsid w:val="003450CB"/>
    <w:rsid w:val="00345593"/>
    <w:rsid w:val="00345FA9"/>
    <w:rsid w:val="00346183"/>
    <w:rsid w:val="00346643"/>
    <w:rsid w:val="00346C95"/>
    <w:rsid w:val="00346D2B"/>
    <w:rsid w:val="00347342"/>
    <w:rsid w:val="0034738C"/>
    <w:rsid w:val="00347AA1"/>
    <w:rsid w:val="00347B81"/>
    <w:rsid w:val="00350FEF"/>
    <w:rsid w:val="003513C8"/>
    <w:rsid w:val="003513F0"/>
    <w:rsid w:val="003523EE"/>
    <w:rsid w:val="00352C95"/>
    <w:rsid w:val="003530C9"/>
    <w:rsid w:val="00353767"/>
    <w:rsid w:val="0035379E"/>
    <w:rsid w:val="00353892"/>
    <w:rsid w:val="0035504C"/>
    <w:rsid w:val="00355188"/>
    <w:rsid w:val="003555B8"/>
    <w:rsid w:val="00355E3E"/>
    <w:rsid w:val="00356185"/>
    <w:rsid w:val="0035729D"/>
    <w:rsid w:val="00357AB2"/>
    <w:rsid w:val="00357E90"/>
    <w:rsid w:val="00360380"/>
    <w:rsid w:val="00360575"/>
    <w:rsid w:val="00360DF5"/>
    <w:rsid w:val="00360E13"/>
    <w:rsid w:val="00360EC9"/>
    <w:rsid w:val="00360F78"/>
    <w:rsid w:val="0036247E"/>
    <w:rsid w:val="003628E9"/>
    <w:rsid w:val="00363772"/>
    <w:rsid w:val="003639E7"/>
    <w:rsid w:val="00363A3F"/>
    <w:rsid w:val="003645B4"/>
    <w:rsid w:val="00364E00"/>
    <w:rsid w:val="0036502F"/>
    <w:rsid w:val="0036510E"/>
    <w:rsid w:val="003661B2"/>
    <w:rsid w:val="0036634F"/>
    <w:rsid w:val="00366ADD"/>
    <w:rsid w:val="003675E5"/>
    <w:rsid w:val="00367BDC"/>
    <w:rsid w:val="00367C3F"/>
    <w:rsid w:val="00370353"/>
    <w:rsid w:val="0037160C"/>
    <w:rsid w:val="00371913"/>
    <w:rsid w:val="00372131"/>
    <w:rsid w:val="00373626"/>
    <w:rsid w:val="003738D7"/>
    <w:rsid w:val="00373A0C"/>
    <w:rsid w:val="00373B73"/>
    <w:rsid w:val="00373E57"/>
    <w:rsid w:val="003742C8"/>
    <w:rsid w:val="003742D2"/>
    <w:rsid w:val="00374597"/>
    <w:rsid w:val="0037480D"/>
    <w:rsid w:val="00374B7D"/>
    <w:rsid w:val="00375706"/>
    <w:rsid w:val="00375D8A"/>
    <w:rsid w:val="00376D82"/>
    <w:rsid w:val="00377287"/>
    <w:rsid w:val="003803A8"/>
    <w:rsid w:val="00380B64"/>
    <w:rsid w:val="00380BCE"/>
    <w:rsid w:val="00380DD1"/>
    <w:rsid w:val="00381275"/>
    <w:rsid w:val="0038158C"/>
    <w:rsid w:val="003818C1"/>
    <w:rsid w:val="003819B8"/>
    <w:rsid w:val="00382C39"/>
    <w:rsid w:val="0038307F"/>
    <w:rsid w:val="003836AB"/>
    <w:rsid w:val="00383C51"/>
    <w:rsid w:val="00383FF6"/>
    <w:rsid w:val="003845EE"/>
    <w:rsid w:val="00384754"/>
    <w:rsid w:val="00384E4C"/>
    <w:rsid w:val="00385C70"/>
    <w:rsid w:val="0038683C"/>
    <w:rsid w:val="003868E9"/>
    <w:rsid w:val="00386A9E"/>
    <w:rsid w:val="00386CF0"/>
    <w:rsid w:val="00386F16"/>
    <w:rsid w:val="00387B9A"/>
    <w:rsid w:val="00387E8F"/>
    <w:rsid w:val="00387FC1"/>
    <w:rsid w:val="00390688"/>
    <w:rsid w:val="0039082B"/>
    <w:rsid w:val="00390C07"/>
    <w:rsid w:val="003912A6"/>
    <w:rsid w:val="00392130"/>
    <w:rsid w:val="003921AA"/>
    <w:rsid w:val="003930A2"/>
    <w:rsid w:val="00393445"/>
    <w:rsid w:val="00394466"/>
    <w:rsid w:val="00394AF9"/>
    <w:rsid w:val="00394CD0"/>
    <w:rsid w:val="00394EFE"/>
    <w:rsid w:val="0039660E"/>
    <w:rsid w:val="003978EF"/>
    <w:rsid w:val="00397AFA"/>
    <w:rsid w:val="00397C9F"/>
    <w:rsid w:val="003A31E7"/>
    <w:rsid w:val="003A38FB"/>
    <w:rsid w:val="003A3ACF"/>
    <w:rsid w:val="003A3D77"/>
    <w:rsid w:val="003A431E"/>
    <w:rsid w:val="003A5852"/>
    <w:rsid w:val="003A5933"/>
    <w:rsid w:val="003A5976"/>
    <w:rsid w:val="003A5CF9"/>
    <w:rsid w:val="003A5F02"/>
    <w:rsid w:val="003A6220"/>
    <w:rsid w:val="003A6E09"/>
    <w:rsid w:val="003A7106"/>
    <w:rsid w:val="003A723B"/>
    <w:rsid w:val="003A724A"/>
    <w:rsid w:val="003A7E29"/>
    <w:rsid w:val="003B0471"/>
    <w:rsid w:val="003B0A7F"/>
    <w:rsid w:val="003B0C66"/>
    <w:rsid w:val="003B3C70"/>
    <w:rsid w:val="003B3CD9"/>
    <w:rsid w:val="003B3EEC"/>
    <w:rsid w:val="003B451A"/>
    <w:rsid w:val="003B4D89"/>
    <w:rsid w:val="003B5118"/>
    <w:rsid w:val="003B56B1"/>
    <w:rsid w:val="003B5823"/>
    <w:rsid w:val="003B59D9"/>
    <w:rsid w:val="003B6C36"/>
    <w:rsid w:val="003B71FF"/>
    <w:rsid w:val="003B771B"/>
    <w:rsid w:val="003B78A3"/>
    <w:rsid w:val="003B7ACF"/>
    <w:rsid w:val="003B7B5D"/>
    <w:rsid w:val="003B7E4E"/>
    <w:rsid w:val="003B7E9C"/>
    <w:rsid w:val="003B7EF5"/>
    <w:rsid w:val="003C08D7"/>
    <w:rsid w:val="003C0A19"/>
    <w:rsid w:val="003C18BC"/>
    <w:rsid w:val="003C1A9C"/>
    <w:rsid w:val="003C2014"/>
    <w:rsid w:val="003C251B"/>
    <w:rsid w:val="003C2AB7"/>
    <w:rsid w:val="003C2ABC"/>
    <w:rsid w:val="003C3FB0"/>
    <w:rsid w:val="003C42AA"/>
    <w:rsid w:val="003C4326"/>
    <w:rsid w:val="003C5B0F"/>
    <w:rsid w:val="003C676B"/>
    <w:rsid w:val="003C7470"/>
    <w:rsid w:val="003C7713"/>
    <w:rsid w:val="003C7BD0"/>
    <w:rsid w:val="003D0A3D"/>
    <w:rsid w:val="003D13EF"/>
    <w:rsid w:val="003D19F6"/>
    <w:rsid w:val="003D1FF6"/>
    <w:rsid w:val="003D319A"/>
    <w:rsid w:val="003D32BF"/>
    <w:rsid w:val="003D3BC2"/>
    <w:rsid w:val="003D3BED"/>
    <w:rsid w:val="003D439F"/>
    <w:rsid w:val="003D4D71"/>
    <w:rsid w:val="003D5097"/>
    <w:rsid w:val="003D59E3"/>
    <w:rsid w:val="003D6240"/>
    <w:rsid w:val="003D64EB"/>
    <w:rsid w:val="003D679D"/>
    <w:rsid w:val="003D6EAA"/>
    <w:rsid w:val="003D722F"/>
    <w:rsid w:val="003E0724"/>
    <w:rsid w:val="003E0EC0"/>
    <w:rsid w:val="003E111D"/>
    <w:rsid w:val="003E130B"/>
    <w:rsid w:val="003E151B"/>
    <w:rsid w:val="003E1B7D"/>
    <w:rsid w:val="003E1CCE"/>
    <w:rsid w:val="003E22FD"/>
    <w:rsid w:val="003E24AB"/>
    <w:rsid w:val="003E2556"/>
    <w:rsid w:val="003E2978"/>
    <w:rsid w:val="003E2B6D"/>
    <w:rsid w:val="003E30F5"/>
    <w:rsid w:val="003E315B"/>
    <w:rsid w:val="003E36E8"/>
    <w:rsid w:val="003E3DAA"/>
    <w:rsid w:val="003E40BD"/>
    <w:rsid w:val="003E52CE"/>
    <w:rsid w:val="003E5767"/>
    <w:rsid w:val="003E6CA1"/>
    <w:rsid w:val="003E6F59"/>
    <w:rsid w:val="003E7128"/>
    <w:rsid w:val="003E73F9"/>
    <w:rsid w:val="003E7ACD"/>
    <w:rsid w:val="003F007D"/>
    <w:rsid w:val="003F1696"/>
    <w:rsid w:val="003F1A19"/>
    <w:rsid w:val="003F2AEF"/>
    <w:rsid w:val="003F342F"/>
    <w:rsid w:val="003F38EE"/>
    <w:rsid w:val="003F3CFA"/>
    <w:rsid w:val="003F46B5"/>
    <w:rsid w:val="003F49E4"/>
    <w:rsid w:val="003F4FFA"/>
    <w:rsid w:val="003F5ABB"/>
    <w:rsid w:val="003F6338"/>
    <w:rsid w:val="003F638A"/>
    <w:rsid w:val="003F6E8F"/>
    <w:rsid w:val="003F7E40"/>
    <w:rsid w:val="004001F4"/>
    <w:rsid w:val="004003F0"/>
    <w:rsid w:val="004007C2"/>
    <w:rsid w:val="004009FC"/>
    <w:rsid w:val="004011E9"/>
    <w:rsid w:val="00401A7F"/>
    <w:rsid w:val="0040313F"/>
    <w:rsid w:val="004042F1"/>
    <w:rsid w:val="0040438E"/>
    <w:rsid w:val="00404F46"/>
    <w:rsid w:val="00405361"/>
    <w:rsid w:val="00405A32"/>
    <w:rsid w:val="00405BC8"/>
    <w:rsid w:val="00405C29"/>
    <w:rsid w:val="00406CB5"/>
    <w:rsid w:val="00406F64"/>
    <w:rsid w:val="004119AE"/>
    <w:rsid w:val="00412250"/>
    <w:rsid w:val="00412267"/>
    <w:rsid w:val="004127E4"/>
    <w:rsid w:val="00412C81"/>
    <w:rsid w:val="00412C9A"/>
    <w:rsid w:val="004138E9"/>
    <w:rsid w:val="00414227"/>
    <w:rsid w:val="00415BBD"/>
    <w:rsid w:val="0041616C"/>
    <w:rsid w:val="00416215"/>
    <w:rsid w:val="00416470"/>
    <w:rsid w:val="004165C2"/>
    <w:rsid w:val="00417460"/>
    <w:rsid w:val="0041778C"/>
    <w:rsid w:val="0041782F"/>
    <w:rsid w:val="00417AC6"/>
    <w:rsid w:val="00417C85"/>
    <w:rsid w:val="00417CBD"/>
    <w:rsid w:val="00417E6F"/>
    <w:rsid w:val="00420489"/>
    <w:rsid w:val="004205DD"/>
    <w:rsid w:val="00420BC3"/>
    <w:rsid w:val="00421621"/>
    <w:rsid w:val="004216C5"/>
    <w:rsid w:val="00421995"/>
    <w:rsid w:val="00421A18"/>
    <w:rsid w:val="00421EFD"/>
    <w:rsid w:val="00422594"/>
    <w:rsid w:val="00422E2F"/>
    <w:rsid w:val="0042303C"/>
    <w:rsid w:val="004231F7"/>
    <w:rsid w:val="00423B60"/>
    <w:rsid w:val="00424452"/>
    <w:rsid w:val="00424962"/>
    <w:rsid w:val="00424A23"/>
    <w:rsid w:val="0042533D"/>
    <w:rsid w:val="004254C0"/>
    <w:rsid w:val="0042566E"/>
    <w:rsid w:val="0042699F"/>
    <w:rsid w:val="00427868"/>
    <w:rsid w:val="00427BBB"/>
    <w:rsid w:val="00430576"/>
    <w:rsid w:val="004308D1"/>
    <w:rsid w:val="004314FA"/>
    <w:rsid w:val="0043231F"/>
    <w:rsid w:val="0043250E"/>
    <w:rsid w:val="00432C81"/>
    <w:rsid w:val="0043310F"/>
    <w:rsid w:val="004331B4"/>
    <w:rsid w:val="0043456A"/>
    <w:rsid w:val="004347ED"/>
    <w:rsid w:val="00434849"/>
    <w:rsid w:val="004348D0"/>
    <w:rsid w:val="00435092"/>
    <w:rsid w:val="00435241"/>
    <w:rsid w:val="00435797"/>
    <w:rsid w:val="00435BC8"/>
    <w:rsid w:val="004363AB"/>
    <w:rsid w:val="00436503"/>
    <w:rsid w:val="00436FF4"/>
    <w:rsid w:val="00437367"/>
    <w:rsid w:val="00437845"/>
    <w:rsid w:val="004378F2"/>
    <w:rsid w:val="004378FB"/>
    <w:rsid w:val="00437CB9"/>
    <w:rsid w:val="00437D43"/>
    <w:rsid w:val="00437E1C"/>
    <w:rsid w:val="00437E20"/>
    <w:rsid w:val="00440B67"/>
    <w:rsid w:val="00440F62"/>
    <w:rsid w:val="004410E8"/>
    <w:rsid w:val="00441200"/>
    <w:rsid w:val="0044121F"/>
    <w:rsid w:val="00441AA4"/>
    <w:rsid w:val="00441ECB"/>
    <w:rsid w:val="00442243"/>
    <w:rsid w:val="004424FF"/>
    <w:rsid w:val="00442850"/>
    <w:rsid w:val="00443644"/>
    <w:rsid w:val="00443D9D"/>
    <w:rsid w:val="00444095"/>
    <w:rsid w:val="0044444F"/>
    <w:rsid w:val="00444C04"/>
    <w:rsid w:val="00446198"/>
    <w:rsid w:val="00446A1B"/>
    <w:rsid w:val="00447155"/>
    <w:rsid w:val="00447215"/>
    <w:rsid w:val="004479D4"/>
    <w:rsid w:val="00447F13"/>
    <w:rsid w:val="00450CA7"/>
    <w:rsid w:val="00450DEE"/>
    <w:rsid w:val="00450EE8"/>
    <w:rsid w:val="0045185C"/>
    <w:rsid w:val="004538B2"/>
    <w:rsid w:val="00453C42"/>
    <w:rsid w:val="00453E6F"/>
    <w:rsid w:val="004557E0"/>
    <w:rsid w:val="0045640E"/>
    <w:rsid w:val="00456CCA"/>
    <w:rsid w:val="00456F80"/>
    <w:rsid w:val="0045788B"/>
    <w:rsid w:val="00457A3B"/>
    <w:rsid w:val="004601D7"/>
    <w:rsid w:val="004602DF"/>
    <w:rsid w:val="004611CE"/>
    <w:rsid w:val="0046125C"/>
    <w:rsid w:val="0046192F"/>
    <w:rsid w:val="0046247F"/>
    <w:rsid w:val="00462771"/>
    <w:rsid w:val="00462D95"/>
    <w:rsid w:val="00462E55"/>
    <w:rsid w:val="00462F00"/>
    <w:rsid w:val="00462F66"/>
    <w:rsid w:val="00463AB9"/>
    <w:rsid w:val="00463C21"/>
    <w:rsid w:val="00463C4C"/>
    <w:rsid w:val="00464741"/>
    <w:rsid w:val="00464949"/>
    <w:rsid w:val="00466977"/>
    <w:rsid w:val="004669A8"/>
    <w:rsid w:val="00466D04"/>
    <w:rsid w:val="00466F31"/>
    <w:rsid w:val="00467534"/>
    <w:rsid w:val="00467B7E"/>
    <w:rsid w:val="00467D54"/>
    <w:rsid w:val="00470046"/>
    <w:rsid w:val="00470053"/>
    <w:rsid w:val="0047017B"/>
    <w:rsid w:val="00470193"/>
    <w:rsid w:val="0047063A"/>
    <w:rsid w:val="004706B2"/>
    <w:rsid w:val="004709B0"/>
    <w:rsid w:val="00470B7D"/>
    <w:rsid w:val="00470E85"/>
    <w:rsid w:val="004711FE"/>
    <w:rsid w:val="0047125D"/>
    <w:rsid w:val="00471484"/>
    <w:rsid w:val="0047196C"/>
    <w:rsid w:val="004719E3"/>
    <w:rsid w:val="00472759"/>
    <w:rsid w:val="0047286F"/>
    <w:rsid w:val="00473B36"/>
    <w:rsid w:val="00473B4A"/>
    <w:rsid w:val="0047462B"/>
    <w:rsid w:val="00474B8A"/>
    <w:rsid w:val="0047509E"/>
    <w:rsid w:val="0047544B"/>
    <w:rsid w:val="004762C7"/>
    <w:rsid w:val="004768CB"/>
    <w:rsid w:val="00477592"/>
    <w:rsid w:val="004806EB"/>
    <w:rsid w:val="00480A29"/>
    <w:rsid w:val="00480CDD"/>
    <w:rsid w:val="00480D60"/>
    <w:rsid w:val="00480E41"/>
    <w:rsid w:val="00480FFA"/>
    <w:rsid w:val="004812FD"/>
    <w:rsid w:val="004821E1"/>
    <w:rsid w:val="004826DF"/>
    <w:rsid w:val="004837BD"/>
    <w:rsid w:val="00484DFB"/>
    <w:rsid w:val="004859F8"/>
    <w:rsid w:val="00485F16"/>
    <w:rsid w:val="004862FF"/>
    <w:rsid w:val="00486431"/>
    <w:rsid w:val="004866AE"/>
    <w:rsid w:val="00486F1C"/>
    <w:rsid w:val="00486FF7"/>
    <w:rsid w:val="00487237"/>
    <w:rsid w:val="00490384"/>
    <w:rsid w:val="004904D3"/>
    <w:rsid w:val="00490A3E"/>
    <w:rsid w:val="00490E0C"/>
    <w:rsid w:val="004910CC"/>
    <w:rsid w:val="004921AB"/>
    <w:rsid w:val="0049241D"/>
    <w:rsid w:val="004929C8"/>
    <w:rsid w:val="00492B05"/>
    <w:rsid w:val="00492E0E"/>
    <w:rsid w:val="00492F3F"/>
    <w:rsid w:val="004930F4"/>
    <w:rsid w:val="00493B99"/>
    <w:rsid w:val="0049419D"/>
    <w:rsid w:val="0049438E"/>
    <w:rsid w:val="0049462E"/>
    <w:rsid w:val="00494B65"/>
    <w:rsid w:val="00494F1F"/>
    <w:rsid w:val="004956F6"/>
    <w:rsid w:val="00495B50"/>
    <w:rsid w:val="00495F35"/>
    <w:rsid w:val="00496186"/>
    <w:rsid w:val="00496351"/>
    <w:rsid w:val="004976AC"/>
    <w:rsid w:val="004A05B5"/>
    <w:rsid w:val="004A11F8"/>
    <w:rsid w:val="004A16C6"/>
    <w:rsid w:val="004A173E"/>
    <w:rsid w:val="004A1B09"/>
    <w:rsid w:val="004A1E90"/>
    <w:rsid w:val="004A1FF8"/>
    <w:rsid w:val="004A2094"/>
    <w:rsid w:val="004A258B"/>
    <w:rsid w:val="004A2F2E"/>
    <w:rsid w:val="004A2FFA"/>
    <w:rsid w:val="004A3419"/>
    <w:rsid w:val="004A5667"/>
    <w:rsid w:val="004A5D6F"/>
    <w:rsid w:val="004A5DA7"/>
    <w:rsid w:val="004A617D"/>
    <w:rsid w:val="004A7339"/>
    <w:rsid w:val="004A75C8"/>
    <w:rsid w:val="004A79F0"/>
    <w:rsid w:val="004A7E40"/>
    <w:rsid w:val="004A7E5C"/>
    <w:rsid w:val="004B01BA"/>
    <w:rsid w:val="004B0B09"/>
    <w:rsid w:val="004B1BE5"/>
    <w:rsid w:val="004B1C89"/>
    <w:rsid w:val="004B2543"/>
    <w:rsid w:val="004B2554"/>
    <w:rsid w:val="004B2AD6"/>
    <w:rsid w:val="004B2DCD"/>
    <w:rsid w:val="004B316C"/>
    <w:rsid w:val="004B31A2"/>
    <w:rsid w:val="004B327C"/>
    <w:rsid w:val="004B3A73"/>
    <w:rsid w:val="004B3ACD"/>
    <w:rsid w:val="004B3D32"/>
    <w:rsid w:val="004B3DE0"/>
    <w:rsid w:val="004B3E96"/>
    <w:rsid w:val="004B520F"/>
    <w:rsid w:val="004B541C"/>
    <w:rsid w:val="004B5C1A"/>
    <w:rsid w:val="004B5E6C"/>
    <w:rsid w:val="004B7532"/>
    <w:rsid w:val="004C0442"/>
    <w:rsid w:val="004C051E"/>
    <w:rsid w:val="004C0A07"/>
    <w:rsid w:val="004C0C8C"/>
    <w:rsid w:val="004C124F"/>
    <w:rsid w:val="004C1FA2"/>
    <w:rsid w:val="004C20D2"/>
    <w:rsid w:val="004C3017"/>
    <w:rsid w:val="004C4074"/>
    <w:rsid w:val="004C41EF"/>
    <w:rsid w:val="004C481E"/>
    <w:rsid w:val="004C4B62"/>
    <w:rsid w:val="004C4D01"/>
    <w:rsid w:val="004C526B"/>
    <w:rsid w:val="004C54C9"/>
    <w:rsid w:val="004C5730"/>
    <w:rsid w:val="004C57C1"/>
    <w:rsid w:val="004C5B63"/>
    <w:rsid w:val="004C5D37"/>
    <w:rsid w:val="004C5E9F"/>
    <w:rsid w:val="004C609C"/>
    <w:rsid w:val="004C642E"/>
    <w:rsid w:val="004C67C3"/>
    <w:rsid w:val="004C69F4"/>
    <w:rsid w:val="004C6A80"/>
    <w:rsid w:val="004D0630"/>
    <w:rsid w:val="004D0917"/>
    <w:rsid w:val="004D0F07"/>
    <w:rsid w:val="004D19C3"/>
    <w:rsid w:val="004D2149"/>
    <w:rsid w:val="004D30AE"/>
    <w:rsid w:val="004D3DAE"/>
    <w:rsid w:val="004D4057"/>
    <w:rsid w:val="004D4178"/>
    <w:rsid w:val="004D4704"/>
    <w:rsid w:val="004D4B43"/>
    <w:rsid w:val="004D4BC8"/>
    <w:rsid w:val="004D4FEE"/>
    <w:rsid w:val="004D5EBF"/>
    <w:rsid w:val="004D5ED4"/>
    <w:rsid w:val="004D6025"/>
    <w:rsid w:val="004D6324"/>
    <w:rsid w:val="004D6460"/>
    <w:rsid w:val="004D64FB"/>
    <w:rsid w:val="004D6AC8"/>
    <w:rsid w:val="004D6DF5"/>
    <w:rsid w:val="004D7133"/>
    <w:rsid w:val="004D741F"/>
    <w:rsid w:val="004D7BB7"/>
    <w:rsid w:val="004E07AE"/>
    <w:rsid w:val="004E0DAA"/>
    <w:rsid w:val="004E17C8"/>
    <w:rsid w:val="004E1D1E"/>
    <w:rsid w:val="004E1DE1"/>
    <w:rsid w:val="004E2649"/>
    <w:rsid w:val="004E274B"/>
    <w:rsid w:val="004E308B"/>
    <w:rsid w:val="004E3657"/>
    <w:rsid w:val="004E3B05"/>
    <w:rsid w:val="004E4868"/>
    <w:rsid w:val="004E4F80"/>
    <w:rsid w:val="004E50AF"/>
    <w:rsid w:val="004E54FC"/>
    <w:rsid w:val="004E58ED"/>
    <w:rsid w:val="004E6D2E"/>
    <w:rsid w:val="004E73D4"/>
    <w:rsid w:val="004E7996"/>
    <w:rsid w:val="004E79B7"/>
    <w:rsid w:val="004E7E35"/>
    <w:rsid w:val="004F0655"/>
    <w:rsid w:val="004F10D0"/>
    <w:rsid w:val="004F11A9"/>
    <w:rsid w:val="004F23A6"/>
    <w:rsid w:val="004F2C05"/>
    <w:rsid w:val="004F2EE9"/>
    <w:rsid w:val="004F3269"/>
    <w:rsid w:val="004F34D2"/>
    <w:rsid w:val="004F36CD"/>
    <w:rsid w:val="004F3C45"/>
    <w:rsid w:val="004F3CB3"/>
    <w:rsid w:val="004F46D8"/>
    <w:rsid w:val="004F4ACF"/>
    <w:rsid w:val="004F4FF8"/>
    <w:rsid w:val="004F5006"/>
    <w:rsid w:val="004F573D"/>
    <w:rsid w:val="004F57C9"/>
    <w:rsid w:val="004F5827"/>
    <w:rsid w:val="004F5B2D"/>
    <w:rsid w:val="004F604D"/>
    <w:rsid w:val="004F6A8C"/>
    <w:rsid w:val="004F6BA3"/>
    <w:rsid w:val="00501399"/>
    <w:rsid w:val="005013C5"/>
    <w:rsid w:val="00501D9A"/>
    <w:rsid w:val="00502E53"/>
    <w:rsid w:val="00503826"/>
    <w:rsid w:val="00503A50"/>
    <w:rsid w:val="0050429C"/>
    <w:rsid w:val="00504CC7"/>
    <w:rsid w:val="00504D4C"/>
    <w:rsid w:val="00504FE2"/>
    <w:rsid w:val="005055D2"/>
    <w:rsid w:val="005059A1"/>
    <w:rsid w:val="00505A3B"/>
    <w:rsid w:val="00505D03"/>
    <w:rsid w:val="0050633D"/>
    <w:rsid w:val="00506E20"/>
    <w:rsid w:val="005070E5"/>
    <w:rsid w:val="00507BC4"/>
    <w:rsid w:val="00510234"/>
    <w:rsid w:val="00510255"/>
    <w:rsid w:val="00510325"/>
    <w:rsid w:val="005107B8"/>
    <w:rsid w:val="00511514"/>
    <w:rsid w:val="00512302"/>
    <w:rsid w:val="00512714"/>
    <w:rsid w:val="005128E4"/>
    <w:rsid w:val="005133DB"/>
    <w:rsid w:val="005139D5"/>
    <w:rsid w:val="00513CB7"/>
    <w:rsid w:val="00513E30"/>
    <w:rsid w:val="0051487D"/>
    <w:rsid w:val="00514CA4"/>
    <w:rsid w:val="005155B3"/>
    <w:rsid w:val="00516871"/>
    <w:rsid w:val="005169D0"/>
    <w:rsid w:val="00516C63"/>
    <w:rsid w:val="00520869"/>
    <w:rsid w:val="00520AD9"/>
    <w:rsid w:val="005216DC"/>
    <w:rsid w:val="0052196E"/>
    <w:rsid w:val="00521C8E"/>
    <w:rsid w:val="0052356C"/>
    <w:rsid w:val="0052405D"/>
    <w:rsid w:val="0052425B"/>
    <w:rsid w:val="005245C0"/>
    <w:rsid w:val="0052469C"/>
    <w:rsid w:val="00524C2F"/>
    <w:rsid w:val="005254C4"/>
    <w:rsid w:val="00525560"/>
    <w:rsid w:val="0052567E"/>
    <w:rsid w:val="005260C9"/>
    <w:rsid w:val="00526252"/>
    <w:rsid w:val="00527688"/>
    <w:rsid w:val="005276EF"/>
    <w:rsid w:val="00527D40"/>
    <w:rsid w:val="00530E8B"/>
    <w:rsid w:val="005319E8"/>
    <w:rsid w:val="00531F93"/>
    <w:rsid w:val="0053252B"/>
    <w:rsid w:val="00532590"/>
    <w:rsid w:val="00532A86"/>
    <w:rsid w:val="0053366D"/>
    <w:rsid w:val="005342C2"/>
    <w:rsid w:val="00534382"/>
    <w:rsid w:val="00534464"/>
    <w:rsid w:val="0053714C"/>
    <w:rsid w:val="00537CBF"/>
    <w:rsid w:val="00537E23"/>
    <w:rsid w:val="00537E73"/>
    <w:rsid w:val="00540577"/>
    <w:rsid w:val="005406CB"/>
    <w:rsid w:val="00540C2B"/>
    <w:rsid w:val="00540EA2"/>
    <w:rsid w:val="005410E2"/>
    <w:rsid w:val="0054167E"/>
    <w:rsid w:val="00541F66"/>
    <w:rsid w:val="00542583"/>
    <w:rsid w:val="00542A9F"/>
    <w:rsid w:val="00543123"/>
    <w:rsid w:val="005432FB"/>
    <w:rsid w:val="00543FF6"/>
    <w:rsid w:val="00544007"/>
    <w:rsid w:val="00544570"/>
    <w:rsid w:val="00544C49"/>
    <w:rsid w:val="00544F8F"/>
    <w:rsid w:val="00544FB3"/>
    <w:rsid w:val="00544FDE"/>
    <w:rsid w:val="0054575C"/>
    <w:rsid w:val="00545A37"/>
    <w:rsid w:val="00545E4B"/>
    <w:rsid w:val="00546C44"/>
    <w:rsid w:val="0054729D"/>
    <w:rsid w:val="00547331"/>
    <w:rsid w:val="0054741E"/>
    <w:rsid w:val="005477CF"/>
    <w:rsid w:val="00547E2E"/>
    <w:rsid w:val="00550D2B"/>
    <w:rsid w:val="00550FA9"/>
    <w:rsid w:val="00551166"/>
    <w:rsid w:val="005516A1"/>
    <w:rsid w:val="00552344"/>
    <w:rsid w:val="0055250F"/>
    <w:rsid w:val="005534FC"/>
    <w:rsid w:val="00553A91"/>
    <w:rsid w:val="00553FAF"/>
    <w:rsid w:val="00555008"/>
    <w:rsid w:val="00556013"/>
    <w:rsid w:val="0055682B"/>
    <w:rsid w:val="00557B7A"/>
    <w:rsid w:val="00557E63"/>
    <w:rsid w:val="00557F06"/>
    <w:rsid w:val="00560543"/>
    <w:rsid w:val="00560687"/>
    <w:rsid w:val="005613EE"/>
    <w:rsid w:val="00561A87"/>
    <w:rsid w:val="00561FA0"/>
    <w:rsid w:val="00563887"/>
    <w:rsid w:val="00563977"/>
    <w:rsid w:val="00563F9A"/>
    <w:rsid w:val="005644B8"/>
    <w:rsid w:val="0056495C"/>
    <w:rsid w:val="00565026"/>
    <w:rsid w:val="00565A04"/>
    <w:rsid w:val="00566347"/>
    <w:rsid w:val="0056639B"/>
    <w:rsid w:val="00566BC9"/>
    <w:rsid w:val="005672F6"/>
    <w:rsid w:val="005674CB"/>
    <w:rsid w:val="00570607"/>
    <w:rsid w:val="00571064"/>
    <w:rsid w:val="005715B7"/>
    <w:rsid w:val="00572DDE"/>
    <w:rsid w:val="00573798"/>
    <w:rsid w:val="0057402A"/>
    <w:rsid w:val="0057447D"/>
    <w:rsid w:val="00574E64"/>
    <w:rsid w:val="00575540"/>
    <w:rsid w:val="00575E2A"/>
    <w:rsid w:val="0057643D"/>
    <w:rsid w:val="00576860"/>
    <w:rsid w:val="00576D03"/>
    <w:rsid w:val="00576F11"/>
    <w:rsid w:val="005771D0"/>
    <w:rsid w:val="005772F8"/>
    <w:rsid w:val="00577581"/>
    <w:rsid w:val="00580031"/>
    <w:rsid w:val="00580333"/>
    <w:rsid w:val="00580CCA"/>
    <w:rsid w:val="0058101F"/>
    <w:rsid w:val="0058194B"/>
    <w:rsid w:val="005825C4"/>
    <w:rsid w:val="00582609"/>
    <w:rsid w:val="00582F5F"/>
    <w:rsid w:val="00582FE3"/>
    <w:rsid w:val="0058377A"/>
    <w:rsid w:val="005837C1"/>
    <w:rsid w:val="005842E2"/>
    <w:rsid w:val="00584B56"/>
    <w:rsid w:val="00584D24"/>
    <w:rsid w:val="00584DD1"/>
    <w:rsid w:val="00585A52"/>
    <w:rsid w:val="00585A8F"/>
    <w:rsid w:val="00585E67"/>
    <w:rsid w:val="00585FFF"/>
    <w:rsid w:val="0058619A"/>
    <w:rsid w:val="005862CB"/>
    <w:rsid w:val="00587276"/>
    <w:rsid w:val="00587C05"/>
    <w:rsid w:val="00587D9C"/>
    <w:rsid w:val="00590A5F"/>
    <w:rsid w:val="00590B1D"/>
    <w:rsid w:val="00591708"/>
    <w:rsid w:val="005918C2"/>
    <w:rsid w:val="0059191A"/>
    <w:rsid w:val="00591D12"/>
    <w:rsid w:val="005921DF"/>
    <w:rsid w:val="005921FF"/>
    <w:rsid w:val="005923CF"/>
    <w:rsid w:val="00592F5D"/>
    <w:rsid w:val="00593031"/>
    <w:rsid w:val="00593896"/>
    <w:rsid w:val="00594FFE"/>
    <w:rsid w:val="00595E71"/>
    <w:rsid w:val="0059641C"/>
    <w:rsid w:val="00596572"/>
    <w:rsid w:val="0059662E"/>
    <w:rsid w:val="005967AB"/>
    <w:rsid w:val="00596865"/>
    <w:rsid w:val="00597060"/>
    <w:rsid w:val="0059717F"/>
    <w:rsid w:val="005976A9"/>
    <w:rsid w:val="00597D4B"/>
    <w:rsid w:val="005A0918"/>
    <w:rsid w:val="005A2996"/>
    <w:rsid w:val="005A3348"/>
    <w:rsid w:val="005A36F2"/>
    <w:rsid w:val="005A3E3F"/>
    <w:rsid w:val="005A46A2"/>
    <w:rsid w:val="005A5320"/>
    <w:rsid w:val="005A545C"/>
    <w:rsid w:val="005A55AD"/>
    <w:rsid w:val="005A5F2C"/>
    <w:rsid w:val="005A6D0E"/>
    <w:rsid w:val="005A71C6"/>
    <w:rsid w:val="005A763E"/>
    <w:rsid w:val="005A77C4"/>
    <w:rsid w:val="005A7A04"/>
    <w:rsid w:val="005A7D4B"/>
    <w:rsid w:val="005B018D"/>
    <w:rsid w:val="005B048D"/>
    <w:rsid w:val="005B1236"/>
    <w:rsid w:val="005B142C"/>
    <w:rsid w:val="005B155B"/>
    <w:rsid w:val="005B1C5F"/>
    <w:rsid w:val="005B2461"/>
    <w:rsid w:val="005B27A1"/>
    <w:rsid w:val="005B29D4"/>
    <w:rsid w:val="005B3859"/>
    <w:rsid w:val="005B3A06"/>
    <w:rsid w:val="005B3CF4"/>
    <w:rsid w:val="005B4313"/>
    <w:rsid w:val="005B458F"/>
    <w:rsid w:val="005B4B89"/>
    <w:rsid w:val="005B5065"/>
    <w:rsid w:val="005B52B0"/>
    <w:rsid w:val="005B586F"/>
    <w:rsid w:val="005B5E1E"/>
    <w:rsid w:val="005B66E4"/>
    <w:rsid w:val="005B6806"/>
    <w:rsid w:val="005B6890"/>
    <w:rsid w:val="005B6B30"/>
    <w:rsid w:val="005B70E5"/>
    <w:rsid w:val="005B7153"/>
    <w:rsid w:val="005C0276"/>
    <w:rsid w:val="005C04F7"/>
    <w:rsid w:val="005C0612"/>
    <w:rsid w:val="005C0771"/>
    <w:rsid w:val="005C1183"/>
    <w:rsid w:val="005C13B1"/>
    <w:rsid w:val="005C1795"/>
    <w:rsid w:val="005C223C"/>
    <w:rsid w:val="005C29D7"/>
    <w:rsid w:val="005C4225"/>
    <w:rsid w:val="005C439E"/>
    <w:rsid w:val="005C4651"/>
    <w:rsid w:val="005C4767"/>
    <w:rsid w:val="005C491E"/>
    <w:rsid w:val="005C4BC0"/>
    <w:rsid w:val="005C4F98"/>
    <w:rsid w:val="005C57A0"/>
    <w:rsid w:val="005C612F"/>
    <w:rsid w:val="005C6F03"/>
    <w:rsid w:val="005C71A5"/>
    <w:rsid w:val="005C7488"/>
    <w:rsid w:val="005D1F4F"/>
    <w:rsid w:val="005D3109"/>
    <w:rsid w:val="005D35DB"/>
    <w:rsid w:val="005D3BC9"/>
    <w:rsid w:val="005D3C3E"/>
    <w:rsid w:val="005D4463"/>
    <w:rsid w:val="005D46F5"/>
    <w:rsid w:val="005D4B0E"/>
    <w:rsid w:val="005D4BFB"/>
    <w:rsid w:val="005D50AA"/>
    <w:rsid w:val="005D52C5"/>
    <w:rsid w:val="005D5539"/>
    <w:rsid w:val="005D5CD2"/>
    <w:rsid w:val="005D5DBB"/>
    <w:rsid w:val="005E081B"/>
    <w:rsid w:val="005E09DC"/>
    <w:rsid w:val="005E1599"/>
    <w:rsid w:val="005E1D97"/>
    <w:rsid w:val="005E21D4"/>
    <w:rsid w:val="005E2A54"/>
    <w:rsid w:val="005E3919"/>
    <w:rsid w:val="005E39C7"/>
    <w:rsid w:val="005E4081"/>
    <w:rsid w:val="005E421A"/>
    <w:rsid w:val="005E441F"/>
    <w:rsid w:val="005E45A4"/>
    <w:rsid w:val="005E5437"/>
    <w:rsid w:val="005E5580"/>
    <w:rsid w:val="005E59D9"/>
    <w:rsid w:val="005E62F4"/>
    <w:rsid w:val="005E63E4"/>
    <w:rsid w:val="005E6507"/>
    <w:rsid w:val="005E65A7"/>
    <w:rsid w:val="005E66E5"/>
    <w:rsid w:val="005E699D"/>
    <w:rsid w:val="005E6C10"/>
    <w:rsid w:val="005F05EF"/>
    <w:rsid w:val="005F0DAD"/>
    <w:rsid w:val="005F0F33"/>
    <w:rsid w:val="005F10FD"/>
    <w:rsid w:val="005F12AF"/>
    <w:rsid w:val="005F178D"/>
    <w:rsid w:val="005F1F3B"/>
    <w:rsid w:val="005F25C4"/>
    <w:rsid w:val="005F2751"/>
    <w:rsid w:val="005F3A3B"/>
    <w:rsid w:val="005F3BAA"/>
    <w:rsid w:val="005F400F"/>
    <w:rsid w:val="005F41B6"/>
    <w:rsid w:val="005F505A"/>
    <w:rsid w:val="005F539F"/>
    <w:rsid w:val="005F6475"/>
    <w:rsid w:val="005F6AA6"/>
    <w:rsid w:val="005F6DBD"/>
    <w:rsid w:val="005F6F1E"/>
    <w:rsid w:val="005F74FD"/>
    <w:rsid w:val="005F7EE4"/>
    <w:rsid w:val="005F7FD1"/>
    <w:rsid w:val="00600363"/>
    <w:rsid w:val="00600DEB"/>
    <w:rsid w:val="0060104B"/>
    <w:rsid w:val="00601D10"/>
    <w:rsid w:val="00602192"/>
    <w:rsid w:val="00602481"/>
    <w:rsid w:val="00602BE9"/>
    <w:rsid w:val="006031D9"/>
    <w:rsid w:val="00603CC3"/>
    <w:rsid w:val="00603ED8"/>
    <w:rsid w:val="0060419C"/>
    <w:rsid w:val="006049D5"/>
    <w:rsid w:val="00605636"/>
    <w:rsid w:val="00605639"/>
    <w:rsid w:val="00605C21"/>
    <w:rsid w:val="00605DF3"/>
    <w:rsid w:val="00605F21"/>
    <w:rsid w:val="00606418"/>
    <w:rsid w:val="006078DA"/>
    <w:rsid w:val="00610191"/>
    <w:rsid w:val="006101C3"/>
    <w:rsid w:val="00610598"/>
    <w:rsid w:val="0061067B"/>
    <w:rsid w:val="00610D16"/>
    <w:rsid w:val="00611411"/>
    <w:rsid w:val="006118C9"/>
    <w:rsid w:val="00612699"/>
    <w:rsid w:val="006137AB"/>
    <w:rsid w:val="00613C6B"/>
    <w:rsid w:val="00614C69"/>
    <w:rsid w:val="00614F48"/>
    <w:rsid w:val="0061565D"/>
    <w:rsid w:val="00616517"/>
    <w:rsid w:val="00616733"/>
    <w:rsid w:val="00616A06"/>
    <w:rsid w:val="00616C27"/>
    <w:rsid w:val="00617467"/>
    <w:rsid w:val="00617C65"/>
    <w:rsid w:val="00617F15"/>
    <w:rsid w:val="00620D96"/>
    <w:rsid w:val="006219FF"/>
    <w:rsid w:val="0062206A"/>
    <w:rsid w:val="00622121"/>
    <w:rsid w:val="006222F0"/>
    <w:rsid w:val="00622D9E"/>
    <w:rsid w:val="00623415"/>
    <w:rsid w:val="0062361B"/>
    <w:rsid w:val="00623732"/>
    <w:rsid w:val="00624B07"/>
    <w:rsid w:val="00624C18"/>
    <w:rsid w:val="00625B29"/>
    <w:rsid w:val="0062667C"/>
    <w:rsid w:val="00626A1D"/>
    <w:rsid w:val="00626A68"/>
    <w:rsid w:val="00627295"/>
    <w:rsid w:val="00627303"/>
    <w:rsid w:val="0062761B"/>
    <w:rsid w:val="00627893"/>
    <w:rsid w:val="00627A84"/>
    <w:rsid w:val="00627C9F"/>
    <w:rsid w:val="00630099"/>
    <w:rsid w:val="006303C3"/>
    <w:rsid w:val="00630421"/>
    <w:rsid w:val="006308B0"/>
    <w:rsid w:val="00630F0A"/>
    <w:rsid w:val="006311E9"/>
    <w:rsid w:val="00632039"/>
    <w:rsid w:val="00632217"/>
    <w:rsid w:val="00632354"/>
    <w:rsid w:val="00632CED"/>
    <w:rsid w:val="00633006"/>
    <w:rsid w:val="0063380B"/>
    <w:rsid w:val="0063388A"/>
    <w:rsid w:val="006346A4"/>
    <w:rsid w:val="00634935"/>
    <w:rsid w:val="00634F0C"/>
    <w:rsid w:val="00635014"/>
    <w:rsid w:val="00636164"/>
    <w:rsid w:val="006367BE"/>
    <w:rsid w:val="006368A4"/>
    <w:rsid w:val="00637390"/>
    <w:rsid w:val="00637A7D"/>
    <w:rsid w:val="00637E9F"/>
    <w:rsid w:val="00640598"/>
    <w:rsid w:val="00641554"/>
    <w:rsid w:val="00641FFA"/>
    <w:rsid w:val="00642011"/>
    <w:rsid w:val="00642053"/>
    <w:rsid w:val="00642299"/>
    <w:rsid w:val="006427A2"/>
    <w:rsid w:val="00642810"/>
    <w:rsid w:val="006432DF"/>
    <w:rsid w:val="006443A2"/>
    <w:rsid w:val="00645394"/>
    <w:rsid w:val="00645737"/>
    <w:rsid w:val="0064625E"/>
    <w:rsid w:val="00646318"/>
    <w:rsid w:val="006463F5"/>
    <w:rsid w:val="00646412"/>
    <w:rsid w:val="00646AAA"/>
    <w:rsid w:val="0064745D"/>
    <w:rsid w:val="00647CBF"/>
    <w:rsid w:val="00647F10"/>
    <w:rsid w:val="006501D8"/>
    <w:rsid w:val="006504B1"/>
    <w:rsid w:val="00650B75"/>
    <w:rsid w:val="00650FD4"/>
    <w:rsid w:val="00651686"/>
    <w:rsid w:val="006517C3"/>
    <w:rsid w:val="006519E9"/>
    <w:rsid w:val="00651A84"/>
    <w:rsid w:val="00652129"/>
    <w:rsid w:val="00652333"/>
    <w:rsid w:val="00653C47"/>
    <w:rsid w:val="00654330"/>
    <w:rsid w:val="00654AA0"/>
    <w:rsid w:val="00654CA8"/>
    <w:rsid w:val="006559B7"/>
    <w:rsid w:val="00655DC3"/>
    <w:rsid w:val="00655F48"/>
    <w:rsid w:val="006565CC"/>
    <w:rsid w:val="00656A10"/>
    <w:rsid w:val="00657E2F"/>
    <w:rsid w:val="0066006C"/>
    <w:rsid w:val="006602D9"/>
    <w:rsid w:val="00661526"/>
    <w:rsid w:val="00661A1B"/>
    <w:rsid w:val="00662116"/>
    <w:rsid w:val="0066234E"/>
    <w:rsid w:val="00662351"/>
    <w:rsid w:val="00663AAF"/>
    <w:rsid w:val="00663EF4"/>
    <w:rsid w:val="006650A7"/>
    <w:rsid w:val="006651E9"/>
    <w:rsid w:val="00665324"/>
    <w:rsid w:val="00665BA0"/>
    <w:rsid w:val="00665EB9"/>
    <w:rsid w:val="00665F90"/>
    <w:rsid w:val="0066736C"/>
    <w:rsid w:val="0066745B"/>
    <w:rsid w:val="00667AB0"/>
    <w:rsid w:val="006700BC"/>
    <w:rsid w:val="0067030C"/>
    <w:rsid w:val="00671CD9"/>
    <w:rsid w:val="0067213E"/>
    <w:rsid w:val="00673038"/>
    <w:rsid w:val="0067328F"/>
    <w:rsid w:val="006745C7"/>
    <w:rsid w:val="00674D66"/>
    <w:rsid w:val="006758F4"/>
    <w:rsid w:val="00675D16"/>
    <w:rsid w:val="00676930"/>
    <w:rsid w:val="00676BEC"/>
    <w:rsid w:val="006774F4"/>
    <w:rsid w:val="00677817"/>
    <w:rsid w:val="00677AD8"/>
    <w:rsid w:val="00677C7A"/>
    <w:rsid w:val="0068001B"/>
    <w:rsid w:val="0068009E"/>
    <w:rsid w:val="0068096E"/>
    <w:rsid w:val="00680B66"/>
    <w:rsid w:val="0068105A"/>
    <w:rsid w:val="00681B7D"/>
    <w:rsid w:val="00682960"/>
    <w:rsid w:val="00682A00"/>
    <w:rsid w:val="006833DA"/>
    <w:rsid w:val="00683B3E"/>
    <w:rsid w:val="0068424C"/>
    <w:rsid w:val="006844D5"/>
    <w:rsid w:val="00684A8E"/>
    <w:rsid w:val="00684ADA"/>
    <w:rsid w:val="00684C05"/>
    <w:rsid w:val="00685083"/>
    <w:rsid w:val="006857A6"/>
    <w:rsid w:val="00685917"/>
    <w:rsid w:val="006868CE"/>
    <w:rsid w:val="00686C4E"/>
    <w:rsid w:val="00687233"/>
    <w:rsid w:val="0068775D"/>
    <w:rsid w:val="00687C60"/>
    <w:rsid w:val="006907CC"/>
    <w:rsid w:val="00691211"/>
    <w:rsid w:val="00691A60"/>
    <w:rsid w:val="006928EA"/>
    <w:rsid w:val="006945B0"/>
    <w:rsid w:val="00694B5E"/>
    <w:rsid w:val="006954B6"/>
    <w:rsid w:val="006959DA"/>
    <w:rsid w:val="00695A8A"/>
    <w:rsid w:val="00695E32"/>
    <w:rsid w:val="00696F5C"/>
    <w:rsid w:val="00697206"/>
    <w:rsid w:val="006A12EA"/>
    <w:rsid w:val="006A17D2"/>
    <w:rsid w:val="006A26BC"/>
    <w:rsid w:val="006A2D14"/>
    <w:rsid w:val="006A2FCE"/>
    <w:rsid w:val="006A416F"/>
    <w:rsid w:val="006A4388"/>
    <w:rsid w:val="006A5279"/>
    <w:rsid w:val="006A5378"/>
    <w:rsid w:val="006A5619"/>
    <w:rsid w:val="006A58F8"/>
    <w:rsid w:val="006A5D09"/>
    <w:rsid w:val="006A6116"/>
    <w:rsid w:val="006A6396"/>
    <w:rsid w:val="006A6530"/>
    <w:rsid w:val="006A686E"/>
    <w:rsid w:val="006A6C28"/>
    <w:rsid w:val="006A6E4C"/>
    <w:rsid w:val="006A6F86"/>
    <w:rsid w:val="006A73E6"/>
    <w:rsid w:val="006A75AD"/>
    <w:rsid w:val="006A789A"/>
    <w:rsid w:val="006B0320"/>
    <w:rsid w:val="006B09F4"/>
    <w:rsid w:val="006B0A06"/>
    <w:rsid w:val="006B140A"/>
    <w:rsid w:val="006B15CE"/>
    <w:rsid w:val="006B17C3"/>
    <w:rsid w:val="006B1A48"/>
    <w:rsid w:val="006B2CC7"/>
    <w:rsid w:val="006B2D5C"/>
    <w:rsid w:val="006B2FBF"/>
    <w:rsid w:val="006B33C4"/>
    <w:rsid w:val="006B351F"/>
    <w:rsid w:val="006B3714"/>
    <w:rsid w:val="006B3AF1"/>
    <w:rsid w:val="006B4D46"/>
    <w:rsid w:val="006B51B9"/>
    <w:rsid w:val="006B57E1"/>
    <w:rsid w:val="006B5B8E"/>
    <w:rsid w:val="006B69B5"/>
    <w:rsid w:val="006B6F29"/>
    <w:rsid w:val="006B71F6"/>
    <w:rsid w:val="006B7FA2"/>
    <w:rsid w:val="006C0FB6"/>
    <w:rsid w:val="006C11B7"/>
    <w:rsid w:val="006C128E"/>
    <w:rsid w:val="006C16D2"/>
    <w:rsid w:val="006C1767"/>
    <w:rsid w:val="006C17B3"/>
    <w:rsid w:val="006C1D5B"/>
    <w:rsid w:val="006C1E07"/>
    <w:rsid w:val="006C3B01"/>
    <w:rsid w:val="006C4468"/>
    <w:rsid w:val="006C4EB1"/>
    <w:rsid w:val="006C58EB"/>
    <w:rsid w:val="006C7244"/>
    <w:rsid w:val="006C7306"/>
    <w:rsid w:val="006D0196"/>
    <w:rsid w:val="006D0592"/>
    <w:rsid w:val="006D0772"/>
    <w:rsid w:val="006D0B3C"/>
    <w:rsid w:val="006D0E40"/>
    <w:rsid w:val="006D0F9A"/>
    <w:rsid w:val="006D132D"/>
    <w:rsid w:val="006D2C15"/>
    <w:rsid w:val="006D2E3E"/>
    <w:rsid w:val="006D2EC4"/>
    <w:rsid w:val="006D35C2"/>
    <w:rsid w:val="006D362F"/>
    <w:rsid w:val="006D39C6"/>
    <w:rsid w:val="006D5ED9"/>
    <w:rsid w:val="006D640D"/>
    <w:rsid w:val="006D6D14"/>
    <w:rsid w:val="006D7534"/>
    <w:rsid w:val="006D7816"/>
    <w:rsid w:val="006D7A70"/>
    <w:rsid w:val="006E0021"/>
    <w:rsid w:val="006E00A3"/>
    <w:rsid w:val="006E0166"/>
    <w:rsid w:val="006E1697"/>
    <w:rsid w:val="006E1A3B"/>
    <w:rsid w:val="006E26D2"/>
    <w:rsid w:val="006E2743"/>
    <w:rsid w:val="006E3AF6"/>
    <w:rsid w:val="006E3E8D"/>
    <w:rsid w:val="006E3EFB"/>
    <w:rsid w:val="006E434B"/>
    <w:rsid w:val="006E5002"/>
    <w:rsid w:val="006E54B0"/>
    <w:rsid w:val="006E56C1"/>
    <w:rsid w:val="006E58D1"/>
    <w:rsid w:val="006E5B92"/>
    <w:rsid w:val="006E5E19"/>
    <w:rsid w:val="006E6C59"/>
    <w:rsid w:val="006E72D0"/>
    <w:rsid w:val="006E7B34"/>
    <w:rsid w:val="006E7DF9"/>
    <w:rsid w:val="006F0078"/>
    <w:rsid w:val="006F09EB"/>
    <w:rsid w:val="006F0BBD"/>
    <w:rsid w:val="006F1121"/>
    <w:rsid w:val="006F241B"/>
    <w:rsid w:val="006F2B4A"/>
    <w:rsid w:val="006F34E3"/>
    <w:rsid w:val="006F3DC4"/>
    <w:rsid w:val="006F491C"/>
    <w:rsid w:val="006F4CE6"/>
    <w:rsid w:val="006F5AAE"/>
    <w:rsid w:val="006F5C1B"/>
    <w:rsid w:val="006F7EE3"/>
    <w:rsid w:val="00701983"/>
    <w:rsid w:val="00701F15"/>
    <w:rsid w:val="00701F4D"/>
    <w:rsid w:val="0070217A"/>
    <w:rsid w:val="007025F2"/>
    <w:rsid w:val="00702755"/>
    <w:rsid w:val="00702F28"/>
    <w:rsid w:val="007032B2"/>
    <w:rsid w:val="00703A3A"/>
    <w:rsid w:val="00703E40"/>
    <w:rsid w:val="00704084"/>
    <w:rsid w:val="00704237"/>
    <w:rsid w:val="007042C0"/>
    <w:rsid w:val="0070448F"/>
    <w:rsid w:val="0070498B"/>
    <w:rsid w:val="00704E13"/>
    <w:rsid w:val="0070526E"/>
    <w:rsid w:val="00705668"/>
    <w:rsid w:val="00705C69"/>
    <w:rsid w:val="00705E34"/>
    <w:rsid w:val="00706840"/>
    <w:rsid w:val="0070697F"/>
    <w:rsid w:val="007079BD"/>
    <w:rsid w:val="00707B7D"/>
    <w:rsid w:val="00710113"/>
    <w:rsid w:val="00710772"/>
    <w:rsid w:val="00710D41"/>
    <w:rsid w:val="007114BB"/>
    <w:rsid w:val="0071162D"/>
    <w:rsid w:val="00711B80"/>
    <w:rsid w:val="00711E01"/>
    <w:rsid w:val="00711F99"/>
    <w:rsid w:val="007124F8"/>
    <w:rsid w:val="007127FA"/>
    <w:rsid w:val="00713551"/>
    <w:rsid w:val="00713632"/>
    <w:rsid w:val="00713B81"/>
    <w:rsid w:val="00713E33"/>
    <w:rsid w:val="007146D8"/>
    <w:rsid w:val="007155B6"/>
    <w:rsid w:val="00717B02"/>
    <w:rsid w:val="007200CC"/>
    <w:rsid w:val="00720893"/>
    <w:rsid w:val="00720928"/>
    <w:rsid w:val="007209F2"/>
    <w:rsid w:val="00720F8E"/>
    <w:rsid w:val="007215FD"/>
    <w:rsid w:val="0072199C"/>
    <w:rsid w:val="00721B11"/>
    <w:rsid w:val="00721F44"/>
    <w:rsid w:val="007222C5"/>
    <w:rsid w:val="00722D18"/>
    <w:rsid w:val="00723A38"/>
    <w:rsid w:val="00724E06"/>
    <w:rsid w:val="007253B8"/>
    <w:rsid w:val="007255DB"/>
    <w:rsid w:val="00725E74"/>
    <w:rsid w:val="007264EF"/>
    <w:rsid w:val="00726EB2"/>
    <w:rsid w:val="007274DE"/>
    <w:rsid w:val="00727A5D"/>
    <w:rsid w:val="00727C60"/>
    <w:rsid w:val="007301C7"/>
    <w:rsid w:val="007303F5"/>
    <w:rsid w:val="0073120A"/>
    <w:rsid w:val="00731B6C"/>
    <w:rsid w:val="0073271A"/>
    <w:rsid w:val="00732A0F"/>
    <w:rsid w:val="00732AA5"/>
    <w:rsid w:val="00733029"/>
    <w:rsid w:val="00733344"/>
    <w:rsid w:val="00733A89"/>
    <w:rsid w:val="00733BC5"/>
    <w:rsid w:val="00733FB1"/>
    <w:rsid w:val="00734F47"/>
    <w:rsid w:val="00735244"/>
    <w:rsid w:val="007353CB"/>
    <w:rsid w:val="00735C10"/>
    <w:rsid w:val="00735E15"/>
    <w:rsid w:val="00736621"/>
    <w:rsid w:val="0073741F"/>
    <w:rsid w:val="00737E30"/>
    <w:rsid w:val="00740D0C"/>
    <w:rsid w:val="00741CA3"/>
    <w:rsid w:val="0074209F"/>
    <w:rsid w:val="007421AC"/>
    <w:rsid w:val="007425C7"/>
    <w:rsid w:val="007438F1"/>
    <w:rsid w:val="00744187"/>
    <w:rsid w:val="007441B6"/>
    <w:rsid w:val="00744387"/>
    <w:rsid w:val="007444E9"/>
    <w:rsid w:val="0074488D"/>
    <w:rsid w:val="0074509F"/>
    <w:rsid w:val="00745A9C"/>
    <w:rsid w:val="0074602F"/>
    <w:rsid w:val="0074626D"/>
    <w:rsid w:val="0074649B"/>
    <w:rsid w:val="0074670B"/>
    <w:rsid w:val="00746D77"/>
    <w:rsid w:val="007470B2"/>
    <w:rsid w:val="00747573"/>
    <w:rsid w:val="0075008E"/>
    <w:rsid w:val="0075120E"/>
    <w:rsid w:val="007518E6"/>
    <w:rsid w:val="007522B3"/>
    <w:rsid w:val="0075265F"/>
    <w:rsid w:val="007527F2"/>
    <w:rsid w:val="007528B9"/>
    <w:rsid w:val="00752DDB"/>
    <w:rsid w:val="007536A9"/>
    <w:rsid w:val="007543A5"/>
    <w:rsid w:val="00754E62"/>
    <w:rsid w:val="0075543C"/>
    <w:rsid w:val="007554FC"/>
    <w:rsid w:val="007555A2"/>
    <w:rsid w:val="007555B4"/>
    <w:rsid w:val="00755FDC"/>
    <w:rsid w:val="00756151"/>
    <w:rsid w:val="007567C8"/>
    <w:rsid w:val="007573DE"/>
    <w:rsid w:val="007576D1"/>
    <w:rsid w:val="00757EE9"/>
    <w:rsid w:val="00762237"/>
    <w:rsid w:val="00762321"/>
    <w:rsid w:val="0076258E"/>
    <w:rsid w:val="00762BBB"/>
    <w:rsid w:val="00764578"/>
    <w:rsid w:val="007650EA"/>
    <w:rsid w:val="00765397"/>
    <w:rsid w:val="00765557"/>
    <w:rsid w:val="007658BB"/>
    <w:rsid w:val="00766170"/>
    <w:rsid w:val="0076643F"/>
    <w:rsid w:val="00766855"/>
    <w:rsid w:val="00766DE1"/>
    <w:rsid w:val="00766EA0"/>
    <w:rsid w:val="00766FD3"/>
    <w:rsid w:val="007673D9"/>
    <w:rsid w:val="0076751D"/>
    <w:rsid w:val="007716DA"/>
    <w:rsid w:val="00771C9A"/>
    <w:rsid w:val="00772433"/>
    <w:rsid w:val="00772A89"/>
    <w:rsid w:val="00772C4C"/>
    <w:rsid w:val="00772EFA"/>
    <w:rsid w:val="00774B7A"/>
    <w:rsid w:val="00774C6F"/>
    <w:rsid w:val="00774DF0"/>
    <w:rsid w:val="007753D7"/>
    <w:rsid w:val="007755C7"/>
    <w:rsid w:val="00776913"/>
    <w:rsid w:val="00776DC6"/>
    <w:rsid w:val="00780581"/>
    <w:rsid w:val="00780661"/>
    <w:rsid w:val="007809F9"/>
    <w:rsid w:val="00780F38"/>
    <w:rsid w:val="0078174E"/>
    <w:rsid w:val="00781B69"/>
    <w:rsid w:val="00782585"/>
    <w:rsid w:val="00782A6F"/>
    <w:rsid w:val="00782C20"/>
    <w:rsid w:val="00782CFB"/>
    <w:rsid w:val="0078460C"/>
    <w:rsid w:val="00784766"/>
    <w:rsid w:val="007848A4"/>
    <w:rsid w:val="00784E03"/>
    <w:rsid w:val="00785213"/>
    <w:rsid w:val="00785272"/>
    <w:rsid w:val="00785691"/>
    <w:rsid w:val="0078587D"/>
    <w:rsid w:val="00785B6E"/>
    <w:rsid w:val="00785BBF"/>
    <w:rsid w:val="00785BFC"/>
    <w:rsid w:val="00785F90"/>
    <w:rsid w:val="007863BC"/>
    <w:rsid w:val="0078689C"/>
    <w:rsid w:val="00790178"/>
    <w:rsid w:val="00790243"/>
    <w:rsid w:val="00790F8B"/>
    <w:rsid w:val="00790FAB"/>
    <w:rsid w:val="00791A91"/>
    <w:rsid w:val="00792525"/>
    <w:rsid w:val="00792A15"/>
    <w:rsid w:val="007938CA"/>
    <w:rsid w:val="00793AED"/>
    <w:rsid w:val="00793CB7"/>
    <w:rsid w:val="0079417D"/>
    <w:rsid w:val="00794475"/>
    <w:rsid w:val="00794641"/>
    <w:rsid w:val="007950AC"/>
    <w:rsid w:val="00796236"/>
    <w:rsid w:val="00796A26"/>
    <w:rsid w:val="00797DD9"/>
    <w:rsid w:val="007A0688"/>
    <w:rsid w:val="007A101F"/>
    <w:rsid w:val="007A10D1"/>
    <w:rsid w:val="007A17E4"/>
    <w:rsid w:val="007A1CE0"/>
    <w:rsid w:val="007A26BF"/>
    <w:rsid w:val="007A29CE"/>
    <w:rsid w:val="007A29E9"/>
    <w:rsid w:val="007A33CA"/>
    <w:rsid w:val="007A3EC1"/>
    <w:rsid w:val="007A4039"/>
    <w:rsid w:val="007A46C7"/>
    <w:rsid w:val="007A4794"/>
    <w:rsid w:val="007A4A25"/>
    <w:rsid w:val="007A539D"/>
    <w:rsid w:val="007A5817"/>
    <w:rsid w:val="007A5CA0"/>
    <w:rsid w:val="007A6B39"/>
    <w:rsid w:val="007A6E5C"/>
    <w:rsid w:val="007A7FED"/>
    <w:rsid w:val="007B01BB"/>
    <w:rsid w:val="007B03A8"/>
    <w:rsid w:val="007B043F"/>
    <w:rsid w:val="007B05F9"/>
    <w:rsid w:val="007B0A16"/>
    <w:rsid w:val="007B0CE3"/>
    <w:rsid w:val="007B0EC9"/>
    <w:rsid w:val="007B1F4F"/>
    <w:rsid w:val="007B2A37"/>
    <w:rsid w:val="007B2B9C"/>
    <w:rsid w:val="007B3C7F"/>
    <w:rsid w:val="007B3D30"/>
    <w:rsid w:val="007B4920"/>
    <w:rsid w:val="007B515B"/>
    <w:rsid w:val="007B52BC"/>
    <w:rsid w:val="007B5D67"/>
    <w:rsid w:val="007B60E9"/>
    <w:rsid w:val="007B6779"/>
    <w:rsid w:val="007B6CC3"/>
    <w:rsid w:val="007B7113"/>
    <w:rsid w:val="007B752C"/>
    <w:rsid w:val="007B7C16"/>
    <w:rsid w:val="007C01B1"/>
    <w:rsid w:val="007C0801"/>
    <w:rsid w:val="007C0C13"/>
    <w:rsid w:val="007C0DA5"/>
    <w:rsid w:val="007C1647"/>
    <w:rsid w:val="007C1B4C"/>
    <w:rsid w:val="007C2330"/>
    <w:rsid w:val="007C27C3"/>
    <w:rsid w:val="007C2FF6"/>
    <w:rsid w:val="007C3334"/>
    <w:rsid w:val="007C351D"/>
    <w:rsid w:val="007C4605"/>
    <w:rsid w:val="007C4D59"/>
    <w:rsid w:val="007C5F30"/>
    <w:rsid w:val="007C6751"/>
    <w:rsid w:val="007C68C5"/>
    <w:rsid w:val="007C6F41"/>
    <w:rsid w:val="007C6F65"/>
    <w:rsid w:val="007C7891"/>
    <w:rsid w:val="007C7D76"/>
    <w:rsid w:val="007C7E5C"/>
    <w:rsid w:val="007D0764"/>
    <w:rsid w:val="007D0B97"/>
    <w:rsid w:val="007D0C8C"/>
    <w:rsid w:val="007D10B3"/>
    <w:rsid w:val="007D1432"/>
    <w:rsid w:val="007D16DC"/>
    <w:rsid w:val="007D1DEE"/>
    <w:rsid w:val="007D2484"/>
    <w:rsid w:val="007D2494"/>
    <w:rsid w:val="007D2B98"/>
    <w:rsid w:val="007D33BB"/>
    <w:rsid w:val="007D389B"/>
    <w:rsid w:val="007D4D0A"/>
    <w:rsid w:val="007D4F01"/>
    <w:rsid w:val="007D5AD1"/>
    <w:rsid w:val="007D5F5F"/>
    <w:rsid w:val="007D63A9"/>
    <w:rsid w:val="007D733F"/>
    <w:rsid w:val="007D7C4D"/>
    <w:rsid w:val="007D7F07"/>
    <w:rsid w:val="007E0337"/>
    <w:rsid w:val="007E03CE"/>
    <w:rsid w:val="007E07FA"/>
    <w:rsid w:val="007E0A89"/>
    <w:rsid w:val="007E0D10"/>
    <w:rsid w:val="007E0D92"/>
    <w:rsid w:val="007E1554"/>
    <w:rsid w:val="007E1751"/>
    <w:rsid w:val="007E1768"/>
    <w:rsid w:val="007E21BC"/>
    <w:rsid w:val="007E2B3E"/>
    <w:rsid w:val="007E38E5"/>
    <w:rsid w:val="007E41D2"/>
    <w:rsid w:val="007E441B"/>
    <w:rsid w:val="007E4D79"/>
    <w:rsid w:val="007E5009"/>
    <w:rsid w:val="007E585F"/>
    <w:rsid w:val="007E5A40"/>
    <w:rsid w:val="007E5D40"/>
    <w:rsid w:val="007E61C5"/>
    <w:rsid w:val="007E6417"/>
    <w:rsid w:val="007E665B"/>
    <w:rsid w:val="007E67DC"/>
    <w:rsid w:val="007E799A"/>
    <w:rsid w:val="007F0264"/>
    <w:rsid w:val="007F0496"/>
    <w:rsid w:val="007F0713"/>
    <w:rsid w:val="007F0A18"/>
    <w:rsid w:val="007F0C72"/>
    <w:rsid w:val="007F0D3D"/>
    <w:rsid w:val="007F171B"/>
    <w:rsid w:val="007F1CD8"/>
    <w:rsid w:val="007F22E5"/>
    <w:rsid w:val="007F2DC3"/>
    <w:rsid w:val="007F3406"/>
    <w:rsid w:val="007F400D"/>
    <w:rsid w:val="007F48EE"/>
    <w:rsid w:val="007F4C17"/>
    <w:rsid w:val="007F5266"/>
    <w:rsid w:val="007F5537"/>
    <w:rsid w:val="007F5D54"/>
    <w:rsid w:val="007F6080"/>
    <w:rsid w:val="007F62F3"/>
    <w:rsid w:val="007F6C61"/>
    <w:rsid w:val="007F6F48"/>
    <w:rsid w:val="007F6F94"/>
    <w:rsid w:val="007F7D9D"/>
    <w:rsid w:val="0080085C"/>
    <w:rsid w:val="0080094F"/>
    <w:rsid w:val="00800B51"/>
    <w:rsid w:val="0080142B"/>
    <w:rsid w:val="00802182"/>
    <w:rsid w:val="00802E76"/>
    <w:rsid w:val="0080398A"/>
    <w:rsid w:val="00803A41"/>
    <w:rsid w:val="00803F1C"/>
    <w:rsid w:val="0080600E"/>
    <w:rsid w:val="0080612C"/>
    <w:rsid w:val="0080639F"/>
    <w:rsid w:val="008069D1"/>
    <w:rsid w:val="00806CE0"/>
    <w:rsid w:val="00810AC5"/>
    <w:rsid w:val="008124AE"/>
    <w:rsid w:val="00812ACD"/>
    <w:rsid w:val="008140C5"/>
    <w:rsid w:val="0081449E"/>
    <w:rsid w:val="008146EC"/>
    <w:rsid w:val="0081496B"/>
    <w:rsid w:val="00815207"/>
    <w:rsid w:val="00815497"/>
    <w:rsid w:val="00815A24"/>
    <w:rsid w:val="00815E08"/>
    <w:rsid w:val="00816112"/>
    <w:rsid w:val="00816A42"/>
    <w:rsid w:val="00816AE5"/>
    <w:rsid w:val="00816ED6"/>
    <w:rsid w:val="00817276"/>
    <w:rsid w:val="00817612"/>
    <w:rsid w:val="00817AA5"/>
    <w:rsid w:val="00817B08"/>
    <w:rsid w:val="00817E57"/>
    <w:rsid w:val="00817FC9"/>
    <w:rsid w:val="00821FF7"/>
    <w:rsid w:val="0082232D"/>
    <w:rsid w:val="0082287D"/>
    <w:rsid w:val="00822FF5"/>
    <w:rsid w:val="0082333F"/>
    <w:rsid w:val="00824A3F"/>
    <w:rsid w:val="00825623"/>
    <w:rsid w:val="008258DE"/>
    <w:rsid w:val="00825F67"/>
    <w:rsid w:val="00825FF9"/>
    <w:rsid w:val="00826860"/>
    <w:rsid w:val="008271E7"/>
    <w:rsid w:val="00827229"/>
    <w:rsid w:val="00827365"/>
    <w:rsid w:val="00827622"/>
    <w:rsid w:val="0082785F"/>
    <w:rsid w:val="008309CD"/>
    <w:rsid w:val="00830F17"/>
    <w:rsid w:val="0083146E"/>
    <w:rsid w:val="00832873"/>
    <w:rsid w:val="00832E7E"/>
    <w:rsid w:val="00833633"/>
    <w:rsid w:val="00833661"/>
    <w:rsid w:val="008338A4"/>
    <w:rsid w:val="00834158"/>
    <w:rsid w:val="00835216"/>
    <w:rsid w:val="00835223"/>
    <w:rsid w:val="00835819"/>
    <w:rsid w:val="0083588E"/>
    <w:rsid w:val="00835ED3"/>
    <w:rsid w:val="00836060"/>
    <w:rsid w:val="0083613A"/>
    <w:rsid w:val="0083681D"/>
    <w:rsid w:val="00836907"/>
    <w:rsid w:val="008375A0"/>
    <w:rsid w:val="00837C45"/>
    <w:rsid w:val="008417D9"/>
    <w:rsid w:val="008418D2"/>
    <w:rsid w:val="00841B6E"/>
    <w:rsid w:val="00841E8D"/>
    <w:rsid w:val="00842033"/>
    <w:rsid w:val="00842510"/>
    <w:rsid w:val="008436B8"/>
    <w:rsid w:val="0084424C"/>
    <w:rsid w:val="00844730"/>
    <w:rsid w:val="00844798"/>
    <w:rsid w:val="00845447"/>
    <w:rsid w:val="008456CB"/>
    <w:rsid w:val="008457C2"/>
    <w:rsid w:val="00845DC2"/>
    <w:rsid w:val="00846555"/>
    <w:rsid w:val="0084792D"/>
    <w:rsid w:val="00847996"/>
    <w:rsid w:val="00847D04"/>
    <w:rsid w:val="00847D66"/>
    <w:rsid w:val="008505C6"/>
    <w:rsid w:val="008508B9"/>
    <w:rsid w:val="00850E4D"/>
    <w:rsid w:val="00851220"/>
    <w:rsid w:val="00851BEA"/>
    <w:rsid w:val="00853B54"/>
    <w:rsid w:val="00853F9D"/>
    <w:rsid w:val="008540B6"/>
    <w:rsid w:val="0085423E"/>
    <w:rsid w:val="008548E4"/>
    <w:rsid w:val="0085567C"/>
    <w:rsid w:val="008556CA"/>
    <w:rsid w:val="008563A3"/>
    <w:rsid w:val="00857A82"/>
    <w:rsid w:val="00857D41"/>
    <w:rsid w:val="00857FA2"/>
    <w:rsid w:val="0086031A"/>
    <w:rsid w:val="00860B5F"/>
    <w:rsid w:val="00860BFE"/>
    <w:rsid w:val="008611BC"/>
    <w:rsid w:val="00861880"/>
    <w:rsid w:val="008619A1"/>
    <w:rsid w:val="00861B6C"/>
    <w:rsid w:val="00862253"/>
    <w:rsid w:val="008627EF"/>
    <w:rsid w:val="008629F3"/>
    <w:rsid w:val="00862EC5"/>
    <w:rsid w:val="008657F3"/>
    <w:rsid w:val="00865CB9"/>
    <w:rsid w:val="00865D59"/>
    <w:rsid w:val="00866186"/>
    <w:rsid w:val="008664EC"/>
    <w:rsid w:val="008668F6"/>
    <w:rsid w:val="00867189"/>
    <w:rsid w:val="00867A6D"/>
    <w:rsid w:val="0087074B"/>
    <w:rsid w:val="00871501"/>
    <w:rsid w:val="00871537"/>
    <w:rsid w:val="00871D0C"/>
    <w:rsid w:val="0087259A"/>
    <w:rsid w:val="00872A3D"/>
    <w:rsid w:val="00873836"/>
    <w:rsid w:val="00873F92"/>
    <w:rsid w:val="0087479F"/>
    <w:rsid w:val="008762FF"/>
    <w:rsid w:val="00876822"/>
    <w:rsid w:val="00876A9F"/>
    <w:rsid w:val="008771AD"/>
    <w:rsid w:val="0087747E"/>
    <w:rsid w:val="00877CD0"/>
    <w:rsid w:val="00880BC8"/>
    <w:rsid w:val="00881157"/>
    <w:rsid w:val="00881B88"/>
    <w:rsid w:val="0088200E"/>
    <w:rsid w:val="0088252D"/>
    <w:rsid w:val="00882A03"/>
    <w:rsid w:val="008833C1"/>
    <w:rsid w:val="00885450"/>
    <w:rsid w:val="00885553"/>
    <w:rsid w:val="00885737"/>
    <w:rsid w:val="00885974"/>
    <w:rsid w:val="00885CA7"/>
    <w:rsid w:val="00885E54"/>
    <w:rsid w:val="00886208"/>
    <w:rsid w:val="00887BD0"/>
    <w:rsid w:val="00887C19"/>
    <w:rsid w:val="00887C86"/>
    <w:rsid w:val="008902F5"/>
    <w:rsid w:val="00890650"/>
    <w:rsid w:val="008909B7"/>
    <w:rsid w:val="00890C56"/>
    <w:rsid w:val="008914B5"/>
    <w:rsid w:val="00891F36"/>
    <w:rsid w:val="0089369B"/>
    <w:rsid w:val="00893713"/>
    <w:rsid w:val="00893DFD"/>
    <w:rsid w:val="00893EF9"/>
    <w:rsid w:val="00894134"/>
    <w:rsid w:val="00894D26"/>
    <w:rsid w:val="00895389"/>
    <w:rsid w:val="00895D38"/>
    <w:rsid w:val="00896099"/>
    <w:rsid w:val="00896807"/>
    <w:rsid w:val="00896F65"/>
    <w:rsid w:val="00897338"/>
    <w:rsid w:val="0089759E"/>
    <w:rsid w:val="00897C86"/>
    <w:rsid w:val="00897D3C"/>
    <w:rsid w:val="00897DCF"/>
    <w:rsid w:val="00897E12"/>
    <w:rsid w:val="008A0437"/>
    <w:rsid w:val="008A0EC3"/>
    <w:rsid w:val="008A21D5"/>
    <w:rsid w:val="008A2501"/>
    <w:rsid w:val="008A2B89"/>
    <w:rsid w:val="008A2F89"/>
    <w:rsid w:val="008A42DF"/>
    <w:rsid w:val="008A4748"/>
    <w:rsid w:val="008A4985"/>
    <w:rsid w:val="008A4B90"/>
    <w:rsid w:val="008A5EA2"/>
    <w:rsid w:val="008A63C6"/>
    <w:rsid w:val="008A6B26"/>
    <w:rsid w:val="008A6C80"/>
    <w:rsid w:val="008A72C5"/>
    <w:rsid w:val="008A75D0"/>
    <w:rsid w:val="008A7874"/>
    <w:rsid w:val="008A7E0F"/>
    <w:rsid w:val="008B08E2"/>
    <w:rsid w:val="008B0C96"/>
    <w:rsid w:val="008B10ED"/>
    <w:rsid w:val="008B12F5"/>
    <w:rsid w:val="008B192D"/>
    <w:rsid w:val="008B1BBB"/>
    <w:rsid w:val="008B1E57"/>
    <w:rsid w:val="008B20E5"/>
    <w:rsid w:val="008B21E9"/>
    <w:rsid w:val="008B2D49"/>
    <w:rsid w:val="008B31CA"/>
    <w:rsid w:val="008B41A1"/>
    <w:rsid w:val="008B4CCC"/>
    <w:rsid w:val="008B5196"/>
    <w:rsid w:val="008B5210"/>
    <w:rsid w:val="008B573D"/>
    <w:rsid w:val="008B59E8"/>
    <w:rsid w:val="008B6888"/>
    <w:rsid w:val="008B6EC0"/>
    <w:rsid w:val="008B744E"/>
    <w:rsid w:val="008B751D"/>
    <w:rsid w:val="008B793B"/>
    <w:rsid w:val="008B7C48"/>
    <w:rsid w:val="008C056E"/>
    <w:rsid w:val="008C0A49"/>
    <w:rsid w:val="008C0C3D"/>
    <w:rsid w:val="008C1BB7"/>
    <w:rsid w:val="008C294B"/>
    <w:rsid w:val="008C4927"/>
    <w:rsid w:val="008C5146"/>
    <w:rsid w:val="008C5543"/>
    <w:rsid w:val="008C5D43"/>
    <w:rsid w:val="008C5D8E"/>
    <w:rsid w:val="008C6103"/>
    <w:rsid w:val="008C6927"/>
    <w:rsid w:val="008C6949"/>
    <w:rsid w:val="008C6EAF"/>
    <w:rsid w:val="008C710F"/>
    <w:rsid w:val="008C74AB"/>
    <w:rsid w:val="008C7DB1"/>
    <w:rsid w:val="008D0DEE"/>
    <w:rsid w:val="008D0EC6"/>
    <w:rsid w:val="008D1A69"/>
    <w:rsid w:val="008D1FC9"/>
    <w:rsid w:val="008D21E0"/>
    <w:rsid w:val="008D2A0D"/>
    <w:rsid w:val="008D2E8E"/>
    <w:rsid w:val="008D3224"/>
    <w:rsid w:val="008D33B3"/>
    <w:rsid w:val="008D3F36"/>
    <w:rsid w:val="008D3FA1"/>
    <w:rsid w:val="008D4727"/>
    <w:rsid w:val="008D4768"/>
    <w:rsid w:val="008D4C94"/>
    <w:rsid w:val="008D5009"/>
    <w:rsid w:val="008D5572"/>
    <w:rsid w:val="008D65CF"/>
    <w:rsid w:val="008D6B20"/>
    <w:rsid w:val="008E0137"/>
    <w:rsid w:val="008E075C"/>
    <w:rsid w:val="008E0794"/>
    <w:rsid w:val="008E07BC"/>
    <w:rsid w:val="008E0960"/>
    <w:rsid w:val="008E0B0A"/>
    <w:rsid w:val="008E11CA"/>
    <w:rsid w:val="008E1471"/>
    <w:rsid w:val="008E1940"/>
    <w:rsid w:val="008E20A5"/>
    <w:rsid w:val="008E2248"/>
    <w:rsid w:val="008E25ED"/>
    <w:rsid w:val="008E2A39"/>
    <w:rsid w:val="008E2C2D"/>
    <w:rsid w:val="008E2FC3"/>
    <w:rsid w:val="008E3511"/>
    <w:rsid w:val="008E3759"/>
    <w:rsid w:val="008E50F6"/>
    <w:rsid w:val="008E5A1F"/>
    <w:rsid w:val="008E6E7A"/>
    <w:rsid w:val="008E7255"/>
    <w:rsid w:val="008F0CBE"/>
    <w:rsid w:val="008F12CF"/>
    <w:rsid w:val="008F1912"/>
    <w:rsid w:val="008F1E69"/>
    <w:rsid w:val="008F1F8A"/>
    <w:rsid w:val="008F2478"/>
    <w:rsid w:val="008F25BE"/>
    <w:rsid w:val="008F3479"/>
    <w:rsid w:val="008F3E0A"/>
    <w:rsid w:val="008F425A"/>
    <w:rsid w:val="008F45C9"/>
    <w:rsid w:val="008F4711"/>
    <w:rsid w:val="008F4EFD"/>
    <w:rsid w:val="008F5B40"/>
    <w:rsid w:val="008F5E8B"/>
    <w:rsid w:val="008F5FB3"/>
    <w:rsid w:val="008F66DC"/>
    <w:rsid w:val="008F7553"/>
    <w:rsid w:val="009007BF"/>
    <w:rsid w:val="00900B16"/>
    <w:rsid w:val="00901A4C"/>
    <w:rsid w:val="00902609"/>
    <w:rsid w:val="0090270B"/>
    <w:rsid w:val="00902F13"/>
    <w:rsid w:val="009032C1"/>
    <w:rsid w:val="009041DC"/>
    <w:rsid w:val="009042DB"/>
    <w:rsid w:val="00904BD6"/>
    <w:rsid w:val="00905478"/>
    <w:rsid w:val="0090550F"/>
    <w:rsid w:val="009058D9"/>
    <w:rsid w:val="00905C12"/>
    <w:rsid w:val="00906E40"/>
    <w:rsid w:val="00907063"/>
    <w:rsid w:val="009072E5"/>
    <w:rsid w:val="00907F68"/>
    <w:rsid w:val="00910381"/>
    <w:rsid w:val="009105A9"/>
    <w:rsid w:val="0091063B"/>
    <w:rsid w:val="00910D7B"/>
    <w:rsid w:val="00911364"/>
    <w:rsid w:val="009115E7"/>
    <w:rsid w:val="00911823"/>
    <w:rsid w:val="00911DA9"/>
    <w:rsid w:val="009121A0"/>
    <w:rsid w:val="00912B46"/>
    <w:rsid w:val="0091348F"/>
    <w:rsid w:val="009137EA"/>
    <w:rsid w:val="00913D8D"/>
    <w:rsid w:val="009141AB"/>
    <w:rsid w:val="009148CF"/>
    <w:rsid w:val="00914ADF"/>
    <w:rsid w:val="009154A4"/>
    <w:rsid w:val="009155FB"/>
    <w:rsid w:val="0091583A"/>
    <w:rsid w:val="009158F7"/>
    <w:rsid w:val="00916621"/>
    <w:rsid w:val="009169CB"/>
    <w:rsid w:val="00916E0F"/>
    <w:rsid w:val="009170B8"/>
    <w:rsid w:val="009177D4"/>
    <w:rsid w:val="00920889"/>
    <w:rsid w:val="00920930"/>
    <w:rsid w:val="009209D4"/>
    <w:rsid w:val="00920A58"/>
    <w:rsid w:val="00920A8C"/>
    <w:rsid w:val="00920AB3"/>
    <w:rsid w:val="00921832"/>
    <w:rsid w:val="009219E0"/>
    <w:rsid w:val="00921AB4"/>
    <w:rsid w:val="00921F39"/>
    <w:rsid w:val="00921F55"/>
    <w:rsid w:val="00922964"/>
    <w:rsid w:val="00922D48"/>
    <w:rsid w:val="009238E7"/>
    <w:rsid w:val="00924C64"/>
    <w:rsid w:val="00924E1F"/>
    <w:rsid w:val="009251DB"/>
    <w:rsid w:val="00925367"/>
    <w:rsid w:val="00926755"/>
    <w:rsid w:val="00926AA0"/>
    <w:rsid w:val="00926D4F"/>
    <w:rsid w:val="009271A8"/>
    <w:rsid w:val="009275F3"/>
    <w:rsid w:val="00927ED8"/>
    <w:rsid w:val="0093120D"/>
    <w:rsid w:val="0093313B"/>
    <w:rsid w:val="00933700"/>
    <w:rsid w:val="00933EE9"/>
    <w:rsid w:val="00934959"/>
    <w:rsid w:val="009349BE"/>
    <w:rsid w:val="00934A2C"/>
    <w:rsid w:val="00934B4C"/>
    <w:rsid w:val="00934DFB"/>
    <w:rsid w:val="00935013"/>
    <w:rsid w:val="0093501B"/>
    <w:rsid w:val="009366E0"/>
    <w:rsid w:val="0093685A"/>
    <w:rsid w:val="00937BCD"/>
    <w:rsid w:val="00940DF6"/>
    <w:rsid w:val="009411A4"/>
    <w:rsid w:val="0094120E"/>
    <w:rsid w:val="00941EBA"/>
    <w:rsid w:val="009424DA"/>
    <w:rsid w:val="0094275B"/>
    <w:rsid w:val="00942EC2"/>
    <w:rsid w:val="00943552"/>
    <w:rsid w:val="0094444C"/>
    <w:rsid w:val="00944C59"/>
    <w:rsid w:val="00944F05"/>
    <w:rsid w:val="00945A76"/>
    <w:rsid w:val="00945C77"/>
    <w:rsid w:val="0094696E"/>
    <w:rsid w:val="009470BC"/>
    <w:rsid w:val="00947E15"/>
    <w:rsid w:val="009500D7"/>
    <w:rsid w:val="009503D9"/>
    <w:rsid w:val="009508AA"/>
    <w:rsid w:val="00950B7F"/>
    <w:rsid w:val="00950E0E"/>
    <w:rsid w:val="00951E65"/>
    <w:rsid w:val="0095229E"/>
    <w:rsid w:val="0095245A"/>
    <w:rsid w:val="0095257D"/>
    <w:rsid w:val="009529DA"/>
    <w:rsid w:val="00952EDD"/>
    <w:rsid w:val="00952FD1"/>
    <w:rsid w:val="00954991"/>
    <w:rsid w:val="009552C9"/>
    <w:rsid w:val="009556DC"/>
    <w:rsid w:val="00955960"/>
    <w:rsid w:val="00955AA1"/>
    <w:rsid w:val="009567A7"/>
    <w:rsid w:val="0095700E"/>
    <w:rsid w:val="00957E2C"/>
    <w:rsid w:val="00960AF4"/>
    <w:rsid w:val="00961148"/>
    <w:rsid w:val="00961AAB"/>
    <w:rsid w:val="0096395A"/>
    <w:rsid w:val="00964E61"/>
    <w:rsid w:val="00964FF0"/>
    <w:rsid w:val="00965364"/>
    <w:rsid w:val="00965692"/>
    <w:rsid w:val="00965FF1"/>
    <w:rsid w:val="009661AF"/>
    <w:rsid w:val="00966665"/>
    <w:rsid w:val="009666D9"/>
    <w:rsid w:val="00967024"/>
    <w:rsid w:val="00967045"/>
    <w:rsid w:val="0096706E"/>
    <w:rsid w:val="009673BF"/>
    <w:rsid w:val="009719FA"/>
    <w:rsid w:val="00971ADF"/>
    <w:rsid w:val="00972061"/>
    <w:rsid w:val="00972540"/>
    <w:rsid w:val="00972CBA"/>
    <w:rsid w:val="00972E9F"/>
    <w:rsid w:val="00973E7C"/>
    <w:rsid w:val="00974C38"/>
    <w:rsid w:val="0097544B"/>
    <w:rsid w:val="00975C4E"/>
    <w:rsid w:val="00975E4C"/>
    <w:rsid w:val="00975F13"/>
    <w:rsid w:val="00976577"/>
    <w:rsid w:val="00976633"/>
    <w:rsid w:val="0097742E"/>
    <w:rsid w:val="00977AE2"/>
    <w:rsid w:val="00977B1C"/>
    <w:rsid w:val="00977F70"/>
    <w:rsid w:val="00980B7F"/>
    <w:rsid w:val="00980E04"/>
    <w:rsid w:val="00980EDD"/>
    <w:rsid w:val="00981174"/>
    <w:rsid w:val="00981FBA"/>
    <w:rsid w:val="00982BBB"/>
    <w:rsid w:val="00984198"/>
    <w:rsid w:val="00984E1B"/>
    <w:rsid w:val="00985B24"/>
    <w:rsid w:val="00985C1C"/>
    <w:rsid w:val="00986095"/>
    <w:rsid w:val="00986489"/>
    <w:rsid w:val="00986E88"/>
    <w:rsid w:val="0098717C"/>
    <w:rsid w:val="00987846"/>
    <w:rsid w:val="009901A9"/>
    <w:rsid w:val="0099057A"/>
    <w:rsid w:val="00990CE5"/>
    <w:rsid w:val="0099106A"/>
    <w:rsid w:val="009910E7"/>
    <w:rsid w:val="00991613"/>
    <w:rsid w:val="00991BFF"/>
    <w:rsid w:val="00991EC9"/>
    <w:rsid w:val="00992087"/>
    <w:rsid w:val="009922A2"/>
    <w:rsid w:val="009923C4"/>
    <w:rsid w:val="009937D9"/>
    <w:rsid w:val="00993864"/>
    <w:rsid w:val="00995985"/>
    <w:rsid w:val="009959C9"/>
    <w:rsid w:val="0099633B"/>
    <w:rsid w:val="00996486"/>
    <w:rsid w:val="00997BC5"/>
    <w:rsid w:val="00997FDB"/>
    <w:rsid w:val="009A0323"/>
    <w:rsid w:val="009A03A9"/>
    <w:rsid w:val="009A092B"/>
    <w:rsid w:val="009A0CF3"/>
    <w:rsid w:val="009A1B4C"/>
    <w:rsid w:val="009A1C21"/>
    <w:rsid w:val="009A25F6"/>
    <w:rsid w:val="009A30F6"/>
    <w:rsid w:val="009A3A22"/>
    <w:rsid w:val="009A3DB8"/>
    <w:rsid w:val="009A4AD3"/>
    <w:rsid w:val="009A4AE5"/>
    <w:rsid w:val="009A4B37"/>
    <w:rsid w:val="009A4EC8"/>
    <w:rsid w:val="009A4F41"/>
    <w:rsid w:val="009A56F1"/>
    <w:rsid w:val="009A585B"/>
    <w:rsid w:val="009A607F"/>
    <w:rsid w:val="009A69A0"/>
    <w:rsid w:val="009A7A66"/>
    <w:rsid w:val="009A7DF4"/>
    <w:rsid w:val="009B13D5"/>
    <w:rsid w:val="009B1688"/>
    <w:rsid w:val="009B2623"/>
    <w:rsid w:val="009B26E0"/>
    <w:rsid w:val="009B2830"/>
    <w:rsid w:val="009B3386"/>
    <w:rsid w:val="009B342D"/>
    <w:rsid w:val="009B3595"/>
    <w:rsid w:val="009B381B"/>
    <w:rsid w:val="009B4027"/>
    <w:rsid w:val="009B4685"/>
    <w:rsid w:val="009B4994"/>
    <w:rsid w:val="009B50A1"/>
    <w:rsid w:val="009B52CE"/>
    <w:rsid w:val="009B53F0"/>
    <w:rsid w:val="009B5C0A"/>
    <w:rsid w:val="009B5EF1"/>
    <w:rsid w:val="009B6281"/>
    <w:rsid w:val="009B62CA"/>
    <w:rsid w:val="009B6461"/>
    <w:rsid w:val="009B6585"/>
    <w:rsid w:val="009B6919"/>
    <w:rsid w:val="009B7119"/>
    <w:rsid w:val="009B7333"/>
    <w:rsid w:val="009B7D05"/>
    <w:rsid w:val="009C04E8"/>
    <w:rsid w:val="009C0C08"/>
    <w:rsid w:val="009C121B"/>
    <w:rsid w:val="009C1C1B"/>
    <w:rsid w:val="009C23B6"/>
    <w:rsid w:val="009C244A"/>
    <w:rsid w:val="009C3BA8"/>
    <w:rsid w:val="009C3C4B"/>
    <w:rsid w:val="009C3D85"/>
    <w:rsid w:val="009C44EC"/>
    <w:rsid w:val="009C475A"/>
    <w:rsid w:val="009C4C5F"/>
    <w:rsid w:val="009C54CA"/>
    <w:rsid w:val="009C6760"/>
    <w:rsid w:val="009C6A0D"/>
    <w:rsid w:val="009C777D"/>
    <w:rsid w:val="009C7BAA"/>
    <w:rsid w:val="009C7D64"/>
    <w:rsid w:val="009C7E38"/>
    <w:rsid w:val="009C7EA2"/>
    <w:rsid w:val="009D05C2"/>
    <w:rsid w:val="009D1822"/>
    <w:rsid w:val="009D1A08"/>
    <w:rsid w:val="009D230B"/>
    <w:rsid w:val="009D2ECA"/>
    <w:rsid w:val="009D33B2"/>
    <w:rsid w:val="009D3A41"/>
    <w:rsid w:val="009D3EF3"/>
    <w:rsid w:val="009D4083"/>
    <w:rsid w:val="009D5F93"/>
    <w:rsid w:val="009D74D7"/>
    <w:rsid w:val="009D7611"/>
    <w:rsid w:val="009E0B61"/>
    <w:rsid w:val="009E0C89"/>
    <w:rsid w:val="009E12CB"/>
    <w:rsid w:val="009E13FC"/>
    <w:rsid w:val="009E1BAF"/>
    <w:rsid w:val="009E21ED"/>
    <w:rsid w:val="009E3012"/>
    <w:rsid w:val="009E3833"/>
    <w:rsid w:val="009E45CB"/>
    <w:rsid w:val="009E4975"/>
    <w:rsid w:val="009E4A2A"/>
    <w:rsid w:val="009E4E45"/>
    <w:rsid w:val="009E4E91"/>
    <w:rsid w:val="009E53DE"/>
    <w:rsid w:val="009E5577"/>
    <w:rsid w:val="009E55C9"/>
    <w:rsid w:val="009E5DD1"/>
    <w:rsid w:val="009E5FE1"/>
    <w:rsid w:val="009E6937"/>
    <w:rsid w:val="009E695C"/>
    <w:rsid w:val="009E6C3E"/>
    <w:rsid w:val="009E6CC1"/>
    <w:rsid w:val="009E79F2"/>
    <w:rsid w:val="009E7C0B"/>
    <w:rsid w:val="009E7E3B"/>
    <w:rsid w:val="009F0F24"/>
    <w:rsid w:val="009F19B5"/>
    <w:rsid w:val="009F1D4D"/>
    <w:rsid w:val="009F1FC1"/>
    <w:rsid w:val="009F2EF7"/>
    <w:rsid w:val="009F33BF"/>
    <w:rsid w:val="009F3CAF"/>
    <w:rsid w:val="009F40AE"/>
    <w:rsid w:val="009F4735"/>
    <w:rsid w:val="009F4EFC"/>
    <w:rsid w:val="009F50F4"/>
    <w:rsid w:val="009F5402"/>
    <w:rsid w:val="009F55E8"/>
    <w:rsid w:val="009F6313"/>
    <w:rsid w:val="009F6409"/>
    <w:rsid w:val="009F6745"/>
    <w:rsid w:val="009F6C1A"/>
    <w:rsid w:val="009F7549"/>
    <w:rsid w:val="00A00BFD"/>
    <w:rsid w:val="00A0131C"/>
    <w:rsid w:val="00A01C60"/>
    <w:rsid w:val="00A01E78"/>
    <w:rsid w:val="00A0219A"/>
    <w:rsid w:val="00A025AC"/>
    <w:rsid w:val="00A027FA"/>
    <w:rsid w:val="00A029D7"/>
    <w:rsid w:val="00A03143"/>
    <w:rsid w:val="00A04282"/>
    <w:rsid w:val="00A04AF7"/>
    <w:rsid w:val="00A052AC"/>
    <w:rsid w:val="00A05477"/>
    <w:rsid w:val="00A06E28"/>
    <w:rsid w:val="00A072D4"/>
    <w:rsid w:val="00A0758B"/>
    <w:rsid w:val="00A07C4A"/>
    <w:rsid w:val="00A07E5F"/>
    <w:rsid w:val="00A104DF"/>
    <w:rsid w:val="00A10A00"/>
    <w:rsid w:val="00A1170C"/>
    <w:rsid w:val="00A12867"/>
    <w:rsid w:val="00A129F4"/>
    <w:rsid w:val="00A1346B"/>
    <w:rsid w:val="00A13654"/>
    <w:rsid w:val="00A139B1"/>
    <w:rsid w:val="00A13D36"/>
    <w:rsid w:val="00A149EA"/>
    <w:rsid w:val="00A15BCA"/>
    <w:rsid w:val="00A160DA"/>
    <w:rsid w:val="00A16B1B"/>
    <w:rsid w:val="00A16C0A"/>
    <w:rsid w:val="00A17003"/>
    <w:rsid w:val="00A17685"/>
    <w:rsid w:val="00A178DD"/>
    <w:rsid w:val="00A20460"/>
    <w:rsid w:val="00A219A8"/>
    <w:rsid w:val="00A21B9A"/>
    <w:rsid w:val="00A23138"/>
    <w:rsid w:val="00A231BB"/>
    <w:rsid w:val="00A23D7A"/>
    <w:rsid w:val="00A24801"/>
    <w:rsid w:val="00A2556A"/>
    <w:rsid w:val="00A25621"/>
    <w:rsid w:val="00A25E38"/>
    <w:rsid w:val="00A26681"/>
    <w:rsid w:val="00A2742D"/>
    <w:rsid w:val="00A27D5F"/>
    <w:rsid w:val="00A30A66"/>
    <w:rsid w:val="00A31632"/>
    <w:rsid w:val="00A3207B"/>
    <w:rsid w:val="00A322CA"/>
    <w:rsid w:val="00A328B3"/>
    <w:rsid w:val="00A32A18"/>
    <w:rsid w:val="00A32F4A"/>
    <w:rsid w:val="00A33F2C"/>
    <w:rsid w:val="00A344B3"/>
    <w:rsid w:val="00A34625"/>
    <w:rsid w:val="00A357AB"/>
    <w:rsid w:val="00A357FF"/>
    <w:rsid w:val="00A35CBB"/>
    <w:rsid w:val="00A3607C"/>
    <w:rsid w:val="00A36165"/>
    <w:rsid w:val="00A36B39"/>
    <w:rsid w:val="00A379F0"/>
    <w:rsid w:val="00A379F5"/>
    <w:rsid w:val="00A405E8"/>
    <w:rsid w:val="00A40EE9"/>
    <w:rsid w:val="00A411BD"/>
    <w:rsid w:val="00A41959"/>
    <w:rsid w:val="00A427A2"/>
    <w:rsid w:val="00A42CF6"/>
    <w:rsid w:val="00A430F9"/>
    <w:rsid w:val="00A43282"/>
    <w:rsid w:val="00A43286"/>
    <w:rsid w:val="00A43D5D"/>
    <w:rsid w:val="00A44165"/>
    <w:rsid w:val="00A4449E"/>
    <w:rsid w:val="00A44B9C"/>
    <w:rsid w:val="00A4583D"/>
    <w:rsid w:val="00A458BB"/>
    <w:rsid w:val="00A4661A"/>
    <w:rsid w:val="00A46904"/>
    <w:rsid w:val="00A46BA2"/>
    <w:rsid w:val="00A4737C"/>
    <w:rsid w:val="00A477D3"/>
    <w:rsid w:val="00A503DE"/>
    <w:rsid w:val="00A508E5"/>
    <w:rsid w:val="00A509E2"/>
    <w:rsid w:val="00A50B61"/>
    <w:rsid w:val="00A50B7B"/>
    <w:rsid w:val="00A50D2D"/>
    <w:rsid w:val="00A50F2F"/>
    <w:rsid w:val="00A50FCF"/>
    <w:rsid w:val="00A512A5"/>
    <w:rsid w:val="00A51744"/>
    <w:rsid w:val="00A528D1"/>
    <w:rsid w:val="00A52D34"/>
    <w:rsid w:val="00A5335B"/>
    <w:rsid w:val="00A5337B"/>
    <w:rsid w:val="00A53982"/>
    <w:rsid w:val="00A53CD9"/>
    <w:rsid w:val="00A54597"/>
    <w:rsid w:val="00A54AB9"/>
    <w:rsid w:val="00A550B7"/>
    <w:rsid w:val="00A55B8D"/>
    <w:rsid w:val="00A55C7B"/>
    <w:rsid w:val="00A55EEF"/>
    <w:rsid w:val="00A57053"/>
    <w:rsid w:val="00A57F82"/>
    <w:rsid w:val="00A60715"/>
    <w:rsid w:val="00A60DF4"/>
    <w:rsid w:val="00A610CD"/>
    <w:rsid w:val="00A61AE2"/>
    <w:rsid w:val="00A62487"/>
    <w:rsid w:val="00A62B85"/>
    <w:rsid w:val="00A62CF1"/>
    <w:rsid w:val="00A635E2"/>
    <w:rsid w:val="00A637C7"/>
    <w:rsid w:val="00A640EF"/>
    <w:rsid w:val="00A65066"/>
    <w:rsid w:val="00A65638"/>
    <w:rsid w:val="00A658E1"/>
    <w:rsid w:val="00A65AC3"/>
    <w:rsid w:val="00A65F7F"/>
    <w:rsid w:val="00A66089"/>
    <w:rsid w:val="00A66363"/>
    <w:rsid w:val="00A666C4"/>
    <w:rsid w:val="00A67020"/>
    <w:rsid w:val="00A678CE"/>
    <w:rsid w:val="00A67FD8"/>
    <w:rsid w:val="00A705EC"/>
    <w:rsid w:val="00A7105A"/>
    <w:rsid w:val="00A71079"/>
    <w:rsid w:val="00A71531"/>
    <w:rsid w:val="00A7190E"/>
    <w:rsid w:val="00A71B59"/>
    <w:rsid w:val="00A72174"/>
    <w:rsid w:val="00A7230A"/>
    <w:rsid w:val="00A72957"/>
    <w:rsid w:val="00A72EDD"/>
    <w:rsid w:val="00A731BF"/>
    <w:rsid w:val="00A73892"/>
    <w:rsid w:val="00A73B2E"/>
    <w:rsid w:val="00A73B7E"/>
    <w:rsid w:val="00A7401D"/>
    <w:rsid w:val="00A7407B"/>
    <w:rsid w:val="00A7408E"/>
    <w:rsid w:val="00A740B9"/>
    <w:rsid w:val="00A74A27"/>
    <w:rsid w:val="00A757F2"/>
    <w:rsid w:val="00A75A9C"/>
    <w:rsid w:val="00A76DB5"/>
    <w:rsid w:val="00A77001"/>
    <w:rsid w:val="00A800F5"/>
    <w:rsid w:val="00A80A6B"/>
    <w:rsid w:val="00A817B6"/>
    <w:rsid w:val="00A81D4D"/>
    <w:rsid w:val="00A81E6D"/>
    <w:rsid w:val="00A82364"/>
    <w:rsid w:val="00A82517"/>
    <w:rsid w:val="00A82EA7"/>
    <w:rsid w:val="00A82FB2"/>
    <w:rsid w:val="00A837F7"/>
    <w:rsid w:val="00A83D29"/>
    <w:rsid w:val="00A84096"/>
    <w:rsid w:val="00A842A0"/>
    <w:rsid w:val="00A84403"/>
    <w:rsid w:val="00A849C5"/>
    <w:rsid w:val="00A84A29"/>
    <w:rsid w:val="00A84A6C"/>
    <w:rsid w:val="00A84EEE"/>
    <w:rsid w:val="00A859F8"/>
    <w:rsid w:val="00A862F8"/>
    <w:rsid w:val="00A866D0"/>
    <w:rsid w:val="00A8677A"/>
    <w:rsid w:val="00A86937"/>
    <w:rsid w:val="00A87156"/>
    <w:rsid w:val="00A90A31"/>
    <w:rsid w:val="00A91484"/>
    <w:rsid w:val="00A918C1"/>
    <w:rsid w:val="00A9258C"/>
    <w:rsid w:val="00A92B2D"/>
    <w:rsid w:val="00A92D19"/>
    <w:rsid w:val="00A93138"/>
    <w:rsid w:val="00A9366F"/>
    <w:rsid w:val="00A938A9"/>
    <w:rsid w:val="00A94080"/>
    <w:rsid w:val="00A947E6"/>
    <w:rsid w:val="00A95457"/>
    <w:rsid w:val="00A95535"/>
    <w:rsid w:val="00A955FA"/>
    <w:rsid w:val="00A95C36"/>
    <w:rsid w:val="00A95C6E"/>
    <w:rsid w:val="00A95CBB"/>
    <w:rsid w:val="00A96001"/>
    <w:rsid w:val="00A978BF"/>
    <w:rsid w:val="00A97BA9"/>
    <w:rsid w:val="00A97FB6"/>
    <w:rsid w:val="00AA0751"/>
    <w:rsid w:val="00AA09A2"/>
    <w:rsid w:val="00AA09B7"/>
    <w:rsid w:val="00AA1294"/>
    <w:rsid w:val="00AA299D"/>
    <w:rsid w:val="00AA3666"/>
    <w:rsid w:val="00AA380B"/>
    <w:rsid w:val="00AA3DE2"/>
    <w:rsid w:val="00AA3DF8"/>
    <w:rsid w:val="00AA42C4"/>
    <w:rsid w:val="00AA4463"/>
    <w:rsid w:val="00AA552C"/>
    <w:rsid w:val="00AA5754"/>
    <w:rsid w:val="00AA61E8"/>
    <w:rsid w:val="00AA64DD"/>
    <w:rsid w:val="00AA652D"/>
    <w:rsid w:val="00AA78EE"/>
    <w:rsid w:val="00AA7937"/>
    <w:rsid w:val="00AB0351"/>
    <w:rsid w:val="00AB0512"/>
    <w:rsid w:val="00AB0C45"/>
    <w:rsid w:val="00AB1501"/>
    <w:rsid w:val="00AB15C9"/>
    <w:rsid w:val="00AB184F"/>
    <w:rsid w:val="00AB1C07"/>
    <w:rsid w:val="00AB21D6"/>
    <w:rsid w:val="00AB2F76"/>
    <w:rsid w:val="00AB314E"/>
    <w:rsid w:val="00AB36A9"/>
    <w:rsid w:val="00AB390C"/>
    <w:rsid w:val="00AB3B18"/>
    <w:rsid w:val="00AB43F6"/>
    <w:rsid w:val="00AB446E"/>
    <w:rsid w:val="00AB48B7"/>
    <w:rsid w:val="00AB59DE"/>
    <w:rsid w:val="00AB60D9"/>
    <w:rsid w:val="00AB62FD"/>
    <w:rsid w:val="00AB6544"/>
    <w:rsid w:val="00AB66AE"/>
    <w:rsid w:val="00AB66BF"/>
    <w:rsid w:val="00AB7183"/>
    <w:rsid w:val="00AB76A6"/>
    <w:rsid w:val="00AB7D09"/>
    <w:rsid w:val="00AC00C7"/>
    <w:rsid w:val="00AC0121"/>
    <w:rsid w:val="00AC02FB"/>
    <w:rsid w:val="00AC1248"/>
    <w:rsid w:val="00AC19CB"/>
    <w:rsid w:val="00AC2AC5"/>
    <w:rsid w:val="00AC3102"/>
    <w:rsid w:val="00AC3617"/>
    <w:rsid w:val="00AC4BEC"/>
    <w:rsid w:val="00AC5AD5"/>
    <w:rsid w:val="00AC5B89"/>
    <w:rsid w:val="00AC5F68"/>
    <w:rsid w:val="00AC6C7A"/>
    <w:rsid w:val="00AC7163"/>
    <w:rsid w:val="00AC74B7"/>
    <w:rsid w:val="00AC750B"/>
    <w:rsid w:val="00AC766D"/>
    <w:rsid w:val="00AD0B73"/>
    <w:rsid w:val="00AD1157"/>
    <w:rsid w:val="00AD198B"/>
    <w:rsid w:val="00AD1D81"/>
    <w:rsid w:val="00AD2972"/>
    <w:rsid w:val="00AD2DA0"/>
    <w:rsid w:val="00AD31E9"/>
    <w:rsid w:val="00AD452F"/>
    <w:rsid w:val="00AD4990"/>
    <w:rsid w:val="00AD6A7C"/>
    <w:rsid w:val="00AD6F41"/>
    <w:rsid w:val="00AD7729"/>
    <w:rsid w:val="00AD794D"/>
    <w:rsid w:val="00AD7F25"/>
    <w:rsid w:val="00AD7F4B"/>
    <w:rsid w:val="00AD7FD7"/>
    <w:rsid w:val="00AE0180"/>
    <w:rsid w:val="00AE02FB"/>
    <w:rsid w:val="00AE05ED"/>
    <w:rsid w:val="00AE063F"/>
    <w:rsid w:val="00AE0CEB"/>
    <w:rsid w:val="00AE103A"/>
    <w:rsid w:val="00AE16DB"/>
    <w:rsid w:val="00AE1770"/>
    <w:rsid w:val="00AE3479"/>
    <w:rsid w:val="00AE3A24"/>
    <w:rsid w:val="00AE46DB"/>
    <w:rsid w:val="00AE48BB"/>
    <w:rsid w:val="00AE4924"/>
    <w:rsid w:val="00AE5488"/>
    <w:rsid w:val="00AE6AC2"/>
    <w:rsid w:val="00AE6DE4"/>
    <w:rsid w:val="00AE6F91"/>
    <w:rsid w:val="00AE73B1"/>
    <w:rsid w:val="00AF03CA"/>
    <w:rsid w:val="00AF076C"/>
    <w:rsid w:val="00AF0DA1"/>
    <w:rsid w:val="00AF127A"/>
    <w:rsid w:val="00AF1EC1"/>
    <w:rsid w:val="00AF240F"/>
    <w:rsid w:val="00AF3064"/>
    <w:rsid w:val="00AF3572"/>
    <w:rsid w:val="00AF3E3C"/>
    <w:rsid w:val="00AF423D"/>
    <w:rsid w:val="00AF44C3"/>
    <w:rsid w:val="00AF4C2C"/>
    <w:rsid w:val="00AF4D3A"/>
    <w:rsid w:val="00AF52A5"/>
    <w:rsid w:val="00AF5571"/>
    <w:rsid w:val="00AF596C"/>
    <w:rsid w:val="00AF5E7A"/>
    <w:rsid w:val="00AF6A32"/>
    <w:rsid w:val="00AF6AFF"/>
    <w:rsid w:val="00AF7667"/>
    <w:rsid w:val="00AF77AE"/>
    <w:rsid w:val="00B000E6"/>
    <w:rsid w:val="00B00247"/>
    <w:rsid w:val="00B00FAB"/>
    <w:rsid w:val="00B0192B"/>
    <w:rsid w:val="00B01CCE"/>
    <w:rsid w:val="00B02FBE"/>
    <w:rsid w:val="00B0318B"/>
    <w:rsid w:val="00B0341D"/>
    <w:rsid w:val="00B05B37"/>
    <w:rsid w:val="00B06810"/>
    <w:rsid w:val="00B06C1C"/>
    <w:rsid w:val="00B07000"/>
    <w:rsid w:val="00B077CE"/>
    <w:rsid w:val="00B07EBA"/>
    <w:rsid w:val="00B102E9"/>
    <w:rsid w:val="00B107A9"/>
    <w:rsid w:val="00B10F4E"/>
    <w:rsid w:val="00B12686"/>
    <w:rsid w:val="00B1309A"/>
    <w:rsid w:val="00B13110"/>
    <w:rsid w:val="00B1311E"/>
    <w:rsid w:val="00B131AB"/>
    <w:rsid w:val="00B13D6E"/>
    <w:rsid w:val="00B14767"/>
    <w:rsid w:val="00B14F30"/>
    <w:rsid w:val="00B1664E"/>
    <w:rsid w:val="00B16EB9"/>
    <w:rsid w:val="00B1736D"/>
    <w:rsid w:val="00B17715"/>
    <w:rsid w:val="00B1773A"/>
    <w:rsid w:val="00B20723"/>
    <w:rsid w:val="00B21524"/>
    <w:rsid w:val="00B21948"/>
    <w:rsid w:val="00B2426C"/>
    <w:rsid w:val="00B24991"/>
    <w:rsid w:val="00B25283"/>
    <w:rsid w:val="00B2572A"/>
    <w:rsid w:val="00B25CDF"/>
    <w:rsid w:val="00B25D62"/>
    <w:rsid w:val="00B26289"/>
    <w:rsid w:val="00B262A4"/>
    <w:rsid w:val="00B264BC"/>
    <w:rsid w:val="00B26584"/>
    <w:rsid w:val="00B266DC"/>
    <w:rsid w:val="00B2694A"/>
    <w:rsid w:val="00B26AAC"/>
    <w:rsid w:val="00B26FB4"/>
    <w:rsid w:val="00B2753D"/>
    <w:rsid w:val="00B27BCD"/>
    <w:rsid w:val="00B302C7"/>
    <w:rsid w:val="00B30539"/>
    <w:rsid w:val="00B30977"/>
    <w:rsid w:val="00B314DB"/>
    <w:rsid w:val="00B316B6"/>
    <w:rsid w:val="00B349D1"/>
    <w:rsid w:val="00B34ACE"/>
    <w:rsid w:val="00B356B0"/>
    <w:rsid w:val="00B36240"/>
    <w:rsid w:val="00B36D53"/>
    <w:rsid w:val="00B3701B"/>
    <w:rsid w:val="00B3718B"/>
    <w:rsid w:val="00B37446"/>
    <w:rsid w:val="00B40069"/>
    <w:rsid w:val="00B4041B"/>
    <w:rsid w:val="00B4060E"/>
    <w:rsid w:val="00B40FB2"/>
    <w:rsid w:val="00B41C05"/>
    <w:rsid w:val="00B434AA"/>
    <w:rsid w:val="00B43AE5"/>
    <w:rsid w:val="00B43CAB"/>
    <w:rsid w:val="00B442C7"/>
    <w:rsid w:val="00B44C7C"/>
    <w:rsid w:val="00B456B1"/>
    <w:rsid w:val="00B45759"/>
    <w:rsid w:val="00B4632A"/>
    <w:rsid w:val="00B46A0F"/>
    <w:rsid w:val="00B46F78"/>
    <w:rsid w:val="00B473D0"/>
    <w:rsid w:val="00B476CE"/>
    <w:rsid w:val="00B50D3F"/>
    <w:rsid w:val="00B50E37"/>
    <w:rsid w:val="00B51482"/>
    <w:rsid w:val="00B530F1"/>
    <w:rsid w:val="00B5326D"/>
    <w:rsid w:val="00B53AD5"/>
    <w:rsid w:val="00B56419"/>
    <w:rsid w:val="00B56AC1"/>
    <w:rsid w:val="00B56B37"/>
    <w:rsid w:val="00B56D14"/>
    <w:rsid w:val="00B570E7"/>
    <w:rsid w:val="00B57F96"/>
    <w:rsid w:val="00B600F0"/>
    <w:rsid w:val="00B60964"/>
    <w:rsid w:val="00B6113A"/>
    <w:rsid w:val="00B61680"/>
    <w:rsid w:val="00B61F6A"/>
    <w:rsid w:val="00B62681"/>
    <w:rsid w:val="00B63484"/>
    <w:rsid w:val="00B636B5"/>
    <w:rsid w:val="00B64AE2"/>
    <w:rsid w:val="00B65B7D"/>
    <w:rsid w:val="00B65FAC"/>
    <w:rsid w:val="00B6650F"/>
    <w:rsid w:val="00B66DDF"/>
    <w:rsid w:val="00B66F20"/>
    <w:rsid w:val="00B6720D"/>
    <w:rsid w:val="00B71885"/>
    <w:rsid w:val="00B72332"/>
    <w:rsid w:val="00B727DB"/>
    <w:rsid w:val="00B72B38"/>
    <w:rsid w:val="00B73061"/>
    <w:rsid w:val="00B732CC"/>
    <w:rsid w:val="00B737FD"/>
    <w:rsid w:val="00B74B77"/>
    <w:rsid w:val="00B74CF0"/>
    <w:rsid w:val="00B75A71"/>
    <w:rsid w:val="00B772CB"/>
    <w:rsid w:val="00B7781C"/>
    <w:rsid w:val="00B8064A"/>
    <w:rsid w:val="00B80719"/>
    <w:rsid w:val="00B8166D"/>
    <w:rsid w:val="00B819AD"/>
    <w:rsid w:val="00B81C16"/>
    <w:rsid w:val="00B83ED3"/>
    <w:rsid w:val="00B84D32"/>
    <w:rsid w:val="00B84D3D"/>
    <w:rsid w:val="00B84FF0"/>
    <w:rsid w:val="00B85D0F"/>
    <w:rsid w:val="00B87ADF"/>
    <w:rsid w:val="00B87DB6"/>
    <w:rsid w:val="00B90768"/>
    <w:rsid w:val="00B90CB4"/>
    <w:rsid w:val="00B90D86"/>
    <w:rsid w:val="00B90E79"/>
    <w:rsid w:val="00B90EC1"/>
    <w:rsid w:val="00B91154"/>
    <w:rsid w:val="00B917C7"/>
    <w:rsid w:val="00B91CAC"/>
    <w:rsid w:val="00B92B20"/>
    <w:rsid w:val="00B92C9B"/>
    <w:rsid w:val="00B92D5A"/>
    <w:rsid w:val="00B93439"/>
    <w:rsid w:val="00B93FE4"/>
    <w:rsid w:val="00B9432B"/>
    <w:rsid w:val="00B944FB"/>
    <w:rsid w:val="00B94589"/>
    <w:rsid w:val="00B948CD"/>
    <w:rsid w:val="00B94B27"/>
    <w:rsid w:val="00B955AE"/>
    <w:rsid w:val="00B95CD3"/>
    <w:rsid w:val="00B95DE5"/>
    <w:rsid w:val="00B968A8"/>
    <w:rsid w:val="00B972EF"/>
    <w:rsid w:val="00B97310"/>
    <w:rsid w:val="00B97B72"/>
    <w:rsid w:val="00BA0A5E"/>
    <w:rsid w:val="00BA1C9C"/>
    <w:rsid w:val="00BA1D94"/>
    <w:rsid w:val="00BA2600"/>
    <w:rsid w:val="00BA276C"/>
    <w:rsid w:val="00BA2F04"/>
    <w:rsid w:val="00BA4746"/>
    <w:rsid w:val="00BA483C"/>
    <w:rsid w:val="00BA528B"/>
    <w:rsid w:val="00BA53BB"/>
    <w:rsid w:val="00BA573E"/>
    <w:rsid w:val="00BA5D29"/>
    <w:rsid w:val="00BA619C"/>
    <w:rsid w:val="00BA683E"/>
    <w:rsid w:val="00BA7312"/>
    <w:rsid w:val="00BA792D"/>
    <w:rsid w:val="00BA7A49"/>
    <w:rsid w:val="00BA7F1C"/>
    <w:rsid w:val="00BB01F4"/>
    <w:rsid w:val="00BB0213"/>
    <w:rsid w:val="00BB1F5B"/>
    <w:rsid w:val="00BB256D"/>
    <w:rsid w:val="00BB2D95"/>
    <w:rsid w:val="00BB306F"/>
    <w:rsid w:val="00BB35E4"/>
    <w:rsid w:val="00BB369E"/>
    <w:rsid w:val="00BB4116"/>
    <w:rsid w:val="00BB4253"/>
    <w:rsid w:val="00BB49EB"/>
    <w:rsid w:val="00BB52E6"/>
    <w:rsid w:val="00BB5322"/>
    <w:rsid w:val="00BB5FC7"/>
    <w:rsid w:val="00BB658B"/>
    <w:rsid w:val="00BB664F"/>
    <w:rsid w:val="00BB7104"/>
    <w:rsid w:val="00BB7C91"/>
    <w:rsid w:val="00BB7E95"/>
    <w:rsid w:val="00BC0622"/>
    <w:rsid w:val="00BC18C9"/>
    <w:rsid w:val="00BC2868"/>
    <w:rsid w:val="00BC2AFC"/>
    <w:rsid w:val="00BC2D8D"/>
    <w:rsid w:val="00BC4041"/>
    <w:rsid w:val="00BC433F"/>
    <w:rsid w:val="00BC4DAA"/>
    <w:rsid w:val="00BC4E19"/>
    <w:rsid w:val="00BC4F90"/>
    <w:rsid w:val="00BC57DB"/>
    <w:rsid w:val="00BC5941"/>
    <w:rsid w:val="00BC6005"/>
    <w:rsid w:val="00BC65A4"/>
    <w:rsid w:val="00BC668B"/>
    <w:rsid w:val="00BC668F"/>
    <w:rsid w:val="00BC6855"/>
    <w:rsid w:val="00BC6C67"/>
    <w:rsid w:val="00BC70E9"/>
    <w:rsid w:val="00BD0CF9"/>
    <w:rsid w:val="00BD0EB4"/>
    <w:rsid w:val="00BD2028"/>
    <w:rsid w:val="00BD2703"/>
    <w:rsid w:val="00BD33F7"/>
    <w:rsid w:val="00BD3A3F"/>
    <w:rsid w:val="00BD3D92"/>
    <w:rsid w:val="00BD41BB"/>
    <w:rsid w:val="00BD4730"/>
    <w:rsid w:val="00BD495B"/>
    <w:rsid w:val="00BD4B89"/>
    <w:rsid w:val="00BD5F33"/>
    <w:rsid w:val="00BD726E"/>
    <w:rsid w:val="00BE025B"/>
    <w:rsid w:val="00BE047B"/>
    <w:rsid w:val="00BE0D78"/>
    <w:rsid w:val="00BE120D"/>
    <w:rsid w:val="00BE1380"/>
    <w:rsid w:val="00BE167E"/>
    <w:rsid w:val="00BE1964"/>
    <w:rsid w:val="00BE2AE0"/>
    <w:rsid w:val="00BE3101"/>
    <w:rsid w:val="00BE31DC"/>
    <w:rsid w:val="00BE3526"/>
    <w:rsid w:val="00BE358A"/>
    <w:rsid w:val="00BE376B"/>
    <w:rsid w:val="00BE3D72"/>
    <w:rsid w:val="00BE3FD6"/>
    <w:rsid w:val="00BE4112"/>
    <w:rsid w:val="00BE4A27"/>
    <w:rsid w:val="00BE4C47"/>
    <w:rsid w:val="00BE65AE"/>
    <w:rsid w:val="00BE6BF1"/>
    <w:rsid w:val="00BE72B5"/>
    <w:rsid w:val="00BE73F9"/>
    <w:rsid w:val="00BE7B63"/>
    <w:rsid w:val="00BF03D8"/>
    <w:rsid w:val="00BF0ACA"/>
    <w:rsid w:val="00BF180B"/>
    <w:rsid w:val="00BF1823"/>
    <w:rsid w:val="00BF1A40"/>
    <w:rsid w:val="00BF2146"/>
    <w:rsid w:val="00BF339D"/>
    <w:rsid w:val="00BF3461"/>
    <w:rsid w:val="00BF34CC"/>
    <w:rsid w:val="00BF3DF6"/>
    <w:rsid w:val="00BF4CCB"/>
    <w:rsid w:val="00BF4D34"/>
    <w:rsid w:val="00BF5612"/>
    <w:rsid w:val="00BF5AF5"/>
    <w:rsid w:val="00BF6533"/>
    <w:rsid w:val="00BF6B82"/>
    <w:rsid w:val="00BF6FD8"/>
    <w:rsid w:val="00BF7D6D"/>
    <w:rsid w:val="00BF7F7C"/>
    <w:rsid w:val="00C0075D"/>
    <w:rsid w:val="00C01D45"/>
    <w:rsid w:val="00C01E60"/>
    <w:rsid w:val="00C0258D"/>
    <w:rsid w:val="00C0275D"/>
    <w:rsid w:val="00C02D36"/>
    <w:rsid w:val="00C02EA6"/>
    <w:rsid w:val="00C03680"/>
    <w:rsid w:val="00C03F9C"/>
    <w:rsid w:val="00C04314"/>
    <w:rsid w:val="00C045F5"/>
    <w:rsid w:val="00C047D5"/>
    <w:rsid w:val="00C047D9"/>
    <w:rsid w:val="00C04F37"/>
    <w:rsid w:val="00C052ED"/>
    <w:rsid w:val="00C054DF"/>
    <w:rsid w:val="00C0580F"/>
    <w:rsid w:val="00C05AAD"/>
    <w:rsid w:val="00C05C0C"/>
    <w:rsid w:val="00C05EC5"/>
    <w:rsid w:val="00C06120"/>
    <w:rsid w:val="00C062C0"/>
    <w:rsid w:val="00C067C3"/>
    <w:rsid w:val="00C071D4"/>
    <w:rsid w:val="00C1072B"/>
    <w:rsid w:val="00C10C6B"/>
    <w:rsid w:val="00C11042"/>
    <w:rsid w:val="00C116E8"/>
    <w:rsid w:val="00C11A27"/>
    <w:rsid w:val="00C12378"/>
    <w:rsid w:val="00C13281"/>
    <w:rsid w:val="00C135D0"/>
    <w:rsid w:val="00C13D44"/>
    <w:rsid w:val="00C143A1"/>
    <w:rsid w:val="00C14978"/>
    <w:rsid w:val="00C152A5"/>
    <w:rsid w:val="00C15A24"/>
    <w:rsid w:val="00C15A62"/>
    <w:rsid w:val="00C15E41"/>
    <w:rsid w:val="00C16451"/>
    <w:rsid w:val="00C169C4"/>
    <w:rsid w:val="00C174CA"/>
    <w:rsid w:val="00C17C8F"/>
    <w:rsid w:val="00C20E98"/>
    <w:rsid w:val="00C21762"/>
    <w:rsid w:val="00C21E02"/>
    <w:rsid w:val="00C2240A"/>
    <w:rsid w:val="00C22BEF"/>
    <w:rsid w:val="00C233AC"/>
    <w:rsid w:val="00C2355D"/>
    <w:rsid w:val="00C236C1"/>
    <w:rsid w:val="00C24543"/>
    <w:rsid w:val="00C247B9"/>
    <w:rsid w:val="00C2517B"/>
    <w:rsid w:val="00C25480"/>
    <w:rsid w:val="00C25607"/>
    <w:rsid w:val="00C256A2"/>
    <w:rsid w:val="00C26A02"/>
    <w:rsid w:val="00C2728C"/>
    <w:rsid w:val="00C300ED"/>
    <w:rsid w:val="00C30AC4"/>
    <w:rsid w:val="00C32539"/>
    <w:rsid w:val="00C32962"/>
    <w:rsid w:val="00C329B6"/>
    <w:rsid w:val="00C32AD3"/>
    <w:rsid w:val="00C33726"/>
    <w:rsid w:val="00C33ABF"/>
    <w:rsid w:val="00C33F62"/>
    <w:rsid w:val="00C34113"/>
    <w:rsid w:val="00C3457E"/>
    <w:rsid w:val="00C34CEF"/>
    <w:rsid w:val="00C34E9B"/>
    <w:rsid w:val="00C35013"/>
    <w:rsid w:val="00C3530F"/>
    <w:rsid w:val="00C3534A"/>
    <w:rsid w:val="00C3552C"/>
    <w:rsid w:val="00C3601A"/>
    <w:rsid w:val="00C3617B"/>
    <w:rsid w:val="00C3623E"/>
    <w:rsid w:val="00C37FDB"/>
    <w:rsid w:val="00C401C4"/>
    <w:rsid w:val="00C40219"/>
    <w:rsid w:val="00C40641"/>
    <w:rsid w:val="00C415F7"/>
    <w:rsid w:val="00C4160B"/>
    <w:rsid w:val="00C41985"/>
    <w:rsid w:val="00C41D1E"/>
    <w:rsid w:val="00C41D81"/>
    <w:rsid w:val="00C42BE7"/>
    <w:rsid w:val="00C433C4"/>
    <w:rsid w:val="00C437CD"/>
    <w:rsid w:val="00C441D8"/>
    <w:rsid w:val="00C44748"/>
    <w:rsid w:val="00C449B8"/>
    <w:rsid w:val="00C4519A"/>
    <w:rsid w:val="00C45415"/>
    <w:rsid w:val="00C45C34"/>
    <w:rsid w:val="00C45D0C"/>
    <w:rsid w:val="00C46810"/>
    <w:rsid w:val="00C50392"/>
    <w:rsid w:val="00C50E0A"/>
    <w:rsid w:val="00C512B7"/>
    <w:rsid w:val="00C51515"/>
    <w:rsid w:val="00C51B54"/>
    <w:rsid w:val="00C52032"/>
    <w:rsid w:val="00C5301B"/>
    <w:rsid w:val="00C5332A"/>
    <w:rsid w:val="00C533FC"/>
    <w:rsid w:val="00C54035"/>
    <w:rsid w:val="00C554CF"/>
    <w:rsid w:val="00C55590"/>
    <w:rsid w:val="00C5660B"/>
    <w:rsid w:val="00C573E1"/>
    <w:rsid w:val="00C578A4"/>
    <w:rsid w:val="00C604DB"/>
    <w:rsid w:val="00C60EAA"/>
    <w:rsid w:val="00C61082"/>
    <w:rsid w:val="00C616B6"/>
    <w:rsid w:val="00C62087"/>
    <w:rsid w:val="00C62141"/>
    <w:rsid w:val="00C62241"/>
    <w:rsid w:val="00C62CFF"/>
    <w:rsid w:val="00C6366B"/>
    <w:rsid w:val="00C639C6"/>
    <w:rsid w:val="00C639FB"/>
    <w:rsid w:val="00C6438A"/>
    <w:rsid w:val="00C65722"/>
    <w:rsid w:val="00C66807"/>
    <w:rsid w:val="00C66B72"/>
    <w:rsid w:val="00C66E3D"/>
    <w:rsid w:val="00C67600"/>
    <w:rsid w:val="00C67740"/>
    <w:rsid w:val="00C7030F"/>
    <w:rsid w:val="00C709FD"/>
    <w:rsid w:val="00C713CE"/>
    <w:rsid w:val="00C713D2"/>
    <w:rsid w:val="00C72736"/>
    <w:rsid w:val="00C73345"/>
    <w:rsid w:val="00C73D8E"/>
    <w:rsid w:val="00C74105"/>
    <w:rsid w:val="00C746F6"/>
    <w:rsid w:val="00C74A29"/>
    <w:rsid w:val="00C751A0"/>
    <w:rsid w:val="00C7582E"/>
    <w:rsid w:val="00C75A7C"/>
    <w:rsid w:val="00C7625C"/>
    <w:rsid w:val="00C762F5"/>
    <w:rsid w:val="00C768DE"/>
    <w:rsid w:val="00C769B0"/>
    <w:rsid w:val="00C76DF0"/>
    <w:rsid w:val="00C777AC"/>
    <w:rsid w:val="00C77EA2"/>
    <w:rsid w:val="00C80D43"/>
    <w:rsid w:val="00C817A5"/>
    <w:rsid w:val="00C825C1"/>
    <w:rsid w:val="00C8384D"/>
    <w:rsid w:val="00C842DF"/>
    <w:rsid w:val="00C84A25"/>
    <w:rsid w:val="00C851E6"/>
    <w:rsid w:val="00C85A89"/>
    <w:rsid w:val="00C85B93"/>
    <w:rsid w:val="00C85E9A"/>
    <w:rsid w:val="00C86F17"/>
    <w:rsid w:val="00C872FB"/>
    <w:rsid w:val="00C9052E"/>
    <w:rsid w:val="00C9157C"/>
    <w:rsid w:val="00C9176B"/>
    <w:rsid w:val="00C9192C"/>
    <w:rsid w:val="00C91F1F"/>
    <w:rsid w:val="00C91FAE"/>
    <w:rsid w:val="00C92371"/>
    <w:rsid w:val="00C925E5"/>
    <w:rsid w:val="00C9263A"/>
    <w:rsid w:val="00C92BBF"/>
    <w:rsid w:val="00C92DFD"/>
    <w:rsid w:val="00C9346A"/>
    <w:rsid w:val="00C93901"/>
    <w:rsid w:val="00C939C5"/>
    <w:rsid w:val="00C9443A"/>
    <w:rsid w:val="00C94E03"/>
    <w:rsid w:val="00C95188"/>
    <w:rsid w:val="00C9567A"/>
    <w:rsid w:val="00C96C27"/>
    <w:rsid w:val="00C97B5F"/>
    <w:rsid w:val="00C97F2E"/>
    <w:rsid w:val="00CA076A"/>
    <w:rsid w:val="00CA115B"/>
    <w:rsid w:val="00CA18FF"/>
    <w:rsid w:val="00CA1CFC"/>
    <w:rsid w:val="00CA2443"/>
    <w:rsid w:val="00CA28F3"/>
    <w:rsid w:val="00CA438E"/>
    <w:rsid w:val="00CA4570"/>
    <w:rsid w:val="00CA594D"/>
    <w:rsid w:val="00CA6001"/>
    <w:rsid w:val="00CA6347"/>
    <w:rsid w:val="00CA646A"/>
    <w:rsid w:val="00CA77C5"/>
    <w:rsid w:val="00CA7EA3"/>
    <w:rsid w:val="00CB0181"/>
    <w:rsid w:val="00CB0568"/>
    <w:rsid w:val="00CB1367"/>
    <w:rsid w:val="00CB15BF"/>
    <w:rsid w:val="00CB1774"/>
    <w:rsid w:val="00CB1B22"/>
    <w:rsid w:val="00CB212D"/>
    <w:rsid w:val="00CB2365"/>
    <w:rsid w:val="00CB2513"/>
    <w:rsid w:val="00CB25B4"/>
    <w:rsid w:val="00CB2660"/>
    <w:rsid w:val="00CB268E"/>
    <w:rsid w:val="00CB33DA"/>
    <w:rsid w:val="00CB3D2A"/>
    <w:rsid w:val="00CB51F9"/>
    <w:rsid w:val="00CB5B57"/>
    <w:rsid w:val="00CB6563"/>
    <w:rsid w:val="00CB6A15"/>
    <w:rsid w:val="00CB6BBC"/>
    <w:rsid w:val="00CB6CDB"/>
    <w:rsid w:val="00CB7019"/>
    <w:rsid w:val="00CB75DC"/>
    <w:rsid w:val="00CB768E"/>
    <w:rsid w:val="00CC0526"/>
    <w:rsid w:val="00CC0C3B"/>
    <w:rsid w:val="00CC20FD"/>
    <w:rsid w:val="00CC2355"/>
    <w:rsid w:val="00CC2479"/>
    <w:rsid w:val="00CC25EE"/>
    <w:rsid w:val="00CC2CE0"/>
    <w:rsid w:val="00CC2FB9"/>
    <w:rsid w:val="00CC3194"/>
    <w:rsid w:val="00CC33E4"/>
    <w:rsid w:val="00CC437D"/>
    <w:rsid w:val="00CC44AC"/>
    <w:rsid w:val="00CC4B44"/>
    <w:rsid w:val="00CC4FB6"/>
    <w:rsid w:val="00CC4FCD"/>
    <w:rsid w:val="00CC54BA"/>
    <w:rsid w:val="00CC5A69"/>
    <w:rsid w:val="00CC5E90"/>
    <w:rsid w:val="00CC5E9E"/>
    <w:rsid w:val="00CC6286"/>
    <w:rsid w:val="00CC62A2"/>
    <w:rsid w:val="00CC636E"/>
    <w:rsid w:val="00CC6EEB"/>
    <w:rsid w:val="00CC7018"/>
    <w:rsid w:val="00CC759E"/>
    <w:rsid w:val="00CC7B6E"/>
    <w:rsid w:val="00CC7BE0"/>
    <w:rsid w:val="00CC7D0D"/>
    <w:rsid w:val="00CD046C"/>
    <w:rsid w:val="00CD1103"/>
    <w:rsid w:val="00CD1947"/>
    <w:rsid w:val="00CD1B0D"/>
    <w:rsid w:val="00CD21DC"/>
    <w:rsid w:val="00CD241B"/>
    <w:rsid w:val="00CD2990"/>
    <w:rsid w:val="00CD2A95"/>
    <w:rsid w:val="00CD39A2"/>
    <w:rsid w:val="00CD3E9E"/>
    <w:rsid w:val="00CD49CE"/>
    <w:rsid w:val="00CD4BA5"/>
    <w:rsid w:val="00CD63B8"/>
    <w:rsid w:val="00CD66CD"/>
    <w:rsid w:val="00CD72F1"/>
    <w:rsid w:val="00CE076C"/>
    <w:rsid w:val="00CE0946"/>
    <w:rsid w:val="00CE0F5A"/>
    <w:rsid w:val="00CE17C9"/>
    <w:rsid w:val="00CE1801"/>
    <w:rsid w:val="00CE2A89"/>
    <w:rsid w:val="00CE2FB5"/>
    <w:rsid w:val="00CE311B"/>
    <w:rsid w:val="00CE384C"/>
    <w:rsid w:val="00CE3D55"/>
    <w:rsid w:val="00CE434E"/>
    <w:rsid w:val="00CE44CE"/>
    <w:rsid w:val="00CE4A64"/>
    <w:rsid w:val="00CE5199"/>
    <w:rsid w:val="00CE547B"/>
    <w:rsid w:val="00CE59DE"/>
    <w:rsid w:val="00CE5A44"/>
    <w:rsid w:val="00CE5D46"/>
    <w:rsid w:val="00CE61EF"/>
    <w:rsid w:val="00CE66D5"/>
    <w:rsid w:val="00CE672C"/>
    <w:rsid w:val="00CE7C68"/>
    <w:rsid w:val="00CE7F4A"/>
    <w:rsid w:val="00CF012B"/>
    <w:rsid w:val="00CF02D8"/>
    <w:rsid w:val="00CF102F"/>
    <w:rsid w:val="00CF1FAC"/>
    <w:rsid w:val="00CF29AF"/>
    <w:rsid w:val="00CF2B4C"/>
    <w:rsid w:val="00CF351C"/>
    <w:rsid w:val="00CF4F4B"/>
    <w:rsid w:val="00CF5907"/>
    <w:rsid w:val="00CF5C49"/>
    <w:rsid w:val="00CF637A"/>
    <w:rsid w:val="00CF6787"/>
    <w:rsid w:val="00CF783F"/>
    <w:rsid w:val="00CF7E17"/>
    <w:rsid w:val="00D0014F"/>
    <w:rsid w:val="00D00383"/>
    <w:rsid w:val="00D00928"/>
    <w:rsid w:val="00D00C12"/>
    <w:rsid w:val="00D01456"/>
    <w:rsid w:val="00D01FD1"/>
    <w:rsid w:val="00D02DB7"/>
    <w:rsid w:val="00D03E7E"/>
    <w:rsid w:val="00D044BD"/>
    <w:rsid w:val="00D046C4"/>
    <w:rsid w:val="00D04F27"/>
    <w:rsid w:val="00D05894"/>
    <w:rsid w:val="00D059DE"/>
    <w:rsid w:val="00D062FF"/>
    <w:rsid w:val="00D063AD"/>
    <w:rsid w:val="00D066BF"/>
    <w:rsid w:val="00D068DE"/>
    <w:rsid w:val="00D078F2"/>
    <w:rsid w:val="00D07CD3"/>
    <w:rsid w:val="00D108E9"/>
    <w:rsid w:val="00D10E07"/>
    <w:rsid w:val="00D10F5B"/>
    <w:rsid w:val="00D1165D"/>
    <w:rsid w:val="00D11A5E"/>
    <w:rsid w:val="00D1255D"/>
    <w:rsid w:val="00D12665"/>
    <w:rsid w:val="00D12EFE"/>
    <w:rsid w:val="00D13CA7"/>
    <w:rsid w:val="00D13D09"/>
    <w:rsid w:val="00D13FCE"/>
    <w:rsid w:val="00D149F1"/>
    <w:rsid w:val="00D14F16"/>
    <w:rsid w:val="00D15325"/>
    <w:rsid w:val="00D15EC3"/>
    <w:rsid w:val="00D162A1"/>
    <w:rsid w:val="00D163F2"/>
    <w:rsid w:val="00D167FE"/>
    <w:rsid w:val="00D173C6"/>
    <w:rsid w:val="00D17482"/>
    <w:rsid w:val="00D17CC0"/>
    <w:rsid w:val="00D200F6"/>
    <w:rsid w:val="00D20226"/>
    <w:rsid w:val="00D202AC"/>
    <w:rsid w:val="00D20AB9"/>
    <w:rsid w:val="00D20BD7"/>
    <w:rsid w:val="00D20FB9"/>
    <w:rsid w:val="00D2116F"/>
    <w:rsid w:val="00D211CE"/>
    <w:rsid w:val="00D21320"/>
    <w:rsid w:val="00D21891"/>
    <w:rsid w:val="00D21966"/>
    <w:rsid w:val="00D21A95"/>
    <w:rsid w:val="00D21F40"/>
    <w:rsid w:val="00D22010"/>
    <w:rsid w:val="00D2281E"/>
    <w:rsid w:val="00D22E8A"/>
    <w:rsid w:val="00D2333E"/>
    <w:rsid w:val="00D2360B"/>
    <w:rsid w:val="00D236A7"/>
    <w:rsid w:val="00D239E9"/>
    <w:rsid w:val="00D248F7"/>
    <w:rsid w:val="00D24A7F"/>
    <w:rsid w:val="00D25974"/>
    <w:rsid w:val="00D25DA5"/>
    <w:rsid w:val="00D26301"/>
    <w:rsid w:val="00D26A84"/>
    <w:rsid w:val="00D27700"/>
    <w:rsid w:val="00D27B53"/>
    <w:rsid w:val="00D306D1"/>
    <w:rsid w:val="00D306F3"/>
    <w:rsid w:val="00D308F8"/>
    <w:rsid w:val="00D3143B"/>
    <w:rsid w:val="00D31642"/>
    <w:rsid w:val="00D31674"/>
    <w:rsid w:val="00D32002"/>
    <w:rsid w:val="00D32082"/>
    <w:rsid w:val="00D324B3"/>
    <w:rsid w:val="00D329C8"/>
    <w:rsid w:val="00D33614"/>
    <w:rsid w:val="00D33852"/>
    <w:rsid w:val="00D33903"/>
    <w:rsid w:val="00D33AF6"/>
    <w:rsid w:val="00D33E17"/>
    <w:rsid w:val="00D34291"/>
    <w:rsid w:val="00D343B8"/>
    <w:rsid w:val="00D34786"/>
    <w:rsid w:val="00D34CE7"/>
    <w:rsid w:val="00D34E8F"/>
    <w:rsid w:val="00D34EC4"/>
    <w:rsid w:val="00D35F98"/>
    <w:rsid w:val="00D363CB"/>
    <w:rsid w:val="00D367BC"/>
    <w:rsid w:val="00D3681A"/>
    <w:rsid w:val="00D36DC7"/>
    <w:rsid w:val="00D373F6"/>
    <w:rsid w:val="00D37B53"/>
    <w:rsid w:val="00D409A3"/>
    <w:rsid w:val="00D41BBF"/>
    <w:rsid w:val="00D41DC9"/>
    <w:rsid w:val="00D4291A"/>
    <w:rsid w:val="00D43262"/>
    <w:rsid w:val="00D43835"/>
    <w:rsid w:val="00D43A4E"/>
    <w:rsid w:val="00D44154"/>
    <w:rsid w:val="00D44CC0"/>
    <w:rsid w:val="00D44D1C"/>
    <w:rsid w:val="00D455DD"/>
    <w:rsid w:val="00D45802"/>
    <w:rsid w:val="00D4628A"/>
    <w:rsid w:val="00D46A1F"/>
    <w:rsid w:val="00D4736B"/>
    <w:rsid w:val="00D47537"/>
    <w:rsid w:val="00D47A8E"/>
    <w:rsid w:val="00D47AE8"/>
    <w:rsid w:val="00D5022E"/>
    <w:rsid w:val="00D503C3"/>
    <w:rsid w:val="00D506C4"/>
    <w:rsid w:val="00D50CF0"/>
    <w:rsid w:val="00D50D9E"/>
    <w:rsid w:val="00D50E69"/>
    <w:rsid w:val="00D51633"/>
    <w:rsid w:val="00D524E7"/>
    <w:rsid w:val="00D52A23"/>
    <w:rsid w:val="00D52D14"/>
    <w:rsid w:val="00D531E3"/>
    <w:rsid w:val="00D5390E"/>
    <w:rsid w:val="00D543A9"/>
    <w:rsid w:val="00D55A37"/>
    <w:rsid w:val="00D5671A"/>
    <w:rsid w:val="00D57276"/>
    <w:rsid w:val="00D57298"/>
    <w:rsid w:val="00D5757C"/>
    <w:rsid w:val="00D57732"/>
    <w:rsid w:val="00D57E70"/>
    <w:rsid w:val="00D57F66"/>
    <w:rsid w:val="00D6022F"/>
    <w:rsid w:val="00D60299"/>
    <w:rsid w:val="00D603D4"/>
    <w:rsid w:val="00D60F3A"/>
    <w:rsid w:val="00D612F9"/>
    <w:rsid w:val="00D61CF7"/>
    <w:rsid w:val="00D61FF7"/>
    <w:rsid w:val="00D62D3D"/>
    <w:rsid w:val="00D62EE3"/>
    <w:rsid w:val="00D64185"/>
    <w:rsid w:val="00D647EB"/>
    <w:rsid w:val="00D652B5"/>
    <w:rsid w:val="00D65495"/>
    <w:rsid w:val="00D65F09"/>
    <w:rsid w:val="00D664FC"/>
    <w:rsid w:val="00D66A14"/>
    <w:rsid w:val="00D67CC4"/>
    <w:rsid w:val="00D712D3"/>
    <w:rsid w:val="00D71422"/>
    <w:rsid w:val="00D7151E"/>
    <w:rsid w:val="00D7257D"/>
    <w:rsid w:val="00D72582"/>
    <w:rsid w:val="00D72DC6"/>
    <w:rsid w:val="00D744A5"/>
    <w:rsid w:val="00D74BA2"/>
    <w:rsid w:val="00D74D79"/>
    <w:rsid w:val="00D7519B"/>
    <w:rsid w:val="00D752E8"/>
    <w:rsid w:val="00D7558D"/>
    <w:rsid w:val="00D75E0D"/>
    <w:rsid w:val="00D7603D"/>
    <w:rsid w:val="00D7609D"/>
    <w:rsid w:val="00D76222"/>
    <w:rsid w:val="00D7682C"/>
    <w:rsid w:val="00D7684D"/>
    <w:rsid w:val="00D76B90"/>
    <w:rsid w:val="00D77087"/>
    <w:rsid w:val="00D80B10"/>
    <w:rsid w:val="00D80BAC"/>
    <w:rsid w:val="00D810A9"/>
    <w:rsid w:val="00D810EB"/>
    <w:rsid w:val="00D81D92"/>
    <w:rsid w:val="00D81DB1"/>
    <w:rsid w:val="00D8270C"/>
    <w:rsid w:val="00D82F90"/>
    <w:rsid w:val="00D832DD"/>
    <w:rsid w:val="00D83493"/>
    <w:rsid w:val="00D84471"/>
    <w:rsid w:val="00D84F1F"/>
    <w:rsid w:val="00D85115"/>
    <w:rsid w:val="00D85BCD"/>
    <w:rsid w:val="00D85EAB"/>
    <w:rsid w:val="00D85EF7"/>
    <w:rsid w:val="00D86219"/>
    <w:rsid w:val="00D86479"/>
    <w:rsid w:val="00D864FB"/>
    <w:rsid w:val="00D86926"/>
    <w:rsid w:val="00D86B51"/>
    <w:rsid w:val="00D86B6A"/>
    <w:rsid w:val="00D86C32"/>
    <w:rsid w:val="00D871DD"/>
    <w:rsid w:val="00D87369"/>
    <w:rsid w:val="00D8739D"/>
    <w:rsid w:val="00D878B9"/>
    <w:rsid w:val="00D87B8E"/>
    <w:rsid w:val="00D900B7"/>
    <w:rsid w:val="00D90284"/>
    <w:rsid w:val="00D91266"/>
    <w:rsid w:val="00D9160D"/>
    <w:rsid w:val="00D91F0B"/>
    <w:rsid w:val="00D92701"/>
    <w:rsid w:val="00D927A3"/>
    <w:rsid w:val="00D928B6"/>
    <w:rsid w:val="00D9291F"/>
    <w:rsid w:val="00D92C49"/>
    <w:rsid w:val="00D92CC8"/>
    <w:rsid w:val="00D9324C"/>
    <w:rsid w:val="00D938BF"/>
    <w:rsid w:val="00D9413C"/>
    <w:rsid w:val="00D9479F"/>
    <w:rsid w:val="00D94A3B"/>
    <w:rsid w:val="00D95A66"/>
    <w:rsid w:val="00D961AB"/>
    <w:rsid w:val="00D97446"/>
    <w:rsid w:val="00D974F6"/>
    <w:rsid w:val="00D9757F"/>
    <w:rsid w:val="00D97B6E"/>
    <w:rsid w:val="00DA05DA"/>
    <w:rsid w:val="00DA0ACA"/>
    <w:rsid w:val="00DA0B90"/>
    <w:rsid w:val="00DA0CF1"/>
    <w:rsid w:val="00DA14C8"/>
    <w:rsid w:val="00DA2039"/>
    <w:rsid w:val="00DA2351"/>
    <w:rsid w:val="00DA2675"/>
    <w:rsid w:val="00DA307A"/>
    <w:rsid w:val="00DA380D"/>
    <w:rsid w:val="00DA3E6F"/>
    <w:rsid w:val="00DA4592"/>
    <w:rsid w:val="00DA4E12"/>
    <w:rsid w:val="00DA59AB"/>
    <w:rsid w:val="00DA5FD7"/>
    <w:rsid w:val="00DA6705"/>
    <w:rsid w:val="00DA6D54"/>
    <w:rsid w:val="00DA7111"/>
    <w:rsid w:val="00DA7B5F"/>
    <w:rsid w:val="00DA7BF2"/>
    <w:rsid w:val="00DB00A0"/>
    <w:rsid w:val="00DB0A25"/>
    <w:rsid w:val="00DB11C3"/>
    <w:rsid w:val="00DB1255"/>
    <w:rsid w:val="00DB1335"/>
    <w:rsid w:val="00DB1657"/>
    <w:rsid w:val="00DB1843"/>
    <w:rsid w:val="00DB2856"/>
    <w:rsid w:val="00DB32E8"/>
    <w:rsid w:val="00DB330D"/>
    <w:rsid w:val="00DB397C"/>
    <w:rsid w:val="00DB39B4"/>
    <w:rsid w:val="00DB4292"/>
    <w:rsid w:val="00DB50A5"/>
    <w:rsid w:val="00DB567E"/>
    <w:rsid w:val="00DB5C1D"/>
    <w:rsid w:val="00DB69E7"/>
    <w:rsid w:val="00DB6BC5"/>
    <w:rsid w:val="00DB6CA2"/>
    <w:rsid w:val="00DB7AEB"/>
    <w:rsid w:val="00DC0183"/>
    <w:rsid w:val="00DC01D2"/>
    <w:rsid w:val="00DC0482"/>
    <w:rsid w:val="00DC0551"/>
    <w:rsid w:val="00DC0767"/>
    <w:rsid w:val="00DC0D80"/>
    <w:rsid w:val="00DC11E7"/>
    <w:rsid w:val="00DC1A2E"/>
    <w:rsid w:val="00DC1E9C"/>
    <w:rsid w:val="00DC2B87"/>
    <w:rsid w:val="00DC337C"/>
    <w:rsid w:val="00DC4351"/>
    <w:rsid w:val="00DC499C"/>
    <w:rsid w:val="00DC51DD"/>
    <w:rsid w:val="00DC5C29"/>
    <w:rsid w:val="00DC6095"/>
    <w:rsid w:val="00DC61EE"/>
    <w:rsid w:val="00DC67B2"/>
    <w:rsid w:val="00DC6B69"/>
    <w:rsid w:val="00DC6F0A"/>
    <w:rsid w:val="00DC6F6C"/>
    <w:rsid w:val="00DC6F7C"/>
    <w:rsid w:val="00DC7023"/>
    <w:rsid w:val="00DC769A"/>
    <w:rsid w:val="00DC7C71"/>
    <w:rsid w:val="00DC7E66"/>
    <w:rsid w:val="00DD0888"/>
    <w:rsid w:val="00DD0BBA"/>
    <w:rsid w:val="00DD1443"/>
    <w:rsid w:val="00DD2142"/>
    <w:rsid w:val="00DD24ED"/>
    <w:rsid w:val="00DD3D86"/>
    <w:rsid w:val="00DD3E65"/>
    <w:rsid w:val="00DD410F"/>
    <w:rsid w:val="00DD4C4D"/>
    <w:rsid w:val="00DD5B44"/>
    <w:rsid w:val="00DD5D7B"/>
    <w:rsid w:val="00DD65CF"/>
    <w:rsid w:val="00DD684B"/>
    <w:rsid w:val="00DD6D14"/>
    <w:rsid w:val="00DD6F74"/>
    <w:rsid w:val="00DD70D2"/>
    <w:rsid w:val="00DE02F3"/>
    <w:rsid w:val="00DE07D2"/>
    <w:rsid w:val="00DE09A1"/>
    <w:rsid w:val="00DE09A5"/>
    <w:rsid w:val="00DE0A59"/>
    <w:rsid w:val="00DE1353"/>
    <w:rsid w:val="00DE21FB"/>
    <w:rsid w:val="00DE2557"/>
    <w:rsid w:val="00DE2805"/>
    <w:rsid w:val="00DE2D1E"/>
    <w:rsid w:val="00DE2DCE"/>
    <w:rsid w:val="00DE30FA"/>
    <w:rsid w:val="00DE4C67"/>
    <w:rsid w:val="00DE610F"/>
    <w:rsid w:val="00DE6CA6"/>
    <w:rsid w:val="00DE710B"/>
    <w:rsid w:val="00DE7267"/>
    <w:rsid w:val="00DE792A"/>
    <w:rsid w:val="00DF01D3"/>
    <w:rsid w:val="00DF087C"/>
    <w:rsid w:val="00DF0C1C"/>
    <w:rsid w:val="00DF0F2C"/>
    <w:rsid w:val="00DF0FC5"/>
    <w:rsid w:val="00DF1B4B"/>
    <w:rsid w:val="00DF1BCE"/>
    <w:rsid w:val="00DF26AA"/>
    <w:rsid w:val="00DF26E3"/>
    <w:rsid w:val="00DF36A5"/>
    <w:rsid w:val="00DF41C7"/>
    <w:rsid w:val="00DF4976"/>
    <w:rsid w:val="00DF4BDC"/>
    <w:rsid w:val="00DF4DC3"/>
    <w:rsid w:val="00DF6137"/>
    <w:rsid w:val="00DF640C"/>
    <w:rsid w:val="00DF6D65"/>
    <w:rsid w:val="00DF6EE0"/>
    <w:rsid w:val="00DF7740"/>
    <w:rsid w:val="00E0018F"/>
    <w:rsid w:val="00E00575"/>
    <w:rsid w:val="00E007B6"/>
    <w:rsid w:val="00E00943"/>
    <w:rsid w:val="00E00A9E"/>
    <w:rsid w:val="00E00BED"/>
    <w:rsid w:val="00E00E8B"/>
    <w:rsid w:val="00E01699"/>
    <w:rsid w:val="00E01F68"/>
    <w:rsid w:val="00E0225F"/>
    <w:rsid w:val="00E0238B"/>
    <w:rsid w:val="00E025B6"/>
    <w:rsid w:val="00E02F88"/>
    <w:rsid w:val="00E0340B"/>
    <w:rsid w:val="00E03579"/>
    <w:rsid w:val="00E03D10"/>
    <w:rsid w:val="00E04626"/>
    <w:rsid w:val="00E04845"/>
    <w:rsid w:val="00E05117"/>
    <w:rsid w:val="00E05283"/>
    <w:rsid w:val="00E0542D"/>
    <w:rsid w:val="00E054BE"/>
    <w:rsid w:val="00E05590"/>
    <w:rsid w:val="00E05963"/>
    <w:rsid w:val="00E05DD4"/>
    <w:rsid w:val="00E06907"/>
    <w:rsid w:val="00E07283"/>
    <w:rsid w:val="00E073AA"/>
    <w:rsid w:val="00E07432"/>
    <w:rsid w:val="00E07651"/>
    <w:rsid w:val="00E07A00"/>
    <w:rsid w:val="00E07F44"/>
    <w:rsid w:val="00E100AC"/>
    <w:rsid w:val="00E10211"/>
    <w:rsid w:val="00E10B87"/>
    <w:rsid w:val="00E10F7B"/>
    <w:rsid w:val="00E11EFC"/>
    <w:rsid w:val="00E12008"/>
    <w:rsid w:val="00E129DA"/>
    <w:rsid w:val="00E12D6E"/>
    <w:rsid w:val="00E12FA4"/>
    <w:rsid w:val="00E132E4"/>
    <w:rsid w:val="00E1365D"/>
    <w:rsid w:val="00E138C0"/>
    <w:rsid w:val="00E140CF"/>
    <w:rsid w:val="00E14A07"/>
    <w:rsid w:val="00E1541F"/>
    <w:rsid w:val="00E15E74"/>
    <w:rsid w:val="00E161B6"/>
    <w:rsid w:val="00E166A0"/>
    <w:rsid w:val="00E168F4"/>
    <w:rsid w:val="00E16A50"/>
    <w:rsid w:val="00E16D17"/>
    <w:rsid w:val="00E206A7"/>
    <w:rsid w:val="00E209A8"/>
    <w:rsid w:val="00E20EBA"/>
    <w:rsid w:val="00E21558"/>
    <w:rsid w:val="00E2197C"/>
    <w:rsid w:val="00E219C7"/>
    <w:rsid w:val="00E21AB8"/>
    <w:rsid w:val="00E21F0D"/>
    <w:rsid w:val="00E2257A"/>
    <w:rsid w:val="00E2265D"/>
    <w:rsid w:val="00E226AD"/>
    <w:rsid w:val="00E2332B"/>
    <w:rsid w:val="00E236F6"/>
    <w:rsid w:val="00E239AD"/>
    <w:rsid w:val="00E23E3D"/>
    <w:rsid w:val="00E23EAA"/>
    <w:rsid w:val="00E23FC1"/>
    <w:rsid w:val="00E2435C"/>
    <w:rsid w:val="00E24E60"/>
    <w:rsid w:val="00E25B14"/>
    <w:rsid w:val="00E2717A"/>
    <w:rsid w:val="00E276D3"/>
    <w:rsid w:val="00E27E1F"/>
    <w:rsid w:val="00E30427"/>
    <w:rsid w:val="00E31199"/>
    <w:rsid w:val="00E3130F"/>
    <w:rsid w:val="00E3162A"/>
    <w:rsid w:val="00E31C5F"/>
    <w:rsid w:val="00E3229C"/>
    <w:rsid w:val="00E3282D"/>
    <w:rsid w:val="00E32E6B"/>
    <w:rsid w:val="00E334EE"/>
    <w:rsid w:val="00E34B4D"/>
    <w:rsid w:val="00E34B77"/>
    <w:rsid w:val="00E34E0F"/>
    <w:rsid w:val="00E34F67"/>
    <w:rsid w:val="00E34F86"/>
    <w:rsid w:val="00E35456"/>
    <w:rsid w:val="00E361C5"/>
    <w:rsid w:val="00E36321"/>
    <w:rsid w:val="00E3643F"/>
    <w:rsid w:val="00E36709"/>
    <w:rsid w:val="00E375F7"/>
    <w:rsid w:val="00E379FB"/>
    <w:rsid w:val="00E40449"/>
    <w:rsid w:val="00E404DA"/>
    <w:rsid w:val="00E40AE5"/>
    <w:rsid w:val="00E40EAA"/>
    <w:rsid w:val="00E42BC5"/>
    <w:rsid w:val="00E42DC6"/>
    <w:rsid w:val="00E43157"/>
    <w:rsid w:val="00E43391"/>
    <w:rsid w:val="00E443D8"/>
    <w:rsid w:val="00E44FB5"/>
    <w:rsid w:val="00E4564E"/>
    <w:rsid w:val="00E45D84"/>
    <w:rsid w:val="00E461CE"/>
    <w:rsid w:val="00E4688F"/>
    <w:rsid w:val="00E47085"/>
    <w:rsid w:val="00E47274"/>
    <w:rsid w:val="00E475CB"/>
    <w:rsid w:val="00E50985"/>
    <w:rsid w:val="00E5125E"/>
    <w:rsid w:val="00E5183E"/>
    <w:rsid w:val="00E52120"/>
    <w:rsid w:val="00E52778"/>
    <w:rsid w:val="00E53522"/>
    <w:rsid w:val="00E53BCF"/>
    <w:rsid w:val="00E551A3"/>
    <w:rsid w:val="00E555A6"/>
    <w:rsid w:val="00E55C9B"/>
    <w:rsid w:val="00E571A2"/>
    <w:rsid w:val="00E57951"/>
    <w:rsid w:val="00E6041E"/>
    <w:rsid w:val="00E60984"/>
    <w:rsid w:val="00E611C5"/>
    <w:rsid w:val="00E6134B"/>
    <w:rsid w:val="00E620D3"/>
    <w:rsid w:val="00E625E8"/>
    <w:rsid w:val="00E6318B"/>
    <w:rsid w:val="00E632A1"/>
    <w:rsid w:val="00E638E9"/>
    <w:rsid w:val="00E63F00"/>
    <w:rsid w:val="00E64205"/>
    <w:rsid w:val="00E64439"/>
    <w:rsid w:val="00E64C50"/>
    <w:rsid w:val="00E64F6D"/>
    <w:rsid w:val="00E65121"/>
    <w:rsid w:val="00E65231"/>
    <w:rsid w:val="00E65686"/>
    <w:rsid w:val="00E6583F"/>
    <w:rsid w:val="00E65D77"/>
    <w:rsid w:val="00E65EEA"/>
    <w:rsid w:val="00E671D9"/>
    <w:rsid w:val="00E6751B"/>
    <w:rsid w:val="00E67D4F"/>
    <w:rsid w:val="00E67FE0"/>
    <w:rsid w:val="00E7107C"/>
    <w:rsid w:val="00E7199C"/>
    <w:rsid w:val="00E71AC7"/>
    <w:rsid w:val="00E720CA"/>
    <w:rsid w:val="00E73DA2"/>
    <w:rsid w:val="00E73EA0"/>
    <w:rsid w:val="00E73F34"/>
    <w:rsid w:val="00E752DD"/>
    <w:rsid w:val="00E75431"/>
    <w:rsid w:val="00E75A4B"/>
    <w:rsid w:val="00E75F15"/>
    <w:rsid w:val="00E763FB"/>
    <w:rsid w:val="00E7757D"/>
    <w:rsid w:val="00E77E37"/>
    <w:rsid w:val="00E802E4"/>
    <w:rsid w:val="00E80D57"/>
    <w:rsid w:val="00E80FE4"/>
    <w:rsid w:val="00E81BF2"/>
    <w:rsid w:val="00E82893"/>
    <w:rsid w:val="00E82DD9"/>
    <w:rsid w:val="00E830D2"/>
    <w:rsid w:val="00E83682"/>
    <w:rsid w:val="00E83C3F"/>
    <w:rsid w:val="00E83F5C"/>
    <w:rsid w:val="00E840EE"/>
    <w:rsid w:val="00E841AF"/>
    <w:rsid w:val="00E84727"/>
    <w:rsid w:val="00E84E07"/>
    <w:rsid w:val="00E84EB5"/>
    <w:rsid w:val="00E85662"/>
    <w:rsid w:val="00E85940"/>
    <w:rsid w:val="00E8629D"/>
    <w:rsid w:val="00E86A9C"/>
    <w:rsid w:val="00E86B98"/>
    <w:rsid w:val="00E8734C"/>
    <w:rsid w:val="00E8744A"/>
    <w:rsid w:val="00E8789F"/>
    <w:rsid w:val="00E90B04"/>
    <w:rsid w:val="00E91BB5"/>
    <w:rsid w:val="00E92441"/>
    <w:rsid w:val="00E925A2"/>
    <w:rsid w:val="00E9272C"/>
    <w:rsid w:val="00E92C44"/>
    <w:rsid w:val="00E93945"/>
    <w:rsid w:val="00E93ACE"/>
    <w:rsid w:val="00E93FD8"/>
    <w:rsid w:val="00E943D5"/>
    <w:rsid w:val="00E94A36"/>
    <w:rsid w:val="00E9542C"/>
    <w:rsid w:val="00E956AB"/>
    <w:rsid w:val="00E95C05"/>
    <w:rsid w:val="00E960F8"/>
    <w:rsid w:val="00E96E07"/>
    <w:rsid w:val="00E96E11"/>
    <w:rsid w:val="00E96E1A"/>
    <w:rsid w:val="00E97468"/>
    <w:rsid w:val="00E97B71"/>
    <w:rsid w:val="00EA00A7"/>
    <w:rsid w:val="00EA030C"/>
    <w:rsid w:val="00EA058D"/>
    <w:rsid w:val="00EA0A0E"/>
    <w:rsid w:val="00EA0ACD"/>
    <w:rsid w:val="00EA1360"/>
    <w:rsid w:val="00EA16FC"/>
    <w:rsid w:val="00EA1F8F"/>
    <w:rsid w:val="00EA33E8"/>
    <w:rsid w:val="00EA3D34"/>
    <w:rsid w:val="00EA4459"/>
    <w:rsid w:val="00EA4585"/>
    <w:rsid w:val="00EA4702"/>
    <w:rsid w:val="00EA4837"/>
    <w:rsid w:val="00EA59B1"/>
    <w:rsid w:val="00EA59BB"/>
    <w:rsid w:val="00EA5C48"/>
    <w:rsid w:val="00EA5D1F"/>
    <w:rsid w:val="00EA68AD"/>
    <w:rsid w:val="00EA6E86"/>
    <w:rsid w:val="00EA7DAD"/>
    <w:rsid w:val="00EB0237"/>
    <w:rsid w:val="00EB0584"/>
    <w:rsid w:val="00EB0CC8"/>
    <w:rsid w:val="00EB0EBD"/>
    <w:rsid w:val="00EB1228"/>
    <w:rsid w:val="00EB1348"/>
    <w:rsid w:val="00EB13E5"/>
    <w:rsid w:val="00EB1949"/>
    <w:rsid w:val="00EB1FA6"/>
    <w:rsid w:val="00EB25FE"/>
    <w:rsid w:val="00EB26D3"/>
    <w:rsid w:val="00EB2AC2"/>
    <w:rsid w:val="00EB2D76"/>
    <w:rsid w:val="00EB38D2"/>
    <w:rsid w:val="00EB3952"/>
    <w:rsid w:val="00EB3F5A"/>
    <w:rsid w:val="00EB413B"/>
    <w:rsid w:val="00EB454D"/>
    <w:rsid w:val="00EB492B"/>
    <w:rsid w:val="00EB576A"/>
    <w:rsid w:val="00EB60D2"/>
    <w:rsid w:val="00EB65F1"/>
    <w:rsid w:val="00EB7776"/>
    <w:rsid w:val="00EC271E"/>
    <w:rsid w:val="00EC3420"/>
    <w:rsid w:val="00EC3F5A"/>
    <w:rsid w:val="00EC57CD"/>
    <w:rsid w:val="00EC5871"/>
    <w:rsid w:val="00EC5AE5"/>
    <w:rsid w:val="00EC5EC4"/>
    <w:rsid w:val="00EC5F21"/>
    <w:rsid w:val="00EC5FC9"/>
    <w:rsid w:val="00EC6162"/>
    <w:rsid w:val="00EC68A4"/>
    <w:rsid w:val="00EC6C07"/>
    <w:rsid w:val="00EC6FCD"/>
    <w:rsid w:val="00EC75CD"/>
    <w:rsid w:val="00EC7729"/>
    <w:rsid w:val="00ED13EE"/>
    <w:rsid w:val="00ED1421"/>
    <w:rsid w:val="00ED14D5"/>
    <w:rsid w:val="00ED1A3E"/>
    <w:rsid w:val="00ED1B04"/>
    <w:rsid w:val="00ED248C"/>
    <w:rsid w:val="00ED2824"/>
    <w:rsid w:val="00ED2B97"/>
    <w:rsid w:val="00ED3D04"/>
    <w:rsid w:val="00ED4148"/>
    <w:rsid w:val="00ED52D6"/>
    <w:rsid w:val="00ED67F1"/>
    <w:rsid w:val="00ED75BD"/>
    <w:rsid w:val="00ED76BE"/>
    <w:rsid w:val="00ED7C53"/>
    <w:rsid w:val="00EE0032"/>
    <w:rsid w:val="00EE0747"/>
    <w:rsid w:val="00EE07CF"/>
    <w:rsid w:val="00EE0E65"/>
    <w:rsid w:val="00EE0EF2"/>
    <w:rsid w:val="00EE0F3C"/>
    <w:rsid w:val="00EE0F71"/>
    <w:rsid w:val="00EE1908"/>
    <w:rsid w:val="00EE1F51"/>
    <w:rsid w:val="00EE2B93"/>
    <w:rsid w:val="00EE2D9F"/>
    <w:rsid w:val="00EE3156"/>
    <w:rsid w:val="00EE3EEA"/>
    <w:rsid w:val="00EE42B2"/>
    <w:rsid w:val="00EE507F"/>
    <w:rsid w:val="00EE51CE"/>
    <w:rsid w:val="00EE52BC"/>
    <w:rsid w:val="00EE5AB2"/>
    <w:rsid w:val="00EE6E06"/>
    <w:rsid w:val="00EE7DB5"/>
    <w:rsid w:val="00EF019F"/>
    <w:rsid w:val="00EF0CFD"/>
    <w:rsid w:val="00EF10AE"/>
    <w:rsid w:val="00EF1FDC"/>
    <w:rsid w:val="00EF20EA"/>
    <w:rsid w:val="00EF25E4"/>
    <w:rsid w:val="00EF293D"/>
    <w:rsid w:val="00EF3628"/>
    <w:rsid w:val="00EF3997"/>
    <w:rsid w:val="00EF3AAC"/>
    <w:rsid w:val="00EF3ACE"/>
    <w:rsid w:val="00EF3F5D"/>
    <w:rsid w:val="00EF4A52"/>
    <w:rsid w:val="00EF4D4A"/>
    <w:rsid w:val="00EF53F2"/>
    <w:rsid w:val="00EF55FC"/>
    <w:rsid w:val="00EF5F2C"/>
    <w:rsid w:val="00EF619B"/>
    <w:rsid w:val="00EF6A54"/>
    <w:rsid w:val="00EF6DE9"/>
    <w:rsid w:val="00EF7060"/>
    <w:rsid w:val="00EF73D7"/>
    <w:rsid w:val="00EF769D"/>
    <w:rsid w:val="00EF7710"/>
    <w:rsid w:val="00EF7AD6"/>
    <w:rsid w:val="00EF7B0E"/>
    <w:rsid w:val="00F00055"/>
    <w:rsid w:val="00F00735"/>
    <w:rsid w:val="00F00B55"/>
    <w:rsid w:val="00F01E62"/>
    <w:rsid w:val="00F02506"/>
    <w:rsid w:val="00F027CA"/>
    <w:rsid w:val="00F02987"/>
    <w:rsid w:val="00F02AD1"/>
    <w:rsid w:val="00F031DF"/>
    <w:rsid w:val="00F03977"/>
    <w:rsid w:val="00F03B99"/>
    <w:rsid w:val="00F0417F"/>
    <w:rsid w:val="00F04F35"/>
    <w:rsid w:val="00F0509B"/>
    <w:rsid w:val="00F053C0"/>
    <w:rsid w:val="00F05F94"/>
    <w:rsid w:val="00F065B7"/>
    <w:rsid w:val="00F06BB9"/>
    <w:rsid w:val="00F071A7"/>
    <w:rsid w:val="00F07BE5"/>
    <w:rsid w:val="00F1030E"/>
    <w:rsid w:val="00F107B2"/>
    <w:rsid w:val="00F10D7E"/>
    <w:rsid w:val="00F10EF7"/>
    <w:rsid w:val="00F10F5F"/>
    <w:rsid w:val="00F11B32"/>
    <w:rsid w:val="00F11CDE"/>
    <w:rsid w:val="00F11CF8"/>
    <w:rsid w:val="00F121B8"/>
    <w:rsid w:val="00F12E5C"/>
    <w:rsid w:val="00F141E4"/>
    <w:rsid w:val="00F14D01"/>
    <w:rsid w:val="00F14E7D"/>
    <w:rsid w:val="00F1510C"/>
    <w:rsid w:val="00F16E58"/>
    <w:rsid w:val="00F1755B"/>
    <w:rsid w:val="00F2057E"/>
    <w:rsid w:val="00F2093A"/>
    <w:rsid w:val="00F21548"/>
    <w:rsid w:val="00F219EA"/>
    <w:rsid w:val="00F22F20"/>
    <w:rsid w:val="00F23C77"/>
    <w:rsid w:val="00F23DB8"/>
    <w:rsid w:val="00F247A0"/>
    <w:rsid w:val="00F250C7"/>
    <w:rsid w:val="00F253CC"/>
    <w:rsid w:val="00F2551C"/>
    <w:rsid w:val="00F2579B"/>
    <w:rsid w:val="00F25A36"/>
    <w:rsid w:val="00F25CD8"/>
    <w:rsid w:val="00F2600C"/>
    <w:rsid w:val="00F26A2B"/>
    <w:rsid w:val="00F2702A"/>
    <w:rsid w:val="00F2796D"/>
    <w:rsid w:val="00F27A79"/>
    <w:rsid w:val="00F3016F"/>
    <w:rsid w:val="00F301F1"/>
    <w:rsid w:val="00F3062D"/>
    <w:rsid w:val="00F30798"/>
    <w:rsid w:val="00F30897"/>
    <w:rsid w:val="00F318EF"/>
    <w:rsid w:val="00F3246D"/>
    <w:rsid w:val="00F32627"/>
    <w:rsid w:val="00F328BD"/>
    <w:rsid w:val="00F33748"/>
    <w:rsid w:val="00F33955"/>
    <w:rsid w:val="00F34358"/>
    <w:rsid w:val="00F3585A"/>
    <w:rsid w:val="00F36342"/>
    <w:rsid w:val="00F3684D"/>
    <w:rsid w:val="00F3692A"/>
    <w:rsid w:val="00F36BBC"/>
    <w:rsid w:val="00F36DD3"/>
    <w:rsid w:val="00F37106"/>
    <w:rsid w:val="00F3776F"/>
    <w:rsid w:val="00F4059E"/>
    <w:rsid w:val="00F42707"/>
    <w:rsid w:val="00F42AAE"/>
    <w:rsid w:val="00F4360C"/>
    <w:rsid w:val="00F4406D"/>
    <w:rsid w:val="00F4462C"/>
    <w:rsid w:val="00F44C09"/>
    <w:rsid w:val="00F44C2B"/>
    <w:rsid w:val="00F44FED"/>
    <w:rsid w:val="00F458B4"/>
    <w:rsid w:val="00F45942"/>
    <w:rsid w:val="00F45B86"/>
    <w:rsid w:val="00F460BD"/>
    <w:rsid w:val="00F46421"/>
    <w:rsid w:val="00F46DCE"/>
    <w:rsid w:val="00F47813"/>
    <w:rsid w:val="00F503E5"/>
    <w:rsid w:val="00F506DB"/>
    <w:rsid w:val="00F50950"/>
    <w:rsid w:val="00F50C83"/>
    <w:rsid w:val="00F50E2F"/>
    <w:rsid w:val="00F5120C"/>
    <w:rsid w:val="00F519CF"/>
    <w:rsid w:val="00F52036"/>
    <w:rsid w:val="00F5266C"/>
    <w:rsid w:val="00F537C8"/>
    <w:rsid w:val="00F5380C"/>
    <w:rsid w:val="00F53D74"/>
    <w:rsid w:val="00F54ECA"/>
    <w:rsid w:val="00F5569F"/>
    <w:rsid w:val="00F557DF"/>
    <w:rsid w:val="00F56BA5"/>
    <w:rsid w:val="00F56C88"/>
    <w:rsid w:val="00F57702"/>
    <w:rsid w:val="00F57724"/>
    <w:rsid w:val="00F57978"/>
    <w:rsid w:val="00F605CF"/>
    <w:rsid w:val="00F607B9"/>
    <w:rsid w:val="00F60E22"/>
    <w:rsid w:val="00F60E5B"/>
    <w:rsid w:val="00F6165A"/>
    <w:rsid w:val="00F61A1A"/>
    <w:rsid w:val="00F61FE4"/>
    <w:rsid w:val="00F62600"/>
    <w:rsid w:val="00F62748"/>
    <w:rsid w:val="00F62D1E"/>
    <w:rsid w:val="00F63367"/>
    <w:rsid w:val="00F63CCB"/>
    <w:rsid w:val="00F640C5"/>
    <w:rsid w:val="00F64B8B"/>
    <w:rsid w:val="00F64DB1"/>
    <w:rsid w:val="00F653D2"/>
    <w:rsid w:val="00F65545"/>
    <w:rsid w:val="00F659EC"/>
    <w:rsid w:val="00F6703B"/>
    <w:rsid w:val="00F678B3"/>
    <w:rsid w:val="00F67A50"/>
    <w:rsid w:val="00F67B09"/>
    <w:rsid w:val="00F67C38"/>
    <w:rsid w:val="00F70327"/>
    <w:rsid w:val="00F711C6"/>
    <w:rsid w:val="00F7124D"/>
    <w:rsid w:val="00F71A9D"/>
    <w:rsid w:val="00F7244A"/>
    <w:rsid w:val="00F72BD4"/>
    <w:rsid w:val="00F73687"/>
    <w:rsid w:val="00F746C3"/>
    <w:rsid w:val="00F74E0A"/>
    <w:rsid w:val="00F75A47"/>
    <w:rsid w:val="00F75F3C"/>
    <w:rsid w:val="00F764FE"/>
    <w:rsid w:val="00F77DF8"/>
    <w:rsid w:val="00F804AE"/>
    <w:rsid w:val="00F8067B"/>
    <w:rsid w:val="00F82DD5"/>
    <w:rsid w:val="00F82E43"/>
    <w:rsid w:val="00F843AA"/>
    <w:rsid w:val="00F84D44"/>
    <w:rsid w:val="00F852F7"/>
    <w:rsid w:val="00F85A52"/>
    <w:rsid w:val="00F860B1"/>
    <w:rsid w:val="00F866A6"/>
    <w:rsid w:val="00F869AF"/>
    <w:rsid w:val="00F869E0"/>
    <w:rsid w:val="00F877C0"/>
    <w:rsid w:val="00F9043B"/>
    <w:rsid w:val="00F90590"/>
    <w:rsid w:val="00F90767"/>
    <w:rsid w:val="00F90CAC"/>
    <w:rsid w:val="00F90CC2"/>
    <w:rsid w:val="00F90CE4"/>
    <w:rsid w:val="00F91160"/>
    <w:rsid w:val="00F91542"/>
    <w:rsid w:val="00F917D1"/>
    <w:rsid w:val="00F92433"/>
    <w:rsid w:val="00F93F64"/>
    <w:rsid w:val="00F94216"/>
    <w:rsid w:val="00F9491D"/>
    <w:rsid w:val="00F954CA"/>
    <w:rsid w:val="00F9568E"/>
    <w:rsid w:val="00F957AE"/>
    <w:rsid w:val="00F95A27"/>
    <w:rsid w:val="00F96160"/>
    <w:rsid w:val="00F9653B"/>
    <w:rsid w:val="00F96778"/>
    <w:rsid w:val="00F97A52"/>
    <w:rsid w:val="00F97E2D"/>
    <w:rsid w:val="00F97E62"/>
    <w:rsid w:val="00FA02EB"/>
    <w:rsid w:val="00FA0338"/>
    <w:rsid w:val="00FA08DD"/>
    <w:rsid w:val="00FA093F"/>
    <w:rsid w:val="00FA0D48"/>
    <w:rsid w:val="00FA114B"/>
    <w:rsid w:val="00FA174E"/>
    <w:rsid w:val="00FA1A78"/>
    <w:rsid w:val="00FA1F84"/>
    <w:rsid w:val="00FA1FAA"/>
    <w:rsid w:val="00FA20B3"/>
    <w:rsid w:val="00FA2595"/>
    <w:rsid w:val="00FA2E9D"/>
    <w:rsid w:val="00FA3858"/>
    <w:rsid w:val="00FA3C98"/>
    <w:rsid w:val="00FA4035"/>
    <w:rsid w:val="00FA4293"/>
    <w:rsid w:val="00FA46DA"/>
    <w:rsid w:val="00FA4AD3"/>
    <w:rsid w:val="00FA57A0"/>
    <w:rsid w:val="00FA5957"/>
    <w:rsid w:val="00FA5C21"/>
    <w:rsid w:val="00FA5EAE"/>
    <w:rsid w:val="00FA60B9"/>
    <w:rsid w:val="00FA65A6"/>
    <w:rsid w:val="00FA66D9"/>
    <w:rsid w:val="00FA6A30"/>
    <w:rsid w:val="00FA6C23"/>
    <w:rsid w:val="00FA7494"/>
    <w:rsid w:val="00FA7605"/>
    <w:rsid w:val="00FA77B7"/>
    <w:rsid w:val="00FB069F"/>
    <w:rsid w:val="00FB098E"/>
    <w:rsid w:val="00FB1084"/>
    <w:rsid w:val="00FB14D9"/>
    <w:rsid w:val="00FB1666"/>
    <w:rsid w:val="00FB2096"/>
    <w:rsid w:val="00FB3D94"/>
    <w:rsid w:val="00FB3F5D"/>
    <w:rsid w:val="00FB4364"/>
    <w:rsid w:val="00FB43DD"/>
    <w:rsid w:val="00FB4BD3"/>
    <w:rsid w:val="00FB4EB8"/>
    <w:rsid w:val="00FB52E5"/>
    <w:rsid w:val="00FB60C9"/>
    <w:rsid w:val="00FB6151"/>
    <w:rsid w:val="00FB62CF"/>
    <w:rsid w:val="00FB6330"/>
    <w:rsid w:val="00FB64DE"/>
    <w:rsid w:val="00FB68F0"/>
    <w:rsid w:val="00FC0761"/>
    <w:rsid w:val="00FC1660"/>
    <w:rsid w:val="00FC3B9C"/>
    <w:rsid w:val="00FC3E44"/>
    <w:rsid w:val="00FC4122"/>
    <w:rsid w:val="00FC415B"/>
    <w:rsid w:val="00FC488C"/>
    <w:rsid w:val="00FC551C"/>
    <w:rsid w:val="00FC563C"/>
    <w:rsid w:val="00FC5691"/>
    <w:rsid w:val="00FC6038"/>
    <w:rsid w:val="00FC634A"/>
    <w:rsid w:val="00FC7319"/>
    <w:rsid w:val="00FC7D96"/>
    <w:rsid w:val="00FD0371"/>
    <w:rsid w:val="00FD05AE"/>
    <w:rsid w:val="00FD0E62"/>
    <w:rsid w:val="00FD0EFE"/>
    <w:rsid w:val="00FD13DD"/>
    <w:rsid w:val="00FD1971"/>
    <w:rsid w:val="00FD1CEF"/>
    <w:rsid w:val="00FD21EF"/>
    <w:rsid w:val="00FD26A1"/>
    <w:rsid w:val="00FD27E6"/>
    <w:rsid w:val="00FD2E3F"/>
    <w:rsid w:val="00FD3C3B"/>
    <w:rsid w:val="00FD3D23"/>
    <w:rsid w:val="00FD44C4"/>
    <w:rsid w:val="00FD4A7B"/>
    <w:rsid w:val="00FD4EC1"/>
    <w:rsid w:val="00FD4F75"/>
    <w:rsid w:val="00FD54DA"/>
    <w:rsid w:val="00FD5921"/>
    <w:rsid w:val="00FD60E3"/>
    <w:rsid w:val="00FD66F9"/>
    <w:rsid w:val="00FD70E8"/>
    <w:rsid w:val="00FD729D"/>
    <w:rsid w:val="00FD76F2"/>
    <w:rsid w:val="00FD79FF"/>
    <w:rsid w:val="00FD7ECB"/>
    <w:rsid w:val="00FE0851"/>
    <w:rsid w:val="00FE0BC9"/>
    <w:rsid w:val="00FE0EE6"/>
    <w:rsid w:val="00FE15F2"/>
    <w:rsid w:val="00FE18F9"/>
    <w:rsid w:val="00FE1F1B"/>
    <w:rsid w:val="00FE1F8C"/>
    <w:rsid w:val="00FE29EC"/>
    <w:rsid w:val="00FE350D"/>
    <w:rsid w:val="00FE45EF"/>
    <w:rsid w:val="00FE487F"/>
    <w:rsid w:val="00FE4928"/>
    <w:rsid w:val="00FE4EE4"/>
    <w:rsid w:val="00FE52B3"/>
    <w:rsid w:val="00FE5E14"/>
    <w:rsid w:val="00FE66A3"/>
    <w:rsid w:val="00FE6783"/>
    <w:rsid w:val="00FE6B45"/>
    <w:rsid w:val="00FE6BB0"/>
    <w:rsid w:val="00FE7413"/>
    <w:rsid w:val="00FF11B9"/>
    <w:rsid w:val="00FF1BD8"/>
    <w:rsid w:val="00FF222C"/>
    <w:rsid w:val="00FF2A34"/>
    <w:rsid w:val="00FF342C"/>
    <w:rsid w:val="00FF3556"/>
    <w:rsid w:val="00FF4706"/>
    <w:rsid w:val="00FF4D55"/>
    <w:rsid w:val="00FF4E38"/>
    <w:rsid w:val="00FF5851"/>
    <w:rsid w:val="00FF5EE6"/>
    <w:rsid w:val="00FF7367"/>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229E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835223"/>
    <w:pPr>
      <w:tabs>
        <w:tab w:val="left" w:pos="1440"/>
        <w:tab w:val="right" w:leader="dot" w:pos="9360"/>
      </w:tabs>
      <w:spacing w:after="100"/>
    </w:pPr>
    <w:rPr>
      <w:rFonts w:asciiTheme="minorHAnsi" w:hAnsiTheme="minorHAnsi"/>
      <w:sz w:val="22"/>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uiPriority w:val="99"/>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uiPriority w:val="99"/>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1">
    <w:name w:val="Sin espaciado1"/>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character" w:customStyle="1" w:styleId="StyleUnivers10pt">
    <w:name w:val="Style Univers 10 pt"/>
    <w:rsid w:val="004D4057"/>
    <w:rPr>
      <w:rFonts w:ascii="Univers" w:hAnsi="Univers"/>
      <w:sz w:val="20"/>
    </w:rPr>
  </w:style>
  <w:style w:type="paragraph" w:customStyle="1" w:styleId="ColorfulList-Accent11">
    <w:name w:val="Colorful List - Accent 11"/>
    <w:basedOn w:val="Normal"/>
    <w:uiPriority w:val="34"/>
    <w:qFormat/>
    <w:rsid w:val="0076223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paragraph" w:styleId="HTMLPreformatted">
    <w:name w:val="HTML Preformatted"/>
    <w:basedOn w:val="Normal"/>
    <w:link w:val="HTMLPreformattedChar"/>
    <w:uiPriority w:val="99"/>
    <w:semiHidden/>
    <w:unhideWhenUsed/>
    <w:rsid w:val="007025F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7025F2"/>
    <w:rPr>
      <w:rFonts w:ascii="Courier New" w:eastAsia="Times New Roman" w:hAnsi="Courier New" w:cs="Courier New"/>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835223"/>
    <w:pPr>
      <w:tabs>
        <w:tab w:val="left" w:pos="1440"/>
        <w:tab w:val="right" w:leader="dot" w:pos="9360"/>
      </w:tabs>
      <w:spacing w:after="100"/>
    </w:pPr>
    <w:rPr>
      <w:rFonts w:asciiTheme="minorHAnsi" w:hAnsiTheme="minorHAnsi"/>
      <w:sz w:val="22"/>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uiPriority w:val="99"/>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uiPriority w:val="99"/>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1">
    <w:name w:val="Sin espaciado1"/>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link w:val="ListParagraph"/>
    <w:uiPriority w:val="34"/>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character" w:customStyle="1" w:styleId="StyleUnivers10pt">
    <w:name w:val="Style Univers 10 pt"/>
    <w:rsid w:val="004D4057"/>
    <w:rPr>
      <w:rFonts w:ascii="Univers" w:hAnsi="Univers"/>
      <w:sz w:val="20"/>
    </w:rPr>
  </w:style>
  <w:style w:type="paragraph" w:customStyle="1" w:styleId="ColorfulList-Accent11">
    <w:name w:val="Colorful List - Accent 11"/>
    <w:basedOn w:val="Normal"/>
    <w:uiPriority w:val="34"/>
    <w:qFormat/>
    <w:rsid w:val="0076223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paragraph" w:styleId="HTMLPreformatted">
    <w:name w:val="HTML Preformatted"/>
    <w:basedOn w:val="Normal"/>
    <w:link w:val="HTMLPreformattedChar"/>
    <w:uiPriority w:val="99"/>
    <w:semiHidden/>
    <w:unhideWhenUsed/>
    <w:rsid w:val="007025F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7025F2"/>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454327789">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229">
      <w:bodyDiv w:val="1"/>
      <w:marLeft w:val="0"/>
      <w:marRight w:val="0"/>
      <w:marTop w:val="0"/>
      <w:marBottom w:val="0"/>
      <w:divBdr>
        <w:top w:val="none" w:sz="0" w:space="0" w:color="auto"/>
        <w:left w:val="none" w:sz="0" w:space="0" w:color="auto"/>
        <w:bottom w:val="none" w:sz="0" w:space="0" w:color="auto"/>
        <w:right w:val="none" w:sz="0" w:space="0" w:color="auto"/>
      </w:divBdr>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816646408">
      <w:bodyDiv w:val="1"/>
      <w:marLeft w:val="0"/>
      <w:marRight w:val="0"/>
      <w:marTop w:val="0"/>
      <w:marBottom w:val="0"/>
      <w:divBdr>
        <w:top w:val="none" w:sz="0" w:space="0" w:color="auto"/>
        <w:left w:val="none" w:sz="0" w:space="0" w:color="auto"/>
        <w:bottom w:val="none" w:sz="0" w:space="0" w:color="auto"/>
        <w:right w:val="none" w:sz="0" w:space="0" w:color="auto"/>
      </w:divBdr>
    </w:div>
    <w:div w:id="823395924">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976683759">
      <w:bodyDiv w:val="1"/>
      <w:marLeft w:val="0"/>
      <w:marRight w:val="0"/>
      <w:marTop w:val="0"/>
      <w:marBottom w:val="0"/>
      <w:divBdr>
        <w:top w:val="none" w:sz="0" w:space="0" w:color="auto"/>
        <w:left w:val="none" w:sz="0" w:space="0" w:color="auto"/>
        <w:bottom w:val="none" w:sz="0" w:space="0" w:color="auto"/>
        <w:right w:val="none" w:sz="0" w:space="0" w:color="auto"/>
      </w:divBdr>
      <w:divsChild>
        <w:div w:id="1074013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076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401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56838">
      <w:bodyDiv w:val="1"/>
      <w:marLeft w:val="0"/>
      <w:marRight w:val="0"/>
      <w:marTop w:val="0"/>
      <w:marBottom w:val="0"/>
      <w:divBdr>
        <w:top w:val="none" w:sz="0" w:space="0" w:color="auto"/>
        <w:left w:val="none" w:sz="0" w:space="0" w:color="auto"/>
        <w:bottom w:val="none" w:sz="0" w:space="0" w:color="auto"/>
        <w:right w:val="none" w:sz="0" w:space="0" w:color="auto"/>
      </w:divBdr>
    </w:div>
    <w:div w:id="1336569766">
      <w:bodyDiv w:val="1"/>
      <w:marLeft w:val="0"/>
      <w:marRight w:val="0"/>
      <w:marTop w:val="0"/>
      <w:marBottom w:val="0"/>
      <w:divBdr>
        <w:top w:val="none" w:sz="0" w:space="0" w:color="auto"/>
        <w:left w:val="none" w:sz="0" w:space="0" w:color="auto"/>
        <w:bottom w:val="none" w:sz="0" w:space="0" w:color="auto"/>
        <w:right w:val="none" w:sz="0" w:space="0" w:color="auto"/>
      </w:divBdr>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9133">
      <w:bodyDiv w:val="1"/>
      <w:marLeft w:val="0"/>
      <w:marRight w:val="0"/>
      <w:marTop w:val="0"/>
      <w:marBottom w:val="0"/>
      <w:divBdr>
        <w:top w:val="none" w:sz="0" w:space="0" w:color="auto"/>
        <w:left w:val="none" w:sz="0" w:space="0" w:color="auto"/>
        <w:bottom w:val="none" w:sz="0" w:space="0" w:color="auto"/>
        <w:right w:val="none" w:sz="0" w:space="0" w:color="auto"/>
      </w:divBdr>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09882">
      <w:bodyDiv w:val="1"/>
      <w:marLeft w:val="0"/>
      <w:marRight w:val="0"/>
      <w:marTop w:val="0"/>
      <w:marBottom w:val="0"/>
      <w:divBdr>
        <w:top w:val="none" w:sz="0" w:space="0" w:color="auto"/>
        <w:left w:val="none" w:sz="0" w:space="0" w:color="auto"/>
        <w:bottom w:val="none" w:sz="0" w:space="0" w:color="auto"/>
        <w:right w:val="none" w:sz="0" w:space="0" w:color="auto"/>
      </w:divBdr>
      <w:divsChild>
        <w:div w:id="1767460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32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449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7744">
      <w:bodyDiv w:val="1"/>
      <w:marLeft w:val="0"/>
      <w:marRight w:val="0"/>
      <w:marTop w:val="0"/>
      <w:marBottom w:val="0"/>
      <w:divBdr>
        <w:top w:val="none" w:sz="0" w:space="0" w:color="auto"/>
        <w:left w:val="none" w:sz="0" w:space="0" w:color="auto"/>
        <w:bottom w:val="none" w:sz="0" w:space="0" w:color="auto"/>
        <w:right w:val="none" w:sz="0" w:space="0" w:color="auto"/>
      </w:divBdr>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0407">
      <w:bodyDiv w:val="1"/>
      <w:marLeft w:val="0"/>
      <w:marRight w:val="0"/>
      <w:marTop w:val="0"/>
      <w:marBottom w:val="0"/>
      <w:divBdr>
        <w:top w:val="none" w:sz="0" w:space="0" w:color="auto"/>
        <w:left w:val="none" w:sz="0" w:space="0" w:color="auto"/>
        <w:bottom w:val="none" w:sz="0" w:space="0" w:color="auto"/>
        <w:right w:val="none" w:sz="0" w:space="0" w:color="auto"/>
      </w:divBdr>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3829">
      <w:bodyDiv w:val="1"/>
      <w:marLeft w:val="0"/>
      <w:marRight w:val="0"/>
      <w:marTop w:val="0"/>
      <w:marBottom w:val="0"/>
      <w:divBdr>
        <w:top w:val="none" w:sz="0" w:space="0" w:color="auto"/>
        <w:left w:val="none" w:sz="0" w:space="0" w:color="auto"/>
        <w:bottom w:val="none" w:sz="0" w:space="0" w:color="auto"/>
        <w:right w:val="none" w:sz="0" w:space="0" w:color="auto"/>
      </w:divBdr>
    </w:div>
    <w:div w:id="2060976800">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uistasc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eluniversal.com/2003/08/14/pol_art_14104AA" TargetMode="External"/><Relationship Id="rId18" Type="http://schemas.openxmlformats.org/officeDocument/2006/relationships/hyperlink" Target="http://www.eluniversal.com/opinion/120225/la-lista-infame-imp" TargetMode="External"/><Relationship Id="rId26" Type="http://schemas.openxmlformats.org/officeDocument/2006/relationships/hyperlink" Target="https://ciudadaniaactivavzla.wordpress.com/2015/03/26/documental-la-lista-tascon/" TargetMode="External"/><Relationship Id="rId39" Type="http://schemas.openxmlformats.org/officeDocument/2006/relationships/hyperlink" Target="http://infovenezuela.org/democracy/attachments-spanish/T5%20ST02%20N2%20Y%20T5ST02N3.pdf" TargetMode="External"/><Relationship Id="rId21" Type="http://schemas.openxmlformats.org/officeDocument/2006/relationships/hyperlink" Target="https://www.cartercenter.org/documents/2021.pdf" TargetMode="External"/><Relationship Id="rId34" Type="http://schemas.openxmlformats.org/officeDocument/2006/relationships/hyperlink" Target="https://www.hrw.org/sites/default/files/reports/venezuela0908spweb_0.pdf" TargetMode="External"/><Relationship Id="rId42" Type="http://schemas.openxmlformats.org/officeDocument/2006/relationships/hyperlink" Target="http://sumate.org/Elecciones/2004Revocatorio/200409_informe_avance_anexos_referendo_revocatorio_presidencial.pdf" TargetMode="External"/><Relationship Id="rId47" Type="http://schemas.openxmlformats.org/officeDocument/2006/relationships/hyperlink" Target="http://www.cidh.org/annualrep/93eng/Mexico.10956.htm" TargetMode="External"/><Relationship Id="rId50" Type="http://schemas.openxmlformats.org/officeDocument/2006/relationships/hyperlink" Target="http://www.cidh.oas.org/demandas/12.502ENG.pdf" TargetMode="External"/><Relationship Id="rId55" Type="http://schemas.openxmlformats.org/officeDocument/2006/relationships/hyperlink" Target="http://www.tsj.gov.ve/legislacion/loadgc.html" TargetMode="External"/><Relationship Id="rId7" Type="http://schemas.openxmlformats.org/officeDocument/2006/relationships/hyperlink" Target="http://infovenezuela.org/democracy/attachments-spanish/T3%20ST03%20N8%20Avance%20Sumate%20RRP1-1.pdf" TargetMode="External"/><Relationship Id="rId12" Type="http://schemas.openxmlformats.org/officeDocument/2006/relationships/hyperlink" Target="http://elpais.com/diario/2003/12/03/internacional/1070406013_850215.html" TargetMode="External"/><Relationship Id="rId17" Type="http://schemas.openxmlformats.org/officeDocument/2006/relationships/hyperlink" Target="https://www.youtube.com/watch?v=2LuOQjhg8BU" TargetMode="External"/><Relationship Id="rId25" Type="http://schemas.openxmlformats.org/officeDocument/2006/relationships/hyperlink" Target="https://ciudadaniaactivavzla.wordpress.com/2015/03/26/documental-la-lista-tascon/" TargetMode="External"/><Relationship Id="rId33" Type="http://schemas.openxmlformats.org/officeDocument/2006/relationships/hyperlink" Target="https://www.hrw.org/sites/default/files/reports/venezuela0908spweb_0.pdf" TargetMode="External"/><Relationship Id="rId38" Type="http://schemas.openxmlformats.org/officeDocument/2006/relationships/hyperlink" Target="http://www.eluniversal.com/2004/03/18/imp_eco_art_18166A" TargetMode="External"/><Relationship Id="rId46" Type="http://schemas.openxmlformats.org/officeDocument/2006/relationships/hyperlink" Target="http://www.refworld.org/docid/453883fc22.html" TargetMode="External"/><Relationship Id="rId2" Type="http://schemas.openxmlformats.org/officeDocument/2006/relationships/hyperlink" Target="http://www.sumate.org/proyectos.html" TargetMode="External"/><Relationship Id="rId16" Type="http://schemas.openxmlformats.org/officeDocument/2006/relationships/hyperlink" Target="http://www.cidh.org/annualrep/2004eng/chap.5b.htm" TargetMode="External"/><Relationship Id="rId20" Type="http://schemas.openxmlformats.org/officeDocument/2006/relationships/hyperlink" Target="https://ciudadaniaactivavzla.wordpress.com/2015/03/26/documental-la-lista-tascon/" TargetMode="External"/><Relationship Id="rId29" Type="http://schemas.openxmlformats.org/officeDocument/2006/relationships/hyperlink" Target="https://www.hrw.org/sites/default/files/reports/venezuela0908spweb_0.pdf" TargetMode="External"/><Relationship Id="rId41" Type="http://schemas.openxmlformats.org/officeDocument/2006/relationships/hyperlink" Target="http://www.cne.gob.ve/web/gaceta_electoral/gaceta_electoral_detallado.php?tg=1&amp;num_gac=202" TargetMode="External"/><Relationship Id="rId54" Type="http://schemas.openxmlformats.org/officeDocument/2006/relationships/hyperlink" Target="http://www.tsj.gov.ve/legislacion/loadgc.html" TargetMode="External"/><Relationship Id="rId1" Type="http://schemas.openxmlformats.org/officeDocument/2006/relationships/hyperlink" Target="http://www.cne.gob.ve/web/normativa_electoral/constitucion/titulo3.php" TargetMode="External"/><Relationship Id="rId6" Type="http://schemas.openxmlformats.org/officeDocument/2006/relationships/hyperlink" Target="http://historico.tsj.gob.ve/decisiones/selec/enero/3-220103-X-0002.HTM" TargetMode="External"/><Relationship Id="rId11" Type="http://schemas.openxmlformats.org/officeDocument/2006/relationships/hyperlink" Target="http://infovenezuela.org/democracy/attachments-spanish/T3%20ST03%20N8%20Avance%20Sumate%20RRP1-1.pdf" TargetMode="External"/><Relationship Id="rId24" Type="http://schemas.openxmlformats.org/officeDocument/2006/relationships/hyperlink" Target="https://ciudadaniaactivavzla.wordpress.com/2015/03/26/documental-la-lista-tascon/" TargetMode="External"/><Relationship Id="rId32" Type="http://schemas.openxmlformats.org/officeDocument/2006/relationships/hyperlink" Target="http://sumate.org/documentos/ApartheidSigloXXI/Apartheid%20del%20Siglo%20XXI%20Capitulo3.pdf" TargetMode="External"/><Relationship Id="rId37" Type="http://schemas.openxmlformats.org/officeDocument/2006/relationships/hyperlink" Target="http://www.sumate.org/documentos/ApartheidSigloXXI/Apartheid%20del%20Siglo%20XXI%20Capitulo7.pdf" TargetMode="External"/><Relationship Id="rId40" Type="http://schemas.openxmlformats.org/officeDocument/2006/relationships/hyperlink" Target="http://www.rnv.gob.ve/descartada-posibilidad-de-incluir-firmas-invlidas-para-reparos/" TargetMode="External"/><Relationship Id="rId45" Type="http://schemas.openxmlformats.org/officeDocument/2006/relationships/hyperlink" Target="http://www.oas.org/en/media_center/press_release.asp?sCodigo=E-138/04" TargetMode="External"/><Relationship Id="rId53" Type="http://schemas.openxmlformats.org/officeDocument/2006/relationships/hyperlink" Target="http://www.cne.gob.ve/web/normativa_electoral/constitucion/titulo3.php" TargetMode="External"/><Relationship Id="rId5" Type="http://schemas.openxmlformats.org/officeDocument/2006/relationships/hyperlink" Target="http://www.cne.gob.ve/web/gaceta_electoral/gaceta_electoral_detallado.php?tg=1&amp;num_gac=168" TargetMode="External"/><Relationship Id="rId15" Type="http://schemas.openxmlformats.org/officeDocument/2006/relationships/hyperlink" Target="http://www.cne.gob.ve/web/sala_prensa/noticia_detallada.php?id=1629" TargetMode="External"/><Relationship Id="rId23" Type="http://schemas.openxmlformats.org/officeDocument/2006/relationships/hyperlink" Target="http://www.eluniversal.com/2006/11/11/imp_pol_art_65474" TargetMode="External"/><Relationship Id="rId28" Type="http://schemas.openxmlformats.org/officeDocument/2006/relationships/hyperlink" Target="http://www.eluniversal.com/2004/03/21/pol_art_21108A" TargetMode="External"/><Relationship Id="rId36" Type="http://schemas.openxmlformats.org/officeDocument/2006/relationships/hyperlink" Target="http://www.eluniversal.com/2008/02/23/eco_art_despidos-ilegales-im_726634" TargetMode="External"/><Relationship Id="rId49" Type="http://schemas.openxmlformats.org/officeDocument/2006/relationships/hyperlink" Target="http://www.cidh.oas.org/demandas/12.502ENG.pdf" TargetMode="External"/><Relationship Id="rId10" Type="http://schemas.openxmlformats.org/officeDocument/2006/relationships/hyperlink" Target="http://infovenezuela.org/democracy/attachments-spanish/T3%20ST03%20N8%20Avance%20Sumate%20RRP1-1.pdf" TargetMode="External"/><Relationship Id="rId19" Type="http://schemas.openxmlformats.org/officeDocument/2006/relationships/hyperlink" Target="https://ciudadaniaactivavzla.wordpress.com/2015/03/26/documental-la-lista-tascon/" TargetMode="External"/><Relationship Id="rId31" Type="http://schemas.openxmlformats.org/officeDocument/2006/relationships/hyperlink" Target="https://www.hrw.org/sites/default/files/reports/venezuela0908spweb_0.pdf" TargetMode="External"/><Relationship Id="rId44" Type="http://schemas.openxmlformats.org/officeDocument/2006/relationships/hyperlink" Target="http://www.oas.org/en/media_center/press_release.asp?sCodigo=E-130/04" TargetMode="External"/><Relationship Id="rId52" Type="http://schemas.openxmlformats.org/officeDocument/2006/relationships/hyperlink" Target="http://www.oas.org/juridico/spanish/cyb_ven_Cod_Org_Pro_Penal.pdf" TargetMode="External"/><Relationship Id="rId4" Type="http://schemas.openxmlformats.org/officeDocument/2006/relationships/hyperlink" Target="http://eldia.es/venezuela/2002-11-29/2-Tribunal-Supremo-Justicia-anula-referendum-febrero.htm" TargetMode="External"/><Relationship Id="rId9" Type="http://schemas.openxmlformats.org/officeDocument/2006/relationships/hyperlink" Target="http://historico.tsj.gob.ve/decisiones/selec/enero/3-220103-X-0002.HTM" TargetMode="External"/><Relationship Id="rId14" Type="http://schemas.openxmlformats.org/officeDocument/2006/relationships/hyperlink" Target="http://infovenezuela.org/democracy/attachments-spanish/T3%20ST03%20N8%20Avance%20Sumate%20RRP1-1.pdf" TargetMode="External"/><Relationship Id="rId22" Type="http://schemas.openxmlformats.org/officeDocument/2006/relationships/hyperlink" Target="http://www.abc.es/20120410/internacional/abci-chavez-coloca-lista-negra-201204092159.html" TargetMode="External"/><Relationship Id="rId27" Type="http://schemas.openxmlformats.org/officeDocument/2006/relationships/hyperlink" Target="http://www.eluniversal.com/2004/03/21/pol_art_21108A" TargetMode="External"/><Relationship Id="rId30" Type="http://schemas.openxmlformats.org/officeDocument/2006/relationships/hyperlink" Target="https://www.hrw.org/sites/default/files/reports/venezuela0908spweb_0.pdf" TargetMode="External"/><Relationship Id="rId35" Type="http://schemas.openxmlformats.org/officeDocument/2006/relationships/hyperlink" Target="https://www.hrw.org/sites/default/files/reports/venezuela0908spweb_0.pdf" TargetMode="External"/><Relationship Id="rId43" Type="http://schemas.openxmlformats.org/officeDocument/2006/relationships/hyperlink" Target="http://www.cne.gob.ve/web/gaceta_electoral/gaceta_electoral_detallado.php?tg=1&amp;num_gac=210" TargetMode="External"/><Relationship Id="rId48" Type="http://schemas.openxmlformats.org/officeDocument/2006/relationships/hyperlink" Target="http://www.oas.org/en/iachr/expression/reports/thematic.asp" TargetMode="External"/><Relationship Id="rId8" Type="http://schemas.openxmlformats.org/officeDocument/2006/relationships/hyperlink" Target="http://historico.tsj.gob.ve/decisiones/selec/enero/3-220103-X-0002.HTM" TargetMode="External"/><Relationship Id="rId51" Type="http://schemas.openxmlformats.org/officeDocument/2006/relationships/hyperlink" Target="http://cidh.org/countryrep/Bolivia2007eng/Bolivia07indice.eng.htm" TargetMode="External"/><Relationship Id="rId3" Type="http://schemas.openxmlformats.org/officeDocument/2006/relationships/hyperlink" Target="http://analitica.com/actualidad/actualidad-nacional/chavez-no-renunciare-aunque-logren-90-de-votos-en-el-referendu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D817B-2B39-4136-825C-11AD306A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TotalTime>
  <Pages>44</Pages>
  <Words>19720</Words>
  <Characters>112407</Characters>
  <Application>Microsoft Office Word</Application>
  <DocSecurity>0</DocSecurity>
  <Lines>936</Lines>
  <Paragraphs>263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131864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CIDH</dc:creator>
  <cp:keywords/>
  <dc:description/>
  <cp:lastModifiedBy>%username%</cp:lastModifiedBy>
  <cp:revision>62</cp:revision>
  <cp:lastPrinted>2015-10-13T03:15:00Z</cp:lastPrinted>
  <dcterms:created xsi:type="dcterms:W3CDTF">2015-10-19T00:59:00Z</dcterms:created>
  <dcterms:modified xsi:type="dcterms:W3CDTF">2015-12-08T16:20:00Z</dcterms:modified>
</cp:coreProperties>
</file>